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79B98F">
      <w:pPr>
        <w:bidi w:val="0"/>
        <w:rPr>
          <w:rFonts w:hint="eastAsia" w:ascii="方正小标宋简体" w:hAnsi="方正小标宋简体" w:eastAsia="方正小标宋简体" w:cs="方正小标宋简体"/>
          <w:sz w:val="44"/>
          <w:szCs w:val="44"/>
          <w:lang w:val="en-US" w:eastAsia="zh-CN"/>
        </w:rPr>
      </w:pPr>
      <w:bookmarkStart w:id="36" w:name="_GoBack"/>
      <w:bookmarkEnd w:id="36"/>
    </w:p>
    <w:p w14:paraId="688852F6">
      <w:pPr>
        <w:bidi w:val="0"/>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val="en-US" w:eastAsia="zh-CN"/>
        </w:rPr>
        <w:t>辽宁</w:t>
      </w:r>
      <w:r>
        <w:rPr>
          <w:rFonts w:hint="eastAsia" w:ascii="方正小标宋简体" w:hAnsi="方正小标宋简体" w:eastAsia="方正小标宋简体" w:cs="方正小标宋简体"/>
          <w:sz w:val="44"/>
          <w:szCs w:val="44"/>
        </w:rPr>
        <w:t>省住房和城乡建设系统行政处罚裁量权基准（</w:t>
      </w:r>
      <w:r>
        <w:rPr>
          <w:rFonts w:hint="eastAsia" w:ascii="方正小标宋简体" w:hAnsi="方正小标宋简体" w:eastAsia="方正小标宋简体" w:cs="方正小标宋简体"/>
          <w:sz w:val="44"/>
          <w:szCs w:val="44"/>
          <w:lang w:val="en-US" w:eastAsia="zh-CN"/>
        </w:rPr>
        <w:t>2024版</w:t>
      </w:r>
      <w:r>
        <w:rPr>
          <w:rFonts w:hint="eastAsia" w:ascii="方正小标宋简体" w:hAnsi="方正小标宋简体" w:eastAsia="方正小标宋简体" w:cs="方正小标宋简体"/>
          <w:sz w:val="44"/>
          <w:szCs w:val="44"/>
        </w:rPr>
        <w:t>）</w:t>
      </w:r>
    </w:p>
    <w:p w14:paraId="1F1A16B5">
      <w:pPr>
        <w:pStyle w:val="18"/>
        <w:keepNext w:val="0"/>
        <w:keepLines w:val="0"/>
        <w:pageBreakBefore w:val="0"/>
        <w:widowControl w:val="0"/>
        <w:tabs>
          <w:tab w:val="right" w:leader="dot" w:pos="14298"/>
        </w:tabs>
        <w:kinsoku/>
        <w:wordWrap/>
        <w:overflowPunct/>
        <w:topLinePunct w:val="0"/>
        <w:autoSpaceDE/>
        <w:autoSpaceDN/>
        <w:bidi w:val="0"/>
        <w:adjustRightInd/>
        <w:snapToGrid/>
        <w:spacing w:line="600" w:lineRule="exact"/>
        <w:ind w:left="0" w:leftChars="0" w:firstLine="0" w:firstLineChars="0"/>
        <w:jc w:val="both"/>
        <w:textAlignment w:val="auto"/>
        <w:rPr>
          <w:rFonts w:hint="eastAsia" w:ascii="黑体" w:hAnsi="黑体" w:eastAsia="黑体" w:cs="黑体"/>
          <w:b w:val="0"/>
          <w:bCs/>
          <w:color w:val="auto"/>
          <w:sz w:val="28"/>
          <w:szCs w:val="28"/>
          <w:highlight w:val="none"/>
        </w:rPr>
      </w:pPr>
    </w:p>
    <w:p w14:paraId="4D870515">
      <w:pPr>
        <w:pStyle w:val="18"/>
        <w:tabs>
          <w:tab w:val="right" w:leader="dot" w:pos="14298"/>
        </w:tabs>
        <w:ind w:left="0" w:leftChars="0" w:firstLine="0" w:firstLineChars="0"/>
        <w:rPr>
          <w:rFonts w:hint="eastAsia" w:ascii="黑体" w:hAnsi="黑体" w:eastAsia="黑体" w:cs="黑体"/>
          <w:sz w:val="24"/>
          <w:szCs w:val="24"/>
        </w:rPr>
      </w:pPr>
      <w:r>
        <w:rPr>
          <w:rFonts w:hint="eastAsia" w:ascii="黑体" w:hAnsi="黑体" w:eastAsia="黑体" w:cs="黑体"/>
          <w:b w:val="0"/>
          <w:bCs/>
          <w:color w:val="auto"/>
          <w:sz w:val="24"/>
          <w:szCs w:val="24"/>
          <w:highlight w:val="none"/>
        </w:rPr>
        <w:fldChar w:fldCharType="begin"/>
      </w:r>
      <w:r>
        <w:rPr>
          <w:rFonts w:hint="eastAsia" w:ascii="黑体" w:hAnsi="黑体" w:eastAsia="黑体" w:cs="黑体"/>
          <w:b w:val="0"/>
          <w:bCs/>
          <w:color w:val="auto"/>
          <w:sz w:val="24"/>
          <w:szCs w:val="24"/>
          <w:highlight w:val="none"/>
        </w:rPr>
        <w:instrText xml:space="preserve">TOC \o "1-9" \u </w:instrText>
      </w:r>
      <w:r>
        <w:rPr>
          <w:rFonts w:hint="eastAsia" w:ascii="黑体" w:hAnsi="黑体" w:eastAsia="黑体" w:cs="黑体"/>
          <w:b w:val="0"/>
          <w:bCs/>
          <w:color w:val="auto"/>
          <w:sz w:val="24"/>
          <w:szCs w:val="24"/>
          <w:highlight w:val="none"/>
        </w:rPr>
        <w:fldChar w:fldCharType="separate"/>
      </w:r>
      <w:r>
        <w:rPr>
          <w:rFonts w:hint="eastAsia" w:ascii="黑体" w:hAnsi="黑体" w:eastAsia="黑体" w:cs="黑体"/>
          <w:sz w:val="24"/>
          <w:szCs w:val="24"/>
          <w:lang w:val="en-US" w:eastAsia="zh-CN"/>
        </w:rPr>
        <w:t>一、房屋建筑和市政基础设施工程招投标管理类（22项）</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_Toc22325 \h </w:instrText>
      </w:r>
      <w:r>
        <w:rPr>
          <w:rFonts w:hint="eastAsia" w:ascii="黑体" w:hAnsi="黑体" w:eastAsia="黑体" w:cs="黑体"/>
          <w:sz w:val="24"/>
          <w:szCs w:val="24"/>
        </w:rPr>
        <w:fldChar w:fldCharType="separate"/>
      </w:r>
      <w:r>
        <w:rPr>
          <w:rFonts w:hint="eastAsia" w:ascii="黑体" w:hAnsi="黑体" w:eastAsia="黑体" w:cs="黑体"/>
          <w:sz w:val="24"/>
          <w:szCs w:val="24"/>
        </w:rPr>
        <w:t>- 1 -</w:t>
      </w:r>
      <w:r>
        <w:rPr>
          <w:rFonts w:hint="eastAsia" w:ascii="黑体" w:hAnsi="黑体" w:eastAsia="黑体" w:cs="黑体"/>
          <w:sz w:val="24"/>
          <w:szCs w:val="24"/>
        </w:rPr>
        <w:fldChar w:fldCharType="end"/>
      </w:r>
    </w:p>
    <w:p w14:paraId="18BABFBC">
      <w:pPr>
        <w:pStyle w:val="18"/>
        <w:tabs>
          <w:tab w:val="right" w:leader="dot" w:pos="14298"/>
        </w:tabs>
        <w:ind w:left="0" w:leftChars="0" w:firstLine="0" w:firstLineChars="0"/>
        <w:rPr>
          <w:rFonts w:hint="eastAsia" w:ascii="黑体" w:hAnsi="黑体" w:eastAsia="黑体" w:cs="黑体"/>
          <w:sz w:val="24"/>
          <w:szCs w:val="24"/>
        </w:rPr>
      </w:pPr>
      <w:r>
        <w:rPr>
          <w:rFonts w:hint="eastAsia" w:ascii="黑体" w:hAnsi="黑体" w:eastAsia="黑体" w:cs="黑体"/>
          <w:sz w:val="24"/>
          <w:szCs w:val="24"/>
          <w:lang w:val="en-US" w:eastAsia="zh-CN"/>
        </w:rPr>
        <w:t>二、建筑市场监管类（49项）</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_Toc8431 \h </w:instrText>
      </w:r>
      <w:r>
        <w:rPr>
          <w:rFonts w:hint="eastAsia" w:ascii="黑体" w:hAnsi="黑体" w:eastAsia="黑体" w:cs="黑体"/>
          <w:sz w:val="24"/>
          <w:szCs w:val="24"/>
        </w:rPr>
        <w:fldChar w:fldCharType="separate"/>
      </w:r>
      <w:r>
        <w:rPr>
          <w:rFonts w:hint="eastAsia" w:ascii="黑体" w:hAnsi="黑体" w:eastAsia="黑体" w:cs="黑体"/>
          <w:sz w:val="24"/>
          <w:szCs w:val="24"/>
        </w:rPr>
        <w:t>- 9 -</w:t>
      </w:r>
      <w:r>
        <w:rPr>
          <w:rFonts w:hint="eastAsia" w:ascii="黑体" w:hAnsi="黑体" w:eastAsia="黑体" w:cs="黑体"/>
          <w:sz w:val="24"/>
          <w:szCs w:val="24"/>
        </w:rPr>
        <w:fldChar w:fldCharType="end"/>
      </w:r>
    </w:p>
    <w:p w14:paraId="20A8826F">
      <w:pPr>
        <w:pStyle w:val="18"/>
        <w:tabs>
          <w:tab w:val="right" w:leader="dot" w:pos="14298"/>
        </w:tabs>
        <w:ind w:left="0" w:leftChars="0" w:firstLine="0" w:firstLineChars="0"/>
        <w:rPr>
          <w:rFonts w:hint="eastAsia" w:ascii="黑体" w:hAnsi="黑体" w:eastAsia="黑体" w:cs="黑体"/>
          <w:sz w:val="24"/>
          <w:szCs w:val="24"/>
        </w:rPr>
      </w:pPr>
      <w:r>
        <w:rPr>
          <w:rFonts w:hint="eastAsia" w:ascii="黑体" w:hAnsi="黑体" w:eastAsia="黑体" w:cs="黑体"/>
          <w:sz w:val="24"/>
          <w:szCs w:val="24"/>
          <w:lang w:val="en-US" w:eastAsia="zh-CN"/>
        </w:rPr>
        <w:t>三、</w:t>
      </w:r>
      <w:r>
        <w:rPr>
          <w:rFonts w:hint="eastAsia" w:ascii="黑体" w:hAnsi="黑体" w:eastAsia="黑体" w:cs="黑体"/>
          <w:sz w:val="24"/>
          <w:szCs w:val="24"/>
        </w:rPr>
        <w:t>工程质量安全监管类（1</w:t>
      </w:r>
      <w:r>
        <w:rPr>
          <w:rFonts w:hint="eastAsia" w:ascii="黑体" w:hAnsi="黑体" w:eastAsia="黑体" w:cs="黑体"/>
          <w:sz w:val="24"/>
          <w:szCs w:val="24"/>
          <w:lang w:val="en-US" w:eastAsia="zh-CN"/>
        </w:rPr>
        <w:t>33</w:t>
      </w:r>
      <w:r>
        <w:rPr>
          <w:rFonts w:hint="eastAsia" w:ascii="黑体" w:hAnsi="黑体" w:eastAsia="黑体" w:cs="黑体"/>
          <w:sz w:val="24"/>
          <w:szCs w:val="24"/>
        </w:rPr>
        <w:t>项）</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_Toc48 \h </w:instrText>
      </w:r>
      <w:r>
        <w:rPr>
          <w:rFonts w:hint="eastAsia" w:ascii="黑体" w:hAnsi="黑体" w:eastAsia="黑体" w:cs="黑体"/>
          <w:sz w:val="24"/>
          <w:szCs w:val="24"/>
        </w:rPr>
        <w:fldChar w:fldCharType="separate"/>
      </w:r>
      <w:r>
        <w:rPr>
          <w:rFonts w:hint="eastAsia" w:ascii="黑体" w:hAnsi="黑体" w:eastAsia="黑体" w:cs="黑体"/>
          <w:sz w:val="24"/>
          <w:szCs w:val="24"/>
        </w:rPr>
        <w:t>- 20 -</w:t>
      </w:r>
      <w:r>
        <w:rPr>
          <w:rFonts w:hint="eastAsia" w:ascii="黑体" w:hAnsi="黑体" w:eastAsia="黑体" w:cs="黑体"/>
          <w:sz w:val="24"/>
          <w:szCs w:val="24"/>
        </w:rPr>
        <w:fldChar w:fldCharType="end"/>
      </w:r>
    </w:p>
    <w:p w14:paraId="2A6AD0CC">
      <w:pPr>
        <w:pStyle w:val="18"/>
        <w:tabs>
          <w:tab w:val="right" w:leader="dot" w:pos="14298"/>
        </w:tabs>
        <w:ind w:left="0" w:leftChars="0" w:firstLine="0" w:firstLineChars="0"/>
        <w:rPr>
          <w:rFonts w:hint="eastAsia" w:ascii="黑体" w:hAnsi="黑体" w:eastAsia="黑体" w:cs="黑体"/>
          <w:sz w:val="24"/>
          <w:szCs w:val="24"/>
        </w:rPr>
      </w:pPr>
      <w:r>
        <w:rPr>
          <w:rFonts w:hint="eastAsia" w:ascii="黑体" w:hAnsi="黑体" w:eastAsia="黑体" w:cs="黑体"/>
          <w:sz w:val="24"/>
          <w:szCs w:val="24"/>
          <w:lang w:val="en-US" w:eastAsia="zh-CN"/>
        </w:rPr>
        <w:t>四、</w:t>
      </w:r>
      <w:r>
        <w:rPr>
          <w:rFonts w:hint="eastAsia" w:ascii="黑体" w:hAnsi="黑体" w:eastAsia="黑体" w:cs="黑体"/>
          <w:sz w:val="24"/>
          <w:szCs w:val="24"/>
        </w:rPr>
        <w:t>建筑节能类（1</w:t>
      </w:r>
      <w:r>
        <w:rPr>
          <w:rFonts w:hint="eastAsia" w:ascii="黑体" w:hAnsi="黑体" w:eastAsia="黑体" w:cs="黑体"/>
          <w:sz w:val="24"/>
          <w:szCs w:val="24"/>
          <w:lang w:val="en-US" w:eastAsia="zh-CN"/>
        </w:rPr>
        <w:t>1</w:t>
      </w:r>
      <w:r>
        <w:rPr>
          <w:rFonts w:hint="eastAsia" w:ascii="黑体" w:hAnsi="黑体" w:eastAsia="黑体" w:cs="黑体"/>
          <w:sz w:val="24"/>
          <w:szCs w:val="24"/>
        </w:rPr>
        <w:t>项）</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_Toc14544 \h </w:instrText>
      </w:r>
      <w:r>
        <w:rPr>
          <w:rFonts w:hint="eastAsia" w:ascii="黑体" w:hAnsi="黑体" w:eastAsia="黑体" w:cs="黑体"/>
          <w:sz w:val="24"/>
          <w:szCs w:val="24"/>
        </w:rPr>
        <w:fldChar w:fldCharType="separate"/>
      </w:r>
      <w:r>
        <w:rPr>
          <w:rFonts w:hint="eastAsia" w:ascii="黑体" w:hAnsi="黑体" w:eastAsia="黑体" w:cs="黑体"/>
          <w:sz w:val="24"/>
          <w:szCs w:val="24"/>
        </w:rPr>
        <w:t>- 65 -</w:t>
      </w:r>
      <w:r>
        <w:rPr>
          <w:rFonts w:hint="eastAsia" w:ascii="黑体" w:hAnsi="黑体" w:eastAsia="黑体" w:cs="黑体"/>
          <w:sz w:val="24"/>
          <w:szCs w:val="24"/>
        </w:rPr>
        <w:fldChar w:fldCharType="end"/>
      </w:r>
    </w:p>
    <w:p w14:paraId="0412AA3E">
      <w:pPr>
        <w:pStyle w:val="18"/>
        <w:tabs>
          <w:tab w:val="right" w:leader="dot" w:pos="14298"/>
        </w:tabs>
        <w:ind w:left="0" w:leftChars="0" w:firstLine="0" w:firstLineChars="0"/>
        <w:rPr>
          <w:rFonts w:hint="eastAsia" w:ascii="黑体" w:hAnsi="黑体" w:eastAsia="黑体" w:cs="黑体"/>
          <w:sz w:val="24"/>
          <w:szCs w:val="24"/>
        </w:rPr>
      </w:pPr>
      <w:r>
        <w:rPr>
          <w:rFonts w:hint="eastAsia" w:ascii="黑体" w:hAnsi="黑体" w:eastAsia="黑体" w:cs="黑体"/>
          <w:sz w:val="24"/>
          <w:szCs w:val="24"/>
          <w:lang w:val="en-US" w:eastAsia="zh-CN"/>
        </w:rPr>
        <w:t>五、</w:t>
      </w:r>
      <w:r>
        <w:rPr>
          <w:rFonts w:hint="eastAsia" w:ascii="黑体" w:hAnsi="黑体" w:eastAsia="黑体" w:cs="黑体"/>
          <w:sz w:val="24"/>
          <w:szCs w:val="24"/>
        </w:rPr>
        <w:t>勘察设计管理类（</w:t>
      </w:r>
      <w:r>
        <w:rPr>
          <w:rFonts w:hint="eastAsia" w:ascii="黑体" w:hAnsi="黑体" w:eastAsia="黑体" w:cs="黑体"/>
          <w:sz w:val="24"/>
          <w:szCs w:val="24"/>
          <w:lang w:val="en-US" w:eastAsia="zh-CN"/>
        </w:rPr>
        <w:t>16</w:t>
      </w:r>
      <w:r>
        <w:rPr>
          <w:rFonts w:hint="eastAsia" w:ascii="黑体" w:hAnsi="黑体" w:eastAsia="黑体" w:cs="黑体"/>
          <w:sz w:val="24"/>
          <w:szCs w:val="24"/>
        </w:rPr>
        <w:t>项）</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_Toc10425 \h </w:instrText>
      </w:r>
      <w:r>
        <w:rPr>
          <w:rFonts w:hint="eastAsia" w:ascii="黑体" w:hAnsi="黑体" w:eastAsia="黑体" w:cs="黑体"/>
          <w:sz w:val="24"/>
          <w:szCs w:val="24"/>
        </w:rPr>
        <w:fldChar w:fldCharType="separate"/>
      </w:r>
      <w:r>
        <w:rPr>
          <w:rFonts w:hint="eastAsia" w:ascii="黑体" w:hAnsi="黑体" w:eastAsia="黑体" w:cs="黑体"/>
          <w:sz w:val="24"/>
          <w:szCs w:val="24"/>
        </w:rPr>
        <w:t>- 69 -</w:t>
      </w:r>
      <w:r>
        <w:rPr>
          <w:rFonts w:hint="eastAsia" w:ascii="黑体" w:hAnsi="黑体" w:eastAsia="黑体" w:cs="黑体"/>
          <w:sz w:val="24"/>
          <w:szCs w:val="24"/>
        </w:rPr>
        <w:fldChar w:fldCharType="end"/>
      </w:r>
    </w:p>
    <w:p w14:paraId="01E59546">
      <w:pPr>
        <w:pStyle w:val="18"/>
        <w:tabs>
          <w:tab w:val="right" w:leader="dot" w:pos="14298"/>
        </w:tabs>
        <w:ind w:left="0" w:leftChars="0" w:firstLine="0" w:firstLineChars="0"/>
        <w:rPr>
          <w:rFonts w:hint="eastAsia" w:ascii="黑体" w:hAnsi="黑体" w:eastAsia="黑体" w:cs="黑体"/>
          <w:sz w:val="24"/>
          <w:szCs w:val="24"/>
        </w:rPr>
      </w:pPr>
      <w:r>
        <w:rPr>
          <w:rFonts w:hint="eastAsia" w:ascii="黑体" w:hAnsi="黑体" w:eastAsia="黑体" w:cs="黑体"/>
          <w:sz w:val="24"/>
          <w:szCs w:val="24"/>
          <w:lang w:val="en-US" w:eastAsia="zh-CN"/>
        </w:rPr>
        <w:t>六、</w:t>
      </w:r>
      <w:r>
        <w:rPr>
          <w:rFonts w:hint="eastAsia" w:ascii="黑体" w:hAnsi="黑体" w:eastAsia="黑体" w:cs="黑体"/>
          <w:sz w:val="24"/>
          <w:szCs w:val="24"/>
        </w:rPr>
        <w:t>建设工程消防设计审查验收类（</w:t>
      </w:r>
      <w:r>
        <w:rPr>
          <w:rFonts w:hint="eastAsia" w:ascii="黑体" w:hAnsi="黑体" w:eastAsia="黑体" w:cs="黑体"/>
          <w:sz w:val="24"/>
          <w:szCs w:val="24"/>
          <w:lang w:val="en-US" w:eastAsia="zh-CN"/>
        </w:rPr>
        <w:t>3</w:t>
      </w:r>
      <w:r>
        <w:rPr>
          <w:rFonts w:hint="eastAsia" w:ascii="黑体" w:hAnsi="黑体" w:eastAsia="黑体" w:cs="黑体"/>
          <w:sz w:val="24"/>
          <w:szCs w:val="24"/>
        </w:rPr>
        <w:t>项）</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_Toc29908 \h </w:instrText>
      </w:r>
      <w:r>
        <w:rPr>
          <w:rFonts w:hint="eastAsia" w:ascii="黑体" w:hAnsi="黑体" w:eastAsia="黑体" w:cs="黑体"/>
          <w:sz w:val="24"/>
          <w:szCs w:val="24"/>
        </w:rPr>
        <w:fldChar w:fldCharType="separate"/>
      </w:r>
      <w:r>
        <w:rPr>
          <w:rFonts w:hint="eastAsia" w:ascii="黑体" w:hAnsi="黑体" w:eastAsia="黑体" w:cs="黑体"/>
          <w:sz w:val="24"/>
          <w:szCs w:val="24"/>
        </w:rPr>
        <w:t>- 76 -</w:t>
      </w:r>
      <w:r>
        <w:rPr>
          <w:rFonts w:hint="eastAsia" w:ascii="黑体" w:hAnsi="黑体" w:eastAsia="黑体" w:cs="黑体"/>
          <w:sz w:val="24"/>
          <w:szCs w:val="24"/>
        </w:rPr>
        <w:fldChar w:fldCharType="end"/>
      </w:r>
    </w:p>
    <w:p w14:paraId="365DDC1E">
      <w:pPr>
        <w:pStyle w:val="18"/>
        <w:tabs>
          <w:tab w:val="right" w:leader="dot" w:pos="14298"/>
        </w:tabs>
        <w:ind w:left="0" w:leftChars="0" w:firstLine="0" w:firstLineChars="0"/>
        <w:rPr>
          <w:rFonts w:hint="eastAsia" w:ascii="黑体" w:hAnsi="黑体" w:eastAsia="黑体" w:cs="黑体"/>
          <w:sz w:val="24"/>
          <w:szCs w:val="24"/>
        </w:rPr>
      </w:pPr>
      <w:r>
        <w:rPr>
          <w:rFonts w:hint="eastAsia" w:ascii="黑体" w:hAnsi="黑体" w:eastAsia="黑体" w:cs="黑体"/>
          <w:sz w:val="24"/>
          <w:szCs w:val="24"/>
          <w:lang w:val="en-US" w:eastAsia="zh-CN"/>
        </w:rPr>
        <w:t>七、</w:t>
      </w:r>
      <w:r>
        <w:rPr>
          <w:rFonts w:hint="eastAsia" w:ascii="黑体" w:hAnsi="黑体" w:eastAsia="黑体" w:cs="黑体"/>
          <w:sz w:val="24"/>
          <w:szCs w:val="24"/>
        </w:rPr>
        <w:t>房地产类（</w:t>
      </w:r>
      <w:r>
        <w:rPr>
          <w:rFonts w:hint="eastAsia" w:ascii="黑体" w:hAnsi="黑体" w:eastAsia="黑体" w:cs="黑体"/>
          <w:sz w:val="24"/>
          <w:szCs w:val="24"/>
          <w:lang w:val="en-US" w:eastAsia="zh-CN"/>
        </w:rPr>
        <w:t>58</w:t>
      </w:r>
      <w:r>
        <w:rPr>
          <w:rFonts w:hint="eastAsia" w:ascii="黑体" w:hAnsi="黑体" w:eastAsia="黑体" w:cs="黑体"/>
          <w:sz w:val="24"/>
          <w:szCs w:val="24"/>
        </w:rPr>
        <w:t>项）</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_Toc16750 \h </w:instrText>
      </w:r>
      <w:r>
        <w:rPr>
          <w:rFonts w:hint="eastAsia" w:ascii="黑体" w:hAnsi="黑体" w:eastAsia="黑体" w:cs="黑体"/>
          <w:sz w:val="24"/>
          <w:szCs w:val="24"/>
        </w:rPr>
        <w:fldChar w:fldCharType="separate"/>
      </w:r>
      <w:r>
        <w:rPr>
          <w:rFonts w:hint="eastAsia" w:ascii="黑体" w:hAnsi="黑体" w:eastAsia="黑体" w:cs="黑体"/>
          <w:sz w:val="24"/>
          <w:szCs w:val="24"/>
        </w:rPr>
        <w:t>- 77 -</w:t>
      </w:r>
      <w:r>
        <w:rPr>
          <w:rFonts w:hint="eastAsia" w:ascii="黑体" w:hAnsi="黑体" w:eastAsia="黑体" w:cs="黑体"/>
          <w:sz w:val="24"/>
          <w:szCs w:val="24"/>
        </w:rPr>
        <w:fldChar w:fldCharType="end"/>
      </w:r>
    </w:p>
    <w:p w14:paraId="1869C979">
      <w:pPr>
        <w:pStyle w:val="18"/>
        <w:tabs>
          <w:tab w:val="right" w:leader="dot" w:pos="14298"/>
        </w:tabs>
        <w:ind w:left="0" w:leftChars="0" w:firstLine="0" w:firstLineChars="0"/>
        <w:rPr>
          <w:rFonts w:hint="eastAsia" w:ascii="黑体" w:hAnsi="黑体" w:eastAsia="黑体" w:cs="黑体"/>
          <w:sz w:val="24"/>
          <w:szCs w:val="24"/>
        </w:rPr>
      </w:pPr>
      <w:r>
        <w:rPr>
          <w:rFonts w:hint="eastAsia" w:ascii="黑体" w:hAnsi="黑体" w:eastAsia="黑体" w:cs="黑体"/>
          <w:sz w:val="24"/>
          <w:szCs w:val="24"/>
          <w:lang w:val="en-US" w:eastAsia="zh-CN"/>
        </w:rPr>
        <w:t>八、</w:t>
      </w:r>
      <w:r>
        <w:rPr>
          <w:rFonts w:hint="eastAsia" w:ascii="黑体" w:hAnsi="黑体" w:eastAsia="黑体" w:cs="黑体"/>
          <w:sz w:val="24"/>
          <w:szCs w:val="24"/>
        </w:rPr>
        <w:t>住房公积金类（2项）</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_Toc31625 \h </w:instrText>
      </w:r>
      <w:r>
        <w:rPr>
          <w:rFonts w:hint="eastAsia" w:ascii="黑体" w:hAnsi="黑体" w:eastAsia="黑体" w:cs="黑体"/>
          <w:sz w:val="24"/>
          <w:szCs w:val="24"/>
        </w:rPr>
        <w:fldChar w:fldCharType="separate"/>
      </w:r>
      <w:r>
        <w:rPr>
          <w:rFonts w:hint="eastAsia" w:ascii="黑体" w:hAnsi="黑体" w:eastAsia="黑体" w:cs="黑体"/>
          <w:sz w:val="24"/>
          <w:szCs w:val="24"/>
        </w:rPr>
        <w:t>- 93 -</w:t>
      </w:r>
      <w:r>
        <w:rPr>
          <w:rFonts w:hint="eastAsia" w:ascii="黑体" w:hAnsi="黑体" w:eastAsia="黑体" w:cs="黑体"/>
          <w:sz w:val="24"/>
          <w:szCs w:val="24"/>
        </w:rPr>
        <w:fldChar w:fldCharType="end"/>
      </w:r>
    </w:p>
    <w:p w14:paraId="60B8F231">
      <w:pPr>
        <w:pStyle w:val="18"/>
        <w:tabs>
          <w:tab w:val="right" w:leader="dot" w:pos="14298"/>
        </w:tabs>
        <w:ind w:left="0" w:leftChars="0" w:firstLine="0" w:firstLineChars="0"/>
        <w:rPr>
          <w:rFonts w:hint="eastAsia" w:ascii="黑体" w:hAnsi="黑体" w:eastAsia="黑体" w:cs="黑体"/>
          <w:sz w:val="24"/>
          <w:szCs w:val="24"/>
        </w:rPr>
      </w:pPr>
      <w:r>
        <w:rPr>
          <w:rFonts w:hint="eastAsia" w:ascii="黑体" w:hAnsi="黑体" w:eastAsia="黑体" w:cs="黑体"/>
          <w:sz w:val="24"/>
          <w:szCs w:val="24"/>
          <w:lang w:val="en-US" w:eastAsia="zh-CN"/>
        </w:rPr>
        <w:t>九、</w:t>
      </w:r>
      <w:r>
        <w:rPr>
          <w:rFonts w:hint="eastAsia" w:ascii="黑体" w:hAnsi="黑体" w:eastAsia="黑体" w:cs="黑体"/>
          <w:sz w:val="24"/>
          <w:szCs w:val="24"/>
        </w:rPr>
        <w:t>城市建设</w:t>
      </w:r>
      <w:r>
        <w:rPr>
          <w:rFonts w:hint="eastAsia" w:ascii="黑体" w:hAnsi="黑体" w:eastAsia="黑体" w:cs="黑体"/>
          <w:sz w:val="24"/>
          <w:szCs w:val="24"/>
          <w:lang w:val="en-US" w:eastAsia="zh-CN"/>
        </w:rPr>
        <w:t>管理</w:t>
      </w:r>
      <w:r>
        <w:rPr>
          <w:rFonts w:hint="eastAsia" w:ascii="黑体" w:hAnsi="黑体" w:eastAsia="黑体" w:cs="黑体"/>
          <w:sz w:val="24"/>
          <w:szCs w:val="24"/>
        </w:rPr>
        <w:t>与</w:t>
      </w:r>
      <w:r>
        <w:rPr>
          <w:rFonts w:hint="eastAsia" w:ascii="黑体" w:hAnsi="黑体" w:eastAsia="黑体" w:cs="黑体"/>
          <w:sz w:val="24"/>
          <w:szCs w:val="24"/>
          <w:lang w:val="en-US" w:eastAsia="zh-CN"/>
        </w:rPr>
        <w:t>公用事业</w:t>
      </w:r>
      <w:r>
        <w:rPr>
          <w:rFonts w:hint="eastAsia" w:ascii="黑体" w:hAnsi="黑体" w:eastAsia="黑体" w:cs="黑体"/>
          <w:sz w:val="24"/>
          <w:szCs w:val="24"/>
        </w:rPr>
        <w:t>管理类（</w:t>
      </w:r>
      <w:r>
        <w:rPr>
          <w:rFonts w:hint="eastAsia" w:ascii="黑体" w:hAnsi="黑体" w:eastAsia="黑体" w:cs="黑体"/>
          <w:sz w:val="24"/>
          <w:szCs w:val="24"/>
          <w:lang w:val="en-US" w:eastAsia="zh-CN"/>
        </w:rPr>
        <w:t>82</w:t>
      </w:r>
      <w:r>
        <w:rPr>
          <w:rFonts w:hint="eastAsia" w:ascii="黑体" w:hAnsi="黑体" w:eastAsia="黑体" w:cs="黑体"/>
          <w:sz w:val="24"/>
          <w:szCs w:val="24"/>
        </w:rPr>
        <w:t>项）</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_Toc5485 \h </w:instrText>
      </w:r>
      <w:r>
        <w:rPr>
          <w:rFonts w:hint="eastAsia" w:ascii="黑体" w:hAnsi="黑体" w:eastAsia="黑体" w:cs="黑体"/>
          <w:sz w:val="24"/>
          <w:szCs w:val="24"/>
        </w:rPr>
        <w:fldChar w:fldCharType="separate"/>
      </w:r>
      <w:r>
        <w:rPr>
          <w:rFonts w:hint="eastAsia" w:ascii="黑体" w:hAnsi="黑体" w:eastAsia="黑体" w:cs="黑体"/>
          <w:sz w:val="24"/>
          <w:szCs w:val="24"/>
        </w:rPr>
        <w:t>- 94 -</w:t>
      </w:r>
      <w:r>
        <w:rPr>
          <w:rFonts w:hint="eastAsia" w:ascii="黑体" w:hAnsi="黑体" w:eastAsia="黑体" w:cs="黑体"/>
          <w:sz w:val="24"/>
          <w:szCs w:val="24"/>
        </w:rPr>
        <w:fldChar w:fldCharType="end"/>
      </w:r>
    </w:p>
    <w:p w14:paraId="2F37A713">
      <w:pPr>
        <w:pStyle w:val="16"/>
        <w:keepNext w:val="0"/>
        <w:keepLines w:val="0"/>
        <w:pageBreakBefore w:val="0"/>
        <w:widowControl w:val="0"/>
        <w:kinsoku/>
        <w:wordWrap/>
        <w:overflowPunct/>
        <w:topLinePunct w:val="0"/>
        <w:autoSpaceDE/>
        <w:autoSpaceDN/>
        <w:bidi w:val="0"/>
        <w:adjustRightInd/>
        <w:snapToGrid/>
        <w:spacing w:after="0" w:line="600" w:lineRule="exact"/>
        <w:ind w:left="0" w:leftChars="0" w:firstLine="0" w:firstLineChars="0"/>
        <w:jc w:val="both"/>
        <w:textAlignment w:val="auto"/>
        <w:outlineLvl w:val="8"/>
        <w:rPr>
          <w:rFonts w:hint="eastAsia" w:ascii="黑体" w:hAnsi="黑体" w:eastAsia="黑体" w:cs="黑体"/>
          <w:b w:val="0"/>
          <w:bCs/>
          <w:color w:val="auto"/>
          <w:sz w:val="28"/>
          <w:szCs w:val="28"/>
          <w:highlight w:val="none"/>
        </w:rPr>
      </w:pPr>
      <w:r>
        <w:rPr>
          <w:rFonts w:hint="eastAsia" w:ascii="黑体" w:hAnsi="黑体" w:eastAsia="黑体" w:cs="黑体"/>
          <w:bCs/>
          <w:color w:val="auto"/>
          <w:sz w:val="24"/>
          <w:szCs w:val="24"/>
          <w:highlight w:val="none"/>
        </w:rPr>
        <w:fldChar w:fldCharType="end"/>
      </w:r>
    </w:p>
    <w:p w14:paraId="1F106649">
      <w:pPr>
        <w:pStyle w:val="16"/>
        <w:keepNext w:val="0"/>
        <w:keepLines w:val="0"/>
        <w:pageBreakBefore w:val="0"/>
        <w:tabs>
          <w:tab w:val="left" w:pos="3362"/>
        </w:tabs>
        <w:kinsoku/>
        <w:wordWrap/>
        <w:overflowPunct/>
        <w:topLinePunct w:val="0"/>
        <w:autoSpaceDE/>
        <w:autoSpaceDN/>
        <w:bidi w:val="0"/>
        <w:adjustRightInd/>
        <w:snapToGrid/>
        <w:spacing w:line="420" w:lineRule="exact"/>
        <w:jc w:val="left"/>
        <w:textAlignment w:val="auto"/>
        <w:outlineLvl w:val="0"/>
        <w:rPr>
          <w:rFonts w:hint="eastAsia" w:ascii="黑体" w:hAnsi="黑体" w:eastAsia="黑体" w:cs="黑体"/>
          <w:b w:val="0"/>
          <w:bCs/>
          <w:color w:val="auto"/>
          <w:sz w:val="24"/>
          <w:szCs w:val="24"/>
          <w:highlight w:val="none"/>
        </w:rPr>
      </w:pPr>
      <w:r>
        <w:rPr>
          <w:rFonts w:hint="eastAsia" w:ascii="黑体" w:hAnsi="黑体" w:eastAsia="黑体" w:cs="黑体"/>
          <w:b w:val="0"/>
          <w:bCs/>
          <w:color w:val="auto"/>
          <w:sz w:val="24"/>
          <w:szCs w:val="24"/>
          <w:highlight w:val="none"/>
          <w:lang w:eastAsia="zh-CN"/>
        </w:rPr>
        <w:tab/>
      </w:r>
    </w:p>
    <w:p w14:paraId="70FBEF6F">
      <w:pPr>
        <w:rPr>
          <w:color w:val="auto"/>
          <w:highlight w:val="none"/>
        </w:rPr>
      </w:pPr>
    </w:p>
    <w:p w14:paraId="7EBECD16">
      <w:pPr>
        <w:rPr>
          <w:color w:val="auto"/>
          <w:highlight w:val="none"/>
        </w:rPr>
      </w:pPr>
    </w:p>
    <w:p w14:paraId="769F8E8D">
      <w:pPr>
        <w:rPr>
          <w:color w:val="auto"/>
          <w:highlight w:val="none"/>
        </w:rPr>
      </w:pPr>
    </w:p>
    <w:p w14:paraId="0BC2638B">
      <w:pPr>
        <w:rPr>
          <w:color w:val="auto"/>
          <w:highlight w:val="none"/>
        </w:rPr>
        <w:sectPr>
          <w:footerReference r:id="rId5" w:type="default"/>
          <w:pgSz w:w="16838" w:h="11906" w:orient="landscape"/>
          <w:pgMar w:top="1066" w:right="1100" w:bottom="612" w:left="1440" w:header="454" w:footer="454" w:gutter="0"/>
          <w:pgNumType w:fmt="numberInDash"/>
          <w:cols w:space="425" w:num="1"/>
          <w:docGrid w:type="lines" w:linePitch="312" w:charSpace="0"/>
        </w:sectPr>
      </w:pPr>
    </w:p>
    <w:p w14:paraId="11AC8F4E">
      <w:pPr>
        <w:rPr>
          <w:color w:val="auto"/>
          <w:highlight w:val="none"/>
        </w:rPr>
      </w:pPr>
    </w:p>
    <w:tbl>
      <w:tblPr>
        <w:tblStyle w:val="21"/>
        <w:tblW w:w="14137" w:type="dxa"/>
        <w:jc w:val="center"/>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5"/>
        <w:gridCol w:w="428"/>
        <w:gridCol w:w="1550"/>
        <w:gridCol w:w="4820"/>
        <w:gridCol w:w="823"/>
        <w:gridCol w:w="1729"/>
        <w:gridCol w:w="1708"/>
        <w:gridCol w:w="3058"/>
        <w:gridCol w:w="6"/>
      </w:tblGrid>
      <w:tr w14:paraId="0C34AAF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470" w:hRule="atLeast"/>
          <w:jc w:val="center"/>
        </w:trPr>
        <w:tc>
          <w:tcPr>
            <w:tcW w:w="443" w:type="dxa"/>
            <w:gridSpan w:val="2"/>
            <w:tcBorders>
              <w:tl2br w:val="nil"/>
              <w:tr2bl w:val="nil"/>
            </w:tcBorders>
            <w:tcMar>
              <w:top w:w="15" w:type="dxa"/>
              <w:left w:w="15" w:type="dxa"/>
              <w:bottom w:w="15" w:type="dxa"/>
              <w:right w:w="15" w:type="dxa"/>
            </w:tcMar>
            <w:vAlign w:val="center"/>
          </w:tcPr>
          <w:p w14:paraId="1C04B3A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lang w:val="en-US" w:eastAsia="zh-CN"/>
              </w:rPr>
              <w:t>序号</w:t>
            </w:r>
          </w:p>
        </w:tc>
        <w:tc>
          <w:tcPr>
            <w:tcW w:w="1550" w:type="dxa"/>
            <w:tcBorders>
              <w:tl2br w:val="nil"/>
              <w:tr2bl w:val="nil"/>
            </w:tcBorders>
            <w:tcMar>
              <w:top w:w="15" w:type="dxa"/>
              <w:left w:w="15" w:type="dxa"/>
              <w:bottom w:w="15" w:type="dxa"/>
              <w:right w:w="15" w:type="dxa"/>
            </w:tcMar>
            <w:vAlign w:val="center"/>
          </w:tcPr>
          <w:p w14:paraId="298E50D1">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81" w:firstLineChars="100"/>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违法行为</w:t>
            </w:r>
          </w:p>
        </w:tc>
        <w:tc>
          <w:tcPr>
            <w:tcW w:w="4820" w:type="dxa"/>
            <w:tcBorders>
              <w:tl2br w:val="nil"/>
              <w:tr2bl w:val="nil"/>
            </w:tcBorders>
            <w:tcMar>
              <w:top w:w="15" w:type="dxa"/>
              <w:left w:w="15" w:type="dxa"/>
              <w:bottom w:w="15" w:type="dxa"/>
              <w:right w:w="15" w:type="dxa"/>
            </w:tcMar>
            <w:vAlign w:val="center"/>
          </w:tcPr>
          <w:p w14:paraId="711C839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处罚依据</w:t>
            </w:r>
          </w:p>
        </w:tc>
        <w:tc>
          <w:tcPr>
            <w:tcW w:w="4260" w:type="dxa"/>
            <w:gridSpan w:val="3"/>
            <w:tcBorders>
              <w:tl2br w:val="nil"/>
              <w:tr2bl w:val="nil"/>
            </w:tcBorders>
            <w:tcMar>
              <w:top w:w="15" w:type="dxa"/>
              <w:left w:w="15" w:type="dxa"/>
              <w:bottom w:w="15" w:type="dxa"/>
              <w:right w:w="15" w:type="dxa"/>
            </w:tcMar>
            <w:vAlign w:val="center"/>
          </w:tcPr>
          <w:p w14:paraId="3A2ABE2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81" w:firstLineChars="100"/>
              <w:jc w:val="center"/>
              <w:textAlignment w:val="center"/>
              <w:rPr>
                <w:rFonts w:hint="eastAsia" w:ascii="宋体" w:hAnsi="宋体" w:eastAsia="宋体" w:cs="宋体"/>
                <w:b/>
                <w:bCs/>
                <w:color w:val="auto"/>
                <w:sz w:val="18"/>
                <w:szCs w:val="18"/>
                <w:highlight w:val="none"/>
              </w:rPr>
            </w:pPr>
            <w:r>
              <w:rPr>
                <w:rFonts w:hint="eastAsia" w:ascii="宋体" w:hAnsi="宋体" w:eastAsia="宋体" w:cs="宋体"/>
                <w:b/>
                <w:bCs/>
                <w:color w:val="auto"/>
                <w:kern w:val="0"/>
                <w:sz w:val="18"/>
                <w:szCs w:val="18"/>
                <w:highlight w:val="none"/>
              </w:rPr>
              <w:t>违法情节或危害后果</w:t>
            </w:r>
          </w:p>
        </w:tc>
        <w:tc>
          <w:tcPr>
            <w:tcW w:w="3058" w:type="dxa"/>
            <w:tcBorders>
              <w:tl2br w:val="nil"/>
              <w:tr2bl w:val="nil"/>
            </w:tcBorders>
            <w:tcMar>
              <w:top w:w="15" w:type="dxa"/>
              <w:left w:w="15" w:type="dxa"/>
              <w:bottom w:w="15" w:type="dxa"/>
              <w:right w:w="15" w:type="dxa"/>
            </w:tcMar>
            <w:vAlign w:val="center"/>
          </w:tcPr>
          <w:p w14:paraId="085E256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81" w:firstLineChars="100"/>
              <w:jc w:val="center"/>
              <w:textAlignment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lang w:val="en-US" w:eastAsia="zh-CN"/>
              </w:rPr>
              <w:t>裁量</w:t>
            </w:r>
            <w:r>
              <w:rPr>
                <w:rFonts w:hint="eastAsia" w:ascii="宋体" w:hAnsi="宋体" w:eastAsia="宋体" w:cs="宋体"/>
                <w:b/>
                <w:bCs/>
                <w:color w:val="auto"/>
                <w:kern w:val="0"/>
                <w:sz w:val="18"/>
                <w:szCs w:val="18"/>
                <w:highlight w:val="none"/>
              </w:rPr>
              <w:t>基准</w:t>
            </w:r>
          </w:p>
        </w:tc>
      </w:tr>
      <w:tr w14:paraId="36D1EDA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470" w:hRule="atLeast"/>
          <w:jc w:val="center"/>
        </w:trPr>
        <w:tc>
          <w:tcPr>
            <w:tcW w:w="14131" w:type="dxa"/>
            <w:gridSpan w:val="8"/>
            <w:tcBorders>
              <w:tl2br w:val="nil"/>
              <w:tr2bl w:val="nil"/>
            </w:tcBorders>
            <w:tcMar>
              <w:top w:w="15" w:type="dxa"/>
              <w:left w:w="15" w:type="dxa"/>
              <w:bottom w:w="15" w:type="dxa"/>
              <w:right w:w="15" w:type="dxa"/>
            </w:tcMar>
            <w:vAlign w:val="center"/>
          </w:tcPr>
          <w:p w14:paraId="3B5FE100">
            <w:pPr>
              <w:pStyle w:val="10"/>
              <w:bidi w:val="0"/>
              <w:jc w:val="center"/>
              <w:rPr>
                <w:rFonts w:hint="eastAsia"/>
                <w:color w:val="auto"/>
                <w:lang w:val="en-US" w:eastAsia="zh-CN"/>
              </w:rPr>
            </w:pPr>
            <w:bookmarkStart w:id="0" w:name="_Toc5200"/>
            <w:bookmarkStart w:id="1" w:name="_Toc22325"/>
            <w:r>
              <w:rPr>
                <w:rFonts w:hint="eastAsia"/>
                <w:color w:val="auto"/>
                <w:lang w:val="en-US" w:eastAsia="zh-CN"/>
              </w:rPr>
              <w:t>一、房屋建筑和市政基础设施工程招投标管理类（22项）</w:t>
            </w:r>
            <w:bookmarkEnd w:id="0"/>
            <w:bookmarkEnd w:id="1"/>
          </w:p>
        </w:tc>
      </w:tr>
      <w:tr w14:paraId="5D982F5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5" w:hRule="atLeast"/>
          <w:jc w:val="center"/>
        </w:trPr>
        <w:tc>
          <w:tcPr>
            <w:tcW w:w="443" w:type="dxa"/>
            <w:gridSpan w:val="2"/>
            <w:vMerge w:val="restart"/>
            <w:tcBorders>
              <w:tl2br w:val="nil"/>
              <w:tr2bl w:val="nil"/>
            </w:tcBorders>
            <w:tcMar>
              <w:top w:w="15" w:type="dxa"/>
              <w:left w:w="15" w:type="dxa"/>
              <w:bottom w:w="15" w:type="dxa"/>
              <w:right w:w="15" w:type="dxa"/>
            </w:tcMar>
            <w:vAlign w:val="center"/>
          </w:tcPr>
          <w:p w14:paraId="57988F7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color w:val="auto"/>
                <w:sz w:val="13"/>
                <w:szCs w:val="13"/>
                <w:highlight w:val="none"/>
              </w:rPr>
            </w:pPr>
            <w:r>
              <w:rPr>
                <w:rFonts w:hint="eastAsia" w:ascii="仿宋_GB2312" w:hAnsi="宋体" w:eastAsia="仿宋_GB2312" w:cs="Times New Roman"/>
                <w:color w:val="auto"/>
                <w:kern w:val="0"/>
                <w:sz w:val="13"/>
                <w:szCs w:val="13"/>
                <w:highlight w:val="none"/>
              </w:rPr>
              <w:t>1</w:t>
            </w:r>
          </w:p>
        </w:tc>
        <w:tc>
          <w:tcPr>
            <w:tcW w:w="1550" w:type="dxa"/>
            <w:vMerge w:val="restart"/>
            <w:tcBorders>
              <w:tl2br w:val="nil"/>
              <w:tr2bl w:val="nil"/>
            </w:tcBorders>
            <w:tcMar>
              <w:top w:w="15" w:type="dxa"/>
              <w:left w:w="15" w:type="dxa"/>
              <w:bottom w:w="15" w:type="dxa"/>
              <w:right w:w="15" w:type="dxa"/>
            </w:tcMar>
            <w:vAlign w:val="center"/>
          </w:tcPr>
          <w:p w14:paraId="554DCF02">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必须进行招标的项目而不招标的，将必须进行招标的项目化整为零或者以其他任何方式规避招标的</w:t>
            </w:r>
          </w:p>
        </w:tc>
        <w:tc>
          <w:tcPr>
            <w:tcW w:w="4820" w:type="dxa"/>
            <w:vMerge w:val="restart"/>
            <w:tcBorders>
              <w:tl2br w:val="nil"/>
              <w:tr2bl w:val="nil"/>
            </w:tcBorders>
            <w:tcMar>
              <w:top w:w="15" w:type="dxa"/>
              <w:left w:w="15" w:type="dxa"/>
              <w:bottom w:w="15" w:type="dxa"/>
              <w:right w:w="15" w:type="dxa"/>
            </w:tcMar>
            <w:vAlign w:val="center"/>
          </w:tcPr>
          <w:p w14:paraId="6632DC7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lang w:eastAsia="zh-CN"/>
              </w:rPr>
              <w:t>《中华人民共和国招标投标法》</w:t>
            </w:r>
            <w:r>
              <w:rPr>
                <w:rFonts w:hint="eastAsia" w:ascii="仿宋_GB2312" w:hAnsi="宋体" w:eastAsia="仿宋_GB2312"/>
                <w:b/>
                <w:bCs/>
                <w:color w:val="auto"/>
                <w:kern w:val="0"/>
                <w:sz w:val="13"/>
                <w:szCs w:val="13"/>
                <w:highlight w:val="none"/>
              </w:rPr>
              <w:t>第四十九条</w:t>
            </w:r>
            <w:r>
              <w:rPr>
                <w:rFonts w:hint="eastAsia" w:ascii="仿宋_GB2312" w:hAnsi="宋体" w:eastAsia="仿宋_GB2312"/>
                <w:b/>
                <w:bCs/>
                <w:color w:val="auto"/>
                <w:kern w:val="0"/>
                <w:sz w:val="13"/>
                <w:szCs w:val="13"/>
                <w:highlight w:val="none"/>
                <w:lang w:eastAsia="zh-CN"/>
              </w:rPr>
              <w:t>：</w:t>
            </w:r>
            <w:r>
              <w:rPr>
                <w:rFonts w:hint="eastAsia" w:ascii="仿宋_GB2312" w:hAnsi="宋体" w:eastAsia="仿宋_GB2312"/>
                <w:color w:val="auto"/>
                <w:kern w:val="0"/>
                <w:sz w:val="13"/>
                <w:szCs w:val="13"/>
                <w:highlight w:val="none"/>
              </w:rPr>
              <w:t>必须进行招标的项目而不招标的，将必须进行招标的项目化整为零或者以其他任何方式规避招标的，责令限期改正，可以处项目合同金额千分之五以上千分之十以下的罚款；对全部或者部分使用国有资金的项目，可以暂停项目执行或者暂停资金拨付；对单位直接负责的主管人员和其他直接责任人员依法给予处分。</w:t>
            </w:r>
          </w:p>
          <w:p w14:paraId="1DEDA4E3">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《工程建设项目施工招标投标办法》</w:t>
            </w:r>
            <w:r>
              <w:rPr>
                <w:rFonts w:hint="eastAsia" w:ascii="仿宋_GB2312" w:hAnsi="宋体" w:eastAsia="仿宋_GB2312"/>
                <w:b/>
                <w:bCs/>
                <w:color w:val="auto"/>
                <w:kern w:val="0"/>
                <w:sz w:val="13"/>
                <w:szCs w:val="13"/>
                <w:highlight w:val="none"/>
              </w:rPr>
              <w:t>第六十八条</w:t>
            </w:r>
            <w:r>
              <w:rPr>
                <w:rFonts w:hint="eastAsia" w:ascii="仿宋_GB2312" w:hAnsi="宋体" w:eastAsia="仿宋_GB2312"/>
                <w:b/>
                <w:bCs/>
                <w:color w:val="auto"/>
                <w:kern w:val="0"/>
                <w:sz w:val="13"/>
                <w:szCs w:val="13"/>
                <w:highlight w:val="none"/>
                <w:lang w:eastAsia="zh-CN"/>
              </w:rPr>
              <w:t>：</w:t>
            </w:r>
            <w:r>
              <w:rPr>
                <w:rFonts w:hint="eastAsia" w:ascii="仿宋_GB2312" w:hAnsi="宋体" w:eastAsia="仿宋_GB2312"/>
                <w:color w:val="auto"/>
                <w:kern w:val="0"/>
                <w:sz w:val="13"/>
                <w:szCs w:val="13"/>
                <w:highlight w:val="none"/>
              </w:rPr>
              <w:t>必须进行招标的项目而不招标的，将必须进行招标的项目化整为零或者以其他任何方式规避招标的，有关行政监督部门责令限期改正，可以处项目合同金额千分之五以上千分之十以下的罚款；对全部或者部分使用国有资金的项目，项目审批部门可以暂停项目执行或者暂停资金拨付；对单位直接负责的主管人员和其他直接责任人员依法给予处分。</w:t>
            </w:r>
          </w:p>
        </w:tc>
        <w:tc>
          <w:tcPr>
            <w:tcW w:w="823" w:type="dxa"/>
            <w:tcBorders>
              <w:tl2br w:val="nil"/>
              <w:tr2bl w:val="nil"/>
            </w:tcBorders>
            <w:tcMar>
              <w:top w:w="15" w:type="dxa"/>
              <w:left w:w="15" w:type="dxa"/>
              <w:bottom w:w="15" w:type="dxa"/>
              <w:right w:w="15" w:type="dxa"/>
            </w:tcMar>
            <w:vAlign w:val="center"/>
          </w:tcPr>
          <w:p w14:paraId="55954A9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tcMar>
              <w:top w:w="15" w:type="dxa"/>
              <w:left w:w="15" w:type="dxa"/>
              <w:bottom w:w="15" w:type="dxa"/>
              <w:right w:w="15" w:type="dxa"/>
            </w:tcMar>
            <w:vAlign w:val="center"/>
          </w:tcPr>
          <w:p w14:paraId="43E6F92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项目尚未开工，及时纠正的。</w:t>
            </w:r>
          </w:p>
        </w:tc>
        <w:tc>
          <w:tcPr>
            <w:tcW w:w="3058" w:type="dxa"/>
            <w:tcBorders>
              <w:tl2br w:val="nil"/>
              <w:tr2bl w:val="nil"/>
            </w:tcBorders>
            <w:tcMar>
              <w:top w:w="15" w:type="dxa"/>
              <w:left w:w="15" w:type="dxa"/>
              <w:bottom w:w="15" w:type="dxa"/>
              <w:right w:w="15" w:type="dxa"/>
            </w:tcMar>
            <w:vAlign w:val="center"/>
          </w:tcPr>
          <w:p w14:paraId="5225C81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责令限期改正，可以处项目合同金额千分之五的罚款。</w:t>
            </w:r>
          </w:p>
        </w:tc>
      </w:tr>
      <w:tr w14:paraId="19F8611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9" w:hRule="atLeast"/>
          <w:jc w:val="center"/>
        </w:trPr>
        <w:tc>
          <w:tcPr>
            <w:tcW w:w="443" w:type="dxa"/>
            <w:gridSpan w:val="2"/>
            <w:vMerge w:val="continue"/>
            <w:tcBorders>
              <w:tl2br w:val="nil"/>
              <w:tr2bl w:val="nil"/>
            </w:tcBorders>
            <w:vAlign w:val="center"/>
          </w:tcPr>
          <w:p w14:paraId="34082E0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7AF6BD9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3B9B426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tc>
        <w:tc>
          <w:tcPr>
            <w:tcW w:w="823" w:type="dxa"/>
            <w:tcBorders>
              <w:tl2br w:val="nil"/>
              <w:tr2bl w:val="nil"/>
            </w:tcBorders>
            <w:tcMar>
              <w:top w:w="15" w:type="dxa"/>
              <w:left w:w="15" w:type="dxa"/>
              <w:bottom w:w="15" w:type="dxa"/>
              <w:right w:w="15" w:type="dxa"/>
            </w:tcMar>
            <w:vAlign w:val="center"/>
          </w:tcPr>
          <w:p w14:paraId="666C9B8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一般情节</w:t>
            </w:r>
          </w:p>
        </w:tc>
        <w:tc>
          <w:tcPr>
            <w:tcW w:w="3437" w:type="dxa"/>
            <w:gridSpan w:val="2"/>
            <w:tcBorders>
              <w:tl2br w:val="nil"/>
              <w:tr2bl w:val="nil"/>
            </w:tcBorders>
            <w:tcMar>
              <w:top w:w="15" w:type="dxa"/>
              <w:left w:w="15" w:type="dxa"/>
              <w:bottom w:w="15" w:type="dxa"/>
              <w:right w:w="15" w:type="dxa"/>
            </w:tcMar>
            <w:vAlign w:val="center"/>
          </w:tcPr>
          <w:p w14:paraId="64B0F0F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项目已经开工，及时纠正的。</w:t>
            </w:r>
          </w:p>
        </w:tc>
        <w:tc>
          <w:tcPr>
            <w:tcW w:w="3058" w:type="dxa"/>
            <w:tcBorders>
              <w:tl2br w:val="nil"/>
              <w:tr2bl w:val="nil"/>
            </w:tcBorders>
            <w:tcMar>
              <w:top w:w="15" w:type="dxa"/>
              <w:left w:w="15" w:type="dxa"/>
              <w:bottom w:w="15" w:type="dxa"/>
              <w:right w:w="15" w:type="dxa"/>
            </w:tcMar>
            <w:vAlign w:val="center"/>
          </w:tcPr>
          <w:p w14:paraId="2F8FF09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责令限期改正，可以处项目合同金额千分之五以上千分之七以下的罚款。</w:t>
            </w:r>
          </w:p>
        </w:tc>
      </w:tr>
      <w:tr w14:paraId="451A22F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9" w:hRule="atLeast"/>
          <w:jc w:val="center"/>
        </w:trPr>
        <w:tc>
          <w:tcPr>
            <w:tcW w:w="443" w:type="dxa"/>
            <w:gridSpan w:val="2"/>
            <w:vMerge w:val="continue"/>
            <w:tcBorders>
              <w:tl2br w:val="nil"/>
              <w:tr2bl w:val="nil"/>
            </w:tcBorders>
            <w:vAlign w:val="center"/>
          </w:tcPr>
          <w:p w14:paraId="2597D78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26100B8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60FBFD9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tc>
        <w:tc>
          <w:tcPr>
            <w:tcW w:w="823" w:type="dxa"/>
            <w:vMerge w:val="restart"/>
            <w:tcBorders>
              <w:tl2br w:val="nil"/>
              <w:tr2bl w:val="nil"/>
            </w:tcBorders>
            <w:tcMar>
              <w:top w:w="15" w:type="dxa"/>
              <w:left w:w="15" w:type="dxa"/>
              <w:bottom w:w="15" w:type="dxa"/>
              <w:right w:w="15" w:type="dxa"/>
            </w:tcMar>
            <w:vAlign w:val="center"/>
          </w:tcPr>
          <w:p w14:paraId="79FD663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从重情节</w:t>
            </w:r>
          </w:p>
        </w:tc>
        <w:tc>
          <w:tcPr>
            <w:tcW w:w="3437" w:type="dxa"/>
            <w:gridSpan w:val="2"/>
            <w:tcBorders>
              <w:tl2br w:val="nil"/>
              <w:tr2bl w:val="nil"/>
            </w:tcBorders>
            <w:tcMar>
              <w:top w:w="15" w:type="dxa"/>
              <w:left w:w="15" w:type="dxa"/>
              <w:bottom w:w="15" w:type="dxa"/>
              <w:right w:w="15" w:type="dxa"/>
            </w:tcMar>
            <w:vAlign w:val="center"/>
          </w:tcPr>
          <w:p w14:paraId="374469F6">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（1）逾期未改正，未造成严重后果的。</w:t>
            </w:r>
          </w:p>
        </w:tc>
        <w:tc>
          <w:tcPr>
            <w:tcW w:w="3058" w:type="dxa"/>
            <w:tcBorders>
              <w:tl2br w:val="nil"/>
              <w:tr2bl w:val="nil"/>
            </w:tcBorders>
            <w:tcMar>
              <w:top w:w="15" w:type="dxa"/>
              <w:left w:w="15" w:type="dxa"/>
              <w:bottom w:w="15" w:type="dxa"/>
              <w:right w:w="15" w:type="dxa"/>
            </w:tcMar>
            <w:vAlign w:val="center"/>
          </w:tcPr>
          <w:p w14:paraId="02B5215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责令限期改正，可以处项目合同金额千分之七以上千分之九以下的罚款。</w:t>
            </w:r>
          </w:p>
        </w:tc>
      </w:tr>
      <w:tr w14:paraId="77CD261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783" w:hRule="atLeast"/>
          <w:jc w:val="center"/>
        </w:trPr>
        <w:tc>
          <w:tcPr>
            <w:tcW w:w="443" w:type="dxa"/>
            <w:gridSpan w:val="2"/>
            <w:vMerge w:val="continue"/>
            <w:tcBorders>
              <w:tl2br w:val="nil"/>
              <w:tr2bl w:val="nil"/>
            </w:tcBorders>
            <w:vAlign w:val="center"/>
          </w:tcPr>
          <w:p w14:paraId="0B3F04E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4FC6D5B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2E7EF83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tc>
        <w:tc>
          <w:tcPr>
            <w:tcW w:w="823" w:type="dxa"/>
            <w:vMerge w:val="continue"/>
            <w:tcBorders>
              <w:tl2br w:val="nil"/>
              <w:tr2bl w:val="nil"/>
            </w:tcBorders>
            <w:tcMar>
              <w:top w:w="15" w:type="dxa"/>
              <w:left w:w="15" w:type="dxa"/>
              <w:bottom w:w="15" w:type="dxa"/>
              <w:right w:w="15" w:type="dxa"/>
            </w:tcMar>
            <w:vAlign w:val="center"/>
          </w:tcPr>
          <w:p w14:paraId="74D806C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olor w:val="auto"/>
                <w:kern w:val="0"/>
                <w:sz w:val="13"/>
                <w:szCs w:val="13"/>
                <w:highlight w:val="none"/>
              </w:rPr>
            </w:pPr>
          </w:p>
        </w:tc>
        <w:tc>
          <w:tcPr>
            <w:tcW w:w="3437" w:type="dxa"/>
            <w:gridSpan w:val="2"/>
            <w:tcBorders>
              <w:tl2br w:val="nil"/>
              <w:tr2bl w:val="nil"/>
            </w:tcBorders>
            <w:tcMar>
              <w:top w:w="15" w:type="dxa"/>
              <w:left w:w="15" w:type="dxa"/>
              <w:bottom w:w="15" w:type="dxa"/>
              <w:right w:w="15" w:type="dxa"/>
            </w:tcMar>
            <w:vAlign w:val="center"/>
          </w:tcPr>
          <w:p w14:paraId="6CDC6ECB">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（2）逾期未改正，造成严重后果的。</w:t>
            </w:r>
          </w:p>
        </w:tc>
        <w:tc>
          <w:tcPr>
            <w:tcW w:w="3058" w:type="dxa"/>
            <w:tcBorders>
              <w:tl2br w:val="nil"/>
              <w:tr2bl w:val="nil"/>
            </w:tcBorders>
            <w:tcMar>
              <w:top w:w="15" w:type="dxa"/>
              <w:left w:w="15" w:type="dxa"/>
              <w:bottom w:w="15" w:type="dxa"/>
              <w:right w:w="15" w:type="dxa"/>
            </w:tcMar>
            <w:vAlign w:val="center"/>
          </w:tcPr>
          <w:p w14:paraId="4431EA5A">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责令限期改正，可以处项目合同金额千分之九以上千分之十以下的罚款。</w:t>
            </w:r>
          </w:p>
          <w:p w14:paraId="64429A43">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r>
      <w:tr w14:paraId="181735B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756" w:hRule="atLeast"/>
          <w:jc w:val="center"/>
        </w:trPr>
        <w:tc>
          <w:tcPr>
            <w:tcW w:w="443" w:type="dxa"/>
            <w:gridSpan w:val="2"/>
            <w:vMerge w:val="restart"/>
            <w:tcBorders>
              <w:tl2br w:val="nil"/>
              <w:tr2bl w:val="nil"/>
            </w:tcBorders>
            <w:tcMar>
              <w:top w:w="15" w:type="dxa"/>
              <w:left w:w="15" w:type="dxa"/>
              <w:bottom w:w="15" w:type="dxa"/>
              <w:right w:w="15" w:type="dxa"/>
            </w:tcMar>
            <w:vAlign w:val="center"/>
          </w:tcPr>
          <w:p w14:paraId="061B648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color w:val="auto"/>
                <w:sz w:val="13"/>
                <w:szCs w:val="13"/>
                <w:highlight w:val="none"/>
              </w:rPr>
            </w:pPr>
            <w:r>
              <w:rPr>
                <w:rFonts w:hint="eastAsia" w:ascii="仿宋_GB2312" w:hAnsi="宋体" w:eastAsia="仿宋_GB2312" w:cs="Times New Roman"/>
                <w:color w:val="auto"/>
                <w:kern w:val="0"/>
                <w:sz w:val="13"/>
                <w:szCs w:val="13"/>
                <w:highlight w:val="none"/>
              </w:rPr>
              <w:t>2</w:t>
            </w:r>
          </w:p>
        </w:tc>
        <w:tc>
          <w:tcPr>
            <w:tcW w:w="1550" w:type="dxa"/>
            <w:vMerge w:val="restart"/>
            <w:tcBorders>
              <w:tl2br w:val="nil"/>
              <w:tr2bl w:val="nil"/>
            </w:tcBorders>
            <w:tcMar>
              <w:top w:w="15" w:type="dxa"/>
              <w:left w:w="15" w:type="dxa"/>
              <w:bottom w:w="15" w:type="dxa"/>
              <w:right w:w="15" w:type="dxa"/>
            </w:tcMar>
            <w:vAlign w:val="center"/>
          </w:tcPr>
          <w:p w14:paraId="1F69D5D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招标代理机构泄露应当保密的与招标投标活动有关的情况和资料的，或者与招标人、投标人串通损害国家利益、社会公共利益或者他人合法权益的</w:t>
            </w:r>
          </w:p>
        </w:tc>
        <w:tc>
          <w:tcPr>
            <w:tcW w:w="4820" w:type="dxa"/>
            <w:vMerge w:val="restart"/>
            <w:tcBorders>
              <w:tl2br w:val="nil"/>
              <w:tr2bl w:val="nil"/>
            </w:tcBorders>
            <w:tcMar>
              <w:top w:w="15" w:type="dxa"/>
              <w:left w:w="15" w:type="dxa"/>
              <w:bottom w:w="15" w:type="dxa"/>
              <w:right w:w="15" w:type="dxa"/>
            </w:tcMar>
            <w:vAlign w:val="center"/>
          </w:tcPr>
          <w:p w14:paraId="394E67C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lang w:eastAsia="zh-CN"/>
              </w:rPr>
              <w:t>《中华人民共和国招标投标法》</w:t>
            </w:r>
            <w:r>
              <w:rPr>
                <w:rFonts w:hint="eastAsia" w:ascii="仿宋_GB2312" w:hAnsi="宋体" w:eastAsia="仿宋_GB2312"/>
                <w:b/>
                <w:bCs/>
                <w:color w:val="auto"/>
                <w:kern w:val="0"/>
                <w:sz w:val="13"/>
                <w:szCs w:val="13"/>
                <w:highlight w:val="none"/>
              </w:rPr>
              <w:t>第五十条</w:t>
            </w:r>
            <w:r>
              <w:rPr>
                <w:rFonts w:hint="eastAsia" w:ascii="仿宋_GB2312" w:hAnsi="宋体" w:eastAsia="仿宋_GB2312"/>
                <w:b/>
                <w:bCs/>
                <w:color w:val="auto"/>
                <w:kern w:val="0"/>
                <w:sz w:val="13"/>
                <w:szCs w:val="13"/>
                <w:highlight w:val="none"/>
                <w:lang w:eastAsia="zh-CN"/>
              </w:rPr>
              <w:t>：</w:t>
            </w:r>
            <w:r>
              <w:rPr>
                <w:rFonts w:hint="eastAsia" w:ascii="仿宋_GB2312" w:hAnsi="宋体" w:eastAsia="仿宋_GB2312"/>
                <w:color w:val="auto"/>
                <w:kern w:val="0"/>
                <w:sz w:val="13"/>
                <w:szCs w:val="13"/>
                <w:highlight w:val="none"/>
              </w:rPr>
              <w:t>招标代理机构违反本法规定，泄露应当保密的与招标投标活动有关的情况和资料的，或者与招标人、投标人串通损害国家利益、社会公共利益或者他人合法权益的，处五万元以上二十五万元以下的罚款，对单位直接负责的主管人员和其他直接责任人员处单位罚款数额百分之五以上百分之十以下的罚款；有违法所得的，并处没收违法所得；情节严重的，禁止其一年至二年内代理依法必须进行招标的项目并予以公告，直至由工商行政管理机关吊销营业执照；构成犯罪的，依法追究刑事责任。给他人造成损失的，依法承担赔偿责任。</w:t>
            </w:r>
          </w:p>
          <w:p w14:paraId="50D3C7C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0" w:firstLineChars="2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前款所列行为影响中标结果的，中标无效。</w:t>
            </w:r>
          </w:p>
        </w:tc>
        <w:tc>
          <w:tcPr>
            <w:tcW w:w="823" w:type="dxa"/>
            <w:tcBorders>
              <w:tl2br w:val="nil"/>
              <w:tr2bl w:val="nil"/>
            </w:tcBorders>
            <w:tcMar>
              <w:top w:w="15" w:type="dxa"/>
              <w:left w:w="15" w:type="dxa"/>
              <w:bottom w:w="15" w:type="dxa"/>
              <w:right w:w="15" w:type="dxa"/>
            </w:tcMar>
            <w:vAlign w:val="center"/>
          </w:tcPr>
          <w:p w14:paraId="6379620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tcMar>
              <w:top w:w="15" w:type="dxa"/>
              <w:left w:w="15" w:type="dxa"/>
              <w:bottom w:w="15" w:type="dxa"/>
              <w:right w:w="15" w:type="dxa"/>
            </w:tcMar>
            <w:vAlign w:val="center"/>
          </w:tcPr>
          <w:p w14:paraId="5C61113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未影响中标结果的。</w:t>
            </w:r>
          </w:p>
        </w:tc>
        <w:tc>
          <w:tcPr>
            <w:tcW w:w="3058" w:type="dxa"/>
            <w:tcBorders>
              <w:tl2br w:val="nil"/>
              <w:tr2bl w:val="nil"/>
            </w:tcBorders>
            <w:tcMar>
              <w:top w:w="15" w:type="dxa"/>
              <w:left w:w="15" w:type="dxa"/>
              <w:bottom w:w="15" w:type="dxa"/>
              <w:right w:w="15" w:type="dxa"/>
            </w:tcMar>
            <w:vAlign w:val="center"/>
          </w:tcPr>
          <w:p w14:paraId="42E2ED6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对招标代理机构处五万元的罚款，对单位直接负责的主管人员和其他直接责任人员处单位罚款金额的百分之五的罚款；有违法所得的，并处没收违法所得。</w:t>
            </w:r>
          </w:p>
        </w:tc>
      </w:tr>
      <w:tr w14:paraId="5815509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713" w:hRule="atLeast"/>
          <w:jc w:val="center"/>
        </w:trPr>
        <w:tc>
          <w:tcPr>
            <w:tcW w:w="443" w:type="dxa"/>
            <w:gridSpan w:val="2"/>
            <w:vMerge w:val="continue"/>
            <w:tcBorders>
              <w:tl2br w:val="nil"/>
              <w:tr2bl w:val="nil"/>
            </w:tcBorders>
            <w:vAlign w:val="center"/>
          </w:tcPr>
          <w:p w14:paraId="2B0D4AE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3BD398F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33FA1C7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tc>
        <w:tc>
          <w:tcPr>
            <w:tcW w:w="823" w:type="dxa"/>
            <w:tcBorders>
              <w:tl2br w:val="nil"/>
              <w:tr2bl w:val="nil"/>
            </w:tcBorders>
            <w:tcMar>
              <w:top w:w="15" w:type="dxa"/>
              <w:left w:w="15" w:type="dxa"/>
              <w:bottom w:w="15" w:type="dxa"/>
              <w:right w:w="15" w:type="dxa"/>
            </w:tcMar>
            <w:vAlign w:val="center"/>
          </w:tcPr>
          <w:p w14:paraId="1C18E31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一般情节</w:t>
            </w:r>
          </w:p>
        </w:tc>
        <w:tc>
          <w:tcPr>
            <w:tcW w:w="3437" w:type="dxa"/>
            <w:gridSpan w:val="2"/>
            <w:tcBorders>
              <w:tl2br w:val="nil"/>
              <w:tr2bl w:val="nil"/>
            </w:tcBorders>
            <w:tcMar>
              <w:top w:w="15" w:type="dxa"/>
              <w:left w:w="15" w:type="dxa"/>
              <w:bottom w:w="15" w:type="dxa"/>
              <w:right w:w="15" w:type="dxa"/>
            </w:tcMar>
            <w:vAlign w:val="center"/>
          </w:tcPr>
          <w:p w14:paraId="3F7803B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影响中标结果，但中标人不是该违法行为的受益人的。</w:t>
            </w:r>
          </w:p>
        </w:tc>
        <w:tc>
          <w:tcPr>
            <w:tcW w:w="3058" w:type="dxa"/>
            <w:tcBorders>
              <w:tl2br w:val="nil"/>
              <w:tr2bl w:val="nil"/>
            </w:tcBorders>
            <w:tcMar>
              <w:top w:w="15" w:type="dxa"/>
              <w:left w:w="15" w:type="dxa"/>
              <w:bottom w:w="15" w:type="dxa"/>
              <w:right w:w="15" w:type="dxa"/>
            </w:tcMar>
            <w:vAlign w:val="center"/>
          </w:tcPr>
          <w:p w14:paraId="7A0A461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中标无效;对招标代理机构处五万元以上十万元以下的罚款，对单位直接负责的主管人员和其他直接责任人员处单位罚款金额的百分之五以上百分之七点五以下的罚款；有违法所得的，并处没收违法所得。</w:t>
            </w:r>
          </w:p>
        </w:tc>
      </w:tr>
      <w:tr w14:paraId="0F3450A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030" w:hRule="atLeast"/>
          <w:jc w:val="center"/>
        </w:trPr>
        <w:tc>
          <w:tcPr>
            <w:tcW w:w="443" w:type="dxa"/>
            <w:gridSpan w:val="2"/>
            <w:vMerge w:val="continue"/>
            <w:tcBorders>
              <w:tl2br w:val="nil"/>
              <w:tr2bl w:val="nil"/>
            </w:tcBorders>
            <w:vAlign w:val="center"/>
          </w:tcPr>
          <w:p w14:paraId="48AD6AC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67F26CA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0BF39AF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tc>
        <w:tc>
          <w:tcPr>
            <w:tcW w:w="823" w:type="dxa"/>
            <w:vMerge w:val="restart"/>
            <w:tcBorders>
              <w:tl2br w:val="nil"/>
              <w:tr2bl w:val="nil"/>
            </w:tcBorders>
            <w:tcMar>
              <w:top w:w="15" w:type="dxa"/>
              <w:left w:w="15" w:type="dxa"/>
              <w:bottom w:w="15" w:type="dxa"/>
              <w:right w:w="15" w:type="dxa"/>
            </w:tcMar>
            <w:vAlign w:val="center"/>
          </w:tcPr>
          <w:p w14:paraId="0901862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从重情节</w:t>
            </w:r>
          </w:p>
        </w:tc>
        <w:tc>
          <w:tcPr>
            <w:tcW w:w="3437" w:type="dxa"/>
            <w:gridSpan w:val="2"/>
            <w:tcBorders>
              <w:tl2br w:val="nil"/>
              <w:tr2bl w:val="nil"/>
            </w:tcBorders>
            <w:tcMar>
              <w:top w:w="15" w:type="dxa"/>
              <w:left w:w="15" w:type="dxa"/>
              <w:bottom w:w="15" w:type="dxa"/>
              <w:right w:w="15" w:type="dxa"/>
            </w:tcMar>
            <w:vAlign w:val="center"/>
          </w:tcPr>
          <w:p w14:paraId="2EB1A2B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（1）影响中标结果，且中标人为该违法行为的受益人，但未对国家或社会公共利益造成重大损失或严重后果的。</w:t>
            </w:r>
          </w:p>
        </w:tc>
        <w:tc>
          <w:tcPr>
            <w:tcW w:w="3058" w:type="dxa"/>
            <w:tcBorders>
              <w:tl2br w:val="nil"/>
              <w:tr2bl w:val="nil"/>
            </w:tcBorders>
            <w:tcMar>
              <w:top w:w="15" w:type="dxa"/>
              <w:left w:w="15" w:type="dxa"/>
              <w:bottom w:w="15" w:type="dxa"/>
              <w:right w:w="15" w:type="dxa"/>
            </w:tcMar>
            <w:vAlign w:val="center"/>
          </w:tcPr>
          <w:p w14:paraId="3F0F226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中标无效；对招标代理机构处十万元以上二十万元以下的罚款，对单位直接负责的主管人员和其他直接责任人员处单位罚款金额百分之七点五以上百分之八点五以下的罚款；有违法所得的，并处没收违法所得。</w:t>
            </w:r>
          </w:p>
        </w:tc>
      </w:tr>
      <w:tr w14:paraId="15FD26A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280" w:hRule="atLeast"/>
          <w:jc w:val="center"/>
        </w:trPr>
        <w:tc>
          <w:tcPr>
            <w:tcW w:w="443" w:type="dxa"/>
            <w:gridSpan w:val="2"/>
            <w:vMerge w:val="continue"/>
            <w:tcBorders>
              <w:tl2br w:val="nil"/>
              <w:tr2bl w:val="nil"/>
            </w:tcBorders>
            <w:vAlign w:val="center"/>
          </w:tcPr>
          <w:p w14:paraId="63DF8F6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6287DE1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59A8AA9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tc>
        <w:tc>
          <w:tcPr>
            <w:tcW w:w="823" w:type="dxa"/>
            <w:vMerge w:val="continue"/>
            <w:tcBorders>
              <w:tl2br w:val="nil"/>
              <w:tr2bl w:val="nil"/>
            </w:tcBorders>
            <w:tcMar>
              <w:top w:w="15" w:type="dxa"/>
              <w:left w:w="15" w:type="dxa"/>
              <w:bottom w:w="15" w:type="dxa"/>
              <w:right w:w="15" w:type="dxa"/>
            </w:tcMar>
            <w:vAlign w:val="center"/>
          </w:tcPr>
          <w:p w14:paraId="79D7AE1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olor w:val="auto"/>
                <w:kern w:val="0"/>
                <w:sz w:val="13"/>
                <w:szCs w:val="13"/>
                <w:highlight w:val="none"/>
              </w:rPr>
            </w:pPr>
          </w:p>
        </w:tc>
        <w:tc>
          <w:tcPr>
            <w:tcW w:w="3437" w:type="dxa"/>
            <w:gridSpan w:val="2"/>
            <w:tcBorders>
              <w:tl2br w:val="nil"/>
              <w:tr2bl w:val="nil"/>
            </w:tcBorders>
            <w:tcMar>
              <w:top w:w="15" w:type="dxa"/>
              <w:left w:w="15" w:type="dxa"/>
              <w:bottom w:w="15" w:type="dxa"/>
              <w:right w:w="15" w:type="dxa"/>
            </w:tcMar>
            <w:vAlign w:val="center"/>
          </w:tcPr>
          <w:p w14:paraId="4FC4888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p w14:paraId="20FB45F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（2）影响中标结果，且中标人为该违法行为的受益人的，且对国家利益、社会公共利益或者他人合法权益造成重大损失，造成重大后果，情节严重的。</w:t>
            </w:r>
          </w:p>
        </w:tc>
        <w:tc>
          <w:tcPr>
            <w:tcW w:w="3058" w:type="dxa"/>
            <w:tcBorders>
              <w:tl2br w:val="nil"/>
              <w:tr2bl w:val="nil"/>
            </w:tcBorders>
            <w:tcMar>
              <w:top w:w="15" w:type="dxa"/>
              <w:left w:w="15" w:type="dxa"/>
              <w:bottom w:w="15" w:type="dxa"/>
              <w:right w:w="15" w:type="dxa"/>
            </w:tcMar>
            <w:vAlign w:val="center"/>
          </w:tcPr>
          <w:p w14:paraId="14A3ED0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中标无效;对招标代理机构处二十万元以上二十五万元以下的罚款，对单位直接负责的主管人员和其他直接责任人员处单位罚款金额百分之八点五以上百分之十以下的罚款；有违法所得的，并处没收违法所得；禁止其一年至二年内代理依法必须进行招标的项目并予以公告。</w:t>
            </w:r>
          </w:p>
        </w:tc>
      </w:tr>
      <w:tr w14:paraId="1346E91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94" w:hRule="atLeast"/>
          <w:jc w:val="center"/>
        </w:trPr>
        <w:tc>
          <w:tcPr>
            <w:tcW w:w="443" w:type="dxa"/>
            <w:gridSpan w:val="2"/>
            <w:vMerge w:val="restart"/>
            <w:tcBorders>
              <w:tl2br w:val="nil"/>
              <w:tr2bl w:val="nil"/>
            </w:tcBorders>
            <w:vAlign w:val="center"/>
          </w:tcPr>
          <w:p w14:paraId="64D6DB3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Times New Roman"/>
                <w:color w:val="auto"/>
                <w:sz w:val="13"/>
                <w:szCs w:val="13"/>
                <w:highlight w:val="none"/>
              </w:rPr>
            </w:pPr>
          </w:p>
          <w:p w14:paraId="3758EE0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color w:val="auto"/>
                <w:sz w:val="13"/>
                <w:szCs w:val="13"/>
                <w:highlight w:val="none"/>
              </w:rPr>
            </w:pPr>
            <w:r>
              <w:rPr>
                <w:rFonts w:hint="eastAsia" w:ascii="仿宋_GB2312" w:hAnsi="宋体" w:eastAsia="仿宋_GB2312" w:cs="Times New Roman"/>
                <w:color w:val="auto"/>
                <w:kern w:val="0"/>
                <w:sz w:val="13"/>
                <w:szCs w:val="13"/>
                <w:highlight w:val="none"/>
              </w:rPr>
              <w:t>3</w:t>
            </w:r>
          </w:p>
        </w:tc>
        <w:tc>
          <w:tcPr>
            <w:tcW w:w="1550" w:type="dxa"/>
            <w:vMerge w:val="restart"/>
            <w:tcBorders>
              <w:tl2br w:val="nil"/>
              <w:tr2bl w:val="nil"/>
            </w:tcBorders>
            <w:vAlign w:val="center"/>
          </w:tcPr>
          <w:p w14:paraId="1056925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招标人以不合理的条件限制或者排斥潜在投标人的，对潜在投标人实行歧视待遇的，强制要求投标人组成联合体共同投标的，或者限制投标人之间竞争的</w:t>
            </w:r>
          </w:p>
        </w:tc>
        <w:tc>
          <w:tcPr>
            <w:tcW w:w="4820" w:type="dxa"/>
            <w:vMerge w:val="restart"/>
            <w:tcBorders>
              <w:tl2br w:val="nil"/>
              <w:tr2bl w:val="nil"/>
            </w:tcBorders>
            <w:vAlign w:val="center"/>
          </w:tcPr>
          <w:p w14:paraId="2283018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lang w:eastAsia="zh-CN"/>
              </w:rPr>
              <w:t>《中华人民共和国招标投标法》</w:t>
            </w:r>
            <w:r>
              <w:rPr>
                <w:rFonts w:hint="eastAsia" w:ascii="仿宋_GB2312" w:hAnsi="宋体" w:eastAsia="仿宋_GB2312"/>
                <w:b/>
                <w:bCs/>
                <w:color w:val="auto"/>
                <w:kern w:val="0"/>
                <w:sz w:val="13"/>
                <w:szCs w:val="13"/>
                <w:highlight w:val="none"/>
              </w:rPr>
              <w:t>第五十一条</w:t>
            </w:r>
            <w:r>
              <w:rPr>
                <w:rFonts w:hint="eastAsia" w:ascii="仿宋_GB2312" w:hAnsi="宋体" w:eastAsia="仿宋_GB2312"/>
                <w:b/>
                <w:bCs/>
                <w:color w:val="auto"/>
                <w:kern w:val="0"/>
                <w:sz w:val="13"/>
                <w:szCs w:val="13"/>
                <w:highlight w:val="none"/>
                <w:lang w:eastAsia="zh-CN"/>
              </w:rPr>
              <w:t>：</w:t>
            </w:r>
            <w:r>
              <w:rPr>
                <w:rFonts w:hint="eastAsia" w:ascii="仿宋_GB2312" w:hAnsi="宋体" w:eastAsia="仿宋_GB2312"/>
                <w:color w:val="auto"/>
                <w:kern w:val="0"/>
                <w:sz w:val="13"/>
                <w:szCs w:val="13"/>
                <w:highlight w:val="none"/>
              </w:rPr>
              <w:t>招标人以不合理的条件限制或者排斥潜在投标人的，对潜在投标人实行歧视待遇的，强制要求投标人组成联合体共同投标的，或者限制投标人之间竞争的，责令改正，可以处一万元以上五万元以下的罚款。</w:t>
            </w:r>
          </w:p>
        </w:tc>
        <w:tc>
          <w:tcPr>
            <w:tcW w:w="823" w:type="dxa"/>
            <w:tcBorders>
              <w:tl2br w:val="nil"/>
              <w:tr2bl w:val="nil"/>
            </w:tcBorders>
            <w:tcMar>
              <w:top w:w="15" w:type="dxa"/>
              <w:left w:w="15" w:type="dxa"/>
              <w:bottom w:w="15" w:type="dxa"/>
              <w:right w:w="15" w:type="dxa"/>
            </w:tcMar>
            <w:vAlign w:val="center"/>
          </w:tcPr>
          <w:p w14:paraId="116B127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tcMar>
              <w:top w:w="15" w:type="dxa"/>
              <w:left w:w="15" w:type="dxa"/>
              <w:bottom w:w="15" w:type="dxa"/>
              <w:right w:w="15" w:type="dxa"/>
            </w:tcMar>
            <w:vAlign w:val="center"/>
          </w:tcPr>
          <w:p w14:paraId="31E12871">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已发出邀请招标文件，但尚未组织评标。</w:t>
            </w:r>
          </w:p>
        </w:tc>
        <w:tc>
          <w:tcPr>
            <w:tcW w:w="3058" w:type="dxa"/>
            <w:tcBorders>
              <w:tl2br w:val="nil"/>
              <w:tr2bl w:val="nil"/>
            </w:tcBorders>
            <w:tcMar>
              <w:top w:w="15" w:type="dxa"/>
              <w:left w:w="15" w:type="dxa"/>
              <w:bottom w:w="15" w:type="dxa"/>
              <w:right w:w="15" w:type="dxa"/>
            </w:tcMar>
            <w:vAlign w:val="center"/>
          </w:tcPr>
          <w:p w14:paraId="3C81851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责令改正，可以处一万元以上两万元以下的罚款。</w:t>
            </w:r>
          </w:p>
        </w:tc>
      </w:tr>
      <w:tr w14:paraId="2BF1BCE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480" w:hRule="atLeast"/>
          <w:jc w:val="center"/>
        </w:trPr>
        <w:tc>
          <w:tcPr>
            <w:tcW w:w="443" w:type="dxa"/>
            <w:gridSpan w:val="2"/>
            <w:vMerge w:val="continue"/>
            <w:tcBorders>
              <w:tl2br w:val="nil"/>
              <w:tr2bl w:val="nil"/>
            </w:tcBorders>
            <w:vAlign w:val="center"/>
          </w:tcPr>
          <w:p w14:paraId="7A0F3E8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Times New Roman" w:hAnsi="Times New Roman" w:eastAsia="宋体" w:cs="Times New Roman"/>
                <w:color w:val="auto"/>
                <w:sz w:val="13"/>
                <w:szCs w:val="13"/>
                <w:highlight w:val="none"/>
              </w:rPr>
            </w:pPr>
          </w:p>
        </w:tc>
        <w:tc>
          <w:tcPr>
            <w:tcW w:w="1550" w:type="dxa"/>
            <w:vMerge w:val="continue"/>
            <w:tcBorders>
              <w:tl2br w:val="nil"/>
              <w:tr2bl w:val="nil"/>
            </w:tcBorders>
            <w:vAlign w:val="center"/>
          </w:tcPr>
          <w:p w14:paraId="3457281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3883A59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823" w:type="dxa"/>
            <w:tcBorders>
              <w:tl2br w:val="nil"/>
              <w:tr2bl w:val="nil"/>
            </w:tcBorders>
            <w:tcMar>
              <w:top w:w="15" w:type="dxa"/>
              <w:left w:w="15" w:type="dxa"/>
              <w:bottom w:w="15" w:type="dxa"/>
              <w:right w:w="15" w:type="dxa"/>
            </w:tcMar>
            <w:vAlign w:val="center"/>
          </w:tcPr>
          <w:p w14:paraId="74A258F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一般情节</w:t>
            </w:r>
          </w:p>
        </w:tc>
        <w:tc>
          <w:tcPr>
            <w:tcW w:w="3437" w:type="dxa"/>
            <w:gridSpan w:val="2"/>
            <w:tcBorders>
              <w:tl2br w:val="nil"/>
              <w:tr2bl w:val="nil"/>
            </w:tcBorders>
            <w:tcMar>
              <w:top w:w="15" w:type="dxa"/>
              <w:left w:w="15" w:type="dxa"/>
              <w:bottom w:w="15" w:type="dxa"/>
              <w:right w:w="15" w:type="dxa"/>
            </w:tcMar>
            <w:vAlign w:val="center"/>
          </w:tcPr>
          <w:p w14:paraId="17DB1066">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已组织评标或者签订合同，但未履行合同约定事项。</w:t>
            </w:r>
          </w:p>
        </w:tc>
        <w:tc>
          <w:tcPr>
            <w:tcW w:w="3058" w:type="dxa"/>
            <w:tcBorders>
              <w:tl2br w:val="nil"/>
              <w:tr2bl w:val="nil"/>
            </w:tcBorders>
            <w:tcMar>
              <w:top w:w="15" w:type="dxa"/>
              <w:left w:w="15" w:type="dxa"/>
              <w:bottom w:w="15" w:type="dxa"/>
              <w:right w:w="15" w:type="dxa"/>
            </w:tcMar>
            <w:vAlign w:val="center"/>
          </w:tcPr>
          <w:p w14:paraId="0E927E8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责令改正，可以处二万元以上四万元以下的罚款。</w:t>
            </w:r>
          </w:p>
        </w:tc>
      </w:tr>
      <w:tr w14:paraId="52711FE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430" w:hRule="atLeast"/>
          <w:jc w:val="center"/>
        </w:trPr>
        <w:tc>
          <w:tcPr>
            <w:tcW w:w="443" w:type="dxa"/>
            <w:gridSpan w:val="2"/>
            <w:vMerge w:val="continue"/>
            <w:tcBorders>
              <w:tl2br w:val="nil"/>
              <w:tr2bl w:val="nil"/>
            </w:tcBorders>
            <w:vAlign w:val="center"/>
          </w:tcPr>
          <w:p w14:paraId="69EE4F5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color w:val="auto"/>
                <w:kern w:val="0"/>
                <w:sz w:val="13"/>
                <w:szCs w:val="13"/>
                <w:highlight w:val="none"/>
              </w:rPr>
            </w:pPr>
          </w:p>
        </w:tc>
        <w:tc>
          <w:tcPr>
            <w:tcW w:w="1550" w:type="dxa"/>
            <w:vMerge w:val="continue"/>
            <w:tcBorders>
              <w:tl2br w:val="nil"/>
              <w:tr2bl w:val="nil"/>
            </w:tcBorders>
            <w:vAlign w:val="center"/>
          </w:tcPr>
          <w:p w14:paraId="04CC196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30A7509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823" w:type="dxa"/>
            <w:tcBorders>
              <w:tl2br w:val="nil"/>
              <w:tr2bl w:val="nil"/>
            </w:tcBorders>
            <w:tcMar>
              <w:top w:w="15" w:type="dxa"/>
              <w:left w:w="15" w:type="dxa"/>
              <w:bottom w:w="15" w:type="dxa"/>
              <w:right w:w="15" w:type="dxa"/>
            </w:tcMar>
            <w:vAlign w:val="center"/>
          </w:tcPr>
          <w:p w14:paraId="4F92656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从重情节</w:t>
            </w:r>
          </w:p>
        </w:tc>
        <w:tc>
          <w:tcPr>
            <w:tcW w:w="3437" w:type="dxa"/>
            <w:gridSpan w:val="2"/>
            <w:tcBorders>
              <w:tl2br w:val="nil"/>
              <w:tr2bl w:val="nil"/>
            </w:tcBorders>
            <w:tcMar>
              <w:top w:w="15" w:type="dxa"/>
              <w:left w:w="15" w:type="dxa"/>
              <w:bottom w:w="15" w:type="dxa"/>
              <w:right w:w="15" w:type="dxa"/>
            </w:tcMar>
            <w:vAlign w:val="center"/>
          </w:tcPr>
          <w:p w14:paraId="596C2F85">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履行合同约定事项</w:t>
            </w:r>
            <w:r>
              <w:rPr>
                <w:rFonts w:hint="eastAsia" w:ascii="仿宋_GB2312" w:hAnsi="宋体" w:eastAsia="仿宋_GB2312"/>
                <w:color w:val="auto"/>
                <w:kern w:val="0"/>
                <w:sz w:val="13"/>
                <w:szCs w:val="13"/>
                <w:highlight w:val="none"/>
                <w:lang w:eastAsia="zh-CN"/>
              </w:rPr>
              <w:t>，</w:t>
            </w:r>
            <w:r>
              <w:rPr>
                <w:rFonts w:hint="eastAsia" w:ascii="仿宋_GB2312" w:hAnsi="宋体" w:eastAsia="仿宋_GB2312"/>
                <w:color w:val="auto"/>
                <w:kern w:val="0"/>
                <w:sz w:val="13"/>
                <w:szCs w:val="13"/>
                <w:highlight w:val="none"/>
                <w:lang w:val="en-US" w:eastAsia="zh-CN"/>
              </w:rPr>
              <w:t>或</w:t>
            </w:r>
            <w:r>
              <w:rPr>
                <w:rFonts w:hint="eastAsia" w:ascii="仿宋_GB2312" w:hAnsi="宋体" w:eastAsia="仿宋_GB2312"/>
                <w:color w:val="auto"/>
                <w:kern w:val="0"/>
                <w:sz w:val="13"/>
                <w:szCs w:val="13"/>
                <w:highlight w:val="none"/>
              </w:rPr>
              <w:t>其他情节恶劣，或造成严重后果的违法行为。</w:t>
            </w:r>
          </w:p>
        </w:tc>
        <w:tc>
          <w:tcPr>
            <w:tcW w:w="3058" w:type="dxa"/>
            <w:tcBorders>
              <w:tl2br w:val="nil"/>
              <w:tr2bl w:val="nil"/>
            </w:tcBorders>
            <w:tcMar>
              <w:top w:w="15" w:type="dxa"/>
              <w:left w:w="15" w:type="dxa"/>
              <w:bottom w:w="15" w:type="dxa"/>
              <w:right w:w="15" w:type="dxa"/>
            </w:tcMar>
            <w:vAlign w:val="center"/>
          </w:tcPr>
          <w:p w14:paraId="437C853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责令改正，可以处四万元以上五万元以下的罚款。</w:t>
            </w:r>
          </w:p>
        </w:tc>
      </w:tr>
      <w:tr w14:paraId="2142633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01" w:hRule="atLeast"/>
          <w:jc w:val="center"/>
        </w:trPr>
        <w:tc>
          <w:tcPr>
            <w:tcW w:w="443" w:type="dxa"/>
            <w:gridSpan w:val="2"/>
            <w:vMerge w:val="restart"/>
            <w:tcBorders>
              <w:tl2br w:val="nil"/>
              <w:tr2bl w:val="nil"/>
            </w:tcBorders>
            <w:tcMar>
              <w:top w:w="15" w:type="dxa"/>
              <w:left w:w="15" w:type="dxa"/>
              <w:bottom w:w="15" w:type="dxa"/>
              <w:right w:w="15" w:type="dxa"/>
            </w:tcMar>
            <w:vAlign w:val="center"/>
          </w:tcPr>
          <w:p w14:paraId="265101A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color w:val="auto"/>
                <w:sz w:val="13"/>
                <w:szCs w:val="13"/>
                <w:highlight w:val="none"/>
              </w:rPr>
            </w:pPr>
            <w:r>
              <w:rPr>
                <w:rFonts w:hint="eastAsia" w:ascii="仿宋_GB2312" w:hAnsi="宋体" w:eastAsia="仿宋_GB2312" w:cs="Times New Roman"/>
                <w:color w:val="auto"/>
                <w:kern w:val="0"/>
                <w:sz w:val="13"/>
                <w:szCs w:val="13"/>
                <w:highlight w:val="none"/>
              </w:rPr>
              <w:t>4</w:t>
            </w:r>
          </w:p>
        </w:tc>
        <w:tc>
          <w:tcPr>
            <w:tcW w:w="1550" w:type="dxa"/>
            <w:vMerge w:val="restart"/>
            <w:tcBorders>
              <w:tl2br w:val="nil"/>
              <w:tr2bl w:val="nil"/>
            </w:tcBorders>
            <w:tcMar>
              <w:top w:w="15" w:type="dxa"/>
              <w:left w:w="15" w:type="dxa"/>
              <w:bottom w:w="15" w:type="dxa"/>
              <w:right w:w="15" w:type="dxa"/>
            </w:tcMar>
            <w:vAlign w:val="center"/>
          </w:tcPr>
          <w:p w14:paraId="3D9BB17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依法必须进行招标的项目的招标人向他人透露已获取招标文件的潜在投标人的名称、数量或者可能影响公平竞争的有关招标投标的其他情况的，或者泄露标底</w:t>
            </w:r>
          </w:p>
        </w:tc>
        <w:tc>
          <w:tcPr>
            <w:tcW w:w="4820" w:type="dxa"/>
            <w:vMerge w:val="restart"/>
            <w:tcBorders>
              <w:tl2br w:val="nil"/>
              <w:tr2bl w:val="nil"/>
            </w:tcBorders>
            <w:tcMar>
              <w:top w:w="15" w:type="dxa"/>
              <w:left w:w="15" w:type="dxa"/>
              <w:bottom w:w="15" w:type="dxa"/>
              <w:right w:w="15" w:type="dxa"/>
            </w:tcMar>
            <w:vAlign w:val="center"/>
          </w:tcPr>
          <w:p w14:paraId="70B69AF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lang w:eastAsia="zh-CN"/>
              </w:rPr>
              <w:t>《中华人民共和国招标投标法》</w:t>
            </w:r>
            <w:r>
              <w:rPr>
                <w:rFonts w:hint="eastAsia" w:ascii="仿宋_GB2312" w:hAnsi="宋体" w:eastAsia="仿宋_GB2312"/>
                <w:b/>
                <w:bCs/>
                <w:color w:val="auto"/>
                <w:kern w:val="0"/>
                <w:sz w:val="13"/>
                <w:szCs w:val="13"/>
                <w:highlight w:val="none"/>
              </w:rPr>
              <w:t>第五十二条</w:t>
            </w:r>
            <w:r>
              <w:rPr>
                <w:rFonts w:hint="eastAsia" w:ascii="仿宋_GB2312" w:hAnsi="宋体" w:eastAsia="仿宋_GB2312"/>
                <w:b/>
                <w:bCs/>
                <w:color w:val="auto"/>
                <w:kern w:val="0"/>
                <w:sz w:val="13"/>
                <w:szCs w:val="13"/>
                <w:highlight w:val="none"/>
                <w:lang w:eastAsia="zh-CN"/>
              </w:rPr>
              <w:t>：</w:t>
            </w:r>
            <w:r>
              <w:rPr>
                <w:rFonts w:hint="eastAsia" w:ascii="仿宋_GB2312" w:hAnsi="宋体" w:eastAsia="仿宋_GB2312"/>
                <w:color w:val="auto"/>
                <w:kern w:val="0"/>
                <w:sz w:val="13"/>
                <w:szCs w:val="13"/>
                <w:highlight w:val="none"/>
              </w:rPr>
              <w:t>依法必须进行招标的项目的招标人向他人透露已获取招标文件的潜在投标人的名称、数量或者可能影响公平竞争的有关招标投标的其他情况的，或者泄露标底的，给予警告，可以并处一万元以上十万元以下的罚款；对单位直接负责的主管人员和其他负责人员依法给予处分；构成犯罪的，依法追究刑事责任。</w:t>
            </w:r>
          </w:p>
        </w:tc>
        <w:tc>
          <w:tcPr>
            <w:tcW w:w="823" w:type="dxa"/>
            <w:tcBorders>
              <w:tl2br w:val="nil"/>
              <w:tr2bl w:val="nil"/>
            </w:tcBorders>
            <w:tcMar>
              <w:top w:w="15" w:type="dxa"/>
              <w:left w:w="15" w:type="dxa"/>
              <w:bottom w:w="15" w:type="dxa"/>
              <w:right w:w="15" w:type="dxa"/>
            </w:tcMar>
            <w:vAlign w:val="center"/>
          </w:tcPr>
          <w:p w14:paraId="3432A9F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tcMar>
              <w:top w:w="15" w:type="dxa"/>
              <w:left w:w="15" w:type="dxa"/>
              <w:bottom w:w="15" w:type="dxa"/>
              <w:right w:w="15" w:type="dxa"/>
            </w:tcMar>
            <w:vAlign w:val="center"/>
          </w:tcPr>
          <w:p w14:paraId="5AFA50A2">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尚未影响到招标活动正常进行的。</w:t>
            </w:r>
          </w:p>
        </w:tc>
        <w:tc>
          <w:tcPr>
            <w:tcW w:w="3058" w:type="dxa"/>
            <w:tcBorders>
              <w:tl2br w:val="nil"/>
              <w:tr2bl w:val="nil"/>
            </w:tcBorders>
            <w:tcMar>
              <w:top w:w="15" w:type="dxa"/>
              <w:left w:w="15" w:type="dxa"/>
              <w:bottom w:w="15" w:type="dxa"/>
              <w:right w:w="15" w:type="dxa"/>
            </w:tcMar>
            <w:vAlign w:val="center"/>
          </w:tcPr>
          <w:p w14:paraId="209AEB8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给予警告，可以并处一万元以上三万元以下的罚款。</w:t>
            </w:r>
          </w:p>
        </w:tc>
      </w:tr>
      <w:tr w14:paraId="508F3B0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97" w:hRule="atLeast"/>
          <w:jc w:val="center"/>
        </w:trPr>
        <w:tc>
          <w:tcPr>
            <w:tcW w:w="443" w:type="dxa"/>
            <w:gridSpan w:val="2"/>
            <w:vMerge w:val="continue"/>
            <w:tcBorders>
              <w:tl2br w:val="nil"/>
              <w:tr2bl w:val="nil"/>
            </w:tcBorders>
            <w:vAlign w:val="center"/>
          </w:tcPr>
          <w:p w14:paraId="4228F7D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557EB2A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0E3B403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tc>
        <w:tc>
          <w:tcPr>
            <w:tcW w:w="823" w:type="dxa"/>
            <w:tcBorders>
              <w:tl2br w:val="nil"/>
              <w:tr2bl w:val="nil"/>
            </w:tcBorders>
            <w:tcMar>
              <w:top w:w="15" w:type="dxa"/>
              <w:left w:w="15" w:type="dxa"/>
              <w:bottom w:w="15" w:type="dxa"/>
              <w:right w:w="15" w:type="dxa"/>
            </w:tcMar>
            <w:vAlign w:val="center"/>
          </w:tcPr>
          <w:p w14:paraId="0E315CB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一般情节</w:t>
            </w:r>
          </w:p>
        </w:tc>
        <w:tc>
          <w:tcPr>
            <w:tcW w:w="3437" w:type="dxa"/>
            <w:gridSpan w:val="2"/>
            <w:tcBorders>
              <w:tl2br w:val="nil"/>
              <w:tr2bl w:val="nil"/>
            </w:tcBorders>
            <w:tcMar>
              <w:top w:w="15" w:type="dxa"/>
              <w:left w:w="15" w:type="dxa"/>
              <w:bottom w:w="15" w:type="dxa"/>
              <w:right w:w="15" w:type="dxa"/>
            </w:tcMar>
            <w:vAlign w:val="center"/>
          </w:tcPr>
          <w:p w14:paraId="356FB0AB">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影响到招标活动正常进行的。</w:t>
            </w:r>
          </w:p>
        </w:tc>
        <w:tc>
          <w:tcPr>
            <w:tcW w:w="3058" w:type="dxa"/>
            <w:tcBorders>
              <w:tl2br w:val="nil"/>
              <w:tr2bl w:val="nil"/>
            </w:tcBorders>
            <w:tcMar>
              <w:top w:w="15" w:type="dxa"/>
              <w:left w:w="15" w:type="dxa"/>
              <w:bottom w:w="15" w:type="dxa"/>
              <w:right w:w="15" w:type="dxa"/>
            </w:tcMar>
            <w:vAlign w:val="center"/>
          </w:tcPr>
          <w:p w14:paraId="141D03D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给予警告，可以并处三万元以上七万元以下的罚款。</w:t>
            </w:r>
          </w:p>
        </w:tc>
      </w:tr>
      <w:tr w14:paraId="39D5859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662" w:hRule="atLeast"/>
          <w:jc w:val="center"/>
        </w:trPr>
        <w:tc>
          <w:tcPr>
            <w:tcW w:w="443" w:type="dxa"/>
            <w:gridSpan w:val="2"/>
            <w:vMerge w:val="continue"/>
            <w:tcBorders>
              <w:tl2br w:val="nil"/>
              <w:tr2bl w:val="nil"/>
            </w:tcBorders>
            <w:vAlign w:val="center"/>
          </w:tcPr>
          <w:p w14:paraId="30EC761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1057AF8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5F4DEA8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tc>
        <w:tc>
          <w:tcPr>
            <w:tcW w:w="823" w:type="dxa"/>
            <w:tcBorders>
              <w:tl2br w:val="nil"/>
              <w:tr2bl w:val="nil"/>
            </w:tcBorders>
            <w:tcMar>
              <w:top w:w="15" w:type="dxa"/>
              <w:left w:w="15" w:type="dxa"/>
              <w:bottom w:w="15" w:type="dxa"/>
              <w:right w:w="15" w:type="dxa"/>
            </w:tcMar>
            <w:vAlign w:val="center"/>
          </w:tcPr>
          <w:p w14:paraId="6D4E999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从重情节</w:t>
            </w:r>
          </w:p>
        </w:tc>
        <w:tc>
          <w:tcPr>
            <w:tcW w:w="3437" w:type="dxa"/>
            <w:gridSpan w:val="2"/>
            <w:tcBorders>
              <w:tl2br w:val="nil"/>
              <w:tr2bl w:val="nil"/>
            </w:tcBorders>
            <w:tcMar>
              <w:top w:w="15" w:type="dxa"/>
              <w:left w:w="15" w:type="dxa"/>
              <w:bottom w:w="15" w:type="dxa"/>
              <w:right w:w="15" w:type="dxa"/>
            </w:tcMar>
            <w:vAlign w:val="center"/>
          </w:tcPr>
          <w:p w14:paraId="18C69AD0">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导致中标结果无效的</w:t>
            </w:r>
            <w:r>
              <w:rPr>
                <w:rFonts w:hint="eastAsia" w:ascii="仿宋_GB2312" w:hAnsi="宋体" w:eastAsia="仿宋_GB2312"/>
                <w:color w:val="auto"/>
                <w:kern w:val="0"/>
                <w:sz w:val="13"/>
                <w:szCs w:val="13"/>
                <w:highlight w:val="none"/>
                <w:lang w:eastAsia="zh-CN"/>
              </w:rPr>
              <w:t>，</w:t>
            </w:r>
            <w:r>
              <w:rPr>
                <w:rFonts w:hint="eastAsia" w:ascii="仿宋_GB2312" w:hAnsi="宋体" w:eastAsia="仿宋_GB2312"/>
                <w:color w:val="auto"/>
                <w:kern w:val="0"/>
                <w:sz w:val="13"/>
                <w:szCs w:val="13"/>
                <w:highlight w:val="none"/>
                <w:lang w:val="en-US" w:eastAsia="zh-CN"/>
              </w:rPr>
              <w:t>或</w:t>
            </w:r>
            <w:r>
              <w:rPr>
                <w:rFonts w:hint="eastAsia" w:ascii="仿宋_GB2312" w:hAnsi="宋体" w:eastAsia="仿宋_GB2312"/>
                <w:color w:val="auto"/>
                <w:kern w:val="0"/>
                <w:sz w:val="13"/>
                <w:szCs w:val="13"/>
                <w:highlight w:val="none"/>
              </w:rPr>
              <w:t>其他情节恶劣，或造成严重后果的。</w:t>
            </w:r>
          </w:p>
        </w:tc>
        <w:tc>
          <w:tcPr>
            <w:tcW w:w="3058" w:type="dxa"/>
            <w:tcBorders>
              <w:tl2br w:val="nil"/>
              <w:tr2bl w:val="nil"/>
            </w:tcBorders>
            <w:tcMar>
              <w:top w:w="15" w:type="dxa"/>
              <w:left w:w="15" w:type="dxa"/>
              <w:bottom w:w="15" w:type="dxa"/>
              <w:right w:w="15" w:type="dxa"/>
            </w:tcMar>
            <w:vAlign w:val="center"/>
          </w:tcPr>
          <w:p w14:paraId="42E94AE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给予警告，可以并处七万元以上十万元以下的罚款。</w:t>
            </w:r>
          </w:p>
        </w:tc>
      </w:tr>
      <w:tr w14:paraId="5028243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029" w:hRule="atLeast"/>
          <w:jc w:val="center"/>
        </w:trPr>
        <w:tc>
          <w:tcPr>
            <w:tcW w:w="443" w:type="dxa"/>
            <w:gridSpan w:val="2"/>
            <w:vMerge w:val="restart"/>
            <w:tcBorders>
              <w:tl2br w:val="nil"/>
              <w:tr2bl w:val="nil"/>
            </w:tcBorders>
            <w:tcMar>
              <w:top w:w="15" w:type="dxa"/>
              <w:left w:w="15" w:type="dxa"/>
              <w:bottom w:w="15" w:type="dxa"/>
              <w:right w:w="15" w:type="dxa"/>
            </w:tcMar>
            <w:vAlign w:val="center"/>
          </w:tcPr>
          <w:p w14:paraId="7E82BCD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color w:val="auto"/>
                <w:sz w:val="13"/>
                <w:szCs w:val="13"/>
                <w:highlight w:val="none"/>
              </w:rPr>
            </w:pPr>
            <w:r>
              <w:rPr>
                <w:rFonts w:hint="eastAsia" w:ascii="仿宋_GB2312" w:hAnsi="宋体" w:eastAsia="仿宋_GB2312" w:cs="Times New Roman"/>
                <w:color w:val="auto"/>
                <w:kern w:val="0"/>
                <w:sz w:val="13"/>
                <w:szCs w:val="13"/>
                <w:highlight w:val="none"/>
              </w:rPr>
              <w:t>5</w:t>
            </w:r>
          </w:p>
        </w:tc>
        <w:tc>
          <w:tcPr>
            <w:tcW w:w="1550" w:type="dxa"/>
            <w:vMerge w:val="restart"/>
            <w:tcBorders>
              <w:tl2br w:val="nil"/>
              <w:tr2bl w:val="nil"/>
            </w:tcBorders>
            <w:tcMar>
              <w:top w:w="15" w:type="dxa"/>
              <w:left w:w="15" w:type="dxa"/>
              <w:bottom w:w="15" w:type="dxa"/>
              <w:right w:w="15" w:type="dxa"/>
            </w:tcMar>
            <w:vAlign w:val="center"/>
          </w:tcPr>
          <w:p w14:paraId="109E12A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投标人相互串通投标或者与招标人串通投标的，投标人以向招标人或者评标委员会成员行贿的手段谋取中标的</w:t>
            </w:r>
          </w:p>
        </w:tc>
        <w:tc>
          <w:tcPr>
            <w:tcW w:w="4820" w:type="dxa"/>
            <w:vMerge w:val="restart"/>
            <w:tcBorders>
              <w:tl2br w:val="nil"/>
              <w:tr2bl w:val="nil"/>
            </w:tcBorders>
            <w:tcMar>
              <w:top w:w="15" w:type="dxa"/>
              <w:left w:w="15" w:type="dxa"/>
              <w:bottom w:w="15" w:type="dxa"/>
              <w:right w:w="15" w:type="dxa"/>
            </w:tcMar>
            <w:vAlign w:val="center"/>
          </w:tcPr>
          <w:p w14:paraId="01C31EE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lang w:eastAsia="zh-CN"/>
              </w:rPr>
              <w:t>《中华人民共和国招标投标法》</w:t>
            </w:r>
            <w:r>
              <w:rPr>
                <w:rFonts w:hint="eastAsia" w:ascii="仿宋_GB2312" w:hAnsi="宋体" w:eastAsia="仿宋_GB2312"/>
                <w:b/>
                <w:bCs/>
                <w:color w:val="auto"/>
                <w:kern w:val="0"/>
                <w:sz w:val="13"/>
                <w:szCs w:val="13"/>
                <w:highlight w:val="none"/>
              </w:rPr>
              <w:t>第五十三条</w:t>
            </w:r>
            <w:r>
              <w:rPr>
                <w:rFonts w:hint="eastAsia" w:ascii="仿宋_GB2312" w:hAnsi="宋体" w:eastAsia="仿宋_GB2312"/>
                <w:b/>
                <w:bCs/>
                <w:color w:val="auto"/>
                <w:kern w:val="0"/>
                <w:sz w:val="13"/>
                <w:szCs w:val="13"/>
                <w:highlight w:val="none"/>
                <w:lang w:eastAsia="zh-CN"/>
              </w:rPr>
              <w:t>：</w:t>
            </w:r>
            <w:r>
              <w:rPr>
                <w:rFonts w:hint="eastAsia" w:ascii="仿宋_GB2312" w:hAnsi="宋体" w:eastAsia="仿宋_GB2312"/>
                <w:color w:val="auto"/>
                <w:kern w:val="0"/>
                <w:sz w:val="13"/>
                <w:szCs w:val="13"/>
                <w:highlight w:val="none"/>
              </w:rPr>
              <w:t>投标人相互串通投标或者与招标人串通投标的，投标人以向招标人或者评标委员会成员行贿的手段谋取中标的，中标无效，处中标项目金额千分之五以上千分之十以下的罚款，对单位直接负责的主管人员和其他直接责任人员处单位罚款数额百分之五以上百分之十以下的罚款；有违法所得的，并处没收违法所得；情节严重的，取消其一年至二年内参加依法必须进行招标的项目的投标资格并予以公告，直至由工商行政管理机关吊销营业执照；构成犯罪的，依法追究刑事责任。给他人造成损失的，依法承担赔偿责任。</w:t>
            </w:r>
          </w:p>
          <w:p w14:paraId="4E24CD0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p w14:paraId="589218F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《中华人民共和国招标投标法实施条例》</w:t>
            </w:r>
            <w:r>
              <w:rPr>
                <w:rFonts w:hint="eastAsia" w:ascii="仿宋_GB2312" w:hAnsi="宋体" w:eastAsia="仿宋_GB2312"/>
                <w:b/>
                <w:bCs/>
                <w:color w:val="auto"/>
                <w:kern w:val="0"/>
                <w:sz w:val="13"/>
                <w:szCs w:val="13"/>
                <w:highlight w:val="none"/>
              </w:rPr>
              <w:t>第六十七条</w:t>
            </w:r>
            <w:r>
              <w:rPr>
                <w:rFonts w:hint="eastAsia" w:ascii="仿宋_GB2312" w:hAnsi="宋体" w:eastAsia="仿宋_GB2312"/>
                <w:b/>
                <w:bCs/>
                <w:color w:val="auto"/>
                <w:kern w:val="0"/>
                <w:sz w:val="13"/>
                <w:szCs w:val="13"/>
                <w:highlight w:val="none"/>
                <w:lang w:eastAsia="zh-CN"/>
              </w:rPr>
              <w:t>：</w:t>
            </w:r>
            <w:r>
              <w:rPr>
                <w:rFonts w:hint="eastAsia" w:ascii="仿宋_GB2312" w:hAnsi="宋体" w:eastAsia="仿宋_GB2312"/>
                <w:color w:val="auto"/>
                <w:kern w:val="0"/>
                <w:sz w:val="13"/>
                <w:szCs w:val="13"/>
                <w:highlight w:val="none"/>
              </w:rPr>
              <w:t>投标人相互串通投标或者与招标人串通投标的，投标人向招标人或者评标委员会成员行贿谋取中标的，中标无效；构成犯罪的，依法追究刑事责任；尚不构成犯罪的，依照招标投标法第五十三条的规定处罚。投标人未中标的，对单位的罚款金额按照招标项目合同金额依照招标投标法规定的比例计算。</w:t>
            </w:r>
          </w:p>
          <w:p w14:paraId="578ED07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投标人有下列行为之一的，属于招标投标法第五十三条规定的情节严重行为，由有关行政监督部门取消其1年至2年内参加依法必须进行招标的项目的投标资格：</w:t>
            </w:r>
          </w:p>
          <w:p w14:paraId="7123F46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（一）以行贿谋取中标；</w:t>
            </w:r>
          </w:p>
          <w:p w14:paraId="2B42948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（二）3年内2次以上串通投标；</w:t>
            </w:r>
          </w:p>
          <w:p w14:paraId="366CAB4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（三）串通投标行为损害招标人、其他投标人或者国家、集体、公民的合法利益，造成直接经济损失30万元以上；</w:t>
            </w:r>
          </w:p>
          <w:p w14:paraId="02372C9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（四）其他串通投标情节严重的行为。</w:t>
            </w:r>
          </w:p>
          <w:p w14:paraId="7B81836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投标人自本条第二款规定的处罚执行期限届满之日起3年内又有该款所列违法行为之一的，或者串通投标、以行贿谋取中标情节特别严重的，由工商行政管理机关吊销营业执照。</w:t>
            </w:r>
          </w:p>
          <w:p w14:paraId="3D2529D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法律、行政法规对串通投标报价行为的处罚另有规定的，从其规定。</w:t>
            </w:r>
          </w:p>
        </w:tc>
        <w:tc>
          <w:tcPr>
            <w:tcW w:w="823" w:type="dxa"/>
            <w:tcBorders>
              <w:tl2br w:val="nil"/>
              <w:tr2bl w:val="nil"/>
            </w:tcBorders>
            <w:tcMar>
              <w:top w:w="15" w:type="dxa"/>
              <w:left w:w="15" w:type="dxa"/>
              <w:bottom w:w="15" w:type="dxa"/>
              <w:right w:w="15" w:type="dxa"/>
            </w:tcMar>
            <w:vAlign w:val="center"/>
          </w:tcPr>
          <w:p w14:paraId="1EA36759">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tcMar>
              <w:top w:w="15" w:type="dxa"/>
              <w:left w:w="15" w:type="dxa"/>
              <w:bottom w:w="15" w:type="dxa"/>
              <w:right w:w="15" w:type="dxa"/>
            </w:tcMar>
            <w:vAlign w:val="center"/>
          </w:tcPr>
          <w:p w14:paraId="3E99E77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该违法行为对中标结果未产生影响的。</w:t>
            </w:r>
          </w:p>
        </w:tc>
        <w:tc>
          <w:tcPr>
            <w:tcW w:w="3058" w:type="dxa"/>
            <w:tcBorders>
              <w:tl2br w:val="nil"/>
              <w:tr2bl w:val="nil"/>
            </w:tcBorders>
            <w:tcMar>
              <w:top w:w="15" w:type="dxa"/>
              <w:left w:w="15" w:type="dxa"/>
              <w:bottom w:w="15" w:type="dxa"/>
              <w:right w:w="15" w:type="dxa"/>
            </w:tcMar>
            <w:vAlign w:val="center"/>
          </w:tcPr>
          <w:p w14:paraId="7894D2E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对投标人处中标项目金额千分之五以上千分之六以下的罚款，对单位直接负责的主管人员和其他直接责任人员处单位罚款数额百分之五以上百分之六以下的罚款；有违法所得的，并处没收违法所得。</w:t>
            </w:r>
          </w:p>
        </w:tc>
      </w:tr>
      <w:tr w14:paraId="537B758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25" w:hRule="atLeast"/>
          <w:jc w:val="center"/>
        </w:trPr>
        <w:tc>
          <w:tcPr>
            <w:tcW w:w="443" w:type="dxa"/>
            <w:gridSpan w:val="2"/>
            <w:vMerge w:val="continue"/>
            <w:tcBorders>
              <w:tl2br w:val="nil"/>
              <w:tr2bl w:val="nil"/>
            </w:tcBorders>
            <w:vAlign w:val="center"/>
          </w:tcPr>
          <w:p w14:paraId="665B9DA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07045AE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2BB12D4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tc>
        <w:tc>
          <w:tcPr>
            <w:tcW w:w="823" w:type="dxa"/>
            <w:tcBorders>
              <w:tl2br w:val="nil"/>
              <w:tr2bl w:val="nil"/>
            </w:tcBorders>
            <w:tcMar>
              <w:top w:w="15" w:type="dxa"/>
              <w:left w:w="15" w:type="dxa"/>
              <w:bottom w:w="15" w:type="dxa"/>
              <w:right w:w="15" w:type="dxa"/>
            </w:tcMar>
            <w:vAlign w:val="center"/>
          </w:tcPr>
          <w:p w14:paraId="5DB0D482">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一般情节</w:t>
            </w:r>
          </w:p>
        </w:tc>
        <w:tc>
          <w:tcPr>
            <w:tcW w:w="3437" w:type="dxa"/>
            <w:gridSpan w:val="2"/>
            <w:tcBorders>
              <w:tl2br w:val="nil"/>
              <w:tr2bl w:val="nil"/>
            </w:tcBorders>
            <w:tcMar>
              <w:top w:w="15" w:type="dxa"/>
              <w:left w:w="15" w:type="dxa"/>
              <w:bottom w:w="15" w:type="dxa"/>
              <w:right w:w="15" w:type="dxa"/>
            </w:tcMar>
            <w:vAlign w:val="center"/>
          </w:tcPr>
          <w:p w14:paraId="5C9BB7D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该违法行为对中标结果产生影响，但又不属于</w:t>
            </w:r>
            <w:r>
              <w:rPr>
                <w:rFonts w:hint="eastAsia" w:ascii="仿宋_GB2312" w:hAnsi="宋体" w:eastAsia="仿宋_GB2312"/>
                <w:color w:val="auto"/>
                <w:kern w:val="0"/>
                <w:sz w:val="13"/>
                <w:szCs w:val="13"/>
                <w:highlight w:val="none"/>
                <w:lang w:eastAsia="zh-CN"/>
              </w:rPr>
              <w:t>从重情节</w:t>
            </w:r>
            <w:r>
              <w:rPr>
                <w:rFonts w:hint="eastAsia" w:ascii="仿宋_GB2312" w:hAnsi="宋体" w:eastAsia="仿宋_GB2312"/>
                <w:color w:val="auto"/>
                <w:kern w:val="0"/>
                <w:sz w:val="13"/>
                <w:szCs w:val="13"/>
                <w:highlight w:val="none"/>
              </w:rPr>
              <w:t>的。</w:t>
            </w:r>
          </w:p>
        </w:tc>
        <w:tc>
          <w:tcPr>
            <w:tcW w:w="3058" w:type="dxa"/>
            <w:tcBorders>
              <w:tl2br w:val="nil"/>
              <w:tr2bl w:val="nil"/>
            </w:tcBorders>
            <w:tcMar>
              <w:top w:w="15" w:type="dxa"/>
              <w:left w:w="15" w:type="dxa"/>
              <w:bottom w:w="15" w:type="dxa"/>
              <w:right w:w="15" w:type="dxa"/>
            </w:tcMar>
            <w:vAlign w:val="center"/>
          </w:tcPr>
          <w:p w14:paraId="62E7BD5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中标无效，对投标人处中标项目金额千分之六以上千分之八以下的罚款，对单位直接负责的主管人员和其他直接责任人员处单位罚款数额百分之六以上百分之八以下的罚款；有违法所得的，并处没收违法所得。</w:t>
            </w:r>
          </w:p>
        </w:tc>
      </w:tr>
      <w:tr w14:paraId="02221D0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5020" w:hRule="atLeast"/>
          <w:jc w:val="center"/>
        </w:trPr>
        <w:tc>
          <w:tcPr>
            <w:tcW w:w="443" w:type="dxa"/>
            <w:gridSpan w:val="2"/>
            <w:vMerge w:val="continue"/>
            <w:tcBorders>
              <w:tl2br w:val="nil"/>
              <w:tr2bl w:val="nil"/>
            </w:tcBorders>
            <w:vAlign w:val="center"/>
          </w:tcPr>
          <w:p w14:paraId="4F0124F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18E2CC3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00ED20F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tc>
        <w:tc>
          <w:tcPr>
            <w:tcW w:w="823" w:type="dxa"/>
            <w:tcBorders>
              <w:tl2br w:val="nil"/>
              <w:tr2bl w:val="nil"/>
            </w:tcBorders>
            <w:tcMar>
              <w:top w:w="15" w:type="dxa"/>
              <w:left w:w="15" w:type="dxa"/>
              <w:bottom w:w="15" w:type="dxa"/>
              <w:right w:w="15" w:type="dxa"/>
            </w:tcMar>
            <w:vAlign w:val="center"/>
          </w:tcPr>
          <w:p w14:paraId="59E9090D">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olor w:val="auto"/>
                <w:kern w:val="0"/>
                <w:sz w:val="13"/>
                <w:szCs w:val="13"/>
                <w:highlight w:val="none"/>
              </w:rPr>
            </w:pPr>
          </w:p>
          <w:p w14:paraId="55DB993E">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从重情节</w:t>
            </w:r>
          </w:p>
        </w:tc>
        <w:tc>
          <w:tcPr>
            <w:tcW w:w="3437" w:type="dxa"/>
            <w:gridSpan w:val="2"/>
            <w:tcBorders>
              <w:tl2br w:val="nil"/>
              <w:tr2bl w:val="nil"/>
            </w:tcBorders>
            <w:tcMar>
              <w:top w:w="15" w:type="dxa"/>
              <w:left w:w="15" w:type="dxa"/>
              <w:bottom w:w="15" w:type="dxa"/>
              <w:right w:w="15" w:type="dxa"/>
            </w:tcMar>
            <w:vAlign w:val="center"/>
          </w:tcPr>
          <w:p w14:paraId="550F1773">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default" w:ascii="仿宋_GB2312" w:hAnsi="宋体" w:eastAsia="仿宋_GB2312"/>
                <w:color w:val="auto"/>
                <w:kern w:val="0"/>
                <w:sz w:val="13"/>
                <w:szCs w:val="13"/>
                <w:highlight w:val="none"/>
                <w:lang w:val="en-US" w:eastAsia="zh-CN"/>
              </w:rPr>
            </w:pPr>
            <w:r>
              <w:rPr>
                <w:rFonts w:hint="eastAsia" w:ascii="仿宋_GB2312" w:hAnsi="宋体" w:eastAsia="仿宋_GB2312"/>
                <w:color w:val="auto"/>
                <w:kern w:val="0"/>
                <w:sz w:val="13"/>
                <w:szCs w:val="13"/>
                <w:highlight w:val="none"/>
                <w:lang w:val="en-US" w:eastAsia="zh-CN"/>
              </w:rPr>
              <w:t>有下列情形之一的：</w:t>
            </w:r>
          </w:p>
          <w:p w14:paraId="2D028E5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rPr>
              <w:t>（1）以行贿谋取中标的；</w:t>
            </w:r>
          </w:p>
          <w:p w14:paraId="3F53C2E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rPr>
              <w:t>（2）3年内串通投标2次以上的；</w:t>
            </w:r>
          </w:p>
          <w:p w14:paraId="599F5A5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rPr>
              <w:t>（3）串通投标行为损害招标人、其他投标人或者国家、集体、公民的合法利益，造成直接经济损失30万元以上的；</w:t>
            </w:r>
          </w:p>
          <w:p w14:paraId="3D72231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（4）</w:t>
            </w:r>
            <w:r>
              <w:rPr>
                <w:rFonts w:ascii="仿宋_GB2312" w:hAnsi="宋体" w:eastAsia="仿宋_GB2312"/>
                <w:color w:val="auto"/>
                <w:kern w:val="0"/>
                <w:sz w:val="13"/>
                <w:szCs w:val="13"/>
                <w:highlight w:val="none"/>
              </w:rPr>
              <w:t>其他串通投标情节严重的行为的</w:t>
            </w:r>
            <w:r>
              <w:rPr>
                <w:rFonts w:hint="eastAsia" w:ascii="仿宋_GB2312" w:hAnsi="宋体" w:eastAsia="仿宋_GB2312"/>
                <w:color w:val="auto"/>
                <w:kern w:val="0"/>
                <w:sz w:val="13"/>
                <w:szCs w:val="13"/>
                <w:highlight w:val="none"/>
              </w:rPr>
              <w:t>。</w:t>
            </w:r>
          </w:p>
        </w:tc>
        <w:tc>
          <w:tcPr>
            <w:tcW w:w="3058" w:type="dxa"/>
            <w:tcBorders>
              <w:tl2br w:val="nil"/>
              <w:tr2bl w:val="nil"/>
            </w:tcBorders>
            <w:tcMar>
              <w:top w:w="15" w:type="dxa"/>
              <w:left w:w="15" w:type="dxa"/>
              <w:bottom w:w="15" w:type="dxa"/>
              <w:right w:w="15" w:type="dxa"/>
            </w:tcMar>
            <w:vAlign w:val="center"/>
          </w:tcPr>
          <w:p w14:paraId="33349575">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中标无效，对投标人处中标项目金额千分之八至千分之十的罚款，对单位直接负责的主管人员和其他直接责任人员处单位罚款数额百分之八至百分之十的罚款；有违法所得的，并处没收违法所得；取消其1年至2年内参加依法必须进行招标的项目的投标资格。</w:t>
            </w:r>
          </w:p>
          <w:p w14:paraId="1A3EC1FC">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p w14:paraId="74D433F6">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tc>
      </w:tr>
      <w:tr w14:paraId="4075492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270" w:hRule="atLeast"/>
          <w:jc w:val="center"/>
        </w:trPr>
        <w:tc>
          <w:tcPr>
            <w:tcW w:w="443" w:type="dxa"/>
            <w:gridSpan w:val="2"/>
            <w:vMerge w:val="restart"/>
            <w:tcBorders>
              <w:tl2br w:val="nil"/>
              <w:tr2bl w:val="nil"/>
            </w:tcBorders>
            <w:tcMar>
              <w:top w:w="15" w:type="dxa"/>
              <w:left w:w="15" w:type="dxa"/>
              <w:bottom w:w="15" w:type="dxa"/>
              <w:right w:w="15" w:type="dxa"/>
            </w:tcMar>
            <w:vAlign w:val="center"/>
          </w:tcPr>
          <w:p w14:paraId="314B9C3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color w:val="auto"/>
                <w:sz w:val="13"/>
                <w:szCs w:val="13"/>
                <w:highlight w:val="none"/>
              </w:rPr>
            </w:pPr>
            <w:r>
              <w:rPr>
                <w:rFonts w:hint="eastAsia" w:ascii="仿宋_GB2312" w:hAnsi="宋体" w:eastAsia="仿宋_GB2312" w:cs="Times New Roman"/>
                <w:color w:val="auto"/>
                <w:kern w:val="0"/>
                <w:sz w:val="13"/>
                <w:szCs w:val="13"/>
                <w:highlight w:val="none"/>
              </w:rPr>
              <w:t>6</w:t>
            </w:r>
          </w:p>
        </w:tc>
        <w:tc>
          <w:tcPr>
            <w:tcW w:w="1550" w:type="dxa"/>
            <w:vMerge w:val="restart"/>
            <w:tcBorders>
              <w:tl2br w:val="nil"/>
              <w:tr2bl w:val="nil"/>
            </w:tcBorders>
            <w:tcMar>
              <w:top w:w="15" w:type="dxa"/>
              <w:left w:w="15" w:type="dxa"/>
              <w:bottom w:w="15" w:type="dxa"/>
              <w:right w:w="15" w:type="dxa"/>
            </w:tcMar>
            <w:vAlign w:val="center"/>
          </w:tcPr>
          <w:p w14:paraId="28D55DA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p w14:paraId="2860A99B">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投标人以他人名义投标或者以其他方式弄虚作假，骗取中标的,尚未构成犯罪的</w:t>
            </w:r>
          </w:p>
        </w:tc>
        <w:tc>
          <w:tcPr>
            <w:tcW w:w="4820" w:type="dxa"/>
            <w:vMerge w:val="restart"/>
            <w:tcBorders>
              <w:tl2br w:val="nil"/>
              <w:tr2bl w:val="nil"/>
            </w:tcBorders>
            <w:tcMar>
              <w:top w:w="15" w:type="dxa"/>
              <w:left w:w="15" w:type="dxa"/>
              <w:bottom w:w="15" w:type="dxa"/>
              <w:right w:w="15" w:type="dxa"/>
            </w:tcMar>
            <w:vAlign w:val="center"/>
          </w:tcPr>
          <w:p w14:paraId="4324486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lang w:eastAsia="zh-CN"/>
              </w:rPr>
              <w:t>《中华人民共和国招标投标法》</w:t>
            </w:r>
            <w:r>
              <w:rPr>
                <w:rFonts w:hint="eastAsia" w:ascii="仿宋_GB2312" w:hAnsi="宋体" w:eastAsia="仿宋_GB2312"/>
                <w:b/>
                <w:bCs/>
                <w:color w:val="auto"/>
                <w:kern w:val="0"/>
                <w:sz w:val="13"/>
                <w:szCs w:val="13"/>
                <w:highlight w:val="none"/>
              </w:rPr>
              <w:t>第五十四条</w:t>
            </w:r>
            <w:r>
              <w:rPr>
                <w:rFonts w:hint="eastAsia" w:ascii="仿宋_GB2312" w:hAnsi="宋体" w:eastAsia="仿宋_GB2312"/>
                <w:b/>
                <w:bCs/>
                <w:color w:val="auto"/>
                <w:kern w:val="0"/>
                <w:sz w:val="13"/>
                <w:szCs w:val="13"/>
                <w:highlight w:val="none"/>
                <w:lang w:eastAsia="zh-CN"/>
              </w:rPr>
              <w:t>：</w:t>
            </w:r>
            <w:r>
              <w:rPr>
                <w:rFonts w:hint="eastAsia" w:ascii="仿宋_GB2312" w:hAnsi="宋体" w:eastAsia="仿宋_GB2312"/>
                <w:color w:val="auto"/>
                <w:kern w:val="0"/>
                <w:sz w:val="13"/>
                <w:szCs w:val="13"/>
                <w:highlight w:val="none"/>
              </w:rPr>
              <w:t>投标人以他人名义投标或者以其他方式弄虚作假，骗取中标的，中标无效，给招标人造成损失的，依法承担赔偿责任；构成犯罪的，依法追究刑事责任。</w:t>
            </w:r>
          </w:p>
          <w:p w14:paraId="6F7C99B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依法必须进行招标的项目的投标人有前款所列行为尚未构成犯罪的，处中标项目金额千分之五以上千分之十以下的罚款，对单位直接负责的主管人员和其他直接责任人员处单位罚款数额百分之五以上百分之十以下的罚款；有违法所得的，并处没收违法所得；情节严重的，取消其一年至三年内参加依法必须进行招标的项目的投标资格并予以公告，直至由工商行政管理机关吊销营业执照。</w:t>
            </w:r>
          </w:p>
          <w:p w14:paraId="172B0A9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hint="eastAsia" w:ascii="仿宋_GB2312" w:hAnsi="宋体" w:eastAsia="仿宋_GB2312"/>
                <w:color w:val="auto"/>
                <w:kern w:val="0"/>
                <w:sz w:val="13"/>
                <w:szCs w:val="13"/>
                <w:highlight w:val="none"/>
              </w:rPr>
            </w:pPr>
          </w:p>
          <w:p w14:paraId="5A2D355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《中华人民共和国招标投标法实施条例》</w:t>
            </w:r>
            <w:r>
              <w:rPr>
                <w:rFonts w:hint="eastAsia" w:ascii="仿宋_GB2312" w:hAnsi="宋体" w:eastAsia="仿宋_GB2312"/>
                <w:b/>
                <w:bCs/>
                <w:color w:val="auto"/>
                <w:kern w:val="0"/>
                <w:sz w:val="13"/>
                <w:szCs w:val="13"/>
                <w:highlight w:val="none"/>
              </w:rPr>
              <w:t>第六十八条</w:t>
            </w:r>
            <w:r>
              <w:rPr>
                <w:rFonts w:hint="eastAsia" w:ascii="仿宋_GB2312" w:hAnsi="宋体" w:eastAsia="仿宋_GB2312"/>
                <w:b/>
                <w:bCs/>
                <w:color w:val="auto"/>
                <w:kern w:val="0"/>
                <w:sz w:val="13"/>
                <w:szCs w:val="13"/>
                <w:highlight w:val="none"/>
                <w:lang w:eastAsia="zh-CN"/>
              </w:rPr>
              <w:t>：</w:t>
            </w:r>
            <w:r>
              <w:rPr>
                <w:rFonts w:hint="eastAsia" w:ascii="仿宋_GB2312" w:hAnsi="宋体" w:eastAsia="仿宋_GB2312"/>
                <w:color w:val="auto"/>
                <w:kern w:val="0"/>
                <w:sz w:val="13"/>
                <w:szCs w:val="13"/>
                <w:highlight w:val="none"/>
              </w:rPr>
              <w:t>投标人以他人名义投标或者以其他方式弄虚作假骗取中标的，中标无效；构成犯罪的，依法追究刑事责任；尚不构成犯罪的，依照招标投标法第五十四条的规定处罚。依法必须进行招标的项目的投标人未中标的，对单位的罚款金额按照招标项目合同金额依照招标投标法规定的比例计算。</w:t>
            </w:r>
          </w:p>
          <w:p w14:paraId="0935475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投标人有下列行为之一的，属于招标投标法第五十四条规定的情节严重行为，由有关行政监督部门取消其1年至3年内参加依法必须进行招标的项目的投标资格：</w:t>
            </w:r>
          </w:p>
          <w:p w14:paraId="2F61FC7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（一）伪造、变造资格、资质证书或者其他许可证件骗取中标；</w:t>
            </w:r>
          </w:p>
          <w:p w14:paraId="60F7895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（二）3年内2次以上使用他人名义投标；</w:t>
            </w:r>
          </w:p>
          <w:p w14:paraId="3A18A5A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（三）弄虚作假骗取中标给招标人造成直接经济损失30万元以上；</w:t>
            </w:r>
          </w:p>
          <w:p w14:paraId="720DE44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（四）其他弄虚作假骗取中标情节严重的行为。</w:t>
            </w:r>
          </w:p>
          <w:p w14:paraId="7A867C4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0" w:firstLineChars="2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投标人自本条第二款规定的处罚执行期限届满之日起3年内又有该款所列违法行为之一的，或者弄虚作假骗取中标情节特别严重的，由工商行政管理机关吊销营业执照。</w:t>
            </w:r>
          </w:p>
        </w:tc>
        <w:tc>
          <w:tcPr>
            <w:tcW w:w="823" w:type="dxa"/>
            <w:tcBorders>
              <w:tl2br w:val="nil"/>
              <w:tr2bl w:val="nil"/>
            </w:tcBorders>
            <w:tcMar>
              <w:top w:w="15" w:type="dxa"/>
              <w:left w:w="15" w:type="dxa"/>
              <w:bottom w:w="15" w:type="dxa"/>
              <w:right w:w="15" w:type="dxa"/>
            </w:tcMar>
            <w:vAlign w:val="center"/>
          </w:tcPr>
          <w:p w14:paraId="13E6A86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tcMar>
              <w:top w:w="15" w:type="dxa"/>
              <w:left w:w="15" w:type="dxa"/>
              <w:bottom w:w="15" w:type="dxa"/>
              <w:right w:w="15" w:type="dxa"/>
            </w:tcMar>
            <w:vAlign w:val="center"/>
          </w:tcPr>
          <w:p w14:paraId="4D3C1CA9">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3年内以他人名义投标或以其他方式弄虚作假投标1次的。</w:t>
            </w:r>
          </w:p>
        </w:tc>
        <w:tc>
          <w:tcPr>
            <w:tcW w:w="3058" w:type="dxa"/>
            <w:tcBorders>
              <w:tl2br w:val="nil"/>
              <w:tr2bl w:val="nil"/>
            </w:tcBorders>
            <w:tcMar>
              <w:top w:w="15" w:type="dxa"/>
              <w:left w:w="15" w:type="dxa"/>
              <w:bottom w:w="15" w:type="dxa"/>
              <w:right w:w="15" w:type="dxa"/>
            </w:tcMar>
            <w:vAlign w:val="center"/>
          </w:tcPr>
          <w:p w14:paraId="7D37ECD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对投标人处中标项目金额千分之五以上千分之七点五以下的罚款，对单位直接负责的主管人员和其他直接责任人员处单位罚款数额百分之五以上百分之七点五以下的罚款；有违法所得的，并处没收违法所得。</w:t>
            </w:r>
          </w:p>
        </w:tc>
      </w:tr>
      <w:tr w14:paraId="6A5C2CB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25" w:hRule="atLeast"/>
          <w:jc w:val="center"/>
        </w:trPr>
        <w:tc>
          <w:tcPr>
            <w:tcW w:w="443" w:type="dxa"/>
            <w:gridSpan w:val="2"/>
            <w:vMerge w:val="continue"/>
            <w:tcBorders>
              <w:tl2br w:val="nil"/>
              <w:tr2bl w:val="nil"/>
            </w:tcBorders>
            <w:vAlign w:val="center"/>
          </w:tcPr>
          <w:p w14:paraId="5DC067D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4335C02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6BE1961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tc>
        <w:tc>
          <w:tcPr>
            <w:tcW w:w="823" w:type="dxa"/>
            <w:tcBorders>
              <w:tl2br w:val="nil"/>
              <w:tr2bl w:val="nil"/>
            </w:tcBorders>
            <w:tcMar>
              <w:top w:w="15" w:type="dxa"/>
              <w:left w:w="15" w:type="dxa"/>
              <w:bottom w:w="15" w:type="dxa"/>
              <w:right w:w="15" w:type="dxa"/>
            </w:tcMar>
            <w:vAlign w:val="center"/>
          </w:tcPr>
          <w:p w14:paraId="761AFF6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一般情节</w:t>
            </w:r>
          </w:p>
          <w:p w14:paraId="66BC3498">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olor w:val="auto"/>
                <w:kern w:val="0"/>
                <w:sz w:val="13"/>
                <w:szCs w:val="13"/>
                <w:highlight w:val="none"/>
              </w:rPr>
            </w:pPr>
          </w:p>
        </w:tc>
        <w:tc>
          <w:tcPr>
            <w:tcW w:w="3437" w:type="dxa"/>
            <w:gridSpan w:val="2"/>
            <w:tcBorders>
              <w:tl2br w:val="nil"/>
              <w:tr2bl w:val="nil"/>
            </w:tcBorders>
            <w:tcMar>
              <w:top w:w="15" w:type="dxa"/>
              <w:left w:w="15" w:type="dxa"/>
              <w:bottom w:w="15" w:type="dxa"/>
              <w:right w:w="15" w:type="dxa"/>
            </w:tcMar>
            <w:vAlign w:val="center"/>
          </w:tcPr>
          <w:p w14:paraId="259E9502">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3年内2次使用他人名义投标或以其他方式弄虚作假的。</w:t>
            </w:r>
          </w:p>
        </w:tc>
        <w:tc>
          <w:tcPr>
            <w:tcW w:w="3058" w:type="dxa"/>
            <w:tcBorders>
              <w:tl2br w:val="nil"/>
              <w:tr2bl w:val="nil"/>
            </w:tcBorders>
            <w:tcMar>
              <w:top w:w="15" w:type="dxa"/>
              <w:left w:w="15" w:type="dxa"/>
              <w:bottom w:w="15" w:type="dxa"/>
              <w:right w:w="15" w:type="dxa"/>
            </w:tcMar>
            <w:vAlign w:val="center"/>
          </w:tcPr>
          <w:p w14:paraId="7DB5B3F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对投标人处中标项目金额千分之七点五以上千分之十以下的罚款，对单位直接负责的主管人员和其他直接责任人员处单位罚款数额百分之七点五以上百分之十以下的罚款；有违法所得的，并处没收违法所得。</w:t>
            </w:r>
          </w:p>
        </w:tc>
      </w:tr>
      <w:tr w14:paraId="5EECFAF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872" w:hRule="atLeast"/>
          <w:jc w:val="center"/>
        </w:trPr>
        <w:tc>
          <w:tcPr>
            <w:tcW w:w="443" w:type="dxa"/>
            <w:gridSpan w:val="2"/>
            <w:vMerge w:val="continue"/>
            <w:tcBorders>
              <w:tl2br w:val="nil"/>
              <w:tr2bl w:val="nil"/>
            </w:tcBorders>
            <w:vAlign w:val="center"/>
          </w:tcPr>
          <w:p w14:paraId="7CCFBB3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5CFC669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048F8C9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tc>
        <w:tc>
          <w:tcPr>
            <w:tcW w:w="823" w:type="dxa"/>
            <w:tcBorders>
              <w:tl2br w:val="nil"/>
              <w:tr2bl w:val="nil"/>
            </w:tcBorders>
            <w:tcMar>
              <w:top w:w="15" w:type="dxa"/>
              <w:left w:w="15" w:type="dxa"/>
              <w:bottom w:w="15" w:type="dxa"/>
              <w:right w:w="15" w:type="dxa"/>
            </w:tcMar>
            <w:vAlign w:val="center"/>
          </w:tcPr>
          <w:p w14:paraId="45F5C2D3">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olor w:val="auto"/>
                <w:kern w:val="0"/>
                <w:sz w:val="13"/>
                <w:szCs w:val="13"/>
                <w:highlight w:val="none"/>
              </w:rPr>
            </w:pPr>
          </w:p>
          <w:p w14:paraId="1D3FADA8">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olor w:val="auto"/>
                <w:kern w:val="0"/>
                <w:sz w:val="13"/>
                <w:szCs w:val="13"/>
                <w:highlight w:val="none"/>
              </w:rPr>
            </w:pPr>
          </w:p>
          <w:p w14:paraId="41CB17B5">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从重情节</w:t>
            </w:r>
          </w:p>
        </w:tc>
        <w:tc>
          <w:tcPr>
            <w:tcW w:w="3437" w:type="dxa"/>
            <w:gridSpan w:val="2"/>
            <w:tcBorders>
              <w:tl2br w:val="nil"/>
              <w:tr2bl w:val="nil"/>
            </w:tcBorders>
            <w:tcMar>
              <w:top w:w="15" w:type="dxa"/>
              <w:left w:w="15" w:type="dxa"/>
              <w:bottom w:w="15" w:type="dxa"/>
              <w:right w:w="15" w:type="dxa"/>
            </w:tcMar>
            <w:vAlign w:val="center"/>
          </w:tcPr>
          <w:p w14:paraId="5CCE0B03">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hint="default" w:ascii="仿宋_GB2312" w:hAnsi="宋体" w:eastAsia="仿宋_GB2312"/>
                <w:color w:val="auto"/>
                <w:kern w:val="0"/>
                <w:sz w:val="13"/>
                <w:szCs w:val="13"/>
                <w:highlight w:val="none"/>
                <w:lang w:val="en-US" w:eastAsia="zh-CN"/>
              </w:rPr>
            </w:pPr>
            <w:r>
              <w:rPr>
                <w:rFonts w:hint="eastAsia" w:ascii="仿宋_GB2312" w:hAnsi="宋体" w:eastAsia="仿宋_GB2312"/>
                <w:color w:val="auto"/>
                <w:kern w:val="0"/>
                <w:sz w:val="13"/>
                <w:szCs w:val="13"/>
                <w:highlight w:val="none"/>
                <w:lang w:val="en-US" w:eastAsia="zh-CN"/>
              </w:rPr>
              <w:t>有下列情形之一的：</w:t>
            </w:r>
          </w:p>
          <w:p w14:paraId="097CCB18">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rPr>
              <w:t>（1）伪造、变造资格、资质证书或者其他许可证件骗取中标；</w:t>
            </w:r>
          </w:p>
          <w:p w14:paraId="0DEB1CF6">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（2）3年内</w:t>
            </w:r>
            <w:r>
              <w:rPr>
                <w:rFonts w:hint="eastAsia" w:ascii="仿宋_GB2312" w:hAnsi="宋体" w:eastAsia="仿宋_GB2312"/>
                <w:color w:val="auto"/>
                <w:kern w:val="0"/>
                <w:sz w:val="13"/>
                <w:szCs w:val="13"/>
                <w:highlight w:val="none"/>
                <w:lang w:val="en-US" w:eastAsia="zh-CN"/>
              </w:rPr>
              <w:t>3</w:t>
            </w:r>
            <w:r>
              <w:rPr>
                <w:rFonts w:hint="eastAsia" w:ascii="仿宋_GB2312" w:hAnsi="宋体" w:eastAsia="仿宋_GB2312"/>
                <w:color w:val="auto"/>
                <w:kern w:val="0"/>
                <w:sz w:val="13"/>
                <w:szCs w:val="13"/>
                <w:highlight w:val="none"/>
              </w:rPr>
              <w:t>次以上使用他人名义投标；</w:t>
            </w:r>
          </w:p>
          <w:p w14:paraId="0BDBDA50">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rPr>
              <w:t>（3）弄虚作假骗取中标给招标人造成直接经济损失30万元以上；</w:t>
            </w:r>
          </w:p>
          <w:p w14:paraId="1E7EDD09">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（4）其他弄虚作假骗取中标情节严重行为。</w:t>
            </w:r>
          </w:p>
        </w:tc>
        <w:tc>
          <w:tcPr>
            <w:tcW w:w="3058" w:type="dxa"/>
            <w:tcBorders>
              <w:tl2br w:val="nil"/>
              <w:tr2bl w:val="nil"/>
            </w:tcBorders>
            <w:tcMar>
              <w:top w:w="15" w:type="dxa"/>
              <w:left w:w="15" w:type="dxa"/>
              <w:bottom w:w="15" w:type="dxa"/>
              <w:right w:w="15" w:type="dxa"/>
            </w:tcMar>
            <w:vAlign w:val="center"/>
          </w:tcPr>
          <w:p w14:paraId="37CCFED3">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p w14:paraId="2CB491D7">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p w14:paraId="11B94DF3">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p w14:paraId="45688D87">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骗取中标的，中标无效；对投标人处中标项目金额千分之十的罚款，对单位直接负责的主管人员和其他直接责任人员处单位罚款数额百分之十的罚款；有违法所得的，并处没收违法所得；取消其1年至3年内参加依法必须进行招标的项目的投标资格。</w:t>
            </w:r>
          </w:p>
          <w:p w14:paraId="6E1CA320">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p w14:paraId="7893F770">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p w14:paraId="00CBFE20">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tc>
      </w:tr>
      <w:tr w14:paraId="1A72B20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19" w:hRule="atLeast"/>
          <w:jc w:val="center"/>
        </w:trPr>
        <w:tc>
          <w:tcPr>
            <w:tcW w:w="443" w:type="dxa"/>
            <w:gridSpan w:val="2"/>
            <w:vMerge w:val="restart"/>
            <w:tcBorders>
              <w:tl2br w:val="nil"/>
              <w:tr2bl w:val="nil"/>
            </w:tcBorders>
            <w:tcMar>
              <w:top w:w="15" w:type="dxa"/>
              <w:left w:w="15" w:type="dxa"/>
              <w:bottom w:w="15" w:type="dxa"/>
              <w:right w:w="15" w:type="dxa"/>
            </w:tcMar>
            <w:vAlign w:val="center"/>
          </w:tcPr>
          <w:p w14:paraId="53E343B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Times New Roman"/>
                <w:color w:val="auto"/>
                <w:kern w:val="0"/>
                <w:sz w:val="13"/>
                <w:szCs w:val="13"/>
                <w:highlight w:val="none"/>
              </w:rPr>
            </w:pPr>
          </w:p>
          <w:p w14:paraId="5289FE0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color w:val="auto"/>
                <w:sz w:val="13"/>
                <w:szCs w:val="13"/>
                <w:highlight w:val="none"/>
              </w:rPr>
            </w:pPr>
            <w:r>
              <w:rPr>
                <w:rFonts w:hint="eastAsia" w:ascii="仿宋_GB2312" w:hAnsi="宋体" w:eastAsia="仿宋_GB2312" w:cs="Times New Roman"/>
                <w:color w:val="auto"/>
                <w:kern w:val="0"/>
                <w:sz w:val="13"/>
                <w:szCs w:val="13"/>
                <w:highlight w:val="none"/>
              </w:rPr>
              <w:t>7</w:t>
            </w:r>
          </w:p>
        </w:tc>
        <w:tc>
          <w:tcPr>
            <w:tcW w:w="1550" w:type="dxa"/>
            <w:vMerge w:val="restart"/>
            <w:tcBorders>
              <w:tl2br w:val="nil"/>
              <w:tr2bl w:val="nil"/>
            </w:tcBorders>
            <w:tcMar>
              <w:top w:w="15" w:type="dxa"/>
              <w:left w:w="15" w:type="dxa"/>
              <w:bottom w:w="15" w:type="dxa"/>
              <w:right w:w="15" w:type="dxa"/>
            </w:tcMar>
            <w:vAlign w:val="center"/>
          </w:tcPr>
          <w:p w14:paraId="588E84F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p w14:paraId="5A80E04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p w14:paraId="7005708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评标委员会成员收受投标人的财物或者其他好处的，评标委员会成员或者参加评标的有关工作人员向他人透露对投标文件的评审和比较、中标候选人的推荐以及与评标有关的其他情况的</w:t>
            </w:r>
          </w:p>
        </w:tc>
        <w:tc>
          <w:tcPr>
            <w:tcW w:w="4820" w:type="dxa"/>
            <w:vMerge w:val="restart"/>
            <w:tcBorders>
              <w:tl2br w:val="nil"/>
              <w:tr2bl w:val="nil"/>
            </w:tcBorders>
            <w:tcMar>
              <w:top w:w="15" w:type="dxa"/>
              <w:left w:w="15" w:type="dxa"/>
              <w:bottom w:w="15" w:type="dxa"/>
              <w:right w:w="15" w:type="dxa"/>
            </w:tcMar>
            <w:vAlign w:val="center"/>
          </w:tcPr>
          <w:p w14:paraId="0A87DFB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lang w:eastAsia="zh-CN"/>
              </w:rPr>
              <w:t>《中华人民共和国招标投标法》</w:t>
            </w:r>
            <w:r>
              <w:rPr>
                <w:rFonts w:hint="eastAsia" w:ascii="仿宋_GB2312" w:hAnsi="宋体" w:eastAsia="仿宋_GB2312"/>
                <w:b/>
                <w:bCs/>
                <w:color w:val="auto"/>
                <w:kern w:val="0"/>
                <w:sz w:val="13"/>
                <w:szCs w:val="13"/>
                <w:highlight w:val="none"/>
              </w:rPr>
              <w:t>第五十六条</w:t>
            </w:r>
            <w:r>
              <w:rPr>
                <w:rFonts w:hint="eastAsia" w:ascii="仿宋_GB2312" w:hAnsi="宋体" w:eastAsia="仿宋_GB2312"/>
                <w:b/>
                <w:bCs/>
                <w:color w:val="auto"/>
                <w:kern w:val="0"/>
                <w:sz w:val="13"/>
                <w:szCs w:val="13"/>
                <w:highlight w:val="none"/>
                <w:lang w:eastAsia="zh-CN"/>
              </w:rPr>
              <w:t>：</w:t>
            </w:r>
            <w:r>
              <w:rPr>
                <w:rFonts w:hint="eastAsia" w:ascii="仿宋_GB2312" w:hAnsi="宋体" w:eastAsia="仿宋_GB2312"/>
                <w:color w:val="auto"/>
                <w:kern w:val="0"/>
                <w:sz w:val="13"/>
                <w:szCs w:val="13"/>
                <w:highlight w:val="none"/>
              </w:rPr>
              <w:t>评标委员会成员收受投标人的财物或者其他好处的，评标委员会成员或者参加评标的有关工作人员向他人透露对投标文件评审和比较、中标候选人的推荐以及与评标有关的其他情况的，给予警告，没收收受的财物，可以并处三千元以上五万元以下的罚款，对有所列违法行为的评标委员会成员取消担任评标委员会成员的资格，不得再参加任何依法必须进行招标的项目的评标；构成犯罪的，依法追究刑事责任。</w:t>
            </w:r>
          </w:p>
          <w:p w14:paraId="128520C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p w14:paraId="1A4D7FA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《中华人民共和国招标投标法实施条例》</w:t>
            </w:r>
            <w:r>
              <w:rPr>
                <w:rFonts w:hint="eastAsia" w:ascii="仿宋_GB2312" w:hAnsi="宋体" w:eastAsia="仿宋_GB2312"/>
                <w:b/>
                <w:bCs/>
                <w:color w:val="auto"/>
                <w:kern w:val="0"/>
                <w:sz w:val="13"/>
                <w:szCs w:val="13"/>
                <w:highlight w:val="none"/>
              </w:rPr>
              <w:t>第七十二条</w:t>
            </w:r>
            <w:r>
              <w:rPr>
                <w:rFonts w:hint="eastAsia" w:ascii="仿宋_GB2312" w:hAnsi="宋体" w:eastAsia="仿宋_GB2312"/>
                <w:b/>
                <w:bCs/>
                <w:color w:val="auto"/>
                <w:kern w:val="0"/>
                <w:sz w:val="13"/>
                <w:szCs w:val="13"/>
                <w:highlight w:val="none"/>
                <w:lang w:eastAsia="zh-CN"/>
              </w:rPr>
              <w:t>：</w:t>
            </w:r>
            <w:r>
              <w:rPr>
                <w:rFonts w:hint="eastAsia" w:ascii="仿宋_GB2312" w:hAnsi="宋体" w:eastAsia="仿宋_GB2312"/>
                <w:color w:val="auto"/>
                <w:kern w:val="0"/>
                <w:sz w:val="13"/>
                <w:szCs w:val="13"/>
                <w:highlight w:val="none"/>
              </w:rPr>
              <w:t>评标委员会成员收受投标人的财物或者其他好处的，没收收受的财物，处3000元以上5万元以下的罚款，取消担任评标委员会成员的资格，不得再参加依法必须进行招标的项目的评标；构成犯罪的，依法追究刑事责任。</w:t>
            </w:r>
          </w:p>
          <w:p w14:paraId="38DC710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hint="eastAsia" w:ascii="仿宋_GB2312" w:hAnsi="宋体" w:eastAsia="仿宋_GB2312"/>
                <w:color w:val="auto"/>
                <w:kern w:val="0"/>
                <w:sz w:val="13"/>
                <w:szCs w:val="13"/>
                <w:highlight w:val="none"/>
              </w:rPr>
            </w:pPr>
          </w:p>
        </w:tc>
        <w:tc>
          <w:tcPr>
            <w:tcW w:w="823" w:type="dxa"/>
            <w:tcBorders>
              <w:tl2br w:val="nil"/>
              <w:tr2bl w:val="nil"/>
            </w:tcBorders>
            <w:tcMar>
              <w:top w:w="15" w:type="dxa"/>
              <w:left w:w="15" w:type="dxa"/>
              <w:bottom w:w="15" w:type="dxa"/>
              <w:right w:w="15" w:type="dxa"/>
            </w:tcMar>
            <w:vAlign w:val="center"/>
          </w:tcPr>
          <w:p w14:paraId="1387993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tcMar>
              <w:top w:w="15" w:type="dxa"/>
              <w:left w:w="15" w:type="dxa"/>
              <w:bottom w:w="15" w:type="dxa"/>
              <w:right w:w="15" w:type="dxa"/>
            </w:tcMar>
            <w:vAlign w:val="center"/>
          </w:tcPr>
          <w:p w14:paraId="4625B5CD">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尚未影响到招标活动正常进行的。</w:t>
            </w:r>
          </w:p>
        </w:tc>
        <w:tc>
          <w:tcPr>
            <w:tcW w:w="3058" w:type="dxa"/>
            <w:tcBorders>
              <w:tl2br w:val="nil"/>
              <w:tr2bl w:val="nil"/>
            </w:tcBorders>
            <w:tcMar>
              <w:top w:w="15" w:type="dxa"/>
              <w:left w:w="15" w:type="dxa"/>
              <w:bottom w:w="15" w:type="dxa"/>
              <w:right w:w="15" w:type="dxa"/>
            </w:tcMar>
            <w:vAlign w:val="center"/>
          </w:tcPr>
          <w:p w14:paraId="05EA73D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给予警告，没收收受的财物,可以处3千元以上2万元以下的罚款；取消担任评标委员会成员的资格，不得再参加任何依法必须进行招标的项目的评标。</w:t>
            </w:r>
          </w:p>
        </w:tc>
      </w:tr>
      <w:tr w14:paraId="58142A3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980" w:hRule="atLeast"/>
          <w:jc w:val="center"/>
        </w:trPr>
        <w:tc>
          <w:tcPr>
            <w:tcW w:w="443" w:type="dxa"/>
            <w:gridSpan w:val="2"/>
            <w:vMerge w:val="continue"/>
            <w:tcBorders>
              <w:tl2br w:val="nil"/>
              <w:tr2bl w:val="nil"/>
            </w:tcBorders>
            <w:vAlign w:val="center"/>
          </w:tcPr>
          <w:p w14:paraId="78A9A6F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46F24F3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22C32AC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tc>
        <w:tc>
          <w:tcPr>
            <w:tcW w:w="823" w:type="dxa"/>
            <w:tcBorders>
              <w:tl2br w:val="nil"/>
              <w:tr2bl w:val="nil"/>
            </w:tcBorders>
            <w:tcMar>
              <w:top w:w="15" w:type="dxa"/>
              <w:left w:w="15" w:type="dxa"/>
              <w:bottom w:w="15" w:type="dxa"/>
              <w:right w:w="15" w:type="dxa"/>
            </w:tcMar>
            <w:vAlign w:val="center"/>
          </w:tcPr>
          <w:p w14:paraId="6577007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一般情节</w:t>
            </w:r>
          </w:p>
        </w:tc>
        <w:tc>
          <w:tcPr>
            <w:tcW w:w="3437" w:type="dxa"/>
            <w:gridSpan w:val="2"/>
            <w:tcBorders>
              <w:tl2br w:val="nil"/>
              <w:tr2bl w:val="nil"/>
            </w:tcBorders>
            <w:tcMar>
              <w:top w:w="15" w:type="dxa"/>
              <w:left w:w="15" w:type="dxa"/>
              <w:bottom w:w="15" w:type="dxa"/>
              <w:right w:w="15" w:type="dxa"/>
            </w:tcMar>
            <w:vAlign w:val="center"/>
          </w:tcPr>
          <w:p w14:paraId="4E780F75">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影响到招标活动正常进行的。</w:t>
            </w:r>
          </w:p>
        </w:tc>
        <w:tc>
          <w:tcPr>
            <w:tcW w:w="3058" w:type="dxa"/>
            <w:tcBorders>
              <w:tl2br w:val="nil"/>
              <w:tr2bl w:val="nil"/>
            </w:tcBorders>
            <w:tcMar>
              <w:top w:w="15" w:type="dxa"/>
              <w:left w:w="15" w:type="dxa"/>
              <w:bottom w:w="15" w:type="dxa"/>
              <w:right w:w="15" w:type="dxa"/>
            </w:tcMar>
            <w:vAlign w:val="center"/>
          </w:tcPr>
          <w:p w14:paraId="43224EE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给予警告，没收收受的财物,处2万元以上4万元以下的罚款；取消担任评标委员会成员的资格，不得再参加任何依法必须进行招标的项目的评标。</w:t>
            </w:r>
          </w:p>
        </w:tc>
      </w:tr>
      <w:tr w14:paraId="53BAADB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789" w:hRule="atLeast"/>
          <w:jc w:val="center"/>
        </w:trPr>
        <w:tc>
          <w:tcPr>
            <w:tcW w:w="443" w:type="dxa"/>
            <w:gridSpan w:val="2"/>
            <w:vMerge w:val="continue"/>
            <w:tcBorders>
              <w:tl2br w:val="nil"/>
              <w:tr2bl w:val="nil"/>
            </w:tcBorders>
            <w:vAlign w:val="center"/>
          </w:tcPr>
          <w:p w14:paraId="7978EDE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15FA968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21EA161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tc>
        <w:tc>
          <w:tcPr>
            <w:tcW w:w="823" w:type="dxa"/>
            <w:tcBorders>
              <w:tl2br w:val="nil"/>
              <w:tr2bl w:val="nil"/>
            </w:tcBorders>
            <w:tcMar>
              <w:top w:w="15" w:type="dxa"/>
              <w:left w:w="15" w:type="dxa"/>
              <w:bottom w:w="15" w:type="dxa"/>
              <w:right w:w="15" w:type="dxa"/>
            </w:tcMar>
            <w:vAlign w:val="center"/>
          </w:tcPr>
          <w:p w14:paraId="247DC02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从重情节</w:t>
            </w:r>
          </w:p>
        </w:tc>
        <w:tc>
          <w:tcPr>
            <w:tcW w:w="3437" w:type="dxa"/>
            <w:gridSpan w:val="2"/>
            <w:tcBorders>
              <w:tl2br w:val="nil"/>
              <w:tr2bl w:val="nil"/>
            </w:tcBorders>
            <w:tcMar>
              <w:top w:w="15" w:type="dxa"/>
              <w:left w:w="15" w:type="dxa"/>
              <w:bottom w:w="15" w:type="dxa"/>
              <w:right w:w="15" w:type="dxa"/>
            </w:tcMar>
            <w:vAlign w:val="center"/>
          </w:tcPr>
          <w:p w14:paraId="09F38493">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10" w:firstLineChars="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导致中标结果无效的</w:t>
            </w:r>
            <w:r>
              <w:rPr>
                <w:rFonts w:hint="eastAsia" w:ascii="仿宋_GB2312" w:hAnsi="宋体" w:eastAsia="仿宋_GB2312"/>
                <w:color w:val="auto"/>
                <w:kern w:val="0"/>
                <w:sz w:val="13"/>
                <w:szCs w:val="13"/>
                <w:highlight w:val="none"/>
                <w:lang w:eastAsia="zh-CN"/>
              </w:rPr>
              <w:t>，</w:t>
            </w:r>
            <w:r>
              <w:rPr>
                <w:rFonts w:hint="eastAsia" w:ascii="仿宋_GB2312" w:hAnsi="宋体" w:eastAsia="仿宋_GB2312"/>
                <w:color w:val="auto"/>
                <w:kern w:val="0"/>
                <w:sz w:val="13"/>
                <w:szCs w:val="13"/>
                <w:highlight w:val="none"/>
                <w:lang w:val="en-US" w:eastAsia="zh-CN"/>
              </w:rPr>
              <w:t>或</w:t>
            </w:r>
            <w:r>
              <w:rPr>
                <w:rFonts w:hint="eastAsia" w:ascii="仿宋_GB2312" w:hAnsi="宋体" w:eastAsia="仿宋_GB2312"/>
                <w:color w:val="auto"/>
                <w:kern w:val="0"/>
                <w:sz w:val="13"/>
                <w:szCs w:val="13"/>
                <w:highlight w:val="none"/>
              </w:rPr>
              <w:t>其他情节恶劣，或造成严重后果的。</w:t>
            </w:r>
          </w:p>
        </w:tc>
        <w:tc>
          <w:tcPr>
            <w:tcW w:w="3058" w:type="dxa"/>
            <w:tcBorders>
              <w:tl2br w:val="nil"/>
              <w:tr2bl w:val="nil"/>
            </w:tcBorders>
            <w:tcMar>
              <w:top w:w="15" w:type="dxa"/>
              <w:left w:w="15" w:type="dxa"/>
              <w:bottom w:w="15" w:type="dxa"/>
              <w:right w:w="15" w:type="dxa"/>
            </w:tcMar>
            <w:vAlign w:val="center"/>
          </w:tcPr>
          <w:p w14:paraId="5759E5B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给予警告，没收收受的财物,处4万元以上5万元以下的罚款；取消担任评标委员会成员的资格，不得再参加任何依法必须进行招标的项目的评标。</w:t>
            </w:r>
          </w:p>
          <w:p w14:paraId="627F949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tc>
      </w:tr>
      <w:tr w14:paraId="6FF88BA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468" w:hRule="atLeast"/>
          <w:jc w:val="center"/>
        </w:trPr>
        <w:tc>
          <w:tcPr>
            <w:tcW w:w="443" w:type="dxa"/>
            <w:gridSpan w:val="2"/>
            <w:vMerge w:val="restart"/>
            <w:tcBorders>
              <w:tl2br w:val="nil"/>
              <w:tr2bl w:val="nil"/>
            </w:tcBorders>
            <w:tcMar>
              <w:top w:w="15" w:type="dxa"/>
              <w:left w:w="15" w:type="dxa"/>
              <w:bottom w:w="15" w:type="dxa"/>
              <w:right w:w="15" w:type="dxa"/>
            </w:tcMar>
            <w:vAlign w:val="center"/>
          </w:tcPr>
          <w:p w14:paraId="6656E04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textAlignment w:val="center"/>
              <w:rPr>
                <w:rFonts w:ascii="仿宋_GB2312" w:hAnsi="宋体" w:eastAsia="仿宋_GB2312" w:cs="Times New Roman"/>
                <w:color w:val="auto"/>
                <w:sz w:val="13"/>
                <w:szCs w:val="13"/>
                <w:highlight w:val="none"/>
              </w:rPr>
            </w:pPr>
            <w:r>
              <w:rPr>
                <w:rFonts w:hint="eastAsia" w:ascii="仿宋_GB2312" w:hAnsi="宋体" w:eastAsia="仿宋_GB2312" w:cs="Times New Roman"/>
                <w:color w:val="auto"/>
                <w:kern w:val="0"/>
                <w:sz w:val="13"/>
                <w:szCs w:val="13"/>
                <w:highlight w:val="none"/>
              </w:rPr>
              <w:t>8</w:t>
            </w:r>
          </w:p>
        </w:tc>
        <w:tc>
          <w:tcPr>
            <w:tcW w:w="1550" w:type="dxa"/>
            <w:vMerge w:val="restart"/>
            <w:tcBorders>
              <w:tl2br w:val="nil"/>
              <w:tr2bl w:val="nil"/>
            </w:tcBorders>
            <w:tcMar>
              <w:top w:w="15" w:type="dxa"/>
              <w:left w:w="15" w:type="dxa"/>
              <w:bottom w:w="15" w:type="dxa"/>
              <w:right w:w="15" w:type="dxa"/>
            </w:tcMar>
            <w:vAlign w:val="center"/>
          </w:tcPr>
          <w:p w14:paraId="0EA9E0C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招标人在评标委员会依法推荐的中标候选人以外确定中标人的、依法必须进行招标的项目在所有投标被评标委员会否决后自行确定中标人的</w:t>
            </w:r>
          </w:p>
        </w:tc>
        <w:tc>
          <w:tcPr>
            <w:tcW w:w="4820" w:type="dxa"/>
            <w:vMerge w:val="restart"/>
            <w:tcBorders>
              <w:tl2br w:val="nil"/>
              <w:tr2bl w:val="nil"/>
            </w:tcBorders>
            <w:tcMar>
              <w:top w:w="15" w:type="dxa"/>
              <w:left w:w="15" w:type="dxa"/>
              <w:bottom w:w="15" w:type="dxa"/>
              <w:right w:w="15" w:type="dxa"/>
            </w:tcMar>
            <w:vAlign w:val="center"/>
          </w:tcPr>
          <w:p w14:paraId="357E241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lang w:eastAsia="zh-CN"/>
              </w:rPr>
              <w:t>《中华人民共和国招标投标法》</w:t>
            </w:r>
            <w:r>
              <w:rPr>
                <w:rFonts w:hint="eastAsia" w:ascii="仿宋_GB2312" w:hAnsi="宋体" w:eastAsia="仿宋_GB2312"/>
                <w:b/>
                <w:bCs/>
                <w:color w:val="auto"/>
                <w:kern w:val="0"/>
                <w:sz w:val="13"/>
                <w:szCs w:val="13"/>
                <w:highlight w:val="none"/>
              </w:rPr>
              <w:t>第五十七条</w:t>
            </w:r>
            <w:r>
              <w:rPr>
                <w:rFonts w:hint="eastAsia" w:ascii="仿宋_GB2312" w:hAnsi="宋体" w:eastAsia="仿宋_GB2312"/>
                <w:b/>
                <w:bCs/>
                <w:color w:val="auto"/>
                <w:kern w:val="0"/>
                <w:sz w:val="13"/>
                <w:szCs w:val="13"/>
                <w:highlight w:val="none"/>
                <w:lang w:eastAsia="zh-CN"/>
              </w:rPr>
              <w:t>：</w:t>
            </w:r>
            <w:r>
              <w:rPr>
                <w:rFonts w:hint="eastAsia" w:ascii="仿宋_GB2312" w:hAnsi="宋体" w:eastAsia="仿宋_GB2312"/>
                <w:color w:val="auto"/>
                <w:kern w:val="0"/>
                <w:sz w:val="13"/>
                <w:szCs w:val="13"/>
                <w:highlight w:val="none"/>
              </w:rPr>
              <w:t>招标人在评标委员会依法推荐的中标候选人以外确定中标人的，依法必须进行招标的项目在所有投标被评标委员会否决后自行确定中标人的，中标无效。责令改正，可以处中标项目金额千分之五以上千分之十以下的罚款；对单位直接负责的主管人员和其他直接责任人员依法给予处分。</w:t>
            </w:r>
          </w:p>
        </w:tc>
        <w:tc>
          <w:tcPr>
            <w:tcW w:w="823" w:type="dxa"/>
            <w:tcBorders>
              <w:tl2br w:val="nil"/>
              <w:tr2bl w:val="nil"/>
            </w:tcBorders>
            <w:tcMar>
              <w:top w:w="15" w:type="dxa"/>
              <w:left w:w="15" w:type="dxa"/>
              <w:bottom w:w="15" w:type="dxa"/>
              <w:right w:w="15" w:type="dxa"/>
            </w:tcMar>
            <w:vAlign w:val="center"/>
          </w:tcPr>
          <w:p w14:paraId="47A877D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tcMar>
              <w:top w:w="15" w:type="dxa"/>
              <w:left w:w="15" w:type="dxa"/>
              <w:bottom w:w="15" w:type="dxa"/>
              <w:right w:w="15" w:type="dxa"/>
            </w:tcMar>
            <w:vAlign w:val="center"/>
          </w:tcPr>
          <w:p w14:paraId="01D5DB13">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及时纠正，未造成严重后果的。</w:t>
            </w:r>
          </w:p>
        </w:tc>
        <w:tc>
          <w:tcPr>
            <w:tcW w:w="3058" w:type="dxa"/>
            <w:tcBorders>
              <w:tl2br w:val="nil"/>
              <w:tr2bl w:val="nil"/>
            </w:tcBorders>
            <w:tcMar>
              <w:top w:w="15" w:type="dxa"/>
              <w:left w:w="15" w:type="dxa"/>
              <w:bottom w:w="15" w:type="dxa"/>
              <w:right w:w="15" w:type="dxa"/>
            </w:tcMar>
            <w:vAlign w:val="center"/>
          </w:tcPr>
          <w:p w14:paraId="0504671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中标无效；责令改正，可以处中标项目金额千分之五以上千分之六点五以下的罚款。</w:t>
            </w:r>
          </w:p>
        </w:tc>
      </w:tr>
      <w:tr w14:paraId="240D01E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441" w:hRule="atLeast"/>
          <w:jc w:val="center"/>
        </w:trPr>
        <w:tc>
          <w:tcPr>
            <w:tcW w:w="443" w:type="dxa"/>
            <w:gridSpan w:val="2"/>
            <w:vMerge w:val="continue"/>
            <w:tcBorders>
              <w:tl2br w:val="nil"/>
              <w:tr2bl w:val="nil"/>
            </w:tcBorders>
            <w:vAlign w:val="center"/>
          </w:tcPr>
          <w:p w14:paraId="7F87C05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7F2C935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13DDF0D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tc>
        <w:tc>
          <w:tcPr>
            <w:tcW w:w="823" w:type="dxa"/>
            <w:tcBorders>
              <w:tl2br w:val="nil"/>
              <w:tr2bl w:val="nil"/>
            </w:tcBorders>
            <w:tcMar>
              <w:top w:w="15" w:type="dxa"/>
              <w:left w:w="15" w:type="dxa"/>
              <w:bottom w:w="15" w:type="dxa"/>
              <w:right w:w="15" w:type="dxa"/>
            </w:tcMar>
            <w:vAlign w:val="center"/>
          </w:tcPr>
          <w:p w14:paraId="2A6765A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一般情节</w:t>
            </w:r>
          </w:p>
        </w:tc>
        <w:tc>
          <w:tcPr>
            <w:tcW w:w="3437" w:type="dxa"/>
            <w:gridSpan w:val="2"/>
            <w:tcBorders>
              <w:tl2br w:val="nil"/>
              <w:tr2bl w:val="nil"/>
            </w:tcBorders>
            <w:tcMar>
              <w:top w:w="15" w:type="dxa"/>
              <w:left w:w="15" w:type="dxa"/>
              <w:bottom w:w="15" w:type="dxa"/>
              <w:right w:w="15" w:type="dxa"/>
            </w:tcMar>
            <w:vAlign w:val="center"/>
          </w:tcPr>
          <w:p w14:paraId="2A59E89D">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未及时纠正，未造成严重后果的。</w:t>
            </w:r>
          </w:p>
        </w:tc>
        <w:tc>
          <w:tcPr>
            <w:tcW w:w="3058" w:type="dxa"/>
            <w:tcBorders>
              <w:tl2br w:val="nil"/>
              <w:tr2bl w:val="nil"/>
            </w:tcBorders>
            <w:tcMar>
              <w:top w:w="15" w:type="dxa"/>
              <w:left w:w="15" w:type="dxa"/>
              <w:bottom w:w="15" w:type="dxa"/>
              <w:right w:w="15" w:type="dxa"/>
            </w:tcMar>
            <w:vAlign w:val="center"/>
          </w:tcPr>
          <w:p w14:paraId="7DF502B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中标无效；责令改正，处中标项目金额千分之六点五以上千分之八点五以下的罚款。</w:t>
            </w:r>
          </w:p>
        </w:tc>
      </w:tr>
      <w:tr w14:paraId="392E462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923" w:hRule="atLeast"/>
          <w:jc w:val="center"/>
        </w:trPr>
        <w:tc>
          <w:tcPr>
            <w:tcW w:w="443" w:type="dxa"/>
            <w:gridSpan w:val="2"/>
            <w:vMerge w:val="continue"/>
            <w:tcBorders>
              <w:tl2br w:val="nil"/>
              <w:tr2bl w:val="nil"/>
            </w:tcBorders>
            <w:vAlign w:val="center"/>
          </w:tcPr>
          <w:p w14:paraId="7B79FAA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1E5F729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61BA47C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tc>
        <w:tc>
          <w:tcPr>
            <w:tcW w:w="823" w:type="dxa"/>
            <w:tcBorders>
              <w:tl2br w:val="nil"/>
              <w:tr2bl w:val="nil"/>
            </w:tcBorders>
            <w:tcMar>
              <w:top w:w="15" w:type="dxa"/>
              <w:left w:w="15" w:type="dxa"/>
              <w:bottom w:w="15" w:type="dxa"/>
              <w:right w:w="15" w:type="dxa"/>
            </w:tcMar>
            <w:vAlign w:val="center"/>
          </w:tcPr>
          <w:p w14:paraId="795CCC2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从重情节</w:t>
            </w:r>
          </w:p>
        </w:tc>
        <w:tc>
          <w:tcPr>
            <w:tcW w:w="3437" w:type="dxa"/>
            <w:gridSpan w:val="2"/>
            <w:tcBorders>
              <w:tl2br w:val="nil"/>
              <w:tr2bl w:val="nil"/>
            </w:tcBorders>
            <w:tcMar>
              <w:top w:w="15" w:type="dxa"/>
              <w:left w:w="15" w:type="dxa"/>
              <w:bottom w:w="15" w:type="dxa"/>
              <w:right w:w="15" w:type="dxa"/>
            </w:tcMar>
            <w:vAlign w:val="center"/>
          </w:tcPr>
          <w:p w14:paraId="32E13F28">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未及时纠正，造成严重危害后果的。</w:t>
            </w:r>
          </w:p>
        </w:tc>
        <w:tc>
          <w:tcPr>
            <w:tcW w:w="3058" w:type="dxa"/>
            <w:tcBorders>
              <w:tl2br w:val="nil"/>
              <w:tr2bl w:val="nil"/>
            </w:tcBorders>
            <w:tcMar>
              <w:top w:w="15" w:type="dxa"/>
              <w:left w:w="15" w:type="dxa"/>
              <w:bottom w:w="15" w:type="dxa"/>
              <w:right w:w="15" w:type="dxa"/>
            </w:tcMar>
            <w:vAlign w:val="center"/>
          </w:tcPr>
          <w:p w14:paraId="3C45E93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中标无效；责令改正，处中标项目金额千分之八点五以上千分之十以下的罚款。</w:t>
            </w:r>
          </w:p>
        </w:tc>
      </w:tr>
      <w:tr w14:paraId="1AAA794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9" w:hRule="atLeast"/>
          <w:jc w:val="center"/>
        </w:trPr>
        <w:tc>
          <w:tcPr>
            <w:tcW w:w="443" w:type="dxa"/>
            <w:gridSpan w:val="2"/>
            <w:vMerge w:val="restart"/>
            <w:tcBorders>
              <w:tl2br w:val="nil"/>
              <w:tr2bl w:val="nil"/>
            </w:tcBorders>
            <w:tcMar>
              <w:top w:w="15" w:type="dxa"/>
              <w:left w:w="15" w:type="dxa"/>
              <w:bottom w:w="15" w:type="dxa"/>
              <w:right w:w="15" w:type="dxa"/>
            </w:tcMar>
            <w:vAlign w:val="center"/>
          </w:tcPr>
          <w:p w14:paraId="5DB6890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color w:val="auto"/>
                <w:kern w:val="0"/>
                <w:sz w:val="13"/>
                <w:szCs w:val="13"/>
                <w:highlight w:val="none"/>
              </w:rPr>
            </w:pPr>
          </w:p>
          <w:p w14:paraId="08E1C43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color w:val="auto"/>
                <w:kern w:val="0"/>
                <w:sz w:val="13"/>
                <w:szCs w:val="13"/>
                <w:highlight w:val="none"/>
              </w:rPr>
            </w:pPr>
          </w:p>
          <w:p w14:paraId="1A6A2E6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color w:val="auto"/>
                <w:kern w:val="0"/>
                <w:sz w:val="13"/>
                <w:szCs w:val="13"/>
                <w:highlight w:val="none"/>
              </w:rPr>
            </w:pPr>
          </w:p>
          <w:p w14:paraId="2ABAEA8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color w:val="auto"/>
                <w:sz w:val="13"/>
                <w:szCs w:val="13"/>
                <w:highlight w:val="none"/>
              </w:rPr>
            </w:pPr>
            <w:r>
              <w:rPr>
                <w:rFonts w:hint="eastAsia" w:ascii="仿宋_GB2312" w:hAnsi="宋体" w:eastAsia="仿宋_GB2312" w:cs="Times New Roman"/>
                <w:color w:val="auto"/>
                <w:kern w:val="0"/>
                <w:sz w:val="13"/>
                <w:szCs w:val="13"/>
                <w:highlight w:val="none"/>
              </w:rPr>
              <w:t>9</w:t>
            </w:r>
          </w:p>
        </w:tc>
        <w:tc>
          <w:tcPr>
            <w:tcW w:w="1550" w:type="dxa"/>
            <w:vMerge w:val="restart"/>
            <w:tcBorders>
              <w:tl2br w:val="nil"/>
              <w:tr2bl w:val="nil"/>
            </w:tcBorders>
            <w:tcMar>
              <w:top w:w="15" w:type="dxa"/>
              <w:left w:w="15" w:type="dxa"/>
              <w:bottom w:w="15" w:type="dxa"/>
              <w:right w:w="15" w:type="dxa"/>
            </w:tcMar>
            <w:vAlign w:val="center"/>
          </w:tcPr>
          <w:p w14:paraId="0B20881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p w14:paraId="27560F4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中标人将中标项目转让给他人的，将中标项目肢解后分别转让给他人的，违反本法规定将中标项目的部分主体、关键性工作分包给他人的，或者分包人再次分包的</w:t>
            </w:r>
          </w:p>
        </w:tc>
        <w:tc>
          <w:tcPr>
            <w:tcW w:w="4820" w:type="dxa"/>
            <w:vMerge w:val="restart"/>
            <w:tcBorders>
              <w:tl2br w:val="nil"/>
              <w:tr2bl w:val="nil"/>
            </w:tcBorders>
            <w:tcMar>
              <w:top w:w="15" w:type="dxa"/>
              <w:left w:w="15" w:type="dxa"/>
              <w:bottom w:w="15" w:type="dxa"/>
              <w:right w:w="15" w:type="dxa"/>
            </w:tcMar>
            <w:vAlign w:val="center"/>
          </w:tcPr>
          <w:p w14:paraId="7BCB5EA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lang w:eastAsia="zh-CN"/>
              </w:rPr>
              <w:t>《中华人民共和国招标投标法》</w:t>
            </w:r>
            <w:r>
              <w:rPr>
                <w:rFonts w:hint="eastAsia" w:ascii="仿宋_GB2312" w:hAnsi="宋体" w:eastAsia="仿宋_GB2312"/>
                <w:b/>
                <w:bCs/>
                <w:color w:val="auto"/>
                <w:kern w:val="0"/>
                <w:sz w:val="13"/>
                <w:szCs w:val="13"/>
                <w:highlight w:val="none"/>
              </w:rPr>
              <w:t>第五十八条</w:t>
            </w:r>
            <w:r>
              <w:rPr>
                <w:rFonts w:hint="eastAsia" w:ascii="仿宋_GB2312" w:hAnsi="宋体" w:eastAsia="仿宋_GB2312"/>
                <w:b/>
                <w:bCs/>
                <w:color w:val="auto"/>
                <w:kern w:val="0"/>
                <w:sz w:val="13"/>
                <w:szCs w:val="13"/>
                <w:highlight w:val="none"/>
                <w:lang w:eastAsia="zh-CN"/>
              </w:rPr>
              <w:t>：</w:t>
            </w:r>
            <w:r>
              <w:rPr>
                <w:rFonts w:hint="eastAsia" w:ascii="仿宋_GB2312" w:hAnsi="宋体" w:eastAsia="仿宋_GB2312"/>
                <w:color w:val="auto"/>
                <w:kern w:val="0"/>
                <w:sz w:val="13"/>
                <w:szCs w:val="13"/>
                <w:highlight w:val="none"/>
              </w:rPr>
              <w:t>中标人将中标项目转让给他人的，将中标项目肢解后分别转让给他人的，违反本法规定将中标项目的部分主体、关键性工作分包给他人的，或者分包人再次分包的，转让、分包无效，处转让、分包项目金额千分之五以上千分之十以下的罚款；有违法所得的，并处没收违法所得；可以责令停业整顿；情节严重的，由工商行政管理机关吊销营业执照。</w:t>
            </w:r>
          </w:p>
          <w:p w14:paraId="2957CEEA">
            <w:pPr>
              <w:pStyle w:val="19"/>
              <w:keepNext w:val="0"/>
              <w:keepLines w:val="0"/>
              <w:pageBreakBefore w:val="0"/>
              <w:kinsoku/>
              <w:overflowPunct/>
              <w:topLinePunct w:val="0"/>
              <w:autoSpaceDE/>
              <w:autoSpaceDN/>
              <w:bidi w:val="0"/>
              <w:adjustRightInd/>
              <w:snapToGrid/>
              <w:spacing w:before="0" w:beforeAutospacing="0" w:after="0" w:afterAutospacing="0" w:line="260" w:lineRule="exact"/>
              <w:ind w:left="0" w:leftChars="0" w:right="0" w:rightChars="0"/>
              <w:rPr>
                <w:rFonts w:ascii="仿宋_GB2312" w:hAnsi="宋体" w:eastAsia="仿宋_GB2312"/>
                <w:color w:val="auto"/>
                <w:kern w:val="0"/>
                <w:sz w:val="13"/>
                <w:szCs w:val="13"/>
                <w:highlight w:val="none"/>
              </w:rPr>
            </w:pPr>
            <w:r>
              <w:rPr>
                <w:rFonts w:hint="eastAsia" w:ascii="仿宋_GB2312" w:hAnsi="宋体" w:eastAsia="仿宋_GB2312" w:cstheme="minorBidi"/>
                <w:color w:val="auto"/>
                <w:kern w:val="0"/>
                <w:sz w:val="13"/>
                <w:szCs w:val="13"/>
                <w:highlight w:val="none"/>
                <w:lang w:val="en-US" w:eastAsia="zh-CN" w:bidi="ar-SA"/>
              </w:rPr>
              <w:t>《中华人民共和国招标投标法实施条例》</w:t>
            </w:r>
            <w:r>
              <w:rPr>
                <w:rFonts w:hint="eastAsia" w:ascii="仿宋_GB2312" w:hAnsi="宋体" w:eastAsia="仿宋_GB2312" w:cstheme="minorBidi"/>
                <w:b/>
                <w:bCs/>
                <w:color w:val="auto"/>
                <w:kern w:val="0"/>
                <w:sz w:val="13"/>
                <w:szCs w:val="13"/>
                <w:highlight w:val="none"/>
                <w:lang w:val="en-US" w:eastAsia="zh-CN" w:bidi="ar-SA"/>
              </w:rPr>
              <w:t>第七十六条：</w:t>
            </w:r>
            <w:r>
              <w:rPr>
                <w:rFonts w:hint="eastAsia" w:ascii="仿宋_GB2312" w:hAnsi="宋体" w:eastAsia="仿宋_GB2312" w:cstheme="minorBidi"/>
                <w:color w:val="auto"/>
                <w:kern w:val="0"/>
                <w:sz w:val="13"/>
                <w:szCs w:val="13"/>
                <w:highlight w:val="none"/>
                <w:lang w:val="en-US" w:eastAsia="zh-CN" w:bidi="ar-SA"/>
              </w:rPr>
              <w:t>中标人将中标项目转让给他人的，将中标项目肢解后分别转让给他人的，违反招标投标法和本条例规定将中标项目的部分主体、关键性工作分包给他人的，或者分包人再次分包的，转让、分包无效，处转让、分包项目金额5‰以上10‰以下的罚款；有违法所得的，并处没收违法所得；可以责令停业整顿；情节严重的，由工商行政管理机关吊销营业执照。</w:t>
            </w:r>
          </w:p>
        </w:tc>
        <w:tc>
          <w:tcPr>
            <w:tcW w:w="823" w:type="dxa"/>
            <w:tcBorders>
              <w:tl2br w:val="nil"/>
              <w:tr2bl w:val="nil"/>
            </w:tcBorders>
            <w:tcMar>
              <w:top w:w="15" w:type="dxa"/>
              <w:left w:w="15" w:type="dxa"/>
              <w:bottom w:w="15" w:type="dxa"/>
              <w:right w:w="15" w:type="dxa"/>
            </w:tcMar>
            <w:vAlign w:val="center"/>
          </w:tcPr>
          <w:p w14:paraId="697322A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tcMar>
              <w:top w:w="15" w:type="dxa"/>
              <w:left w:w="15" w:type="dxa"/>
              <w:bottom w:w="15" w:type="dxa"/>
              <w:right w:w="15" w:type="dxa"/>
            </w:tcMar>
            <w:vAlign w:val="center"/>
          </w:tcPr>
          <w:p w14:paraId="01CD6DA3">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初次违法，危害后果轻微，主动消除或减轻违法行为危害后果的。</w:t>
            </w:r>
          </w:p>
        </w:tc>
        <w:tc>
          <w:tcPr>
            <w:tcW w:w="3058" w:type="dxa"/>
            <w:tcBorders>
              <w:tl2br w:val="nil"/>
              <w:tr2bl w:val="nil"/>
            </w:tcBorders>
            <w:tcMar>
              <w:top w:w="15" w:type="dxa"/>
              <w:left w:w="15" w:type="dxa"/>
              <w:bottom w:w="15" w:type="dxa"/>
              <w:right w:w="15" w:type="dxa"/>
            </w:tcMar>
            <w:vAlign w:val="center"/>
          </w:tcPr>
          <w:p w14:paraId="26018B1E">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转让、分包无效，处转让、分包项目金额千分之五以上千分之六点五以下的罚款；有违法所得的，并处没收违法所得。</w:t>
            </w:r>
          </w:p>
        </w:tc>
      </w:tr>
      <w:tr w14:paraId="4D315AE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47" w:hRule="atLeast"/>
          <w:jc w:val="center"/>
        </w:trPr>
        <w:tc>
          <w:tcPr>
            <w:tcW w:w="443" w:type="dxa"/>
            <w:gridSpan w:val="2"/>
            <w:vMerge w:val="continue"/>
            <w:tcBorders>
              <w:tl2br w:val="nil"/>
              <w:tr2bl w:val="nil"/>
            </w:tcBorders>
            <w:vAlign w:val="center"/>
          </w:tcPr>
          <w:p w14:paraId="70F83B0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2E0B9E4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7EC157C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tc>
        <w:tc>
          <w:tcPr>
            <w:tcW w:w="823" w:type="dxa"/>
            <w:tcBorders>
              <w:tl2br w:val="nil"/>
              <w:tr2bl w:val="nil"/>
            </w:tcBorders>
            <w:tcMar>
              <w:top w:w="15" w:type="dxa"/>
              <w:left w:w="15" w:type="dxa"/>
              <w:bottom w:w="15" w:type="dxa"/>
              <w:right w:w="15" w:type="dxa"/>
            </w:tcMar>
            <w:vAlign w:val="center"/>
          </w:tcPr>
          <w:p w14:paraId="2B4BD15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一般情节</w:t>
            </w:r>
          </w:p>
        </w:tc>
        <w:tc>
          <w:tcPr>
            <w:tcW w:w="3437" w:type="dxa"/>
            <w:gridSpan w:val="2"/>
            <w:tcBorders>
              <w:tl2br w:val="nil"/>
              <w:tr2bl w:val="nil"/>
            </w:tcBorders>
            <w:tcMar>
              <w:top w:w="15" w:type="dxa"/>
              <w:left w:w="15" w:type="dxa"/>
              <w:bottom w:w="15" w:type="dxa"/>
              <w:right w:w="15" w:type="dxa"/>
            </w:tcMar>
            <w:vAlign w:val="center"/>
          </w:tcPr>
          <w:p w14:paraId="685D5D84">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不具有从轻、</w:t>
            </w:r>
            <w:r>
              <w:rPr>
                <w:rFonts w:hint="eastAsia" w:ascii="仿宋_GB2312" w:hAnsi="宋体" w:eastAsia="仿宋_GB2312"/>
                <w:color w:val="auto"/>
                <w:kern w:val="0"/>
                <w:sz w:val="13"/>
                <w:szCs w:val="13"/>
                <w:highlight w:val="none"/>
                <w:lang w:eastAsia="zh-CN"/>
              </w:rPr>
              <w:t>从重情节</w:t>
            </w:r>
            <w:r>
              <w:rPr>
                <w:rFonts w:hint="eastAsia" w:ascii="仿宋_GB2312" w:hAnsi="宋体" w:eastAsia="仿宋_GB2312"/>
                <w:color w:val="auto"/>
                <w:kern w:val="0"/>
                <w:sz w:val="13"/>
                <w:szCs w:val="13"/>
                <w:highlight w:val="none"/>
              </w:rPr>
              <w:t>的。</w:t>
            </w:r>
          </w:p>
        </w:tc>
        <w:tc>
          <w:tcPr>
            <w:tcW w:w="3058" w:type="dxa"/>
            <w:tcBorders>
              <w:tl2br w:val="nil"/>
              <w:tr2bl w:val="nil"/>
            </w:tcBorders>
            <w:tcMar>
              <w:top w:w="15" w:type="dxa"/>
              <w:left w:w="15" w:type="dxa"/>
              <w:bottom w:w="15" w:type="dxa"/>
              <w:right w:w="15" w:type="dxa"/>
            </w:tcMar>
            <w:vAlign w:val="center"/>
          </w:tcPr>
          <w:p w14:paraId="2740AE23">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转让、分包无效，处转让、分包项目金额千分之六点五以上千分之八点五以下的罚款,有违法所得的，并处没收违法所得。</w:t>
            </w:r>
          </w:p>
        </w:tc>
      </w:tr>
      <w:tr w14:paraId="57F6A24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85" w:hRule="atLeast"/>
          <w:jc w:val="center"/>
        </w:trPr>
        <w:tc>
          <w:tcPr>
            <w:tcW w:w="443" w:type="dxa"/>
            <w:gridSpan w:val="2"/>
            <w:vMerge w:val="continue"/>
            <w:tcBorders>
              <w:tl2br w:val="nil"/>
              <w:tr2bl w:val="nil"/>
            </w:tcBorders>
            <w:vAlign w:val="center"/>
          </w:tcPr>
          <w:p w14:paraId="6A70A00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6EBE60B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4A00666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tc>
        <w:tc>
          <w:tcPr>
            <w:tcW w:w="823" w:type="dxa"/>
            <w:vMerge w:val="restart"/>
            <w:tcBorders>
              <w:tl2br w:val="nil"/>
              <w:tr2bl w:val="nil"/>
            </w:tcBorders>
            <w:tcMar>
              <w:top w:w="15" w:type="dxa"/>
              <w:left w:w="15" w:type="dxa"/>
              <w:bottom w:w="15" w:type="dxa"/>
              <w:right w:w="15" w:type="dxa"/>
            </w:tcMar>
            <w:vAlign w:val="center"/>
          </w:tcPr>
          <w:p w14:paraId="51BB252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从重情节</w:t>
            </w:r>
          </w:p>
        </w:tc>
        <w:tc>
          <w:tcPr>
            <w:tcW w:w="3437" w:type="dxa"/>
            <w:gridSpan w:val="2"/>
            <w:tcBorders>
              <w:tl2br w:val="nil"/>
              <w:tr2bl w:val="nil"/>
            </w:tcBorders>
            <w:tcMar>
              <w:top w:w="15" w:type="dxa"/>
              <w:left w:w="15" w:type="dxa"/>
              <w:bottom w:w="15" w:type="dxa"/>
              <w:right w:w="15" w:type="dxa"/>
            </w:tcMar>
            <w:vAlign w:val="center"/>
          </w:tcPr>
          <w:p w14:paraId="12BD72FE">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（1）造成一般质量、安全事故的。</w:t>
            </w:r>
          </w:p>
        </w:tc>
        <w:tc>
          <w:tcPr>
            <w:tcW w:w="3058" w:type="dxa"/>
            <w:tcBorders>
              <w:tl2br w:val="nil"/>
              <w:tr2bl w:val="nil"/>
            </w:tcBorders>
            <w:tcMar>
              <w:top w:w="15" w:type="dxa"/>
              <w:left w:w="15" w:type="dxa"/>
              <w:bottom w:w="15" w:type="dxa"/>
              <w:right w:w="15" w:type="dxa"/>
            </w:tcMar>
            <w:vAlign w:val="center"/>
          </w:tcPr>
          <w:p w14:paraId="2933100E">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转让、分包无效，处转让、分包项目金额千分之八点五以上千分之十以下的罚款；有违法所得的，并处没收违法所得。</w:t>
            </w:r>
          </w:p>
        </w:tc>
      </w:tr>
      <w:tr w14:paraId="024F8AB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11" w:hRule="atLeast"/>
          <w:jc w:val="center"/>
        </w:trPr>
        <w:tc>
          <w:tcPr>
            <w:tcW w:w="443" w:type="dxa"/>
            <w:gridSpan w:val="2"/>
            <w:vMerge w:val="continue"/>
            <w:tcBorders>
              <w:tl2br w:val="nil"/>
              <w:tr2bl w:val="nil"/>
            </w:tcBorders>
            <w:vAlign w:val="center"/>
          </w:tcPr>
          <w:p w14:paraId="0184AF1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6BF7BE7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2D27C20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tc>
        <w:tc>
          <w:tcPr>
            <w:tcW w:w="823" w:type="dxa"/>
            <w:vMerge w:val="continue"/>
            <w:tcBorders>
              <w:tl2br w:val="nil"/>
              <w:tr2bl w:val="nil"/>
            </w:tcBorders>
            <w:tcMar>
              <w:top w:w="15" w:type="dxa"/>
              <w:left w:w="15" w:type="dxa"/>
              <w:bottom w:w="15" w:type="dxa"/>
              <w:right w:w="15" w:type="dxa"/>
            </w:tcMar>
            <w:vAlign w:val="center"/>
          </w:tcPr>
          <w:p w14:paraId="743793F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olor w:val="auto"/>
                <w:kern w:val="0"/>
                <w:sz w:val="13"/>
                <w:szCs w:val="13"/>
                <w:highlight w:val="none"/>
              </w:rPr>
            </w:pPr>
          </w:p>
        </w:tc>
        <w:tc>
          <w:tcPr>
            <w:tcW w:w="3437" w:type="dxa"/>
            <w:gridSpan w:val="2"/>
            <w:tcBorders>
              <w:tl2br w:val="nil"/>
              <w:tr2bl w:val="nil"/>
            </w:tcBorders>
            <w:tcMar>
              <w:top w:w="15" w:type="dxa"/>
              <w:left w:w="15" w:type="dxa"/>
              <w:bottom w:w="15" w:type="dxa"/>
              <w:right w:w="15" w:type="dxa"/>
            </w:tcMar>
            <w:vAlign w:val="center"/>
          </w:tcPr>
          <w:p w14:paraId="394D8EFA">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（2）3年内2次同类型违法的。</w:t>
            </w:r>
          </w:p>
        </w:tc>
        <w:tc>
          <w:tcPr>
            <w:tcW w:w="3058" w:type="dxa"/>
            <w:tcBorders>
              <w:tl2br w:val="nil"/>
              <w:tr2bl w:val="nil"/>
            </w:tcBorders>
            <w:tcMar>
              <w:top w:w="15" w:type="dxa"/>
              <w:left w:w="15" w:type="dxa"/>
              <w:bottom w:w="15" w:type="dxa"/>
              <w:right w:w="15" w:type="dxa"/>
            </w:tcMar>
            <w:vAlign w:val="center"/>
          </w:tcPr>
          <w:p w14:paraId="1107D62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转让、分包无效，处转让、分包项目金额千分之十的罚款；责令停业整顿30日；有违法所得的，并处没收违法所得。</w:t>
            </w:r>
          </w:p>
        </w:tc>
      </w:tr>
      <w:tr w14:paraId="3EB4C8C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294" w:hRule="atLeast"/>
          <w:jc w:val="center"/>
        </w:trPr>
        <w:tc>
          <w:tcPr>
            <w:tcW w:w="443" w:type="dxa"/>
            <w:gridSpan w:val="2"/>
            <w:vMerge w:val="continue"/>
            <w:tcBorders>
              <w:tl2br w:val="nil"/>
              <w:tr2bl w:val="nil"/>
            </w:tcBorders>
            <w:vAlign w:val="center"/>
          </w:tcPr>
          <w:p w14:paraId="69858F5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613A423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7AFB1EC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tc>
        <w:tc>
          <w:tcPr>
            <w:tcW w:w="823" w:type="dxa"/>
            <w:vMerge w:val="continue"/>
            <w:tcBorders>
              <w:tl2br w:val="nil"/>
              <w:tr2bl w:val="nil"/>
            </w:tcBorders>
            <w:tcMar>
              <w:top w:w="15" w:type="dxa"/>
              <w:left w:w="15" w:type="dxa"/>
              <w:bottom w:w="15" w:type="dxa"/>
              <w:right w:w="15" w:type="dxa"/>
            </w:tcMar>
            <w:vAlign w:val="center"/>
          </w:tcPr>
          <w:p w14:paraId="3DCB5DB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olor w:val="auto"/>
                <w:kern w:val="0"/>
                <w:sz w:val="13"/>
                <w:szCs w:val="13"/>
                <w:highlight w:val="none"/>
              </w:rPr>
            </w:pPr>
          </w:p>
        </w:tc>
        <w:tc>
          <w:tcPr>
            <w:tcW w:w="1729" w:type="dxa"/>
            <w:vMerge w:val="restart"/>
            <w:tcBorders>
              <w:tl2br w:val="nil"/>
              <w:tr2bl w:val="nil"/>
            </w:tcBorders>
            <w:tcMar>
              <w:top w:w="15" w:type="dxa"/>
              <w:left w:w="15" w:type="dxa"/>
              <w:bottom w:w="15" w:type="dxa"/>
              <w:right w:w="15" w:type="dxa"/>
            </w:tcMar>
            <w:vAlign w:val="center"/>
          </w:tcPr>
          <w:p w14:paraId="0F88343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（3）3年内3次以上同类型违法。</w:t>
            </w:r>
          </w:p>
        </w:tc>
        <w:tc>
          <w:tcPr>
            <w:tcW w:w="1708" w:type="dxa"/>
            <w:tcBorders>
              <w:tl2br w:val="nil"/>
              <w:tr2bl w:val="nil"/>
            </w:tcBorders>
            <w:tcMar>
              <w:top w:w="15" w:type="dxa"/>
              <w:left w:w="15" w:type="dxa"/>
              <w:bottom w:w="15" w:type="dxa"/>
              <w:right w:w="15" w:type="dxa"/>
            </w:tcMar>
            <w:vAlign w:val="center"/>
          </w:tcPr>
          <w:p w14:paraId="7EF032C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造成3人以上10人以下死亡，或者10人以上50人以下重伤，或者1000万元以上5000万元以下直接经济损失。</w:t>
            </w:r>
          </w:p>
        </w:tc>
        <w:tc>
          <w:tcPr>
            <w:tcW w:w="3058" w:type="dxa"/>
            <w:tcBorders>
              <w:tl2br w:val="nil"/>
              <w:tr2bl w:val="nil"/>
            </w:tcBorders>
            <w:tcMar>
              <w:top w:w="15" w:type="dxa"/>
              <w:left w:w="15" w:type="dxa"/>
              <w:bottom w:w="15" w:type="dxa"/>
              <w:right w:w="15" w:type="dxa"/>
            </w:tcMar>
            <w:vAlign w:val="center"/>
          </w:tcPr>
          <w:p w14:paraId="12880B12">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转让、分包无效，处转让、分包项目金额千分之十的罚款；责令停业整顿30—60日；有违法所得的，并处没收违法所得。</w:t>
            </w:r>
          </w:p>
        </w:tc>
      </w:tr>
      <w:tr w14:paraId="73A7ABA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629" w:hRule="atLeast"/>
          <w:jc w:val="center"/>
        </w:trPr>
        <w:tc>
          <w:tcPr>
            <w:tcW w:w="443" w:type="dxa"/>
            <w:gridSpan w:val="2"/>
            <w:vMerge w:val="continue"/>
            <w:tcBorders>
              <w:tl2br w:val="nil"/>
              <w:tr2bl w:val="nil"/>
            </w:tcBorders>
            <w:vAlign w:val="center"/>
          </w:tcPr>
          <w:p w14:paraId="5884B9B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35AE8A8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44534EE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tc>
        <w:tc>
          <w:tcPr>
            <w:tcW w:w="823" w:type="dxa"/>
            <w:vMerge w:val="continue"/>
            <w:tcBorders>
              <w:tl2br w:val="nil"/>
              <w:tr2bl w:val="nil"/>
            </w:tcBorders>
            <w:tcMar>
              <w:top w:w="15" w:type="dxa"/>
              <w:left w:w="15" w:type="dxa"/>
              <w:bottom w:w="15" w:type="dxa"/>
              <w:right w:w="15" w:type="dxa"/>
            </w:tcMar>
            <w:vAlign w:val="center"/>
          </w:tcPr>
          <w:p w14:paraId="7BDFAA4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olor w:val="auto"/>
                <w:kern w:val="0"/>
                <w:sz w:val="13"/>
                <w:szCs w:val="13"/>
                <w:highlight w:val="none"/>
              </w:rPr>
            </w:pPr>
          </w:p>
        </w:tc>
        <w:tc>
          <w:tcPr>
            <w:tcW w:w="1729" w:type="dxa"/>
            <w:vMerge w:val="continue"/>
            <w:tcBorders>
              <w:tl2br w:val="nil"/>
              <w:tr2bl w:val="nil"/>
            </w:tcBorders>
            <w:tcMar>
              <w:top w:w="15" w:type="dxa"/>
              <w:left w:w="15" w:type="dxa"/>
              <w:bottom w:w="15" w:type="dxa"/>
              <w:right w:w="15" w:type="dxa"/>
            </w:tcMar>
            <w:vAlign w:val="center"/>
          </w:tcPr>
          <w:p w14:paraId="5A5F6AB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1708" w:type="dxa"/>
            <w:tcBorders>
              <w:tl2br w:val="nil"/>
              <w:tr2bl w:val="nil"/>
            </w:tcBorders>
            <w:tcMar>
              <w:top w:w="15" w:type="dxa"/>
              <w:left w:w="15" w:type="dxa"/>
              <w:bottom w:w="15" w:type="dxa"/>
              <w:right w:w="15" w:type="dxa"/>
            </w:tcMar>
            <w:vAlign w:val="center"/>
          </w:tcPr>
          <w:p w14:paraId="483FAA6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造成10人以上30人以下死亡，或者50人以上100人以下重伤，或者5000万元以上1亿元以下直接经济损失。</w:t>
            </w:r>
          </w:p>
        </w:tc>
        <w:tc>
          <w:tcPr>
            <w:tcW w:w="3058" w:type="dxa"/>
            <w:tcBorders>
              <w:tl2br w:val="nil"/>
              <w:tr2bl w:val="nil"/>
            </w:tcBorders>
            <w:tcMar>
              <w:top w:w="15" w:type="dxa"/>
              <w:left w:w="15" w:type="dxa"/>
              <w:bottom w:w="15" w:type="dxa"/>
              <w:right w:w="15" w:type="dxa"/>
            </w:tcMar>
            <w:vAlign w:val="center"/>
          </w:tcPr>
          <w:p w14:paraId="14EED91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转让、分包无效，处转让、分包项目金额千分之十的罚款；责令停业整顿</w:t>
            </w:r>
            <w:r>
              <w:rPr>
                <w:rFonts w:hint="eastAsia" w:ascii="仿宋_GB2312" w:hAnsi="宋体" w:eastAsia="仿宋_GB2312"/>
                <w:color w:val="auto"/>
                <w:kern w:val="0"/>
                <w:sz w:val="13"/>
                <w:szCs w:val="13"/>
                <w:highlight w:val="none"/>
                <w:lang w:val="en-US" w:eastAsia="zh-CN"/>
              </w:rPr>
              <w:t>60</w:t>
            </w:r>
            <w:r>
              <w:rPr>
                <w:rFonts w:hint="eastAsia" w:ascii="仿宋_GB2312" w:hAnsi="宋体" w:eastAsia="仿宋_GB2312"/>
                <w:color w:val="auto"/>
                <w:kern w:val="0"/>
                <w:sz w:val="13"/>
                <w:szCs w:val="13"/>
                <w:highlight w:val="none"/>
              </w:rPr>
              <w:t>—</w:t>
            </w:r>
            <w:r>
              <w:rPr>
                <w:rFonts w:hint="eastAsia" w:ascii="仿宋_GB2312" w:hAnsi="宋体" w:eastAsia="仿宋_GB2312"/>
                <w:color w:val="auto"/>
                <w:kern w:val="0"/>
                <w:sz w:val="13"/>
                <w:szCs w:val="13"/>
                <w:highlight w:val="none"/>
                <w:lang w:val="en-US" w:eastAsia="zh-CN"/>
              </w:rPr>
              <w:t>90</w:t>
            </w:r>
            <w:r>
              <w:rPr>
                <w:rFonts w:hint="eastAsia" w:ascii="仿宋_GB2312" w:hAnsi="宋体" w:eastAsia="仿宋_GB2312"/>
                <w:color w:val="auto"/>
                <w:kern w:val="0"/>
                <w:sz w:val="13"/>
                <w:szCs w:val="13"/>
                <w:highlight w:val="none"/>
              </w:rPr>
              <w:t>日；有违法所得的，并处没收违法所得。</w:t>
            </w:r>
          </w:p>
        </w:tc>
      </w:tr>
      <w:tr w14:paraId="6A22074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810" w:hRule="atLeast"/>
          <w:jc w:val="center"/>
        </w:trPr>
        <w:tc>
          <w:tcPr>
            <w:tcW w:w="443" w:type="dxa"/>
            <w:gridSpan w:val="2"/>
            <w:vMerge w:val="continue"/>
            <w:tcBorders>
              <w:tl2br w:val="nil"/>
              <w:tr2bl w:val="nil"/>
            </w:tcBorders>
            <w:vAlign w:val="center"/>
          </w:tcPr>
          <w:p w14:paraId="1F63F53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00B49C4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12D1C79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tc>
        <w:tc>
          <w:tcPr>
            <w:tcW w:w="823" w:type="dxa"/>
            <w:vMerge w:val="continue"/>
            <w:tcBorders>
              <w:tl2br w:val="nil"/>
              <w:tr2bl w:val="nil"/>
            </w:tcBorders>
            <w:tcMar>
              <w:top w:w="15" w:type="dxa"/>
              <w:left w:w="15" w:type="dxa"/>
              <w:bottom w:w="15" w:type="dxa"/>
              <w:right w:w="15" w:type="dxa"/>
            </w:tcMar>
            <w:vAlign w:val="center"/>
          </w:tcPr>
          <w:p w14:paraId="44118D5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olor w:val="auto"/>
                <w:kern w:val="0"/>
                <w:sz w:val="13"/>
                <w:szCs w:val="13"/>
                <w:highlight w:val="none"/>
              </w:rPr>
            </w:pPr>
          </w:p>
        </w:tc>
        <w:tc>
          <w:tcPr>
            <w:tcW w:w="1729" w:type="dxa"/>
            <w:vMerge w:val="continue"/>
            <w:tcBorders>
              <w:tl2br w:val="nil"/>
              <w:tr2bl w:val="nil"/>
            </w:tcBorders>
            <w:tcMar>
              <w:top w:w="15" w:type="dxa"/>
              <w:left w:w="15" w:type="dxa"/>
              <w:bottom w:w="15" w:type="dxa"/>
              <w:right w:w="15" w:type="dxa"/>
            </w:tcMar>
            <w:vAlign w:val="center"/>
          </w:tcPr>
          <w:p w14:paraId="1D69922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1708" w:type="dxa"/>
            <w:tcBorders>
              <w:tl2br w:val="nil"/>
              <w:tr2bl w:val="nil"/>
            </w:tcBorders>
            <w:tcMar>
              <w:top w:w="15" w:type="dxa"/>
              <w:left w:w="15" w:type="dxa"/>
              <w:bottom w:w="15" w:type="dxa"/>
              <w:right w:w="15" w:type="dxa"/>
            </w:tcMar>
            <w:vAlign w:val="center"/>
          </w:tcPr>
          <w:p w14:paraId="6274286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造成30人以上死亡，或者100人以上重伤（包括急性工业中毒，下同），或者1亿元以上直接经济损失。</w:t>
            </w:r>
          </w:p>
        </w:tc>
        <w:tc>
          <w:tcPr>
            <w:tcW w:w="3058" w:type="dxa"/>
            <w:tcBorders>
              <w:tl2br w:val="nil"/>
              <w:tr2bl w:val="nil"/>
            </w:tcBorders>
            <w:tcMar>
              <w:top w:w="15" w:type="dxa"/>
              <w:left w:w="15" w:type="dxa"/>
              <w:bottom w:w="15" w:type="dxa"/>
              <w:right w:w="15" w:type="dxa"/>
            </w:tcMar>
            <w:vAlign w:val="center"/>
          </w:tcPr>
          <w:p w14:paraId="6AF826C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转让、分包无效，处转让、分包项目金额千分之十的罚款；责令停业整顿90—180日；有违法所得的，并处没收违法所得。</w:t>
            </w:r>
          </w:p>
        </w:tc>
      </w:tr>
      <w:tr w14:paraId="119ADFD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51" w:hRule="atLeast"/>
          <w:jc w:val="center"/>
        </w:trPr>
        <w:tc>
          <w:tcPr>
            <w:tcW w:w="443" w:type="dxa"/>
            <w:gridSpan w:val="2"/>
            <w:vMerge w:val="restart"/>
            <w:tcBorders>
              <w:tl2br w:val="nil"/>
              <w:tr2bl w:val="nil"/>
            </w:tcBorders>
            <w:vAlign w:val="center"/>
          </w:tcPr>
          <w:p w14:paraId="3DB380F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r>
              <w:rPr>
                <w:rFonts w:hint="eastAsia" w:ascii="仿宋_GB2312" w:hAnsi="宋体" w:eastAsia="仿宋_GB2312" w:cs="Times New Roman"/>
                <w:color w:val="auto"/>
                <w:sz w:val="13"/>
                <w:szCs w:val="13"/>
                <w:highlight w:val="none"/>
              </w:rPr>
              <w:t>10</w:t>
            </w:r>
          </w:p>
        </w:tc>
        <w:tc>
          <w:tcPr>
            <w:tcW w:w="1550" w:type="dxa"/>
            <w:vMerge w:val="restart"/>
            <w:tcBorders>
              <w:tl2br w:val="nil"/>
              <w:tr2bl w:val="nil"/>
            </w:tcBorders>
            <w:vAlign w:val="center"/>
          </w:tcPr>
          <w:p w14:paraId="2E57146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招标人与中标人不按照招标文件和中标人的投标文件订立合同的，或者招标人、中标人订立背离合同实质性内容的协议的</w:t>
            </w:r>
          </w:p>
        </w:tc>
        <w:tc>
          <w:tcPr>
            <w:tcW w:w="4820" w:type="dxa"/>
            <w:vMerge w:val="restart"/>
            <w:tcBorders>
              <w:tl2br w:val="nil"/>
              <w:tr2bl w:val="nil"/>
            </w:tcBorders>
            <w:vAlign w:val="center"/>
          </w:tcPr>
          <w:p w14:paraId="2470E3D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lang w:eastAsia="zh-CN"/>
              </w:rPr>
              <w:t>《中华人民共和国招标投标法》</w:t>
            </w:r>
            <w:r>
              <w:rPr>
                <w:rFonts w:hint="eastAsia" w:ascii="仿宋_GB2312" w:hAnsi="宋体" w:eastAsia="仿宋_GB2312"/>
                <w:b/>
                <w:bCs/>
                <w:color w:val="auto"/>
                <w:kern w:val="0"/>
                <w:sz w:val="13"/>
                <w:szCs w:val="13"/>
                <w:highlight w:val="none"/>
              </w:rPr>
              <w:t>第五十九条</w:t>
            </w:r>
            <w:r>
              <w:rPr>
                <w:rFonts w:hint="eastAsia" w:ascii="仿宋_GB2312" w:hAnsi="宋体" w:eastAsia="仿宋_GB2312"/>
                <w:b/>
                <w:bCs/>
                <w:color w:val="auto"/>
                <w:kern w:val="0"/>
                <w:sz w:val="13"/>
                <w:szCs w:val="13"/>
                <w:highlight w:val="none"/>
                <w:lang w:eastAsia="zh-CN"/>
              </w:rPr>
              <w:t>：</w:t>
            </w:r>
            <w:r>
              <w:rPr>
                <w:rFonts w:hint="eastAsia" w:ascii="仿宋_GB2312" w:hAnsi="宋体" w:eastAsia="仿宋_GB2312"/>
                <w:color w:val="auto"/>
                <w:kern w:val="0"/>
                <w:sz w:val="13"/>
                <w:szCs w:val="13"/>
                <w:highlight w:val="none"/>
              </w:rPr>
              <w:t>招标人与中标人不按照招标文件和中标人的投标文件订立合同的，或者招标人、中标人订立背离合同实质性内容的协议的，责令改正；可以处中标项目金额千分之五以上千分之十以下的罚款。</w:t>
            </w:r>
          </w:p>
        </w:tc>
        <w:tc>
          <w:tcPr>
            <w:tcW w:w="823" w:type="dxa"/>
            <w:tcBorders>
              <w:tl2br w:val="nil"/>
              <w:tr2bl w:val="nil"/>
            </w:tcBorders>
            <w:tcMar>
              <w:top w:w="15" w:type="dxa"/>
              <w:left w:w="15" w:type="dxa"/>
              <w:bottom w:w="15" w:type="dxa"/>
              <w:right w:w="15" w:type="dxa"/>
            </w:tcMar>
            <w:vAlign w:val="center"/>
          </w:tcPr>
          <w:p w14:paraId="76B98FF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tcMar>
              <w:top w:w="15" w:type="dxa"/>
              <w:left w:w="15" w:type="dxa"/>
              <w:bottom w:w="15" w:type="dxa"/>
              <w:right w:w="15" w:type="dxa"/>
            </w:tcMar>
            <w:vAlign w:val="center"/>
          </w:tcPr>
          <w:p w14:paraId="7D671BB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危害后果轻微，主动消除或减轻违法行为危害后果的。</w:t>
            </w:r>
          </w:p>
        </w:tc>
        <w:tc>
          <w:tcPr>
            <w:tcW w:w="3058" w:type="dxa"/>
            <w:tcBorders>
              <w:tl2br w:val="nil"/>
              <w:tr2bl w:val="nil"/>
            </w:tcBorders>
            <w:tcMar>
              <w:top w:w="15" w:type="dxa"/>
              <w:left w:w="15" w:type="dxa"/>
              <w:bottom w:w="15" w:type="dxa"/>
              <w:right w:w="15" w:type="dxa"/>
            </w:tcMar>
            <w:vAlign w:val="center"/>
          </w:tcPr>
          <w:p w14:paraId="27DA8A7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责令改正，可以处中标项目金额千分之五的罚款。</w:t>
            </w:r>
          </w:p>
        </w:tc>
      </w:tr>
      <w:tr w14:paraId="762CE58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62" w:hRule="atLeast"/>
          <w:jc w:val="center"/>
        </w:trPr>
        <w:tc>
          <w:tcPr>
            <w:tcW w:w="443" w:type="dxa"/>
            <w:gridSpan w:val="2"/>
            <w:vMerge w:val="continue"/>
            <w:tcBorders>
              <w:tl2br w:val="nil"/>
              <w:tr2bl w:val="nil"/>
            </w:tcBorders>
            <w:vAlign w:val="center"/>
          </w:tcPr>
          <w:p w14:paraId="3D3683E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70DB258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3B689D6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tc>
        <w:tc>
          <w:tcPr>
            <w:tcW w:w="823" w:type="dxa"/>
            <w:tcBorders>
              <w:tl2br w:val="nil"/>
              <w:tr2bl w:val="nil"/>
            </w:tcBorders>
            <w:tcMar>
              <w:top w:w="15" w:type="dxa"/>
              <w:left w:w="15" w:type="dxa"/>
              <w:bottom w:w="15" w:type="dxa"/>
              <w:right w:w="15" w:type="dxa"/>
            </w:tcMar>
            <w:vAlign w:val="center"/>
          </w:tcPr>
          <w:p w14:paraId="565C35E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一般情节</w:t>
            </w:r>
          </w:p>
        </w:tc>
        <w:tc>
          <w:tcPr>
            <w:tcW w:w="3437" w:type="dxa"/>
            <w:gridSpan w:val="2"/>
            <w:tcBorders>
              <w:tl2br w:val="nil"/>
              <w:tr2bl w:val="nil"/>
            </w:tcBorders>
            <w:tcMar>
              <w:top w:w="15" w:type="dxa"/>
              <w:left w:w="15" w:type="dxa"/>
              <w:bottom w:w="15" w:type="dxa"/>
              <w:right w:w="15" w:type="dxa"/>
            </w:tcMar>
            <w:vAlign w:val="center"/>
          </w:tcPr>
          <w:p w14:paraId="5F00398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不具有从轻、</w:t>
            </w:r>
            <w:r>
              <w:rPr>
                <w:rFonts w:hint="eastAsia" w:ascii="仿宋_GB2312" w:hAnsi="宋体" w:eastAsia="仿宋_GB2312"/>
                <w:color w:val="auto"/>
                <w:kern w:val="0"/>
                <w:sz w:val="13"/>
                <w:szCs w:val="13"/>
                <w:highlight w:val="none"/>
                <w:lang w:eastAsia="zh-CN"/>
              </w:rPr>
              <w:t>从重情节</w:t>
            </w:r>
            <w:r>
              <w:rPr>
                <w:rFonts w:hint="eastAsia" w:ascii="仿宋_GB2312" w:hAnsi="宋体" w:eastAsia="仿宋_GB2312"/>
                <w:color w:val="auto"/>
                <w:kern w:val="0"/>
                <w:sz w:val="13"/>
                <w:szCs w:val="13"/>
                <w:highlight w:val="none"/>
              </w:rPr>
              <w:t>的。</w:t>
            </w:r>
          </w:p>
        </w:tc>
        <w:tc>
          <w:tcPr>
            <w:tcW w:w="3058" w:type="dxa"/>
            <w:tcBorders>
              <w:tl2br w:val="nil"/>
              <w:tr2bl w:val="nil"/>
            </w:tcBorders>
            <w:tcMar>
              <w:top w:w="15" w:type="dxa"/>
              <w:left w:w="15" w:type="dxa"/>
              <w:bottom w:w="15" w:type="dxa"/>
              <w:right w:w="15" w:type="dxa"/>
            </w:tcMar>
            <w:vAlign w:val="center"/>
          </w:tcPr>
          <w:p w14:paraId="74AF581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责令改正，处中标项目金额千分之五以上千分之八以下的罚款。</w:t>
            </w:r>
          </w:p>
        </w:tc>
      </w:tr>
      <w:tr w14:paraId="0930BF0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638" w:hRule="atLeast"/>
          <w:jc w:val="center"/>
        </w:trPr>
        <w:tc>
          <w:tcPr>
            <w:tcW w:w="443" w:type="dxa"/>
            <w:gridSpan w:val="2"/>
            <w:vMerge w:val="continue"/>
            <w:tcBorders>
              <w:tl2br w:val="nil"/>
              <w:tr2bl w:val="nil"/>
            </w:tcBorders>
            <w:vAlign w:val="center"/>
          </w:tcPr>
          <w:p w14:paraId="315A20E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3526F05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7DC9012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tc>
        <w:tc>
          <w:tcPr>
            <w:tcW w:w="823" w:type="dxa"/>
            <w:tcBorders>
              <w:tl2br w:val="nil"/>
              <w:tr2bl w:val="nil"/>
            </w:tcBorders>
            <w:tcMar>
              <w:top w:w="15" w:type="dxa"/>
              <w:left w:w="15" w:type="dxa"/>
              <w:bottom w:w="15" w:type="dxa"/>
              <w:right w:w="15" w:type="dxa"/>
            </w:tcMar>
            <w:vAlign w:val="center"/>
          </w:tcPr>
          <w:p w14:paraId="3272648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从重情节</w:t>
            </w:r>
          </w:p>
        </w:tc>
        <w:tc>
          <w:tcPr>
            <w:tcW w:w="3437" w:type="dxa"/>
            <w:gridSpan w:val="2"/>
            <w:tcBorders>
              <w:tl2br w:val="nil"/>
              <w:tr2bl w:val="nil"/>
            </w:tcBorders>
            <w:tcMar>
              <w:top w:w="15" w:type="dxa"/>
              <w:left w:w="15" w:type="dxa"/>
              <w:bottom w:w="15" w:type="dxa"/>
              <w:right w:w="15" w:type="dxa"/>
            </w:tcMar>
            <w:vAlign w:val="center"/>
          </w:tcPr>
          <w:p w14:paraId="178F446D">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default" w:ascii="仿宋_GB2312" w:hAnsi="宋体" w:eastAsia="仿宋_GB2312"/>
                <w:color w:val="auto"/>
                <w:kern w:val="0"/>
                <w:sz w:val="13"/>
                <w:szCs w:val="13"/>
                <w:highlight w:val="none"/>
                <w:lang w:val="en-US" w:eastAsia="zh-CN"/>
              </w:rPr>
            </w:pPr>
            <w:r>
              <w:rPr>
                <w:rFonts w:hint="eastAsia" w:ascii="仿宋_GB2312" w:hAnsi="宋体" w:eastAsia="仿宋_GB2312"/>
                <w:color w:val="auto"/>
                <w:kern w:val="0"/>
                <w:sz w:val="13"/>
                <w:szCs w:val="13"/>
                <w:highlight w:val="none"/>
                <w:lang w:val="en-US" w:eastAsia="zh-CN"/>
              </w:rPr>
              <w:t>有下列情形之一的：</w:t>
            </w:r>
          </w:p>
          <w:p w14:paraId="7EF2789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（1）经责令改正后，逾期未改正的；</w:t>
            </w:r>
          </w:p>
          <w:p w14:paraId="7FAECA0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（2）曾因该违法行为被依法查处，再次实施该违法行为的；</w:t>
            </w:r>
          </w:p>
          <w:p w14:paraId="4E0EDD9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（3）造成工程质量事故的；</w:t>
            </w:r>
          </w:p>
          <w:p w14:paraId="6EB5062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left"/>
              <w:textAlignment w:val="center"/>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（4）经有关部门确认，存在商业贿赂情形的；</w:t>
            </w:r>
          </w:p>
          <w:p w14:paraId="595A168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（5）其他依法应予从重处罚的情形。</w:t>
            </w:r>
          </w:p>
        </w:tc>
        <w:tc>
          <w:tcPr>
            <w:tcW w:w="3058" w:type="dxa"/>
            <w:tcBorders>
              <w:tl2br w:val="nil"/>
              <w:tr2bl w:val="nil"/>
            </w:tcBorders>
            <w:tcMar>
              <w:top w:w="15" w:type="dxa"/>
              <w:left w:w="15" w:type="dxa"/>
              <w:bottom w:w="15" w:type="dxa"/>
              <w:right w:w="15" w:type="dxa"/>
            </w:tcMar>
            <w:vAlign w:val="center"/>
          </w:tcPr>
          <w:p w14:paraId="2580556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责令改正，处中标项目金额千分之八以上千分之十以下的罚款。</w:t>
            </w:r>
          </w:p>
        </w:tc>
      </w:tr>
      <w:tr w14:paraId="6D19A5B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408" w:hRule="atLeast"/>
          <w:jc w:val="center"/>
        </w:trPr>
        <w:tc>
          <w:tcPr>
            <w:tcW w:w="443" w:type="dxa"/>
            <w:gridSpan w:val="2"/>
            <w:vMerge w:val="restart"/>
            <w:tcBorders>
              <w:tl2br w:val="nil"/>
              <w:tr2bl w:val="nil"/>
            </w:tcBorders>
            <w:tcMar>
              <w:top w:w="15" w:type="dxa"/>
              <w:left w:w="15" w:type="dxa"/>
              <w:bottom w:w="15" w:type="dxa"/>
              <w:right w:w="15" w:type="dxa"/>
            </w:tcMar>
            <w:vAlign w:val="center"/>
          </w:tcPr>
          <w:p w14:paraId="380C368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color w:val="auto"/>
                <w:sz w:val="13"/>
                <w:szCs w:val="13"/>
                <w:highlight w:val="none"/>
              </w:rPr>
            </w:pPr>
            <w:r>
              <w:rPr>
                <w:rFonts w:hint="eastAsia" w:ascii="仿宋_GB2312" w:hAnsi="宋体" w:eastAsia="仿宋_GB2312" w:cs="Times New Roman"/>
                <w:color w:val="auto"/>
                <w:sz w:val="13"/>
                <w:szCs w:val="13"/>
                <w:highlight w:val="none"/>
              </w:rPr>
              <w:t>11</w:t>
            </w:r>
          </w:p>
        </w:tc>
        <w:tc>
          <w:tcPr>
            <w:tcW w:w="1550" w:type="dxa"/>
            <w:vMerge w:val="restart"/>
            <w:tcBorders>
              <w:tl2br w:val="nil"/>
              <w:tr2bl w:val="nil"/>
            </w:tcBorders>
            <w:tcMar>
              <w:top w:w="15" w:type="dxa"/>
              <w:left w:w="15" w:type="dxa"/>
              <w:bottom w:w="15" w:type="dxa"/>
              <w:right w:w="15" w:type="dxa"/>
            </w:tcMar>
            <w:vAlign w:val="center"/>
          </w:tcPr>
          <w:p w14:paraId="5F2B6A34">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中标人不按照与招标人订立的合同履行义务，情节严重</w:t>
            </w:r>
          </w:p>
        </w:tc>
        <w:tc>
          <w:tcPr>
            <w:tcW w:w="4820" w:type="dxa"/>
            <w:vMerge w:val="restart"/>
            <w:tcBorders>
              <w:tl2br w:val="nil"/>
              <w:tr2bl w:val="nil"/>
            </w:tcBorders>
            <w:tcMar>
              <w:top w:w="15" w:type="dxa"/>
              <w:left w:w="15" w:type="dxa"/>
              <w:bottom w:w="15" w:type="dxa"/>
              <w:right w:w="15" w:type="dxa"/>
            </w:tcMar>
            <w:vAlign w:val="center"/>
          </w:tcPr>
          <w:p w14:paraId="06129B7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lang w:eastAsia="zh-CN"/>
              </w:rPr>
              <w:t>《中华人民共和国招标投标法》</w:t>
            </w:r>
            <w:r>
              <w:rPr>
                <w:rFonts w:hint="eastAsia" w:ascii="仿宋_GB2312" w:hAnsi="宋体" w:eastAsia="仿宋_GB2312"/>
                <w:b/>
                <w:bCs/>
                <w:color w:val="auto"/>
                <w:kern w:val="0"/>
                <w:sz w:val="13"/>
                <w:szCs w:val="13"/>
                <w:highlight w:val="none"/>
              </w:rPr>
              <w:t>第六十条</w:t>
            </w:r>
            <w:r>
              <w:rPr>
                <w:rFonts w:hint="eastAsia" w:ascii="仿宋_GB2312" w:hAnsi="宋体" w:eastAsia="仿宋_GB2312"/>
                <w:b/>
                <w:bCs/>
                <w:color w:val="auto"/>
                <w:kern w:val="0"/>
                <w:sz w:val="13"/>
                <w:szCs w:val="13"/>
                <w:highlight w:val="none"/>
                <w:lang w:val="en-US" w:eastAsia="zh-CN"/>
              </w:rPr>
              <w:t>第二款</w:t>
            </w:r>
            <w:r>
              <w:rPr>
                <w:rFonts w:hint="eastAsia" w:ascii="仿宋_GB2312" w:hAnsi="宋体" w:eastAsia="仿宋_GB2312"/>
                <w:b/>
                <w:bCs/>
                <w:color w:val="auto"/>
                <w:kern w:val="0"/>
                <w:sz w:val="13"/>
                <w:szCs w:val="13"/>
                <w:highlight w:val="none"/>
                <w:lang w:eastAsia="zh-CN"/>
              </w:rPr>
              <w:t>：</w:t>
            </w:r>
            <w:r>
              <w:rPr>
                <w:rFonts w:hint="eastAsia" w:ascii="仿宋_GB2312" w:hAnsi="宋体" w:eastAsia="仿宋_GB2312"/>
                <w:color w:val="auto"/>
                <w:kern w:val="0"/>
                <w:sz w:val="13"/>
                <w:szCs w:val="13"/>
                <w:highlight w:val="none"/>
              </w:rPr>
              <w:t>中标人不按照与招标人订立的合同履行义务，情节严重的，取消其二年至五年内参加依法必须进行招标的项目的投标资格并予以公告，直至由工商行政管理机关吊销营业执照。</w:t>
            </w:r>
          </w:p>
        </w:tc>
        <w:tc>
          <w:tcPr>
            <w:tcW w:w="823" w:type="dxa"/>
            <w:tcBorders>
              <w:tl2br w:val="nil"/>
              <w:tr2bl w:val="nil"/>
            </w:tcBorders>
            <w:tcMar>
              <w:top w:w="15" w:type="dxa"/>
              <w:left w:w="15" w:type="dxa"/>
              <w:bottom w:w="15" w:type="dxa"/>
              <w:right w:w="15" w:type="dxa"/>
            </w:tcMar>
            <w:vAlign w:val="center"/>
          </w:tcPr>
          <w:p w14:paraId="0F53E00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tcMar>
              <w:top w:w="15" w:type="dxa"/>
              <w:left w:w="15" w:type="dxa"/>
              <w:bottom w:w="15" w:type="dxa"/>
              <w:right w:w="15" w:type="dxa"/>
            </w:tcMar>
            <w:vAlign w:val="center"/>
          </w:tcPr>
          <w:p w14:paraId="3F99E06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0" w:firstLineChars="2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危害后果轻微，主动消除或减轻违法行为危害后果的。</w:t>
            </w:r>
          </w:p>
        </w:tc>
        <w:tc>
          <w:tcPr>
            <w:tcW w:w="3058" w:type="dxa"/>
            <w:tcBorders>
              <w:tl2br w:val="nil"/>
              <w:tr2bl w:val="nil"/>
            </w:tcBorders>
            <w:tcMar>
              <w:top w:w="15" w:type="dxa"/>
              <w:left w:w="15" w:type="dxa"/>
              <w:bottom w:w="15" w:type="dxa"/>
              <w:right w:w="15" w:type="dxa"/>
            </w:tcMar>
            <w:vAlign w:val="center"/>
          </w:tcPr>
          <w:p w14:paraId="0CE16D7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取消其2年至3年内参加依法必须进行招标的项目的投标资格并予以公告。</w:t>
            </w:r>
          </w:p>
        </w:tc>
      </w:tr>
      <w:tr w14:paraId="72DEA6D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86" w:hRule="atLeast"/>
          <w:jc w:val="center"/>
        </w:trPr>
        <w:tc>
          <w:tcPr>
            <w:tcW w:w="443" w:type="dxa"/>
            <w:gridSpan w:val="2"/>
            <w:vMerge w:val="continue"/>
            <w:tcBorders>
              <w:tl2br w:val="nil"/>
              <w:tr2bl w:val="nil"/>
            </w:tcBorders>
            <w:vAlign w:val="center"/>
          </w:tcPr>
          <w:p w14:paraId="3AACA38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493A221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6545070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tc>
        <w:tc>
          <w:tcPr>
            <w:tcW w:w="823" w:type="dxa"/>
            <w:tcBorders>
              <w:tl2br w:val="nil"/>
              <w:tr2bl w:val="nil"/>
            </w:tcBorders>
            <w:tcMar>
              <w:top w:w="15" w:type="dxa"/>
              <w:left w:w="15" w:type="dxa"/>
              <w:bottom w:w="15" w:type="dxa"/>
              <w:right w:w="15" w:type="dxa"/>
            </w:tcMar>
            <w:vAlign w:val="center"/>
          </w:tcPr>
          <w:p w14:paraId="6DFB45E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一般情节</w:t>
            </w:r>
          </w:p>
        </w:tc>
        <w:tc>
          <w:tcPr>
            <w:tcW w:w="3437" w:type="dxa"/>
            <w:gridSpan w:val="2"/>
            <w:tcBorders>
              <w:tl2br w:val="nil"/>
              <w:tr2bl w:val="nil"/>
            </w:tcBorders>
            <w:tcMar>
              <w:top w:w="15" w:type="dxa"/>
              <w:left w:w="15" w:type="dxa"/>
              <w:bottom w:w="15" w:type="dxa"/>
              <w:right w:w="15" w:type="dxa"/>
            </w:tcMar>
            <w:vAlign w:val="center"/>
          </w:tcPr>
          <w:p w14:paraId="31ED3F2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0" w:firstLineChars="2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不具有从轻、</w:t>
            </w:r>
            <w:r>
              <w:rPr>
                <w:rFonts w:hint="eastAsia" w:ascii="仿宋_GB2312" w:hAnsi="宋体" w:eastAsia="仿宋_GB2312"/>
                <w:color w:val="auto"/>
                <w:kern w:val="0"/>
                <w:sz w:val="13"/>
                <w:szCs w:val="13"/>
                <w:highlight w:val="none"/>
                <w:lang w:eastAsia="zh-CN"/>
              </w:rPr>
              <w:t>从重情节</w:t>
            </w:r>
            <w:r>
              <w:rPr>
                <w:rFonts w:hint="eastAsia" w:ascii="仿宋_GB2312" w:hAnsi="宋体" w:eastAsia="仿宋_GB2312"/>
                <w:color w:val="auto"/>
                <w:kern w:val="0"/>
                <w:sz w:val="13"/>
                <w:szCs w:val="13"/>
                <w:highlight w:val="none"/>
              </w:rPr>
              <w:t>的。</w:t>
            </w:r>
          </w:p>
        </w:tc>
        <w:tc>
          <w:tcPr>
            <w:tcW w:w="3058" w:type="dxa"/>
            <w:tcBorders>
              <w:tl2br w:val="nil"/>
              <w:tr2bl w:val="nil"/>
            </w:tcBorders>
            <w:tcMar>
              <w:top w:w="15" w:type="dxa"/>
              <w:left w:w="15" w:type="dxa"/>
              <w:bottom w:w="15" w:type="dxa"/>
              <w:right w:w="15" w:type="dxa"/>
            </w:tcMar>
            <w:vAlign w:val="center"/>
          </w:tcPr>
          <w:p w14:paraId="4D4F270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取消其3年至4年内参加依法必须进行招标的项目的投标资格并予以公告。</w:t>
            </w:r>
          </w:p>
        </w:tc>
      </w:tr>
      <w:tr w14:paraId="79E95CB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80" w:hRule="atLeast"/>
          <w:jc w:val="center"/>
        </w:trPr>
        <w:tc>
          <w:tcPr>
            <w:tcW w:w="443" w:type="dxa"/>
            <w:gridSpan w:val="2"/>
            <w:vMerge w:val="continue"/>
            <w:tcBorders>
              <w:tl2br w:val="nil"/>
              <w:tr2bl w:val="nil"/>
            </w:tcBorders>
            <w:vAlign w:val="center"/>
          </w:tcPr>
          <w:p w14:paraId="60D0209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0BE6F81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5FC39CF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tc>
        <w:tc>
          <w:tcPr>
            <w:tcW w:w="823" w:type="dxa"/>
            <w:tcBorders>
              <w:tl2br w:val="nil"/>
              <w:tr2bl w:val="nil"/>
            </w:tcBorders>
            <w:tcMar>
              <w:top w:w="15" w:type="dxa"/>
              <w:left w:w="15" w:type="dxa"/>
              <w:bottom w:w="15" w:type="dxa"/>
              <w:right w:w="15" w:type="dxa"/>
            </w:tcMar>
            <w:vAlign w:val="center"/>
          </w:tcPr>
          <w:p w14:paraId="667D241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从重情节</w:t>
            </w:r>
          </w:p>
        </w:tc>
        <w:tc>
          <w:tcPr>
            <w:tcW w:w="3437" w:type="dxa"/>
            <w:gridSpan w:val="2"/>
            <w:tcBorders>
              <w:tl2br w:val="nil"/>
              <w:tr2bl w:val="nil"/>
            </w:tcBorders>
            <w:tcMar>
              <w:top w:w="15" w:type="dxa"/>
              <w:left w:w="15" w:type="dxa"/>
              <w:bottom w:w="15" w:type="dxa"/>
              <w:right w:w="15" w:type="dxa"/>
            </w:tcMar>
            <w:vAlign w:val="center"/>
          </w:tcPr>
          <w:p w14:paraId="4B8E158D">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default" w:ascii="仿宋_GB2312" w:hAnsi="宋体" w:eastAsia="仿宋_GB2312"/>
                <w:color w:val="auto"/>
                <w:kern w:val="0"/>
                <w:sz w:val="13"/>
                <w:szCs w:val="13"/>
                <w:highlight w:val="none"/>
                <w:lang w:val="en-US" w:eastAsia="zh-CN"/>
              </w:rPr>
            </w:pPr>
            <w:r>
              <w:rPr>
                <w:rFonts w:hint="eastAsia" w:ascii="仿宋_GB2312" w:hAnsi="宋体" w:eastAsia="仿宋_GB2312"/>
                <w:color w:val="auto"/>
                <w:kern w:val="0"/>
                <w:sz w:val="13"/>
                <w:szCs w:val="13"/>
                <w:highlight w:val="none"/>
                <w:lang w:val="en-US" w:eastAsia="zh-CN"/>
              </w:rPr>
              <w:t>有下列情形之一的：</w:t>
            </w:r>
          </w:p>
          <w:p w14:paraId="5892FC7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（1）曾因该违法行为被依法查处，再次实施该违法行为的；</w:t>
            </w:r>
          </w:p>
          <w:p w14:paraId="19FB4B4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（2）造成工程质量事故的；</w:t>
            </w:r>
          </w:p>
          <w:p w14:paraId="6702418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（3）经有关部门确认，存在商业贿赂情形的；</w:t>
            </w:r>
          </w:p>
          <w:p w14:paraId="695C3DA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w:t>
            </w:r>
            <w:r>
              <w:rPr>
                <w:rFonts w:hint="eastAsia" w:ascii="仿宋_GB2312" w:hAnsi="宋体" w:eastAsia="仿宋_GB2312"/>
                <w:color w:val="auto"/>
                <w:kern w:val="0"/>
                <w:sz w:val="13"/>
                <w:szCs w:val="13"/>
                <w:highlight w:val="none"/>
                <w:lang w:val="en-US" w:eastAsia="zh-CN"/>
              </w:rPr>
              <w:t>4</w:t>
            </w:r>
            <w:r>
              <w:rPr>
                <w:rFonts w:hint="eastAsia" w:ascii="仿宋_GB2312" w:hAnsi="宋体" w:eastAsia="仿宋_GB2312"/>
                <w:color w:val="auto"/>
                <w:kern w:val="0"/>
                <w:sz w:val="13"/>
                <w:szCs w:val="13"/>
                <w:highlight w:val="none"/>
                <w:lang w:eastAsia="zh-CN"/>
              </w:rPr>
              <w:t>）</w:t>
            </w:r>
            <w:r>
              <w:rPr>
                <w:rFonts w:hint="eastAsia" w:ascii="仿宋_GB2312" w:hAnsi="宋体" w:eastAsia="仿宋_GB2312"/>
                <w:color w:val="auto"/>
                <w:kern w:val="0"/>
                <w:sz w:val="13"/>
                <w:szCs w:val="13"/>
                <w:highlight w:val="none"/>
              </w:rPr>
              <w:t>经招标人催告仍不履行的</w:t>
            </w:r>
            <w:r>
              <w:rPr>
                <w:rFonts w:hint="eastAsia" w:ascii="仿宋_GB2312" w:hAnsi="宋体" w:eastAsia="仿宋_GB2312"/>
                <w:color w:val="auto"/>
                <w:kern w:val="0"/>
                <w:sz w:val="13"/>
                <w:szCs w:val="13"/>
                <w:highlight w:val="none"/>
                <w:lang w:eastAsia="zh-CN"/>
              </w:rPr>
              <w:t>；</w:t>
            </w:r>
          </w:p>
          <w:p w14:paraId="1868F7A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rPr>
              <w:t>（</w:t>
            </w:r>
            <w:r>
              <w:rPr>
                <w:rFonts w:hint="eastAsia" w:ascii="仿宋_GB2312" w:hAnsi="宋体" w:eastAsia="仿宋_GB2312"/>
                <w:color w:val="auto"/>
                <w:kern w:val="0"/>
                <w:sz w:val="13"/>
                <w:szCs w:val="13"/>
                <w:highlight w:val="none"/>
                <w:lang w:val="en-US" w:eastAsia="zh-CN"/>
              </w:rPr>
              <w:t>5</w:t>
            </w:r>
            <w:r>
              <w:rPr>
                <w:rFonts w:hint="eastAsia" w:ascii="仿宋_GB2312" w:hAnsi="宋体" w:eastAsia="仿宋_GB2312"/>
                <w:color w:val="auto"/>
                <w:kern w:val="0"/>
                <w:sz w:val="13"/>
                <w:szCs w:val="13"/>
                <w:highlight w:val="none"/>
              </w:rPr>
              <w:t>）其他依法应予从重处罚的情形。</w:t>
            </w:r>
          </w:p>
        </w:tc>
        <w:tc>
          <w:tcPr>
            <w:tcW w:w="3058" w:type="dxa"/>
            <w:tcBorders>
              <w:tl2br w:val="nil"/>
              <w:tr2bl w:val="nil"/>
            </w:tcBorders>
            <w:tcMar>
              <w:top w:w="15" w:type="dxa"/>
              <w:left w:w="15" w:type="dxa"/>
              <w:bottom w:w="15" w:type="dxa"/>
              <w:right w:w="15" w:type="dxa"/>
            </w:tcMar>
            <w:vAlign w:val="center"/>
          </w:tcPr>
          <w:p w14:paraId="551DF1F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取消其</w:t>
            </w:r>
            <w:r>
              <w:rPr>
                <w:rFonts w:hint="eastAsia" w:ascii="仿宋_GB2312" w:hAnsi="宋体" w:eastAsia="仿宋_GB2312"/>
                <w:color w:val="auto"/>
                <w:kern w:val="0"/>
                <w:sz w:val="13"/>
                <w:szCs w:val="13"/>
                <w:highlight w:val="none"/>
                <w:lang w:val="en-US" w:eastAsia="zh-CN"/>
              </w:rPr>
              <w:t>4</w:t>
            </w:r>
            <w:r>
              <w:rPr>
                <w:rFonts w:hint="eastAsia" w:ascii="仿宋_GB2312" w:hAnsi="宋体" w:eastAsia="仿宋_GB2312"/>
                <w:color w:val="auto"/>
                <w:kern w:val="0"/>
                <w:sz w:val="13"/>
                <w:szCs w:val="13"/>
                <w:highlight w:val="none"/>
              </w:rPr>
              <w:t>年至5年内参加依法必须进行招标的项目的投标资格并予以公告。</w:t>
            </w:r>
          </w:p>
        </w:tc>
      </w:tr>
      <w:tr w14:paraId="509F7FE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854" w:hRule="atLeast"/>
          <w:jc w:val="center"/>
        </w:trPr>
        <w:tc>
          <w:tcPr>
            <w:tcW w:w="443" w:type="dxa"/>
            <w:gridSpan w:val="2"/>
            <w:vMerge w:val="restart"/>
            <w:tcBorders>
              <w:tl2br w:val="nil"/>
              <w:tr2bl w:val="nil"/>
            </w:tcBorders>
            <w:vAlign w:val="center"/>
          </w:tcPr>
          <w:p w14:paraId="0E8CAA1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r>
              <w:rPr>
                <w:rFonts w:hint="eastAsia" w:ascii="仿宋_GB2312" w:hAnsi="宋体" w:eastAsia="仿宋_GB2312" w:cs="Times New Roman"/>
                <w:color w:val="auto"/>
                <w:sz w:val="13"/>
                <w:szCs w:val="13"/>
                <w:highlight w:val="none"/>
              </w:rPr>
              <w:t>12</w:t>
            </w:r>
          </w:p>
        </w:tc>
        <w:tc>
          <w:tcPr>
            <w:tcW w:w="1550" w:type="dxa"/>
            <w:vMerge w:val="restart"/>
            <w:tcBorders>
              <w:tl2br w:val="nil"/>
              <w:tr2bl w:val="nil"/>
            </w:tcBorders>
            <w:vAlign w:val="center"/>
          </w:tcPr>
          <w:p w14:paraId="76142680">
            <w:pPr>
              <w:pStyle w:val="19"/>
              <w:keepNext w:val="0"/>
              <w:keepLines w:val="0"/>
              <w:pageBreakBefore w:val="0"/>
              <w:kinsoku/>
              <w:overflowPunct/>
              <w:topLinePunct w:val="0"/>
              <w:autoSpaceDE/>
              <w:autoSpaceDN/>
              <w:bidi w:val="0"/>
              <w:adjustRightInd/>
              <w:snapToGrid/>
              <w:spacing w:before="0" w:beforeAutospacing="0" w:after="0" w:afterAutospacing="0" w:line="260" w:lineRule="exact"/>
              <w:ind w:left="0" w:leftChars="0" w:right="0" w:rightChars="0" w:firstLine="130" w:firstLineChars="100"/>
              <w:rPr>
                <w:rFonts w:ascii="仿宋_GB2312" w:hAnsi="宋体" w:eastAsia="仿宋_GB2312"/>
                <w:color w:val="auto"/>
                <w:kern w:val="0"/>
                <w:sz w:val="13"/>
                <w:szCs w:val="13"/>
                <w:highlight w:val="none"/>
              </w:rPr>
            </w:pPr>
            <w:r>
              <w:rPr>
                <w:rFonts w:hint="eastAsia" w:ascii="仿宋_GB2312" w:eastAsia="仿宋_GB2312" w:cstheme="minorBidi"/>
                <w:color w:val="auto"/>
                <w:sz w:val="13"/>
                <w:szCs w:val="13"/>
                <w:highlight w:val="none"/>
              </w:rPr>
              <w:t>依法应当公开招标的项目不按照规定在指定媒介发布资格预审公告或者招标公告</w:t>
            </w:r>
          </w:p>
        </w:tc>
        <w:tc>
          <w:tcPr>
            <w:tcW w:w="4820" w:type="dxa"/>
            <w:vMerge w:val="restart"/>
            <w:tcBorders>
              <w:tl2br w:val="nil"/>
              <w:tr2bl w:val="nil"/>
            </w:tcBorders>
            <w:vAlign w:val="center"/>
          </w:tcPr>
          <w:p w14:paraId="0D32959B">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hint="eastAsia" w:ascii="仿宋_GB2312" w:hAnsi="宋体" w:eastAsia="仿宋_GB2312"/>
                <w:color w:val="auto"/>
                <w:kern w:val="0"/>
                <w:sz w:val="13"/>
                <w:szCs w:val="13"/>
                <w:highlight w:val="none"/>
              </w:rPr>
            </w:pPr>
          </w:p>
          <w:p w14:paraId="2503075A">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《中华人民共和国招标投标法实施条例》</w:t>
            </w:r>
            <w:r>
              <w:rPr>
                <w:rFonts w:hint="eastAsia" w:ascii="仿宋_GB2312" w:hAnsi="宋体" w:eastAsia="仿宋_GB2312"/>
                <w:b/>
                <w:bCs/>
                <w:color w:val="auto"/>
                <w:kern w:val="0"/>
                <w:sz w:val="13"/>
                <w:szCs w:val="13"/>
                <w:highlight w:val="none"/>
              </w:rPr>
              <w:t>第六十三条第一款</w:t>
            </w:r>
            <w:r>
              <w:rPr>
                <w:rFonts w:hint="eastAsia" w:ascii="仿宋_GB2312" w:hAnsi="宋体" w:eastAsia="仿宋_GB2312"/>
                <w:b/>
                <w:bCs/>
                <w:color w:val="auto"/>
                <w:kern w:val="0"/>
                <w:sz w:val="13"/>
                <w:szCs w:val="13"/>
                <w:highlight w:val="none"/>
                <w:lang w:eastAsia="zh-CN"/>
              </w:rPr>
              <w:t>：</w:t>
            </w:r>
            <w:r>
              <w:rPr>
                <w:rFonts w:hint="eastAsia" w:ascii="仿宋_GB2312" w:hAnsi="宋体" w:eastAsia="仿宋_GB2312"/>
                <w:color w:val="auto"/>
                <w:kern w:val="0"/>
                <w:sz w:val="13"/>
                <w:szCs w:val="13"/>
                <w:highlight w:val="none"/>
              </w:rPr>
              <w:t>招标人有下列限制或者排斥潜在投标人行为之一的，由有关行政监督部门依照招标投标法第五十一条的规定处罚：</w:t>
            </w:r>
          </w:p>
          <w:p w14:paraId="50752203">
            <w:pPr>
              <w:keepNext w:val="0"/>
              <w:keepLines w:val="0"/>
              <w:pageBreakBefore w:val="0"/>
              <w:numPr>
                <w:ilvl w:val="0"/>
                <w:numId w:val="0"/>
              </w:numPr>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lang w:eastAsia="zh-CN"/>
              </w:rPr>
              <w:t>（</w:t>
            </w:r>
            <w:r>
              <w:rPr>
                <w:rFonts w:hint="eastAsia" w:ascii="仿宋_GB2312" w:hAnsi="宋体" w:eastAsia="仿宋_GB2312"/>
                <w:color w:val="auto"/>
                <w:kern w:val="0"/>
                <w:sz w:val="13"/>
                <w:szCs w:val="13"/>
                <w:highlight w:val="none"/>
                <w:lang w:val="en-US" w:eastAsia="zh-CN"/>
              </w:rPr>
              <w:t>一）</w:t>
            </w:r>
            <w:r>
              <w:rPr>
                <w:rFonts w:hint="eastAsia" w:ascii="仿宋_GB2312" w:hAnsi="宋体" w:eastAsia="仿宋_GB2312"/>
                <w:color w:val="auto"/>
                <w:kern w:val="0"/>
                <w:sz w:val="13"/>
                <w:szCs w:val="13"/>
                <w:highlight w:val="none"/>
              </w:rPr>
              <w:t>依法应当公开招标的项目不按照规定在指定媒介发布资格预审公告或者招标公告；</w:t>
            </w:r>
          </w:p>
          <w:p w14:paraId="71FD9A50">
            <w:pPr>
              <w:keepNext w:val="0"/>
              <w:keepLines w:val="0"/>
              <w:pageBreakBefore w:val="0"/>
              <w:numPr>
                <w:ilvl w:val="0"/>
                <w:numId w:val="0"/>
              </w:numPr>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（二）在不同媒介发布的同一招标项目的资格预审公告或者招标公告的内容不一致，影响潜在投标人申请资格预审或者投标。</w:t>
            </w:r>
          </w:p>
          <w:p w14:paraId="7362B3C1">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lang w:eastAsia="zh-CN"/>
              </w:rPr>
              <w:t>《中华人民共和国招标投标法》</w:t>
            </w:r>
            <w:r>
              <w:rPr>
                <w:rFonts w:hint="eastAsia" w:ascii="仿宋_GB2312" w:hAnsi="宋体" w:eastAsia="仿宋_GB2312"/>
                <w:b/>
                <w:bCs/>
                <w:color w:val="auto"/>
                <w:kern w:val="0"/>
                <w:sz w:val="13"/>
                <w:szCs w:val="13"/>
                <w:highlight w:val="none"/>
              </w:rPr>
              <w:t>第五十一条</w:t>
            </w:r>
            <w:r>
              <w:rPr>
                <w:rFonts w:hint="eastAsia" w:ascii="仿宋_GB2312" w:hAnsi="宋体" w:eastAsia="仿宋_GB2312"/>
                <w:b/>
                <w:bCs/>
                <w:color w:val="auto"/>
                <w:kern w:val="0"/>
                <w:sz w:val="13"/>
                <w:szCs w:val="13"/>
                <w:highlight w:val="none"/>
                <w:lang w:eastAsia="zh-CN"/>
              </w:rPr>
              <w:t>：</w:t>
            </w:r>
            <w:r>
              <w:rPr>
                <w:rFonts w:hint="eastAsia" w:ascii="仿宋_GB2312" w:hAnsi="宋体" w:eastAsia="仿宋_GB2312"/>
                <w:color w:val="auto"/>
                <w:kern w:val="0"/>
                <w:sz w:val="13"/>
                <w:szCs w:val="13"/>
                <w:highlight w:val="none"/>
              </w:rPr>
              <w:t>招标人以不合理的条件限制或者排斥潜在投标人的，对潜在投标人实行歧视待遇的，强制要求投标人组成联合体共同投标的，或者限制投标人之间竞争的，责令改正，可以处一万元以上五万元以下的罚款。</w:t>
            </w:r>
          </w:p>
        </w:tc>
        <w:tc>
          <w:tcPr>
            <w:tcW w:w="823" w:type="dxa"/>
            <w:tcBorders>
              <w:tl2br w:val="nil"/>
              <w:tr2bl w:val="nil"/>
            </w:tcBorders>
            <w:tcMar>
              <w:top w:w="15" w:type="dxa"/>
              <w:left w:w="15" w:type="dxa"/>
              <w:bottom w:w="15" w:type="dxa"/>
              <w:right w:w="15" w:type="dxa"/>
            </w:tcMar>
            <w:vAlign w:val="center"/>
          </w:tcPr>
          <w:p w14:paraId="54BE47C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tcMar>
              <w:top w:w="15" w:type="dxa"/>
              <w:left w:w="15" w:type="dxa"/>
              <w:bottom w:w="15" w:type="dxa"/>
              <w:right w:w="15" w:type="dxa"/>
            </w:tcMar>
            <w:vAlign w:val="center"/>
          </w:tcPr>
          <w:p w14:paraId="7F64942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已发出邀请招标文件，但尚未组织评标。</w:t>
            </w:r>
          </w:p>
        </w:tc>
        <w:tc>
          <w:tcPr>
            <w:tcW w:w="3058" w:type="dxa"/>
            <w:tcBorders>
              <w:tl2br w:val="nil"/>
              <w:tr2bl w:val="nil"/>
            </w:tcBorders>
            <w:tcMar>
              <w:top w:w="15" w:type="dxa"/>
              <w:left w:w="15" w:type="dxa"/>
              <w:bottom w:w="15" w:type="dxa"/>
              <w:right w:w="15" w:type="dxa"/>
            </w:tcMar>
            <w:vAlign w:val="center"/>
          </w:tcPr>
          <w:p w14:paraId="58D4C99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责令改正，可以处1万元以上2万元以下的罚款。</w:t>
            </w:r>
          </w:p>
        </w:tc>
      </w:tr>
      <w:tr w14:paraId="2C75999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719" w:hRule="atLeast"/>
          <w:jc w:val="center"/>
        </w:trPr>
        <w:tc>
          <w:tcPr>
            <w:tcW w:w="443" w:type="dxa"/>
            <w:gridSpan w:val="2"/>
            <w:vMerge w:val="continue"/>
            <w:tcBorders>
              <w:tl2br w:val="nil"/>
              <w:tr2bl w:val="nil"/>
            </w:tcBorders>
            <w:vAlign w:val="center"/>
          </w:tcPr>
          <w:p w14:paraId="4B3F1DF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5E519BCA">
            <w:pPr>
              <w:pStyle w:val="19"/>
              <w:keepNext w:val="0"/>
              <w:keepLines w:val="0"/>
              <w:pageBreakBefore w:val="0"/>
              <w:kinsoku/>
              <w:overflowPunct/>
              <w:topLinePunct w:val="0"/>
              <w:autoSpaceDE/>
              <w:autoSpaceDN/>
              <w:bidi w:val="0"/>
              <w:adjustRightInd/>
              <w:snapToGrid/>
              <w:spacing w:before="0" w:beforeAutospacing="0" w:after="0" w:afterAutospacing="0" w:line="260" w:lineRule="exact"/>
              <w:ind w:left="0" w:leftChars="0" w:right="0" w:rightChars="0"/>
              <w:rPr>
                <w:rFonts w:ascii="仿宋_GB2312" w:eastAsia="仿宋_GB2312" w:cstheme="minorBidi"/>
                <w:color w:val="auto"/>
                <w:sz w:val="13"/>
                <w:szCs w:val="13"/>
                <w:highlight w:val="none"/>
              </w:rPr>
            </w:pPr>
          </w:p>
        </w:tc>
        <w:tc>
          <w:tcPr>
            <w:tcW w:w="4820" w:type="dxa"/>
            <w:vMerge w:val="continue"/>
            <w:tcBorders>
              <w:tl2br w:val="nil"/>
              <w:tr2bl w:val="nil"/>
            </w:tcBorders>
            <w:vAlign w:val="center"/>
          </w:tcPr>
          <w:p w14:paraId="63441959">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tc>
        <w:tc>
          <w:tcPr>
            <w:tcW w:w="823" w:type="dxa"/>
            <w:tcBorders>
              <w:tl2br w:val="nil"/>
              <w:tr2bl w:val="nil"/>
            </w:tcBorders>
            <w:tcMar>
              <w:top w:w="15" w:type="dxa"/>
              <w:left w:w="15" w:type="dxa"/>
              <w:bottom w:w="15" w:type="dxa"/>
              <w:right w:w="15" w:type="dxa"/>
            </w:tcMar>
            <w:vAlign w:val="center"/>
          </w:tcPr>
          <w:p w14:paraId="70D7178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一般情节</w:t>
            </w:r>
          </w:p>
        </w:tc>
        <w:tc>
          <w:tcPr>
            <w:tcW w:w="3437" w:type="dxa"/>
            <w:gridSpan w:val="2"/>
            <w:tcBorders>
              <w:tl2br w:val="nil"/>
              <w:tr2bl w:val="nil"/>
            </w:tcBorders>
            <w:tcMar>
              <w:top w:w="15" w:type="dxa"/>
              <w:left w:w="15" w:type="dxa"/>
              <w:bottom w:w="15" w:type="dxa"/>
              <w:right w:w="15" w:type="dxa"/>
            </w:tcMar>
            <w:vAlign w:val="center"/>
          </w:tcPr>
          <w:p w14:paraId="5472EE2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已组织评标或者签订合同，但未履行合同约定事项。</w:t>
            </w:r>
          </w:p>
        </w:tc>
        <w:tc>
          <w:tcPr>
            <w:tcW w:w="3058" w:type="dxa"/>
            <w:tcBorders>
              <w:tl2br w:val="nil"/>
              <w:tr2bl w:val="nil"/>
            </w:tcBorders>
            <w:tcMar>
              <w:top w:w="15" w:type="dxa"/>
              <w:left w:w="15" w:type="dxa"/>
              <w:bottom w:w="15" w:type="dxa"/>
              <w:right w:w="15" w:type="dxa"/>
            </w:tcMar>
            <w:vAlign w:val="center"/>
          </w:tcPr>
          <w:p w14:paraId="29E95FB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责令改正，可以处2万元以上4万元以下的罚款。</w:t>
            </w:r>
          </w:p>
        </w:tc>
      </w:tr>
      <w:tr w14:paraId="6774C95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426" w:hRule="atLeast"/>
          <w:jc w:val="center"/>
        </w:trPr>
        <w:tc>
          <w:tcPr>
            <w:tcW w:w="443" w:type="dxa"/>
            <w:gridSpan w:val="2"/>
            <w:vMerge w:val="continue"/>
            <w:tcBorders>
              <w:tl2br w:val="nil"/>
              <w:tr2bl w:val="nil"/>
            </w:tcBorders>
            <w:vAlign w:val="center"/>
          </w:tcPr>
          <w:p w14:paraId="3952CDC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4858E0F4">
            <w:pPr>
              <w:pStyle w:val="19"/>
              <w:keepNext w:val="0"/>
              <w:keepLines w:val="0"/>
              <w:pageBreakBefore w:val="0"/>
              <w:kinsoku/>
              <w:overflowPunct/>
              <w:topLinePunct w:val="0"/>
              <w:autoSpaceDE/>
              <w:autoSpaceDN/>
              <w:bidi w:val="0"/>
              <w:adjustRightInd/>
              <w:snapToGrid/>
              <w:spacing w:before="0" w:beforeAutospacing="0" w:after="0" w:afterAutospacing="0" w:line="260" w:lineRule="exact"/>
              <w:ind w:left="0" w:leftChars="0" w:right="0" w:rightChars="0"/>
              <w:rPr>
                <w:rFonts w:ascii="仿宋_GB2312" w:eastAsia="仿宋_GB2312" w:cstheme="minorBidi"/>
                <w:color w:val="auto"/>
                <w:sz w:val="13"/>
                <w:szCs w:val="13"/>
                <w:highlight w:val="none"/>
              </w:rPr>
            </w:pPr>
          </w:p>
        </w:tc>
        <w:tc>
          <w:tcPr>
            <w:tcW w:w="4820" w:type="dxa"/>
            <w:vMerge w:val="continue"/>
            <w:tcBorders>
              <w:tl2br w:val="nil"/>
              <w:tr2bl w:val="nil"/>
            </w:tcBorders>
            <w:vAlign w:val="center"/>
          </w:tcPr>
          <w:p w14:paraId="3BFA464D">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tc>
        <w:tc>
          <w:tcPr>
            <w:tcW w:w="823" w:type="dxa"/>
            <w:tcBorders>
              <w:tl2br w:val="nil"/>
              <w:tr2bl w:val="nil"/>
            </w:tcBorders>
            <w:tcMar>
              <w:top w:w="15" w:type="dxa"/>
              <w:left w:w="15" w:type="dxa"/>
              <w:bottom w:w="15" w:type="dxa"/>
              <w:right w:w="15" w:type="dxa"/>
            </w:tcMar>
            <w:vAlign w:val="center"/>
          </w:tcPr>
          <w:p w14:paraId="1954D1B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从重情节</w:t>
            </w:r>
          </w:p>
        </w:tc>
        <w:tc>
          <w:tcPr>
            <w:tcW w:w="3437" w:type="dxa"/>
            <w:gridSpan w:val="2"/>
            <w:tcBorders>
              <w:tl2br w:val="nil"/>
              <w:tr2bl w:val="nil"/>
            </w:tcBorders>
            <w:tcMar>
              <w:top w:w="15" w:type="dxa"/>
              <w:left w:w="15" w:type="dxa"/>
              <w:bottom w:w="15" w:type="dxa"/>
              <w:right w:w="15" w:type="dxa"/>
            </w:tcMar>
            <w:vAlign w:val="center"/>
          </w:tcPr>
          <w:p w14:paraId="474A4E0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已履行合同约定事项；</w:t>
            </w:r>
          </w:p>
          <w:p w14:paraId="7925209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其他情节恶劣，或造成严重后果的。</w:t>
            </w:r>
          </w:p>
        </w:tc>
        <w:tc>
          <w:tcPr>
            <w:tcW w:w="3058" w:type="dxa"/>
            <w:tcBorders>
              <w:tl2br w:val="nil"/>
              <w:tr2bl w:val="nil"/>
            </w:tcBorders>
            <w:tcMar>
              <w:top w:w="15" w:type="dxa"/>
              <w:left w:w="15" w:type="dxa"/>
              <w:bottom w:w="15" w:type="dxa"/>
              <w:right w:w="15" w:type="dxa"/>
            </w:tcMar>
            <w:vAlign w:val="center"/>
          </w:tcPr>
          <w:p w14:paraId="7AECCCD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责令改正，处4万元以上5万元以下的罚款。</w:t>
            </w:r>
          </w:p>
        </w:tc>
      </w:tr>
      <w:tr w14:paraId="755E86E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11" w:hRule="atLeast"/>
          <w:jc w:val="center"/>
        </w:trPr>
        <w:tc>
          <w:tcPr>
            <w:tcW w:w="443" w:type="dxa"/>
            <w:gridSpan w:val="2"/>
            <w:vMerge w:val="restart"/>
            <w:tcBorders>
              <w:tl2br w:val="nil"/>
              <w:tr2bl w:val="nil"/>
            </w:tcBorders>
            <w:vAlign w:val="center"/>
          </w:tcPr>
          <w:p w14:paraId="7AD1677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rPr>
                <w:rFonts w:ascii="仿宋_GB2312" w:hAnsi="宋体" w:eastAsia="仿宋_GB2312" w:cs="Times New Roman"/>
                <w:color w:val="auto"/>
                <w:sz w:val="13"/>
                <w:szCs w:val="13"/>
                <w:highlight w:val="none"/>
              </w:rPr>
            </w:pPr>
          </w:p>
          <w:p w14:paraId="4C8D0F7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r>
              <w:rPr>
                <w:rFonts w:hint="eastAsia" w:ascii="仿宋_GB2312" w:hAnsi="宋体" w:eastAsia="仿宋_GB2312" w:cs="Times New Roman"/>
                <w:color w:val="auto"/>
                <w:sz w:val="13"/>
                <w:szCs w:val="13"/>
                <w:highlight w:val="none"/>
                <w:lang w:val="en-US" w:eastAsia="zh-CN"/>
              </w:rPr>
              <w:t>13</w:t>
            </w:r>
          </w:p>
        </w:tc>
        <w:tc>
          <w:tcPr>
            <w:tcW w:w="1550" w:type="dxa"/>
            <w:vMerge w:val="restart"/>
            <w:tcBorders>
              <w:tl2br w:val="nil"/>
              <w:tr2bl w:val="nil"/>
            </w:tcBorders>
            <w:vAlign w:val="center"/>
          </w:tcPr>
          <w:p w14:paraId="74E3D2A0">
            <w:pPr>
              <w:pStyle w:val="19"/>
              <w:keepNext w:val="0"/>
              <w:keepLines w:val="0"/>
              <w:pageBreakBefore w:val="0"/>
              <w:kinsoku/>
              <w:overflowPunct/>
              <w:topLinePunct w:val="0"/>
              <w:autoSpaceDE/>
              <w:autoSpaceDN/>
              <w:bidi w:val="0"/>
              <w:adjustRightInd/>
              <w:snapToGrid/>
              <w:spacing w:before="0" w:beforeAutospacing="0" w:after="0" w:afterAutospacing="0" w:line="260" w:lineRule="exact"/>
              <w:ind w:left="0" w:leftChars="0" w:right="0" w:rightChars="0" w:firstLine="130" w:firstLineChars="100"/>
              <w:rPr>
                <w:rFonts w:ascii="仿宋_GB2312" w:eastAsia="仿宋_GB2312" w:cstheme="minorBidi"/>
                <w:color w:val="auto"/>
                <w:sz w:val="13"/>
                <w:szCs w:val="13"/>
                <w:highlight w:val="none"/>
              </w:rPr>
            </w:pPr>
            <w:r>
              <w:rPr>
                <w:rFonts w:hint="eastAsia" w:ascii="仿宋_GB2312" w:eastAsia="仿宋_GB2312" w:cstheme="minorBidi"/>
                <w:color w:val="auto"/>
                <w:sz w:val="13"/>
                <w:szCs w:val="13"/>
                <w:highlight w:val="none"/>
              </w:rPr>
              <w:t>依法必须进行招标的项目的招标人不按照规定发布资格预审公告或者招标公告，构成规避招标</w:t>
            </w:r>
          </w:p>
        </w:tc>
        <w:tc>
          <w:tcPr>
            <w:tcW w:w="4820" w:type="dxa"/>
            <w:vMerge w:val="restart"/>
            <w:tcBorders>
              <w:tl2br w:val="nil"/>
              <w:tr2bl w:val="nil"/>
            </w:tcBorders>
            <w:vAlign w:val="center"/>
          </w:tcPr>
          <w:p w14:paraId="1657302A">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《中华人民共和国招标投标法实施条例》</w:t>
            </w:r>
            <w:r>
              <w:rPr>
                <w:rFonts w:hint="eastAsia" w:ascii="仿宋_GB2312" w:hAnsi="宋体" w:eastAsia="仿宋_GB2312"/>
                <w:b/>
                <w:bCs/>
                <w:color w:val="auto"/>
                <w:kern w:val="0"/>
                <w:sz w:val="13"/>
                <w:szCs w:val="13"/>
                <w:highlight w:val="none"/>
              </w:rPr>
              <w:t>第六十三条第三款</w:t>
            </w:r>
            <w:r>
              <w:rPr>
                <w:rFonts w:hint="eastAsia" w:ascii="仿宋_GB2312" w:hAnsi="宋体" w:eastAsia="仿宋_GB2312"/>
                <w:b/>
                <w:bCs/>
                <w:color w:val="auto"/>
                <w:kern w:val="0"/>
                <w:sz w:val="13"/>
                <w:szCs w:val="13"/>
                <w:highlight w:val="none"/>
                <w:lang w:eastAsia="zh-CN"/>
              </w:rPr>
              <w:t>：</w:t>
            </w:r>
            <w:r>
              <w:rPr>
                <w:rFonts w:hint="eastAsia" w:ascii="仿宋_GB2312" w:hAnsi="宋体" w:eastAsia="仿宋_GB2312"/>
                <w:color w:val="auto"/>
                <w:kern w:val="0"/>
                <w:sz w:val="13"/>
                <w:szCs w:val="13"/>
                <w:highlight w:val="none"/>
              </w:rPr>
              <w:t>依法必须进行招标的项目的招标人不按照规定发布资格预审公告或者招标公告，构成规避招标的，依照招标投标法第四十九条的规定处罚。</w:t>
            </w:r>
          </w:p>
          <w:p w14:paraId="11847358">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lang w:eastAsia="zh-CN"/>
              </w:rPr>
              <w:t>《中华人民共和国招标投标法》</w:t>
            </w:r>
            <w:r>
              <w:rPr>
                <w:rFonts w:hint="eastAsia" w:ascii="仿宋_GB2312" w:hAnsi="宋体" w:eastAsia="仿宋_GB2312"/>
                <w:b/>
                <w:bCs/>
                <w:color w:val="auto"/>
                <w:kern w:val="0"/>
                <w:sz w:val="13"/>
                <w:szCs w:val="13"/>
                <w:highlight w:val="none"/>
              </w:rPr>
              <w:t>第四十九条</w:t>
            </w:r>
            <w:r>
              <w:rPr>
                <w:rFonts w:hint="eastAsia" w:ascii="仿宋_GB2312" w:hAnsi="宋体" w:eastAsia="仿宋_GB2312"/>
                <w:b/>
                <w:bCs/>
                <w:color w:val="auto"/>
                <w:kern w:val="0"/>
                <w:sz w:val="13"/>
                <w:szCs w:val="13"/>
                <w:highlight w:val="none"/>
                <w:lang w:eastAsia="zh-CN"/>
              </w:rPr>
              <w:t>：</w:t>
            </w:r>
            <w:r>
              <w:rPr>
                <w:rFonts w:hint="eastAsia" w:ascii="仿宋_GB2312" w:hAnsi="宋体" w:eastAsia="仿宋_GB2312"/>
                <w:color w:val="auto"/>
                <w:kern w:val="0"/>
                <w:sz w:val="13"/>
                <w:szCs w:val="13"/>
                <w:highlight w:val="none"/>
              </w:rPr>
              <w:t>违反本法规定，必须进行招标的项目而不招标的，将必须进行招标的项目化整为零或者以其他任何方式规避招标的，责令限期改正，可以处项目合同金额千分之五以上千分之十以下的罚款；对全部或者部分使用国有资金的项目，可以暂停项目执行或者暂停资金拨付；对单位直接负责的主管人员和其他直接责任人员依法给予处分。</w:t>
            </w:r>
          </w:p>
        </w:tc>
        <w:tc>
          <w:tcPr>
            <w:tcW w:w="823" w:type="dxa"/>
            <w:tcBorders>
              <w:tl2br w:val="nil"/>
              <w:tr2bl w:val="nil"/>
            </w:tcBorders>
            <w:tcMar>
              <w:top w:w="15" w:type="dxa"/>
              <w:left w:w="15" w:type="dxa"/>
              <w:bottom w:w="15" w:type="dxa"/>
              <w:right w:w="15" w:type="dxa"/>
            </w:tcMar>
            <w:vAlign w:val="center"/>
          </w:tcPr>
          <w:p w14:paraId="60C98CF7">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tcMar>
              <w:top w:w="15" w:type="dxa"/>
              <w:left w:w="15" w:type="dxa"/>
              <w:bottom w:w="15" w:type="dxa"/>
              <w:right w:w="15" w:type="dxa"/>
            </w:tcMar>
            <w:vAlign w:val="center"/>
          </w:tcPr>
          <w:p w14:paraId="4816996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项目尚未开工，及时纠正的。</w:t>
            </w:r>
          </w:p>
        </w:tc>
        <w:tc>
          <w:tcPr>
            <w:tcW w:w="3058" w:type="dxa"/>
            <w:tcBorders>
              <w:tl2br w:val="nil"/>
              <w:tr2bl w:val="nil"/>
            </w:tcBorders>
            <w:tcMar>
              <w:top w:w="15" w:type="dxa"/>
              <w:left w:w="15" w:type="dxa"/>
              <w:bottom w:w="15" w:type="dxa"/>
              <w:right w:w="15" w:type="dxa"/>
            </w:tcMar>
            <w:vAlign w:val="center"/>
          </w:tcPr>
          <w:p w14:paraId="6947E34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责令改正，可以处项目合同金额千分之五的罚款。</w:t>
            </w:r>
          </w:p>
        </w:tc>
      </w:tr>
      <w:tr w14:paraId="59B0D1F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82" w:hRule="atLeast"/>
          <w:jc w:val="center"/>
        </w:trPr>
        <w:tc>
          <w:tcPr>
            <w:tcW w:w="443" w:type="dxa"/>
            <w:gridSpan w:val="2"/>
            <w:vMerge w:val="continue"/>
            <w:tcBorders>
              <w:tl2br w:val="nil"/>
              <w:tr2bl w:val="nil"/>
            </w:tcBorders>
            <w:vAlign w:val="center"/>
          </w:tcPr>
          <w:p w14:paraId="71E436A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rPr>
                <w:rFonts w:hint="default" w:ascii="仿宋_GB2312" w:hAnsi="宋体" w:eastAsia="仿宋_GB2312" w:cs="Times New Roman"/>
                <w:color w:val="auto"/>
                <w:sz w:val="13"/>
                <w:szCs w:val="13"/>
                <w:highlight w:val="none"/>
                <w:lang w:val="en-US" w:eastAsia="zh-CN"/>
              </w:rPr>
            </w:pPr>
          </w:p>
        </w:tc>
        <w:tc>
          <w:tcPr>
            <w:tcW w:w="1550" w:type="dxa"/>
            <w:vMerge w:val="continue"/>
            <w:tcBorders>
              <w:tl2br w:val="nil"/>
              <w:tr2bl w:val="nil"/>
            </w:tcBorders>
            <w:vAlign w:val="center"/>
          </w:tcPr>
          <w:p w14:paraId="3FC85C43">
            <w:pPr>
              <w:pStyle w:val="19"/>
              <w:keepNext w:val="0"/>
              <w:keepLines w:val="0"/>
              <w:pageBreakBefore w:val="0"/>
              <w:kinsoku/>
              <w:overflowPunct/>
              <w:topLinePunct w:val="0"/>
              <w:autoSpaceDE/>
              <w:autoSpaceDN/>
              <w:bidi w:val="0"/>
              <w:adjustRightInd/>
              <w:snapToGrid/>
              <w:spacing w:before="0" w:beforeAutospacing="0" w:after="0" w:afterAutospacing="0" w:line="260" w:lineRule="exact"/>
              <w:ind w:left="0" w:leftChars="0" w:right="0" w:rightChars="0"/>
              <w:rPr>
                <w:rFonts w:ascii="仿宋_GB2312" w:eastAsia="仿宋_GB2312" w:cstheme="minorBidi"/>
                <w:color w:val="auto"/>
                <w:sz w:val="13"/>
                <w:szCs w:val="13"/>
                <w:highlight w:val="none"/>
              </w:rPr>
            </w:pPr>
          </w:p>
        </w:tc>
        <w:tc>
          <w:tcPr>
            <w:tcW w:w="4820" w:type="dxa"/>
            <w:vMerge w:val="continue"/>
            <w:tcBorders>
              <w:tl2br w:val="nil"/>
              <w:tr2bl w:val="nil"/>
            </w:tcBorders>
            <w:vAlign w:val="center"/>
          </w:tcPr>
          <w:p w14:paraId="1859B1B4">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tc>
        <w:tc>
          <w:tcPr>
            <w:tcW w:w="823" w:type="dxa"/>
            <w:tcBorders>
              <w:tl2br w:val="nil"/>
              <w:tr2bl w:val="nil"/>
            </w:tcBorders>
            <w:tcMar>
              <w:top w:w="15" w:type="dxa"/>
              <w:left w:w="15" w:type="dxa"/>
              <w:bottom w:w="15" w:type="dxa"/>
              <w:right w:w="15" w:type="dxa"/>
            </w:tcMar>
            <w:vAlign w:val="center"/>
          </w:tcPr>
          <w:p w14:paraId="103F1A15">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一般情节</w:t>
            </w:r>
          </w:p>
        </w:tc>
        <w:tc>
          <w:tcPr>
            <w:tcW w:w="3437" w:type="dxa"/>
            <w:gridSpan w:val="2"/>
            <w:tcBorders>
              <w:tl2br w:val="nil"/>
              <w:tr2bl w:val="nil"/>
            </w:tcBorders>
            <w:tcMar>
              <w:top w:w="15" w:type="dxa"/>
              <w:left w:w="15" w:type="dxa"/>
              <w:bottom w:w="15" w:type="dxa"/>
              <w:right w:w="15" w:type="dxa"/>
            </w:tcMar>
            <w:vAlign w:val="center"/>
          </w:tcPr>
          <w:p w14:paraId="498A8FF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项目已经开工，及时纠正的。</w:t>
            </w:r>
          </w:p>
        </w:tc>
        <w:tc>
          <w:tcPr>
            <w:tcW w:w="3058" w:type="dxa"/>
            <w:tcBorders>
              <w:tl2br w:val="nil"/>
              <w:tr2bl w:val="nil"/>
            </w:tcBorders>
            <w:tcMar>
              <w:top w:w="15" w:type="dxa"/>
              <w:left w:w="15" w:type="dxa"/>
              <w:bottom w:w="15" w:type="dxa"/>
              <w:right w:w="15" w:type="dxa"/>
            </w:tcMar>
            <w:vAlign w:val="center"/>
          </w:tcPr>
          <w:p w14:paraId="1861E8F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责令改正，可以处项目合同金额千分之五以上千分之七点五以下的罚款。</w:t>
            </w:r>
          </w:p>
        </w:tc>
      </w:tr>
      <w:tr w14:paraId="1F58DE5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45" w:hRule="atLeast"/>
          <w:jc w:val="center"/>
        </w:trPr>
        <w:tc>
          <w:tcPr>
            <w:tcW w:w="443" w:type="dxa"/>
            <w:gridSpan w:val="2"/>
            <w:vMerge w:val="continue"/>
            <w:tcBorders>
              <w:tl2br w:val="nil"/>
              <w:tr2bl w:val="nil"/>
            </w:tcBorders>
            <w:vAlign w:val="center"/>
          </w:tcPr>
          <w:p w14:paraId="7143E12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6B1082FD">
            <w:pPr>
              <w:pStyle w:val="19"/>
              <w:keepNext w:val="0"/>
              <w:keepLines w:val="0"/>
              <w:pageBreakBefore w:val="0"/>
              <w:kinsoku/>
              <w:overflowPunct/>
              <w:topLinePunct w:val="0"/>
              <w:autoSpaceDE/>
              <w:autoSpaceDN/>
              <w:bidi w:val="0"/>
              <w:adjustRightInd/>
              <w:snapToGrid/>
              <w:spacing w:before="0" w:beforeAutospacing="0" w:after="0" w:afterAutospacing="0" w:line="260" w:lineRule="exact"/>
              <w:ind w:left="0" w:leftChars="0" w:right="0" w:rightChars="0"/>
              <w:rPr>
                <w:rFonts w:ascii="仿宋_GB2312" w:eastAsia="仿宋_GB2312" w:cstheme="minorBidi"/>
                <w:color w:val="auto"/>
                <w:sz w:val="13"/>
                <w:szCs w:val="13"/>
                <w:highlight w:val="none"/>
              </w:rPr>
            </w:pPr>
          </w:p>
        </w:tc>
        <w:tc>
          <w:tcPr>
            <w:tcW w:w="4820" w:type="dxa"/>
            <w:vMerge w:val="continue"/>
            <w:tcBorders>
              <w:tl2br w:val="nil"/>
              <w:tr2bl w:val="nil"/>
            </w:tcBorders>
            <w:vAlign w:val="center"/>
          </w:tcPr>
          <w:p w14:paraId="4BE9A2BA">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tc>
        <w:tc>
          <w:tcPr>
            <w:tcW w:w="823" w:type="dxa"/>
            <w:vMerge w:val="restart"/>
            <w:tcBorders>
              <w:tl2br w:val="nil"/>
              <w:tr2bl w:val="nil"/>
            </w:tcBorders>
            <w:tcMar>
              <w:top w:w="15" w:type="dxa"/>
              <w:left w:w="15" w:type="dxa"/>
              <w:bottom w:w="15" w:type="dxa"/>
              <w:right w:w="15" w:type="dxa"/>
            </w:tcMar>
            <w:vAlign w:val="center"/>
          </w:tcPr>
          <w:p w14:paraId="034E1DF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从重情节</w:t>
            </w:r>
          </w:p>
        </w:tc>
        <w:tc>
          <w:tcPr>
            <w:tcW w:w="3437" w:type="dxa"/>
            <w:gridSpan w:val="2"/>
            <w:tcBorders>
              <w:tl2br w:val="nil"/>
              <w:tr2bl w:val="nil"/>
            </w:tcBorders>
            <w:tcMar>
              <w:top w:w="15" w:type="dxa"/>
              <w:left w:w="15" w:type="dxa"/>
              <w:bottom w:w="15" w:type="dxa"/>
              <w:right w:w="15" w:type="dxa"/>
            </w:tcMar>
            <w:vAlign w:val="center"/>
          </w:tcPr>
          <w:p w14:paraId="256C1BC4">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（1）经责令改正后，逾期未改正的。</w:t>
            </w:r>
          </w:p>
        </w:tc>
        <w:tc>
          <w:tcPr>
            <w:tcW w:w="3058" w:type="dxa"/>
            <w:tcBorders>
              <w:tl2br w:val="nil"/>
              <w:tr2bl w:val="nil"/>
            </w:tcBorders>
            <w:tcMar>
              <w:top w:w="15" w:type="dxa"/>
              <w:left w:w="15" w:type="dxa"/>
              <w:bottom w:w="15" w:type="dxa"/>
              <w:right w:w="15" w:type="dxa"/>
            </w:tcMar>
            <w:vAlign w:val="center"/>
          </w:tcPr>
          <w:p w14:paraId="1BCEB73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责令改正，可以处项目合同金额千分之七点五以上千分之八点五以下的罚款。</w:t>
            </w:r>
          </w:p>
        </w:tc>
      </w:tr>
      <w:tr w14:paraId="0D0722A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98" w:hRule="atLeast"/>
          <w:jc w:val="center"/>
        </w:trPr>
        <w:tc>
          <w:tcPr>
            <w:tcW w:w="443" w:type="dxa"/>
            <w:gridSpan w:val="2"/>
            <w:vMerge w:val="continue"/>
            <w:tcBorders>
              <w:tl2br w:val="nil"/>
              <w:tr2bl w:val="nil"/>
            </w:tcBorders>
            <w:vAlign w:val="center"/>
          </w:tcPr>
          <w:p w14:paraId="4BEE894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1A6C93FB">
            <w:pPr>
              <w:pStyle w:val="19"/>
              <w:keepNext w:val="0"/>
              <w:keepLines w:val="0"/>
              <w:pageBreakBefore w:val="0"/>
              <w:kinsoku/>
              <w:overflowPunct/>
              <w:topLinePunct w:val="0"/>
              <w:autoSpaceDE/>
              <w:autoSpaceDN/>
              <w:bidi w:val="0"/>
              <w:adjustRightInd/>
              <w:snapToGrid/>
              <w:spacing w:before="0" w:beforeAutospacing="0" w:after="0" w:afterAutospacing="0" w:line="260" w:lineRule="exact"/>
              <w:ind w:left="0" w:leftChars="0" w:right="0" w:rightChars="0"/>
              <w:rPr>
                <w:rFonts w:ascii="仿宋_GB2312" w:eastAsia="仿宋_GB2312" w:cstheme="minorBidi"/>
                <w:color w:val="auto"/>
                <w:sz w:val="13"/>
                <w:szCs w:val="13"/>
                <w:highlight w:val="none"/>
              </w:rPr>
            </w:pPr>
          </w:p>
        </w:tc>
        <w:tc>
          <w:tcPr>
            <w:tcW w:w="4820" w:type="dxa"/>
            <w:vMerge w:val="continue"/>
            <w:tcBorders>
              <w:tl2br w:val="nil"/>
              <w:tr2bl w:val="nil"/>
            </w:tcBorders>
            <w:vAlign w:val="center"/>
          </w:tcPr>
          <w:p w14:paraId="1008A22A">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tc>
        <w:tc>
          <w:tcPr>
            <w:tcW w:w="823" w:type="dxa"/>
            <w:vMerge w:val="continue"/>
            <w:tcBorders>
              <w:tl2br w:val="nil"/>
              <w:tr2bl w:val="nil"/>
            </w:tcBorders>
            <w:tcMar>
              <w:top w:w="15" w:type="dxa"/>
              <w:left w:w="15" w:type="dxa"/>
              <w:bottom w:w="15" w:type="dxa"/>
              <w:right w:w="15" w:type="dxa"/>
            </w:tcMar>
            <w:vAlign w:val="center"/>
          </w:tcPr>
          <w:p w14:paraId="073C44E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p>
        </w:tc>
        <w:tc>
          <w:tcPr>
            <w:tcW w:w="3437" w:type="dxa"/>
            <w:gridSpan w:val="2"/>
            <w:tcBorders>
              <w:tl2br w:val="nil"/>
              <w:tr2bl w:val="nil"/>
            </w:tcBorders>
            <w:tcMar>
              <w:top w:w="15" w:type="dxa"/>
              <w:left w:w="15" w:type="dxa"/>
              <w:bottom w:w="15" w:type="dxa"/>
              <w:right w:w="15" w:type="dxa"/>
            </w:tcMar>
            <w:vAlign w:val="center"/>
          </w:tcPr>
          <w:p w14:paraId="5A743F14">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（2）项目已经开工，且造成严重后果的。</w:t>
            </w:r>
          </w:p>
        </w:tc>
        <w:tc>
          <w:tcPr>
            <w:tcW w:w="3058" w:type="dxa"/>
            <w:tcBorders>
              <w:tl2br w:val="nil"/>
              <w:tr2bl w:val="nil"/>
            </w:tcBorders>
            <w:tcMar>
              <w:top w:w="15" w:type="dxa"/>
              <w:left w:w="15" w:type="dxa"/>
              <w:bottom w:w="15" w:type="dxa"/>
              <w:right w:w="15" w:type="dxa"/>
            </w:tcMar>
            <w:vAlign w:val="center"/>
          </w:tcPr>
          <w:p w14:paraId="2709FDDD">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责令改正，可以处项目合同金额千分之八点五以上千分之十以下的罚款。</w:t>
            </w:r>
          </w:p>
          <w:p w14:paraId="01A2A35D">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r>
      <w:tr w14:paraId="53D57F0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60" w:hRule="atLeast"/>
          <w:jc w:val="center"/>
        </w:trPr>
        <w:tc>
          <w:tcPr>
            <w:tcW w:w="443" w:type="dxa"/>
            <w:gridSpan w:val="2"/>
            <w:vMerge w:val="restart"/>
            <w:tcBorders>
              <w:tl2br w:val="nil"/>
              <w:tr2bl w:val="nil"/>
            </w:tcBorders>
            <w:vAlign w:val="center"/>
          </w:tcPr>
          <w:p w14:paraId="670C048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rPr>
                <w:rFonts w:ascii="仿宋_GB2312" w:hAnsi="宋体" w:eastAsia="仿宋_GB2312" w:cs="Times New Roman"/>
                <w:color w:val="auto"/>
                <w:sz w:val="13"/>
                <w:szCs w:val="13"/>
                <w:highlight w:val="none"/>
              </w:rPr>
            </w:pPr>
          </w:p>
          <w:p w14:paraId="7AFF92F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rPr>
                <w:rFonts w:ascii="仿宋_GB2312" w:hAnsi="宋体" w:eastAsia="仿宋_GB2312" w:cs="Times New Roman"/>
                <w:color w:val="auto"/>
                <w:sz w:val="13"/>
                <w:szCs w:val="13"/>
                <w:highlight w:val="none"/>
              </w:rPr>
            </w:pPr>
          </w:p>
          <w:p w14:paraId="555A348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r>
              <w:rPr>
                <w:rFonts w:hint="eastAsia" w:ascii="仿宋_GB2312" w:hAnsi="宋体" w:eastAsia="仿宋_GB2312" w:cs="Times New Roman"/>
                <w:color w:val="auto"/>
                <w:sz w:val="13"/>
                <w:szCs w:val="13"/>
                <w:highlight w:val="none"/>
                <w:lang w:val="en-US" w:eastAsia="zh-CN"/>
              </w:rPr>
              <w:t>14</w:t>
            </w:r>
          </w:p>
        </w:tc>
        <w:tc>
          <w:tcPr>
            <w:tcW w:w="1550" w:type="dxa"/>
            <w:vMerge w:val="restart"/>
            <w:tcBorders>
              <w:tl2br w:val="nil"/>
              <w:tr2bl w:val="nil"/>
            </w:tcBorders>
            <w:vAlign w:val="center"/>
          </w:tcPr>
          <w:p w14:paraId="7C8E1C08">
            <w:pPr>
              <w:pStyle w:val="19"/>
              <w:keepNext w:val="0"/>
              <w:keepLines w:val="0"/>
              <w:pageBreakBefore w:val="0"/>
              <w:widowControl/>
              <w:kinsoku/>
              <w:wordWrap/>
              <w:overflowPunct/>
              <w:topLinePunct w:val="0"/>
              <w:autoSpaceDE/>
              <w:autoSpaceDN/>
              <w:bidi w:val="0"/>
              <w:adjustRightInd/>
              <w:snapToGrid/>
              <w:spacing w:before="0" w:beforeAutospacing="0" w:after="0" w:afterAutospacing="0" w:line="260" w:lineRule="exact"/>
              <w:ind w:left="0" w:leftChars="0" w:right="0" w:rightChars="0"/>
              <w:textAlignment w:val="auto"/>
              <w:rPr>
                <w:rFonts w:ascii="仿宋_GB2312" w:eastAsia="仿宋_GB2312" w:cstheme="minorBidi"/>
                <w:color w:val="auto"/>
                <w:sz w:val="13"/>
                <w:szCs w:val="13"/>
                <w:highlight w:val="none"/>
              </w:rPr>
            </w:pPr>
            <w:r>
              <w:rPr>
                <w:rFonts w:hint="eastAsia" w:ascii="仿宋_GB2312" w:eastAsia="仿宋_GB2312" w:cstheme="minorBidi"/>
                <w:color w:val="auto"/>
                <w:sz w:val="13"/>
                <w:szCs w:val="13"/>
                <w:highlight w:val="none"/>
              </w:rPr>
              <w:t>依法应当公开招标而采用邀请招标的；招标文件、资格预审文件的发售、澄清、修改的时限，或者确定的提交资格预审申请文件、投标文件的时限不符合招标投标法和实施条例规定的；招标人接受未通过资格预审的单位或者个人参加投标的；招标人接受应当拒收的投标文件的</w:t>
            </w:r>
          </w:p>
        </w:tc>
        <w:tc>
          <w:tcPr>
            <w:tcW w:w="4820" w:type="dxa"/>
            <w:vMerge w:val="restart"/>
            <w:tcBorders>
              <w:tl2br w:val="nil"/>
              <w:tr2bl w:val="nil"/>
            </w:tcBorders>
            <w:vAlign w:val="center"/>
          </w:tcPr>
          <w:p w14:paraId="0D1B4AF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《中华人民共和国招标投标法实施条例》</w:t>
            </w:r>
            <w:r>
              <w:rPr>
                <w:rFonts w:hint="eastAsia" w:ascii="仿宋_GB2312" w:hAnsi="宋体" w:eastAsia="仿宋_GB2312"/>
                <w:b/>
                <w:bCs/>
                <w:color w:val="auto"/>
                <w:kern w:val="0"/>
                <w:sz w:val="13"/>
                <w:szCs w:val="13"/>
                <w:highlight w:val="none"/>
              </w:rPr>
              <w:t>第六十四条</w:t>
            </w:r>
            <w:r>
              <w:rPr>
                <w:rFonts w:hint="eastAsia" w:ascii="仿宋_GB2312" w:hAnsi="宋体" w:eastAsia="仿宋_GB2312"/>
                <w:b/>
                <w:bCs/>
                <w:color w:val="auto"/>
                <w:kern w:val="0"/>
                <w:sz w:val="13"/>
                <w:szCs w:val="13"/>
                <w:highlight w:val="none"/>
                <w:lang w:eastAsia="zh-CN"/>
              </w:rPr>
              <w:t>：</w:t>
            </w:r>
            <w:r>
              <w:rPr>
                <w:rFonts w:hint="eastAsia" w:ascii="仿宋_GB2312" w:hAnsi="宋体" w:eastAsia="仿宋_GB2312"/>
                <w:color w:val="auto"/>
                <w:kern w:val="0"/>
                <w:sz w:val="13"/>
                <w:szCs w:val="13"/>
                <w:highlight w:val="none"/>
              </w:rPr>
              <w:t>招标人有下列情形之一的，由有关行政监督部门责令改正，可以处10万元以下的罚款：</w:t>
            </w:r>
          </w:p>
          <w:p w14:paraId="66AF216A">
            <w:pPr>
              <w:keepNext w:val="0"/>
              <w:keepLines w:val="0"/>
              <w:pageBreakBefore w:val="0"/>
              <w:widowControl/>
              <w:numPr>
                <w:ilvl w:val="0"/>
                <w:numId w:val="0"/>
              </w:numPr>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w:t>
            </w:r>
            <w:r>
              <w:rPr>
                <w:rFonts w:hint="eastAsia" w:ascii="仿宋_GB2312" w:hAnsi="宋体" w:eastAsia="仿宋_GB2312"/>
                <w:color w:val="auto"/>
                <w:kern w:val="0"/>
                <w:sz w:val="13"/>
                <w:szCs w:val="13"/>
                <w:highlight w:val="none"/>
                <w:lang w:val="en-US" w:eastAsia="zh-CN"/>
              </w:rPr>
              <w:t>一）</w:t>
            </w:r>
            <w:r>
              <w:rPr>
                <w:rFonts w:hint="eastAsia" w:ascii="仿宋_GB2312" w:hAnsi="宋体" w:eastAsia="仿宋_GB2312"/>
                <w:color w:val="auto"/>
                <w:kern w:val="0"/>
                <w:sz w:val="13"/>
                <w:szCs w:val="13"/>
                <w:highlight w:val="none"/>
              </w:rPr>
              <w:t>依法应当公开招标而采用邀请招</w:t>
            </w:r>
            <w:r>
              <w:rPr>
                <w:rFonts w:hint="eastAsia" w:ascii="仿宋_GB2312" w:hAnsi="宋体" w:eastAsia="仿宋_GB2312"/>
                <w:color w:val="auto"/>
                <w:kern w:val="0"/>
                <w:sz w:val="13"/>
                <w:szCs w:val="13"/>
                <w:highlight w:val="none"/>
                <w:lang w:eastAsia="zh-CN"/>
              </w:rPr>
              <w:t>；</w:t>
            </w:r>
          </w:p>
          <w:p w14:paraId="048075FA">
            <w:pPr>
              <w:keepNext w:val="0"/>
              <w:keepLines w:val="0"/>
              <w:pageBreakBefore w:val="0"/>
              <w:widowControl/>
              <w:numPr>
                <w:ilvl w:val="0"/>
                <w:numId w:val="0"/>
              </w:numPr>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（二）招标文件、资格预审文件的发售、澄清、修改的时限，或者确定的提交资格预审申请文件、投标文件的时限不符合招标投标法和本条例规定；</w:t>
            </w:r>
          </w:p>
          <w:p w14:paraId="540F6AA2">
            <w:pPr>
              <w:keepNext w:val="0"/>
              <w:keepLines w:val="0"/>
              <w:pageBreakBefore w:val="0"/>
              <w:widowControl/>
              <w:numPr>
                <w:ilvl w:val="0"/>
                <w:numId w:val="0"/>
              </w:numPr>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（三）接受未通过资格预审的单位或者个人参加投标；</w:t>
            </w:r>
          </w:p>
          <w:p w14:paraId="2B0C429A">
            <w:pPr>
              <w:keepNext w:val="0"/>
              <w:keepLines w:val="0"/>
              <w:pageBreakBefore w:val="0"/>
              <w:widowControl/>
              <w:numPr>
                <w:ilvl w:val="0"/>
                <w:numId w:val="0"/>
              </w:numPr>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（四）接受应当拒收的投标文件。</w:t>
            </w:r>
          </w:p>
          <w:p w14:paraId="669709B0">
            <w:pPr>
              <w:keepNext w:val="0"/>
              <w:keepLines w:val="0"/>
              <w:pageBreakBefore w:val="0"/>
              <w:widowControl/>
              <w:numPr>
                <w:ilvl w:val="0"/>
                <w:numId w:val="0"/>
              </w:numPr>
              <w:kinsoku/>
              <w:overflowPunct/>
              <w:topLinePunct w:val="0"/>
              <w:autoSpaceDE/>
              <w:autoSpaceDN/>
              <w:bidi w:val="0"/>
              <w:adjustRightInd/>
              <w:snapToGrid/>
              <w:spacing w:beforeAutospacing="0" w:afterAutospacing="0" w:line="260" w:lineRule="exact"/>
              <w:ind w:left="0" w:leftChars="0" w:right="0" w:rightChars="0" w:firstLine="260" w:firstLineChars="2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招标人有前款第一项、第三项、第四项所列行为之一的，对单位直接负责的主管人员和其他直接责任人员依法给予处分。</w:t>
            </w:r>
          </w:p>
        </w:tc>
        <w:tc>
          <w:tcPr>
            <w:tcW w:w="823" w:type="dxa"/>
            <w:tcBorders>
              <w:tl2br w:val="nil"/>
              <w:tr2bl w:val="nil"/>
            </w:tcBorders>
            <w:tcMar>
              <w:top w:w="15" w:type="dxa"/>
              <w:left w:w="15" w:type="dxa"/>
              <w:bottom w:w="15" w:type="dxa"/>
              <w:right w:w="15" w:type="dxa"/>
            </w:tcMar>
            <w:vAlign w:val="center"/>
          </w:tcPr>
          <w:p w14:paraId="11A34EC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tcMar>
              <w:top w:w="15" w:type="dxa"/>
              <w:left w:w="15" w:type="dxa"/>
              <w:bottom w:w="15" w:type="dxa"/>
              <w:right w:w="15" w:type="dxa"/>
            </w:tcMar>
            <w:vAlign w:val="center"/>
          </w:tcPr>
          <w:p w14:paraId="0F82960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在开标前发现的。</w:t>
            </w:r>
          </w:p>
        </w:tc>
        <w:tc>
          <w:tcPr>
            <w:tcW w:w="3058" w:type="dxa"/>
            <w:tcBorders>
              <w:tl2br w:val="nil"/>
              <w:tr2bl w:val="nil"/>
            </w:tcBorders>
            <w:tcMar>
              <w:top w:w="15" w:type="dxa"/>
              <w:left w:w="15" w:type="dxa"/>
              <w:bottom w:w="15" w:type="dxa"/>
              <w:right w:w="15" w:type="dxa"/>
            </w:tcMar>
            <w:vAlign w:val="center"/>
          </w:tcPr>
          <w:p w14:paraId="330A666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责令改正，可以处2万元以下的罚款。</w:t>
            </w:r>
          </w:p>
        </w:tc>
      </w:tr>
      <w:tr w14:paraId="5BCA602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56" w:hRule="atLeast"/>
          <w:jc w:val="center"/>
        </w:trPr>
        <w:tc>
          <w:tcPr>
            <w:tcW w:w="443" w:type="dxa"/>
            <w:gridSpan w:val="2"/>
            <w:vMerge w:val="continue"/>
            <w:tcBorders>
              <w:tl2br w:val="nil"/>
              <w:tr2bl w:val="nil"/>
            </w:tcBorders>
            <w:vAlign w:val="center"/>
          </w:tcPr>
          <w:p w14:paraId="3B6F18F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rPr>
                <w:rFonts w:hint="default" w:ascii="仿宋_GB2312" w:hAnsi="宋体" w:eastAsia="仿宋_GB2312" w:cs="Times New Roman"/>
                <w:color w:val="auto"/>
                <w:sz w:val="13"/>
                <w:szCs w:val="13"/>
                <w:highlight w:val="none"/>
                <w:lang w:val="en-US" w:eastAsia="zh-CN"/>
              </w:rPr>
            </w:pPr>
          </w:p>
        </w:tc>
        <w:tc>
          <w:tcPr>
            <w:tcW w:w="1550" w:type="dxa"/>
            <w:vMerge w:val="continue"/>
            <w:tcBorders>
              <w:tl2br w:val="nil"/>
              <w:tr2bl w:val="nil"/>
            </w:tcBorders>
            <w:vAlign w:val="center"/>
          </w:tcPr>
          <w:p w14:paraId="3181391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eastAsia="仿宋_GB2312" w:cstheme="minorBidi"/>
                <w:color w:val="auto"/>
                <w:sz w:val="13"/>
                <w:szCs w:val="13"/>
                <w:highlight w:val="none"/>
              </w:rPr>
            </w:pPr>
          </w:p>
        </w:tc>
        <w:tc>
          <w:tcPr>
            <w:tcW w:w="4820" w:type="dxa"/>
            <w:vMerge w:val="continue"/>
            <w:tcBorders>
              <w:tl2br w:val="nil"/>
              <w:tr2bl w:val="nil"/>
            </w:tcBorders>
            <w:vAlign w:val="center"/>
          </w:tcPr>
          <w:p w14:paraId="77E84BE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823" w:type="dxa"/>
            <w:tcBorders>
              <w:tl2br w:val="nil"/>
              <w:tr2bl w:val="nil"/>
            </w:tcBorders>
            <w:tcMar>
              <w:top w:w="15" w:type="dxa"/>
              <w:left w:w="15" w:type="dxa"/>
              <w:bottom w:w="15" w:type="dxa"/>
              <w:right w:w="15" w:type="dxa"/>
            </w:tcMar>
            <w:vAlign w:val="center"/>
          </w:tcPr>
          <w:p w14:paraId="723097F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一般情节</w:t>
            </w:r>
          </w:p>
        </w:tc>
        <w:tc>
          <w:tcPr>
            <w:tcW w:w="3437" w:type="dxa"/>
            <w:gridSpan w:val="2"/>
            <w:tcBorders>
              <w:tl2br w:val="nil"/>
              <w:tr2bl w:val="nil"/>
            </w:tcBorders>
            <w:tcMar>
              <w:top w:w="15" w:type="dxa"/>
              <w:left w:w="15" w:type="dxa"/>
              <w:bottom w:w="15" w:type="dxa"/>
              <w:right w:w="15" w:type="dxa"/>
            </w:tcMar>
            <w:vAlign w:val="center"/>
          </w:tcPr>
          <w:p w14:paraId="47E20BC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在开标后但在开工前发现的。</w:t>
            </w:r>
          </w:p>
        </w:tc>
        <w:tc>
          <w:tcPr>
            <w:tcW w:w="3058" w:type="dxa"/>
            <w:tcBorders>
              <w:tl2br w:val="nil"/>
              <w:tr2bl w:val="nil"/>
            </w:tcBorders>
            <w:tcMar>
              <w:top w:w="15" w:type="dxa"/>
              <w:left w:w="15" w:type="dxa"/>
              <w:bottom w:w="15" w:type="dxa"/>
              <w:right w:w="15" w:type="dxa"/>
            </w:tcMar>
            <w:vAlign w:val="center"/>
          </w:tcPr>
          <w:p w14:paraId="201ADB3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责令改正，可以处2万元以上7万元以下罚款。</w:t>
            </w:r>
          </w:p>
        </w:tc>
      </w:tr>
      <w:tr w14:paraId="0243177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545" w:hRule="atLeast"/>
          <w:jc w:val="center"/>
        </w:trPr>
        <w:tc>
          <w:tcPr>
            <w:tcW w:w="443" w:type="dxa"/>
            <w:gridSpan w:val="2"/>
            <w:vMerge w:val="continue"/>
            <w:tcBorders>
              <w:tl2br w:val="nil"/>
              <w:tr2bl w:val="nil"/>
            </w:tcBorders>
            <w:vAlign w:val="center"/>
          </w:tcPr>
          <w:p w14:paraId="0D59AC2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31A4BC6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420F846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823" w:type="dxa"/>
            <w:tcBorders>
              <w:tl2br w:val="nil"/>
              <w:tr2bl w:val="nil"/>
            </w:tcBorders>
            <w:tcMar>
              <w:top w:w="15" w:type="dxa"/>
              <w:left w:w="15" w:type="dxa"/>
              <w:bottom w:w="15" w:type="dxa"/>
              <w:right w:w="15" w:type="dxa"/>
            </w:tcMar>
            <w:vAlign w:val="center"/>
          </w:tcPr>
          <w:p w14:paraId="53A679E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从重情节</w:t>
            </w:r>
          </w:p>
        </w:tc>
        <w:tc>
          <w:tcPr>
            <w:tcW w:w="3437" w:type="dxa"/>
            <w:gridSpan w:val="2"/>
            <w:tcBorders>
              <w:tl2br w:val="nil"/>
              <w:tr2bl w:val="nil"/>
            </w:tcBorders>
            <w:tcMar>
              <w:top w:w="15" w:type="dxa"/>
              <w:left w:w="15" w:type="dxa"/>
              <w:bottom w:w="15" w:type="dxa"/>
              <w:right w:w="15" w:type="dxa"/>
            </w:tcMar>
            <w:vAlign w:val="center"/>
          </w:tcPr>
          <w:p w14:paraId="0D9410F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在开工后发现的</w:t>
            </w:r>
            <w:r>
              <w:rPr>
                <w:rFonts w:hint="eastAsia" w:ascii="仿宋_GB2312" w:hAnsi="宋体" w:eastAsia="仿宋_GB2312"/>
                <w:color w:val="auto"/>
                <w:kern w:val="0"/>
                <w:sz w:val="13"/>
                <w:szCs w:val="13"/>
                <w:highlight w:val="none"/>
                <w:lang w:eastAsia="zh-CN"/>
              </w:rPr>
              <w:t>，</w:t>
            </w:r>
            <w:r>
              <w:rPr>
                <w:rFonts w:hint="eastAsia" w:ascii="仿宋_GB2312" w:hAnsi="宋体" w:eastAsia="仿宋_GB2312"/>
                <w:color w:val="auto"/>
                <w:kern w:val="0"/>
                <w:sz w:val="13"/>
                <w:szCs w:val="13"/>
                <w:highlight w:val="none"/>
                <w:lang w:val="en-US" w:eastAsia="zh-CN"/>
              </w:rPr>
              <w:t>或</w:t>
            </w:r>
            <w:r>
              <w:rPr>
                <w:rFonts w:hint="eastAsia" w:ascii="仿宋_GB2312" w:hAnsi="宋体" w:eastAsia="仿宋_GB2312"/>
                <w:color w:val="auto"/>
                <w:kern w:val="0"/>
                <w:sz w:val="13"/>
                <w:szCs w:val="13"/>
                <w:highlight w:val="none"/>
              </w:rPr>
              <w:t>其他情节恶劣，或造成严重后果的违法行为。</w:t>
            </w:r>
          </w:p>
        </w:tc>
        <w:tc>
          <w:tcPr>
            <w:tcW w:w="3058" w:type="dxa"/>
            <w:tcBorders>
              <w:tl2br w:val="nil"/>
              <w:tr2bl w:val="nil"/>
            </w:tcBorders>
            <w:tcMar>
              <w:top w:w="15" w:type="dxa"/>
              <w:left w:w="15" w:type="dxa"/>
              <w:bottom w:w="15" w:type="dxa"/>
              <w:right w:w="15" w:type="dxa"/>
            </w:tcMar>
            <w:vAlign w:val="center"/>
          </w:tcPr>
          <w:p w14:paraId="3C3BED1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责令改正，可以处7万元以上10万元以下的罚款。</w:t>
            </w:r>
          </w:p>
        </w:tc>
      </w:tr>
      <w:tr w14:paraId="419C6B0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428" w:hRule="atLeast"/>
          <w:jc w:val="center"/>
        </w:trPr>
        <w:tc>
          <w:tcPr>
            <w:tcW w:w="443" w:type="dxa"/>
            <w:gridSpan w:val="2"/>
            <w:vMerge w:val="restart"/>
            <w:tcBorders>
              <w:tl2br w:val="nil"/>
              <w:tr2bl w:val="nil"/>
            </w:tcBorders>
            <w:vAlign w:val="center"/>
          </w:tcPr>
          <w:p w14:paraId="5F5C536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hint="default" w:ascii="仿宋_GB2312" w:hAnsi="宋体" w:eastAsia="仿宋_GB2312" w:cs="Times New Roman"/>
                <w:color w:val="auto"/>
                <w:sz w:val="13"/>
                <w:szCs w:val="13"/>
                <w:highlight w:val="none"/>
                <w:lang w:val="en-US" w:eastAsia="zh-CN"/>
              </w:rPr>
            </w:pPr>
            <w:r>
              <w:rPr>
                <w:rFonts w:hint="eastAsia" w:ascii="仿宋_GB2312" w:hAnsi="宋体" w:eastAsia="仿宋_GB2312" w:cs="Times New Roman"/>
                <w:color w:val="auto"/>
                <w:sz w:val="13"/>
                <w:szCs w:val="13"/>
                <w:highlight w:val="none"/>
                <w:lang w:val="en-US" w:eastAsia="zh-CN"/>
              </w:rPr>
              <w:t>15</w:t>
            </w:r>
          </w:p>
        </w:tc>
        <w:tc>
          <w:tcPr>
            <w:tcW w:w="1550" w:type="dxa"/>
            <w:vMerge w:val="restart"/>
            <w:tcBorders>
              <w:tl2br w:val="nil"/>
              <w:tr2bl w:val="nil"/>
            </w:tcBorders>
            <w:vAlign w:val="center"/>
          </w:tcPr>
          <w:p w14:paraId="57852049">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lang w:val="en-US" w:eastAsia="zh-CN"/>
              </w:rPr>
            </w:pPr>
            <w:r>
              <w:rPr>
                <w:rFonts w:hint="eastAsia" w:ascii="仿宋_GB2312" w:hAnsi="宋体" w:eastAsia="仿宋_GB2312"/>
                <w:color w:val="auto"/>
                <w:kern w:val="0"/>
                <w:sz w:val="13"/>
                <w:szCs w:val="13"/>
                <w:highlight w:val="none"/>
              </w:rPr>
              <w:t>招标代理机构在所代理的招标项目中投标、代理投标或者向该项目投标人提供咨询的，接受委托编制标底的中介机构参加受托编制标底项目的投标或者为该项目的投标人编制投标文件、提供咨询</w:t>
            </w:r>
            <w:r>
              <w:rPr>
                <w:rFonts w:hint="eastAsia" w:ascii="仿宋_GB2312" w:hAnsi="宋体" w:eastAsia="仿宋_GB2312"/>
                <w:color w:val="auto"/>
                <w:kern w:val="0"/>
                <w:sz w:val="13"/>
                <w:szCs w:val="13"/>
                <w:highlight w:val="none"/>
                <w:lang w:val="en-US" w:eastAsia="zh-CN"/>
              </w:rPr>
              <w:t>的</w:t>
            </w:r>
          </w:p>
        </w:tc>
        <w:tc>
          <w:tcPr>
            <w:tcW w:w="4820" w:type="dxa"/>
            <w:vMerge w:val="restart"/>
            <w:tcBorders>
              <w:tl2br w:val="nil"/>
              <w:tr2bl w:val="nil"/>
            </w:tcBorders>
            <w:vAlign w:val="center"/>
          </w:tcPr>
          <w:p w14:paraId="4ED4C4E6">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《中华人民共和国招标投标法实施条例》</w:t>
            </w:r>
            <w:r>
              <w:rPr>
                <w:rFonts w:hint="eastAsia" w:ascii="仿宋_GB2312" w:hAnsi="宋体" w:eastAsia="仿宋_GB2312"/>
                <w:b/>
                <w:bCs/>
                <w:color w:val="auto"/>
                <w:kern w:val="0"/>
                <w:sz w:val="13"/>
                <w:szCs w:val="13"/>
                <w:highlight w:val="none"/>
              </w:rPr>
              <w:t>第六十五条</w:t>
            </w:r>
            <w:r>
              <w:rPr>
                <w:rFonts w:hint="eastAsia" w:ascii="仿宋_GB2312" w:hAnsi="宋体" w:eastAsia="仿宋_GB2312"/>
                <w:b/>
                <w:bCs/>
                <w:color w:val="auto"/>
                <w:kern w:val="0"/>
                <w:sz w:val="13"/>
                <w:szCs w:val="13"/>
                <w:highlight w:val="none"/>
                <w:lang w:eastAsia="zh-CN"/>
              </w:rPr>
              <w:t>：</w:t>
            </w:r>
            <w:r>
              <w:rPr>
                <w:rFonts w:hint="eastAsia" w:ascii="仿宋_GB2312" w:hAnsi="宋体" w:eastAsia="仿宋_GB2312"/>
                <w:color w:val="auto"/>
                <w:kern w:val="0"/>
                <w:sz w:val="13"/>
                <w:szCs w:val="13"/>
                <w:highlight w:val="none"/>
              </w:rPr>
              <w:t>招标代理机构在所代理的招标项目中投标、代理投标或者向该项目投标人提供咨询的，接受委托编制标底的中介机构参加受托编制标底项目的投标或者为该项目的投标人编制投标文件、提供咨询的，依照招标投标法第五十条的规定追究法律责任。</w:t>
            </w:r>
          </w:p>
          <w:p w14:paraId="05DAC5A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hint="eastAsia" w:ascii="仿宋_GB2312" w:hAnsi="宋体" w:eastAsia="仿宋_GB2312"/>
                <w:color w:val="auto"/>
                <w:kern w:val="0"/>
                <w:sz w:val="13"/>
                <w:szCs w:val="13"/>
                <w:highlight w:val="none"/>
                <w:lang w:eastAsia="zh-CN"/>
              </w:rPr>
            </w:pPr>
          </w:p>
          <w:p w14:paraId="4C62F21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lang w:eastAsia="zh-CN"/>
              </w:rPr>
              <w:t>《中华人民共和国招标投标法》</w:t>
            </w:r>
            <w:r>
              <w:rPr>
                <w:rFonts w:hint="eastAsia" w:ascii="仿宋_GB2312" w:hAnsi="宋体" w:eastAsia="仿宋_GB2312"/>
                <w:b/>
                <w:bCs/>
                <w:color w:val="auto"/>
                <w:kern w:val="0"/>
                <w:sz w:val="13"/>
                <w:szCs w:val="13"/>
                <w:highlight w:val="none"/>
              </w:rPr>
              <w:t>第五十条</w:t>
            </w:r>
            <w:r>
              <w:rPr>
                <w:rFonts w:hint="eastAsia" w:ascii="仿宋_GB2312" w:hAnsi="宋体" w:eastAsia="仿宋_GB2312"/>
                <w:b/>
                <w:bCs/>
                <w:color w:val="auto"/>
                <w:kern w:val="0"/>
                <w:sz w:val="13"/>
                <w:szCs w:val="13"/>
                <w:highlight w:val="none"/>
                <w:lang w:eastAsia="zh-CN"/>
              </w:rPr>
              <w:t>：</w:t>
            </w:r>
            <w:r>
              <w:rPr>
                <w:rFonts w:hint="eastAsia" w:ascii="仿宋_GB2312" w:hAnsi="宋体" w:eastAsia="仿宋_GB2312"/>
                <w:color w:val="auto"/>
                <w:kern w:val="0"/>
                <w:sz w:val="13"/>
                <w:szCs w:val="13"/>
                <w:highlight w:val="none"/>
              </w:rPr>
              <w:t>招标代理机构违反本法规定，泄露应当保密的与招标投标活动有关的情况和资料的，或者与招标人、投标人串通损害国家利益、社会公共利益或者他人合法权益的，处五万元以上二十五万元以下的罚款，对单位直接负责的主管人员和其他直接责任人员处单位罚款数额百分之五以上百分之十以下的罚款；有违法所得的，并处没收违法所得；情节严重的，禁止其一年至二年内代理依法必须进行招标的项目并予以公告，直至由工商行政管理机关吊销营业执照；构成犯罪的，依法追究刑事责任。给他人造成损失的，依法承担赔偿责任。前款所列行为影响中标结果的，中标无效。</w:t>
            </w:r>
          </w:p>
        </w:tc>
        <w:tc>
          <w:tcPr>
            <w:tcW w:w="823" w:type="dxa"/>
            <w:tcBorders>
              <w:tl2br w:val="nil"/>
              <w:tr2bl w:val="nil"/>
            </w:tcBorders>
            <w:tcMar>
              <w:top w:w="15" w:type="dxa"/>
              <w:left w:w="15" w:type="dxa"/>
              <w:bottom w:w="15" w:type="dxa"/>
              <w:right w:w="15" w:type="dxa"/>
            </w:tcMar>
            <w:vAlign w:val="center"/>
          </w:tcPr>
          <w:p w14:paraId="52A05B11">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tcMar>
              <w:top w:w="15" w:type="dxa"/>
              <w:left w:w="15" w:type="dxa"/>
              <w:bottom w:w="15" w:type="dxa"/>
              <w:right w:w="15" w:type="dxa"/>
            </w:tcMar>
            <w:vAlign w:val="center"/>
          </w:tcPr>
          <w:p w14:paraId="546AC1A0">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未影响中标结果的。</w:t>
            </w:r>
          </w:p>
        </w:tc>
        <w:tc>
          <w:tcPr>
            <w:tcW w:w="3058" w:type="dxa"/>
            <w:tcBorders>
              <w:tl2br w:val="nil"/>
              <w:tr2bl w:val="nil"/>
            </w:tcBorders>
            <w:tcMar>
              <w:top w:w="15" w:type="dxa"/>
              <w:left w:w="15" w:type="dxa"/>
              <w:bottom w:w="15" w:type="dxa"/>
              <w:right w:w="15" w:type="dxa"/>
            </w:tcMar>
            <w:vAlign w:val="center"/>
          </w:tcPr>
          <w:p w14:paraId="69C2821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处5万元以上8万元以下的罚款，对单位直接负责的主管人员和其他直接责任人员处单位罚款金额的百分之五以上百分之六以下的罚款；有违法所得的，并处没收违法所得。</w:t>
            </w:r>
          </w:p>
        </w:tc>
      </w:tr>
      <w:tr w14:paraId="4A213A4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938" w:hRule="atLeast"/>
          <w:jc w:val="center"/>
        </w:trPr>
        <w:tc>
          <w:tcPr>
            <w:tcW w:w="443" w:type="dxa"/>
            <w:gridSpan w:val="2"/>
            <w:vMerge w:val="continue"/>
            <w:tcBorders>
              <w:tl2br w:val="nil"/>
              <w:tr2bl w:val="nil"/>
            </w:tcBorders>
            <w:vAlign w:val="center"/>
          </w:tcPr>
          <w:p w14:paraId="533F9A2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5E04CBA3">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68654197">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tc>
        <w:tc>
          <w:tcPr>
            <w:tcW w:w="823" w:type="dxa"/>
            <w:tcBorders>
              <w:tl2br w:val="nil"/>
              <w:tr2bl w:val="nil"/>
            </w:tcBorders>
            <w:tcMar>
              <w:top w:w="15" w:type="dxa"/>
              <w:left w:w="15" w:type="dxa"/>
              <w:bottom w:w="15" w:type="dxa"/>
              <w:right w:w="15" w:type="dxa"/>
            </w:tcMar>
            <w:vAlign w:val="center"/>
          </w:tcPr>
          <w:p w14:paraId="52FA5545">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一般情节</w:t>
            </w:r>
          </w:p>
        </w:tc>
        <w:tc>
          <w:tcPr>
            <w:tcW w:w="3437" w:type="dxa"/>
            <w:gridSpan w:val="2"/>
            <w:tcBorders>
              <w:tl2br w:val="nil"/>
              <w:tr2bl w:val="nil"/>
            </w:tcBorders>
            <w:tcMar>
              <w:top w:w="15" w:type="dxa"/>
              <w:left w:w="15" w:type="dxa"/>
              <w:bottom w:w="15" w:type="dxa"/>
              <w:right w:w="15" w:type="dxa"/>
            </w:tcMar>
            <w:vAlign w:val="center"/>
          </w:tcPr>
          <w:p w14:paraId="1EEA29D7">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影响中标结果，但中标人不是该违法行为的受益人的。</w:t>
            </w:r>
          </w:p>
        </w:tc>
        <w:tc>
          <w:tcPr>
            <w:tcW w:w="3058" w:type="dxa"/>
            <w:tcBorders>
              <w:tl2br w:val="nil"/>
              <w:tr2bl w:val="nil"/>
            </w:tcBorders>
            <w:tcMar>
              <w:top w:w="15" w:type="dxa"/>
              <w:left w:w="15" w:type="dxa"/>
              <w:bottom w:w="15" w:type="dxa"/>
              <w:right w:w="15" w:type="dxa"/>
            </w:tcMar>
            <w:vAlign w:val="center"/>
          </w:tcPr>
          <w:p w14:paraId="4E04530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中标无效;处8万元以上20万元以下的罚款，对单位直接负责的主管人员和其他直接责任人员处单位罚款金额的百分之六以上百分之八以下的罚款；有违法所得的，并处没收违法所得；禁止其一年内代理依法必须进行招投标的项目，并予公告。</w:t>
            </w:r>
          </w:p>
        </w:tc>
      </w:tr>
      <w:tr w14:paraId="5233F59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190" w:hRule="atLeast"/>
          <w:jc w:val="center"/>
        </w:trPr>
        <w:tc>
          <w:tcPr>
            <w:tcW w:w="443" w:type="dxa"/>
            <w:gridSpan w:val="2"/>
            <w:vMerge w:val="continue"/>
            <w:tcBorders>
              <w:tl2br w:val="nil"/>
              <w:tr2bl w:val="nil"/>
            </w:tcBorders>
            <w:vAlign w:val="center"/>
          </w:tcPr>
          <w:p w14:paraId="224D904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483D0F7D">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15F9AB28">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tc>
        <w:tc>
          <w:tcPr>
            <w:tcW w:w="823" w:type="dxa"/>
            <w:vMerge w:val="restart"/>
            <w:tcBorders>
              <w:tl2br w:val="nil"/>
              <w:tr2bl w:val="nil"/>
            </w:tcBorders>
            <w:tcMar>
              <w:top w:w="15" w:type="dxa"/>
              <w:left w:w="15" w:type="dxa"/>
              <w:bottom w:w="15" w:type="dxa"/>
              <w:right w:w="15" w:type="dxa"/>
            </w:tcMar>
            <w:vAlign w:val="center"/>
          </w:tcPr>
          <w:p w14:paraId="403B4CFD">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从重情节</w:t>
            </w:r>
          </w:p>
        </w:tc>
        <w:tc>
          <w:tcPr>
            <w:tcW w:w="3437" w:type="dxa"/>
            <w:gridSpan w:val="2"/>
            <w:tcBorders>
              <w:tl2br w:val="nil"/>
              <w:tr2bl w:val="nil"/>
            </w:tcBorders>
            <w:tcMar>
              <w:top w:w="15" w:type="dxa"/>
              <w:left w:w="15" w:type="dxa"/>
              <w:bottom w:w="15" w:type="dxa"/>
              <w:right w:w="15" w:type="dxa"/>
            </w:tcMar>
            <w:vAlign w:val="center"/>
          </w:tcPr>
          <w:p w14:paraId="1C0CFFC1">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（1）影响中标结果，且中标人为该违法行为的受益人的。</w:t>
            </w:r>
          </w:p>
        </w:tc>
        <w:tc>
          <w:tcPr>
            <w:tcW w:w="3058" w:type="dxa"/>
            <w:tcBorders>
              <w:tl2br w:val="nil"/>
              <w:tr2bl w:val="nil"/>
            </w:tcBorders>
            <w:tcMar>
              <w:top w:w="15" w:type="dxa"/>
              <w:left w:w="15" w:type="dxa"/>
              <w:bottom w:w="15" w:type="dxa"/>
              <w:right w:w="15" w:type="dxa"/>
            </w:tcMar>
            <w:vAlign w:val="center"/>
          </w:tcPr>
          <w:p w14:paraId="6E70A1E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中标无效；处20万元以上25万元以下的罚款，对单位直接负责的主管人员和其他直接责任人员处单位罚款金额百分之八以上百分之十以下的罚款；有违法所得的，并处没收违法所得；禁止其一年零六个月内代理依法必须进行招投标的项目，并予公告。</w:t>
            </w:r>
          </w:p>
        </w:tc>
      </w:tr>
      <w:tr w14:paraId="6CA9DE6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25" w:hRule="atLeast"/>
          <w:jc w:val="center"/>
        </w:trPr>
        <w:tc>
          <w:tcPr>
            <w:tcW w:w="443" w:type="dxa"/>
            <w:gridSpan w:val="2"/>
            <w:vMerge w:val="continue"/>
            <w:tcBorders>
              <w:tl2br w:val="nil"/>
              <w:tr2bl w:val="nil"/>
            </w:tcBorders>
            <w:vAlign w:val="center"/>
          </w:tcPr>
          <w:p w14:paraId="3F520F6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434C4149">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528B2EBE">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tc>
        <w:tc>
          <w:tcPr>
            <w:tcW w:w="823" w:type="dxa"/>
            <w:vMerge w:val="continue"/>
            <w:tcBorders>
              <w:tl2br w:val="nil"/>
              <w:tr2bl w:val="nil"/>
            </w:tcBorders>
            <w:tcMar>
              <w:top w:w="15" w:type="dxa"/>
              <w:left w:w="15" w:type="dxa"/>
              <w:bottom w:w="15" w:type="dxa"/>
              <w:right w:w="15" w:type="dxa"/>
            </w:tcMar>
            <w:vAlign w:val="center"/>
          </w:tcPr>
          <w:p w14:paraId="29335ECA">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center"/>
              <w:rPr>
                <w:rFonts w:ascii="仿宋_GB2312" w:hAnsi="宋体" w:eastAsia="仿宋_GB2312"/>
                <w:color w:val="auto"/>
                <w:kern w:val="0"/>
                <w:sz w:val="13"/>
                <w:szCs w:val="13"/>
                <w:highlight w:val="none"/>
              </w:rPr>
            </w:pPr>
          </w:p>
        </w:tc>
        <w:tc>
          <w:tcPr>
            <w:tcW w:w="3437" w:type="dxa"/>
            <w:gridSpan w:val="2"/>
            <w:tcBorders>
              <w:tl2br w:val="nil"/>
              <w:tr2bl w:val="nil"/>
            </w:tcBorders>
            <w:tcMar>
              <w:top w:w="15" w:type="dxa"/>
              <w:left w:w="15" w:type="dxa"/>
              <w:bottom w:w="15" w:type="dxa"/>
              <w:right w:w="15" w:type="dxa"/>
            </w:tcMar>
            <w:vAlign w:val="center"/>
          </w:tcPr>
          <w:p w14:paraId="5E10AB9D">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（2）对国家利益、社会公共利益或者他人合法权益造成重大损失，造成重大后果，情节严重的。</w:t>
            </w:r>
          </w:p>
        </w:tc>
        <w:tc>
          <w:tcPr>
            <w:tcW w:w="3058" w:type="dxa"/>
            <w:tcBorders>
              <w:tl2br w:val="nil"/>
              <w:tr2bl w:val="nil"/>
            </w:tcBorders>
            <w:tcMar>
              <w:top w:w="15" w:type="dxa"/>
              <w:left w:w="15" w:type="dxa"/>
              <w:bottom w:w="15" w:type="dxa"/>
              <w:right w:w="15" w:type="dxa"/>
            </w:tcMar>
            <w:vAlign w:val="center"/>
          </w:tcPr>
          <w:p w14:paraId="0EEE8120">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处20万元以上25万元以下的罚款，对单位直接负责的主管人员和其他直接责任人员处单位罚款金额百分之八以上百分之十以下的罚款；禁止其二年内代理依法必须进行招投标的项目，并予公告。</w:t>
            </w:r>
          </w:p>
        </w:tc>
      </w:tr>
      <w:tr w14:paraId="5106D62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9" w:hRule="atLeast"/>
          <w:jc w:val="center"/>
        </w:trPr>
        <w:tc>
          <w:tcPr>
            <w:tcW w:w="443" w:type="dxa"/>
            <w:gridSpan w:val="2"/>
            <w:vMerge w:val="restart"/>
            <w:tcBorders>
              <w:tl2br w:val="nil"/>
              <w:tr2bl w:val="nil"/>
            </w:tcBorders>
            <w:vAlign w:val="center"/>
          </w:tcPr>
          <w:p w14:paraId="3B7E74A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hint="default" w:ascii="仿宋_GB2312" w:hAnsi="宋体" w:eastAsia="仿宋_GB2312" w:cs="Times New Roman"/>
                <w:color w:val="auto"/>
                <w:sz w:val="13"/>
                <w:szCs w:val="13"/>
                <w:highlight w:val="none"/>
                <w:lang w:val="en-US" w:eastAsia="zh-CN"/>
              </w:rPr>
            </w:pPr>
            <w:r>
              <w:rPr>
                <w:rFonts w:hint="eastAsia" w:ascii="仿宋_GB2312" w:hAnsi="宋体" w:eastAsia="仿宋_GB2312" w:cs="Times New Roman"/>
                <w:color w:val="auto"/>
                <w:sz w:val="13"/>
                <w:szCs w:val="13"/>
                <w:highlight w:val="none"/>
                <w:lang w:val="en-US" w:eastAsia="zh-CN"/>
              </w:rPr>
              <w:t>16</w:t>
            </w:r>
          </w:p>
        </w:tc>
        <w:tc>
          <w:tcPr>
            <w:tcW w:w="1550" w:type="dxa"/>
            <w:vMerge w:val="restart"/>
            <w:tcBorders>
              <w:tl2br w:val="nil"/>
              <w:tr2bl w:val="nil"/>
            </w:tcBorders>
            <w:vAlign w:val="center"/>
          </w:tcPr>
          <w:p w14:paraId="23A3337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招标人超过本条例规定的比例收取投标保证金、履约保证金或者不按照规定退还投标保证金及银行同期存款利息的</w:t>
            </w:r>
          </w:p>
        </w:tc>
        <w:tc>
          <w:tcPr>
            <w:tcW w:w="4820" w:type="dxa"/>
            <w:vMerge w:val="restart"/>
            <w:tcBorders>
              <w:tl2br w:val="nil"/>
              <w:tr2bl w:val="nil"/>
            </w:tcBorders>
            <w:vAlign w:val="center"/>
          </w:tcPr>
          <w:p w14:paraId="558648E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p w14:paraId="41B2E73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《中华人民共和国招标投标法实施条例》</w:t>
            </w:r>
            <w:r>
              <w:rPr>
                <w:rFonts w:hint="eastAsia" w:ascii="仿宋_GB2312" w:hAnsi="宋体" w:eastAsia="仿宋_GB2312"/>
                <w:b/>
                <w:bCs/>
                <w:color w:val="auto"/>
                <w:kern w:val="0"/>
                <w:sz w:val="13"/>
                <w:szCs w:val="13"/>
                <w:highlight w:val="none"/>
              </w:rPr>
              <w:t>第六十六条</w:t>
            </w:r>
            <w:r>
              <w:rPr>
                <w:rFonts w:hint="eastAsia" w:ascii="仿宋_GB2312" w:hAnsi="宋体" w:eastAsia="仿宋_GB2312"/>
                <w:b/>
                <w:bCs/>
                <w:color w:val="auto"/>
                <w:kern w:val="0"/>
                <w:sz w:val="13"/>
                <w:szCs w:val="13"/>
                <w:highlight w:val="none"/>
                <w:lang w:eastAsia="zh-CN"/>
              </w:rPr>
              <w:t>：</w:t>
            </w:r>
            <w:r>
              <w:rPr>
                <w:rFonts w:hint="eastAsia" w:ascii="仿宋_GB2312" w:hAnsi="宋体" w:eastAsia="仿宋_GB2312"/>
                <w:color w:val="auto"/>
                <w:kern w:val="0"/>
                <w:sz w:val="13"/>
                <w:szCs w:val="13"/>
                <w:highlight w:val="none"/>
              </w:rPr>
              <w:t>招标人超过本条例规定的比例收取投标保证金、履约保证金或者不按照规定退还投标保证金及银行同期存款利息的，由有关行政监督部门责令改正，可以处5万元以下的罚款；给他人造成损失的，依法承担赔偿责任。</w:t>
            </w:r>
          </w:p>
        </w:tc>
        <w:tc>
          <w:tcPr>
            <w:tcW w:w="823" w:type="dxa"/>
            <w:tcBorders>
              <w:tl2br w:val="nil"/>
              <w:tr2bl w:val="nil"/>
            </w:tcBorders>
            <w:tcMar>
              <w:top w:w="15" w:type="dxa"/>
              <w:left w:w="15" w:type="dxa"/>
              <w:bottom w:w="15" w:type="dxa"/>
              <w:right w:w="15" w:type="dxa"/>
            </w:tcMar>
            <w:vAlign w:val="center"/>
          </w:tcPr>
          <w:p w14:paraId="0853FD1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tcMar>
              <w:top w:w="15" w:type="dxa"/>
              <w:left w:w="15" w:type="dxa"/>
              <w:bottom w:w="15" w:type="dxa"/>
              <w:right w:w="15" w:type="dxa"/>
            </w:tcMar>
            <w:vAlign w:val="center"/>
          </w:tcPr>
          <w:p w14:paraId="122C04E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危害后果轻微，主动消除或减轻违法行为危害后果的。</w:t>
            </w:r>
          </w:p>
        </w:tc>
        <w:tc>
          <w:tcPr>
            <w:tcW w:w="3058" w:type="dxa"/>
            <w:tcBorders>
              <w:tl2br w:val="nil"/>
              <w:tr2bl w:val="nil"/>
            </w:tcBorders>
            <w:tcMar>
              <w:top w:w="15" w:type="dxa"/>
              <w:left w:w="15" w:type="dxa"/>
              <w:bottom w:w="15" w:type="dxa"/>
              <w:right w:w="15" w:type="dxa"/>
            </w:tcMar>
            <w:vAlign w:val="center"/>
          </w:tcPr>
          <w:p w14:paraId="3D3661A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责令改正，可以处1万元以下的罚款。</w:t>
            </w:r>
          </w:p>
        </w:tc>
      </w:tr>
      <w:tr w14:paraId="45D9C69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11" w:hRule="atLeast"/>
          <w:jc w:val="center"/>
        </w:trPr>
        <w:tc>
          <w:tcPr>
            <w:tcW w:w="443" w:type="dxa"/>
            <w:gridSpan w:val="2"/>
            <w:vMerge w:val="continue"/>
            <w:tcBorders>
              <w:tl2br w:val="nil"/>
              <w:tr2bl w:val="nil"/>
            </w:tcBorders>
            <w:vAlign w:val="center"/>
          </w:tcPr>
          <w:p w14:paraId="5D1D08C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36EB140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3163A53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823" w:type="dxa"/>
            <w:tcBorders>
              <w:tl2br w:val="nil"/>
              <w:tr2bl w:val="nil"/>
            </w:tcBorders>
            <w:tcMar>
              <w:top w:w="15" w:type="dxa"/>
              <w:left w:w="15" w:type="dxa"/>
              <w:bottom w:w="15" w:type="dxa"/>
              <w:right w:w="15" w:type="dxa"/>
            </w:tcMar>
            <w:vAlign w:val="center"/>
          </w:tcPr>
          <w:p w14:paraId="7F4BA4E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一般情节</w:t>
            </w:r>
          </w:p>
        </w:tc>
        <w:tc>
          <w:tcPr>
            <w:tcW w:w="3437" w:type="dxa"/>
            <w:gridSpan w:val="2"/>
            <w:tcBorders>
              <w:tl2br w:val="nil"/>
              <w:tr2bl w:val="nil"/>
            </w:tcBorders>
            <w:tcMar>
              <w:top w:w="15" w:type="dxa"/>
              <w:left w:w="15" w:type="dxa"/>
              <w:bottom w:w="15" w:type="dxa"/>
              <w:right w:w="15" w:type="dxa"/>
            </w:tcMar>
            <w:vAlign w:val="center"/>
          </w:tcPr>
          <w:p w14:paraId="6845484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不具有从轻、</w:t>
            </w:r>
            <w:r>
              <w:rPr>
                <w:rFonts w:hint="eastAsia" w:ascii="仿宋_GB2312" w:hAnsi="宋体" w:eastAsia="仿宋_GB2312"/>
                <w:color w:val="auto"/>
                <w:kern w:val="0"/>
                <w:sz w:val="13"/>
                <w:szCs w:val="13"/>
                <w:highlight w:val="none"/>
                <w:lang w:eastAsia="zh-CN"/>
              </w:rPr>
              <w:t>从重情节</w:t>
            </w:r>
            <w:r>
              <w:rPr>
                <w:rFonts w:hint="eastAsia" w:ascii="仿宋_GB2312" w:hAnsi="宋体" w:eastAsia="仿宋_GB2312"/>
                <w:color w:val="auto"/>
                <w:kern w:val="0"/>
                <w:sz w:val="13"/>
                <w:szCs w:val="13"/>
                <w:highlight w:val="none"/>
              </w:rPr>
              <w:t>的。</w:t>
            </w:r>
          </w:p>
        </w:tc>
        <w:tc>
          <w:tcPr>
            <w:tcW w:w="3058" w:type="dxa"/>
            <w:tcBorders>
              <w:tl2br w:val="nil"/>
              <w:tr2bl w:val="nil"/>
            </w:tcBorders>
            <w:tcMar>
              <w:top w:w="15" w:type="dxa"/>
              <w:left w:w="15" w:type="dxa"/>
              <w:bottom w:w="15" w:type="dxa"/>
              <w:right w:w="15" w:type="dxa"/>
            </w:tcMar>
            <w:vAlign w:val="center"/>
          </w:tcPr>
          <w:p w14:paraId="2E151BE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责令改正，可以处1万元以上3.5万元以下的罚款。</w:t>
            </w:r>
          </w:p>
        </w:tc>
      </w:tr>
      <w:tr w14:paraId="0DBBD43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47" w:hRule="atLeast"/>
          <w:jc w:val="center"/>
        </w:trPr>
        <w:tc>
          <w:tcPr>
            <w:tcW w:w="443" w:type="dxa"/>
            <w:gridSpan w:val="2"/>
            <w:vMerge w:val="continue"/>
            <w:tcBorders>
              <w:tl2br w:val="nil"/>
              <w:tr2bl w:val="nil"/>
            </w:tcBorders>
            <w:vAlign w:val="center"/>
          </w:tcPr>
          <w:p w14:paraId="61C473B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427AE58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40B4461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823" w:type="dxa"/>
            <w:tcBorders>
              <w:tl2br w:val="nil"/>
              <w:tr2bl w:val="nil"/>
            </w:tcBorders>
            <w:tcMar>
              <w:top w:w="15" w:type="dxa"/>
              <w:left w:w="15" w:type="dxa"/>
              <w:bottom w:w="15" w:type="dxa"/>
              <w:right w:w="15" w:type="dxa"/>
            </w:tcMar>
            <w:vAlign w:val="center"/>
          </w:tcPr>
          <w:p w14:paraId="209958A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从重情节</w:t>
            </w:r>
          </w:p>
        </w:tc>
        <w:tc>
          <w:tcPr>
            <w:tcW w:w="3437" w:type="dxa"/>
            <w:gridSpan w:val="2"/>
            <w:tcBorders>
              <w:tl2br w:val="nil"/>
              <w:tr2bl w:val="nil"/>
            </w:tcBorders>
            <w:tcMar>
              <w:top w:w="15" w:type="dxa"/>
              <w:left w:w="15" w:type="dxa"/>
              <w:bottom w:w="15" w:type="dxa"/>
              <w:right w:w="15" w:type="dxa"/>
            </w:tcMar>
            <w:vAlign w:val="center"/>
          </w:tcPr>
          <w:p w14:paraId="094B9CB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lang w:val="en-US" w:eastAsia="zh-CN"/>
              </w:rPr>
              <w:t>有下列情形之一的：</w:t>
            </w:r>
            <w:r>
              <w:rPr>
                <w:rFonts w:hint="eastAsia" w:ascii="仿宋_GB2312" w:hAnsi="宋体" w:eastAsia="仿宋_GB2312"/>
                <w:color w:val="auto"/>
                <w:kern w:val="0"/>
                <w:sz w:val="13"/>
                <w:szCs w:val="13"/>
                <w:highlight w:val="none"/>
              </w:rPr>
              <w:t>（1）经责令改正后，逾期未改正的；</w:t>
            </w:r>
          </w:p>
          <w:p w14:paraId="2FD80AC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（2）曾因该违法行为被依法查处，再次实施该违法行为的；</w:t>
            </w:r>
          </w:p>
          <w:p w14:paraId="4D998C4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（3）经有关部门确认，存在商业贿赂情形的；</w:t>
            </w:r>
          </w:p>
          <w:p w14:paraId="1509CEA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（4）其他依法应予从重处罚的情形。</w:t>
            </w:r>
          </w:p>
        </w:tc>
        <w:tc>
          <w:tcPr>
            <w:tcW w:w="3058" w:type="dxa"/>
            <w:tcBorders>
              <w:tl2br w:val="nil"/>
              <w:tr2bl w:val="nil"/>
            </w:tcBorders>
            <w:tcMar>
              <w:top w:w="15" w:type="dxa"/>
              <w:left w:w="15" w:type="dxa"/>
              <w:bottom w:w="15" w:type="dxa"/>
              <w:right w:w="15" w:type="dxa"/>
            </w:tcMar>
            <w:vAlign w:val="center"/>
          </w:tcPr>
          <w:p w14:paraId="5397E14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责令改正，可以处3.5万元以上5万元以下的罚款。</w:t>
            </w:r>
          </w:p>
        </w:tc>
      </w:tr>
      <w:tr w14:paraId="149AD8F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623" w:hRule="atLeast"/>
          <w:jc w:val="center"/>
        </w:trPr>
        <w:tc>
          <w:tcPr>
            <w:tcW w:w="443" w:type="dxa"/>
            <w:gridSpan w:val="2"/>
            <w:vMerge w:val="restart"/>
            <w:tcBorders>
              <w:tl2br w:val="nil"/>
              <w:tr2bl w:val="nil"/>
            </w:tcBorders>
            <w:vAlign w:val="center"/>
          </w:tcPr>
          <w:p w14:paraId="128C502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hint="default" w:ascii="仿宋_GB2312" w:hAnsi="宋体" w:eastAsia="仿宋_GB2312" w:cs="Times New Roman"/>
                <w:color w:val="auto"/>
                <w:sz w:val="13"/>
                <w:szCs w:val="13"/>
                <w:highlight w:val="none"/>
                <w:lang w:val="en-US" w:eastAsia="zh-CN"/>
              </w:rPr>
            </w:pPr>
            <w:r>
              <w:rPr>
                <w:rFonts w:hint="eastAsia" w:ascii="仿宋_GB2312" w:hAnsi="宋体" w:eastAsia="仿宋_GB2312" w:cs="Times New Roman"/>
                <w:color w:val="auto"/>
                <w:sz w:val="13"/>
                <w:szCs w:val="13"/>
                <w:highlight w:val="none"/>
                <w:lang w:val="en-US" w:eastAsia="zh-CN"/>
              </w:rPr>
              <w:t>17</w:t>
            </w:r>
          </w:p>
        </w:tc>
        <w:tc>
          <w:tcPr>
            <w:tcW w:w="1550" w:type="dxa"/>
            <w:vMerge w:val="restart"/>
            <w:tcBorders>
              <w:tl2br w:val="nil"/>
              <w:tr2bl w:val="nil"/>
            </w:tcBorders>
            <w:vAlign w:val="center"/>
          </w:tcPr>
          <w:p w14:paraId="0DFBC93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p>
          <w:p w14:paraId="0DB1C7C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p>
          <w:p w14:paraId="5EBC01E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依法必须进行招标的项目的招标人不按照规定组建评标委员会，或者确定、更换评标委员会成员违反招标投标法和本条例规定的</w:t>
            </w:r>
          </w:p>
        </w:tc>
        <w:tc>
          <w:tcPr>
            <w:tcW w:w="4820" w:type="dxa"/>
            <w:vMerge w:val="restart"/>
            <w:tcBorders>
              <w:tl2br w:val="nil"/>
              <w:tr2bl w:val="nil"/>
            </w:tcBorders>
            <w:vAlign w:val="center"/>
          </w:tcPr>
          <w:p w14:paraId="23509727">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《中华人民共和国招标投标法实施条例》</w:t>
            </w:r>
            <w:r>
              <w:rPr>
                <w:rFonts w:hint="eastAsia" w:ascii="仿宋_GB2312" w:hAnsi="宋体" w:eastAsia="仿宋_GB2312"/>
                <w:b/>
                <w:bCs/>
                <w:color w:val="auto"/>
                <w:kern w:val="0"/>
                <w:sz w:val="13"/>
                <w:szCs w:val="13"/>
                <w:highlight w:val="none"/>
              </w:rPr>
              <w:t>第七十条</w:t>
            </w:r>
            <w:r>
              <w:rPr>
                <w:rFonts w:hint="eastAsia" w:ascii="仿宋_GB2312" w:hAnsi="宋体" w:eastAsia="仿宋_GB2312"/>
                <w:b/>
                <w:bCs/>
                <w:color w:val="auto"/>
                <w:kern w:val="0"/>
                <w:sz w:val="13"/>
                <w:szCs w:val="13"/>
                <w:highlight w:val="none"/>
                <w:lang w:eastAsia="zh-CN"/>
              </w:rPr>
              <w:t>：</w:t>
            </w:r>
            <w:r>
              <w:rPr>
                <w:rFonts w:hint="eastAsia" w:ascii="仿宋_GB2312" w:hAnsi="宋体" w:eastAsia="仿宋_GB2312"/>
                <w:color w:val="auto"/>
                <w:kern w:val="0"/>
                <w:sz w:val="13"/>
                <w:szCs w:val="13"/>
                <w:highlight w:val="none"/>
              </w:rPr>
              <w:t>依法必须进行招标的项目的招标人不按照规定组建评标委员会，或者确定、更换评标委员会成员违反招标投标法和本条例规定的，由有关行政监督部门责令改正，可以处10万元以下的罚款，对单位直接负责的主管人员和其他直接责任人员依法给予处分；违法确定或者更换的评标委员会成员作出的评审结论无效，依法重新进行评审。</w:t>
            </w:r>
          </w:p>
          <w:p w14:paraId="307CF9A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823" w:type="dxa"/>
            <w:tcBorders>
              <w:tl2br w:val="nil"/>
              <w:tr2bl w:val="nil"/>
            </w:tcBorders>
            <w:tcMar>
              <w:top w:w="15" w:type="dxa"/>
              <w:left w:w="15" w:type="dxa"/>
              <w:bottom w:w="15" w:type="dxa"/>
              <w:right w:w="15" w:type="dxa"/>
            </w:tcMar>
            <w:vAlign w:val="center"/>
          </w:tcPr>
          <w:p w14:paraId="536B84F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tcMar>
              <w:top w:w="15" w:type="dxa"/>
              <w:left w:w="15" w:type="dxa"/>
              <w:bottom w:w="15" w:type="dxa"/>
              <w:right w:w="15" w:type="dxa"/>
            </w:tcMar>
            <w:vAlign w:val="center"/>
          </w:tcPr>
          <w:p w14:paraId="3B3B888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危害后果轻微，主动消除或减轻违法行为危害后果的。</w:t>
            </w:r>
          </w:p>
        </w:tc>
        <w:tc>
          <w:tcPr>
            <w:tcW w:w="3058" w:type="dxa"/>
            <w:tcBorders>
              <w:tl2br w:val="nil"/>
              <w:tr2bl w:val="nil"/>
            </w:tcBorders>
            <w:tcMar>
              <w:top w:w="15" w:type="dxa"/>
              <w:left w:w="15" w:type="dxa"/>
              <w:bottom w:w="15" w:type="dxa"/>
              <w:right w:w="15" w:type="dxa"/>
            </w:tcMar>
            <w:vAlign w:val="center"/>
          </w:tcPr>
          <w:p w14:paraId="6B3B32A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责令改正，可以处2万元以下的罚款，对单位直接负责的主管人员和其他直接责任人员依法给予处分；违法确定或者更换的评标委员会成员作出的评审结论无效，依法重新进行评审。</w:t>
            </w:r>
          </w:p>
        </w:tc>
      </w:tr>
      <w:tr w14:paraId="361D9C7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645" w:hRule="atLeast"/>
          <w:jc w:val="center"/>
        </w:trPr>
        <w:tc>
          <w:tcPr>
            <w:tcW w:w="443" w:type="dxa"/>
            <w:gridSpan w:val="2"/>
            <w:vMerge w:val="continue"/>
            <w:tcBorders>
              <w:tl2br w:val="nil"/>
              <w:tr2bl w:val="nil"/>
            </w:tcBorders>
            <w:vAlign w:val="center"/>
          </w:tcPr>
          <w:p w14:paraId="56BBCF3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044A279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6BE2934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823" w:type="dxa"/>
            <w:tcBorders>
              <w:tl2br w:val="nil"/>
              <w:tr2bl w:val="nil"/>
            </w:tcBorders>
            <w:tcMar>
              <w:top w:w="15" w:type="dxa"/>
              <w:left w:w="15" w:type="dxa"/>
              <w:bottom w:w="15" w:type="dxa"/>
              <w:right w:w="15" w:type="dxa"/>
            </w:tcMar>
            <w:vAlign w:val="center"/>
          </w:tcPr>
          <w:p w14:paraId="266956F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一般情节</w:t>
            </w:r>
          </w:p>
        </w:tc>
        <w:tc>
          <w:tcPr>
            <w:tcW w:w="3437" w:type="dxa"/>
            <w:gridSpan w:val="2"/>
            <w:tcBorders>
              <w:tl2br w:val="nil"/>
              <w:tr2bl w:val="nil"/>
            </w:tcBorders>
            <w:tcMar>
              <w:top w:w="15" w:type="dxa"/>
              <w:left w:w="15" w:type="dxa"/>
              <w:bottom w:w="15" w:type="dxa"/>
              <w:right w:w="15" w:type="dxa"/>
            </w:tcMar>
            <w:vAlign w:val="center"/>
          </w:tcPr>
          <w:p w14:paraId="3351B9D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不具有从轻、</w:t>
            </w:r>
            <w:r>
              <w:rPr>
                <w:rFonts w:hint="eastAsia" w:ascii="仿宋_GB2312" w:hAnsi="宋体" w:eastAsia="仿宋_GB2312"/>
                <w:color w:val="auto"/>
                <w:kern w:val="0"/>
                <w:sz w:val="13"/>
                <w:szCs w:val="13"/>
                <w:highlight w:val="none"/>
                <w:lang w:eastAsia="zh-CN"/>
              </w:rPr>
              <w:t>从重情节</w:t>
            </w:r>
            <w:r>
              <w:rPr>
                <w:rFonts w:hint="eastAsia" w:ascii="仿宋_GB2312" w:hAnsi="宋体" w:eastAsia="仿宋_GB2312"/>
                <w:color w:val="auto"/>
                <w:kern w:val="0"/>
                <w:sz w:val="13"/>
                <w:szCs w:val="13"/>
                <w:highlight w:val="none"/>
              </w:rPr>
              <w:t>的。</w:t>
            </w:r>
          </w:p>
        </w:tc>
        <w:tc>
          <w:tcPr>
            <w:tcW w:w="3058" w:type="dxa"/>
            <w:tcBorders>
              <w:tl2br w:val="nil"/>
              <w:tr2bl w:val="nil"/>
            </w:tcBorders>
            <w:tcMar>
              <w:top w:w="15" w:type="dxa"/>
              <w:left w:w="15" w:type="dxa"/>
              <w:bottom w:w="15" w:type="dxa"/>
              <w:right w:w="15" w:type="dxa"/>
            </w:tcMar>
            <w:vAlign w:val="center"/>
          </w:tcPr>
          <w:p w14:paraId="33DDF0F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责令改正，处2万元以上7万元以下的罚款；对单位直接负责的主管人员和其他直接责任人员依法给予处分；违法确定或者更换的评标委员会成员作出的评审结论无效，依法重新进行评审。</w:t>
            </w:r>
          </w:p>
        </w:tc>
      </w:tr>
      <w:tr w14:paraId="30129EE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164" w:hRule="atLeast"/>
          <w:jc w:val="center"/>
        </w:trPr>
        <w:tc>
          <w:tcPr>
            <w:tcW w:w="443" w:type="dxa"/>
            <w:gridSpan w:val="2"/>
            <w:vMerge w:val="continue"/>
            <w:tcBorders>
              <w:tl2br w:val="nil"/>
              <w:tr2bl w:val="nil"/>
            </w:tcBorders>
            <w:vAlign w:val="center"/>
          </w:tcPr>
          <w:p w14:paraId="7F04B6A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4AAC0B7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3D41D8A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823" w:type="dxa"/>
            <w:tcBorders>
              <w:tl2br w:val="nil"/>
              <w:tr2bl w:val="nil"/>
            </w:tcBorders>
            <w:tcMar>
              <w:top w:w="15" w:type="dxa"/>
              <w:left w:w="15" w:type="dxa"/>
              <w:bottom w:w="15" w:type="dxa"/>
              <w:right w:w="15" w:type="dxa"/>
            </w:tcMar>
            <w:vAlign w:val="center"/>
          </w:tcPr>
          <w:p w14:paraId="2D90258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从重情节</w:t>
            </w:r>
          </w:p>
        </w:tc>
        <w:tc>
          <w:tcPr>
            <w:tcW w:w="3437" w:type="dxa"/>
            <w:gridSpan w:val="2"/>
            <w:tcBorders>
              <w:tl2br w:val="nil"/>
              <w:tr2bl w:val="nil"/>
            </w:tcBorders>
            <w:tcMar>
              <w:top w:w="15" w:type="dxa"/>
              <w:left w:w="15" w:type="dxa"/>
              <w:bottom w:w="15" w:type="dxa"/>
              <w:right w:w="15" w:type="dxa"/>
            </w:tcMar>
            <w:vAlign w:val="center"/>
          </w:tcPr>
          <w:p w14:paraId="786A0AA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lang w:val="en-US" w:eastAsia="zh-CN"/>
              </w:rPr>
              <w:t>有下列情形之一的：</w:t>
            </w:r>
            <w:r>
              <w:rPr>
                <w:rFonts w:hint="eastAsia" w:ascii="仿宋_GB2312" w:hAnsi="宋体" w:eastAsia="仿宋_GB2312"/>
                <w:color w:val="auto"/>
                <w:kern w:val="0"/>
                <w:sz w:val="13"/>
                <w:szCs w:val="13"/>
                <w:highlight w:val="none"/>
              </w:rPr>
              <w:t>（1）经责令改正后，逾期未改正的；</w:t>
            </w:r>
          </w:p>
          <w:p w14:paraId="4DFEB57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（2）曾因该违法行为被依法查处，再次实施该违法行为的；</w:t>
            </w:r>
          </w:p>
          <w:p w14:paraId="4EEA84E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（3）造成工程质量事故的；</w:t>
            </w:r>
          </w:p>
          <w:p w14:paraId="299A0DC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（4）经有关部门确认，存在商业贿赂情形的；</w:t>
            </w:r>
          </w:p>
          <w:p w14:paraId="2BE29EA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（5）其他依法应予从重处罚的情形。</w:t>
            </w:r>
          </w:p>
        </w:tc>
        <w:tc>
          <w:tcPr>
            <w:tcW w:w="3058" w:type="dxa"/>
            <w:tcBorders>
              <w:tl2br w:val="nil"/>
              <w:tr2bl w:val="nil"/>
            </w:tcBorders>
            <w:tcMar>
              <w:top w:w="15" w:type="dxa"/>
              <w:left w:w="15" w:type="dxa"/>
              <w:bottom w:w="15" w:type="dxa"/>
              <w:right w:w="15" w:type="dxa"/>
            </w:tcMar>
            <w:vAlign w:val="center"/>
          </w:tcPr>
          <w:p w14:paraId="39F759B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责令改正，处7万元以上10万元以下的罚款；对单位直接负责的主管人员和其他直接责任人员依法给予处分；违法确定或者更换的评标委员会成员作出的评审结论无效，依法重新进行评审。</w:t>
            </w:r>
          </w:p>
        </w:tc>
      </w:tr>
      <w:tr w14:paraId="63A843C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50" w:hRule="atLeast"/>
          <w:jc w:val="center"/>
        </w:trPr>
        <w:tc>
          <w:tcPr>
            <w:tcW w:w="443" w:type="dxa"/>
            <w:gridSpan w:val="2"/>
            <w:vMerge w:val="restart"/>
            <w:tcBorders>
              <w:tl2br w:val="nil"/>
              <w:tr2bl w:val="nil"/>
            </w:tcBorders>
            <w:vAlign w:val="center"/>
          </w:tcPr>
          <w:p w14:paraId="0B9A748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hint="default" w:ascii="仿宋_GB2312" w:hAnsi="宋体" w:eastAsia="仿宋_GB2312" w:cs="Times New Roman"/>
                <w:color w:val="auto"/>
                <w:sz w:val="13"/>
                <w:szCs w:val="13"/>
                <w:highlight w:val="none"/>
                <w:lang w:val="en-US" w:eastAsia="zh-CN"/>
              </w:rPr>
            </w:pPr>
            <w:r>
              <w:rPr>
                <w:rFonts w:hint="eastAsia" w:ascii="仿宋_GB2312" w:hAnsi="宋体" w:eastAsia="仿宋_GB2312" w:cs="Times New Roman"/>
                <w:color w:val="auto"/>
                <w:sz w:val="13"/>
                <w:szCs w:val="13"/>
                <w:highlight w:val="none"/>
                <w:lang w:val="en-US" w:eastAsia="zh-CN"/>
              </w:rPr>
              <w:t>18</w:t>
            </w:r>
          </w:p>
        </w:tc>
        <w:tc>
          <w:tcPr>
            <w:tcW w:w="1550" w:type="dxa"/>
            <w:vMerge w:val="restart"/>
            <w:tcBorders>
              <w:tl2br w:val="nil"/>
              <w:tr2bl w:val="nil"/>
            </w:tcBorders>
            <w:vAlign w:val="center"/>
          </w:tcPr>
          <w:p w14:paraId="4708C49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评标委员会成员收受投标人的财物或者其他好处</w:t>
            </w:r>
          </w:p>
        </w:tc>
        <w:tc>
          <w:tcPr>
            <w:tcW w:w="4820" w:type="dxa"/>
            <w:vMerge w:val="restart"/>
            <w:tcBorders>
              <w:tl2br w:val="nil"/>
              <w:tr2bl w:val="nil"/>
            </w:tcBorders>
            <w:vAlign w:val="center"/>
          </w:tcPr>
          <w:p w14:paraId="49156267">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《中华人民共和国招标投标法实施条例》</w:t>
            </w:r>
            <w:r>
              <w:rPr>
                <w:rFonts w:hint="eastAsia" w:ascii="仿宋_GB2312" w:hAnsi="宋体" w:eastAsia="仿宋_GB2312"/>
                <w:b/>
                <w:bCs/>
                <w:color w:val="auto"/>
                <w:kern w:val="0"/>
                <w:sz w:val="13"/>
                <w:szCs w:val="13"/>
                <w:highlight w:val="none"/>
              </w:rPr>
              <w:t>第七十二条</w:t>
            </w:r>
            <w:r>
              <w:rPr>
                <w:rFonts w:hint="eastAsia" w:ascii="仿宋_GB2312" w:hAnsi="宋体" w:eastAsia="仿宋_GB2312"/>
                <w:b/>
                <w:bCs/>
                <w:color w:val="auto"/>
                <w:kern w:val="0"/>
                <w:sz w:val="13"/>
                <w:szCs w:val="13"/>
                <w:highlight w:val="none"/>
                <w:lang w:eastAsia="zh-CN"/>
              </w:rPr>
              <w:t>：</w:t>
            </w:r>
            <w:r>
              <w:rPr>
                <w:rFonts w:hint="eastAsia" w:ascii="仿宋_GB2312" w:hAnsi="宋体" w:eastAsia="仿宋_GB2312"/>
                <w:color w:val="auto"/>
                <w:kern w:val="0"/>
                <w:sz w:val="13"/>
                <w:szCs w:val="13"/>
                <w:highlight w:val="none"/>
              </w:rPr>
              <w:t>评标委员会成员收受投标人的财物或者其他好处的，没收收受的财物，处3000元以上5万元以下的罚款，取消担任评标委员会成员的资格，不得再参加依法必须进行招标的项目的评标；构成犯罪的，依法追究刑事责任。</w:t>
            </w:r>
          </w:p>
        </w:tc>
        <w:tc>
          <w:tcPr>
            <w:tcW w:w="823" w:type="dxa"/>
            <w:tcBorders>
              <w:tl2br w:val="nil"/>
              <w:tr2bl w:val="nil"/>
            </w:tcBorders>
            <w:tcMar>
              <w:top w:w="15" w:type="dxa"/>
              <w:left w:w="15" w:type="dxa"/>
              <w:bottom w:w="15" w:type="dxa"/>
              <w:right w:w="15" w:type="dxa"/>
            </w:tcMar>
            <w:vAlign w:val="center"/>
          </w:tcPr>
          <w:p w14:paraId="0FB0233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tcMar>
              <w:top w:w="15" w:type="dxa"/>
              <w:left w:w="15" w:type="dxa"/>
              <w:bottom w:w="15" w:type="dxa"/>
              <w:right w:w="15" w:type="dxa"/>
            </w:tcMar>
            <w:vAlign w:val="center"/>
          </w:tcPr>
          <w:p w14:paraId="5BD5DC7D">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尚未影响到招标活动正常进行的。</w:t>
            </w:r>
          </w:p>
        </w:tc>
        <w:tc>
          <w:tcPr>
            <w:tcW w:w="3058" w:type="dxa"/>
            <w:tcBorders>
              <w:tl2br w:val="nil"/>
              <w:tr2bl w:val="nil"/>
            </w:tcBorders>
            <w:tcMar>
              <w:top w:w="15" w:type="dxa"/>
              <w:left w:w="15" w:type="dxa"/>
              <w:bottom w:w="15" w:type="dxa"/>
              <w:right w:w="15" w:type="dxa"/>
            </w:tcMar>
            <w:vAlign w:val="center"/>
          </w:tcPr>
          <w:p w14:paraId="6B09F08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没收收受的财物，处3000元以上2万元以下的罚款；取消担任评标委员会成员的资格，不得再参加依法必须进行招标的项目的评标。</w:t>
            </w:r>
          </w:p>
        </w:tc>
      </w:tr>
      <w:tr w14:paraId="00F200A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412" w:hRule="atLeast"/>
          <w:jc w:val="center"/>
        </w:trPr>
        <w:tc>
          <w:tcPr>
            <w:tcW w:w="443" w:type="dxa"/>
            <w:gridSpan w:val="2"/>
            <w:vMerge w:val="continue"/>
            <w:tcBorders>
              <w:tl2br w:val="nil"/>
              <w:tr2bl w:val="nil"/>
            </w:tcBorders>
            <w:vAlign w:val="center"/>
          </w:tcPr>
          <w:p w14:paraId="2B5A01D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0224BF6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7731CE21">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tc>
        <w:tc>
          <w:tcPr>
            <w:tcW w:w="823" w:type="dxa"/>
            <w:tcBorders>
              <w:tl2br w:val="nil"/>
              <w:tr2bl w:val="nil"/>
            </w:tcBorders>
            <w:tcMar>
              <w:top w:w="15" w:type="dxa"/>
              <w:left w:w="15" w:type="dxa"/>
              <w:bottom w:w="15" w:type="dxa"/>
              <w:right w:w="15" w:type="dxa"/>
            </w:tcMar>
            <w:vAlign w:val="center"/>
          </w:tcPr>
          <w:p w14:paraId="66A6BB3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一般情节</w:t>
            </w:r>
          </w:p>
        </w:tc>
        <w:tc>
          <w:tcPr>
            <w:tcW w:w="3437" w:type="dxa"/>
            <w:gridSpan w:val="2"/>
            <w:tcBorders>
              <w:tl2br w:val="nil"/>
              <w:tr2bl w:val="nil"/>
            </w:tcBorders>
            <w:tcMar>
              <w:top w:w="15" w:type="dxa"/>
              <w:left w:w="15" w:type="dxa"/>
              <w:bottom w:w="15" w:type="dxa"/>
              <w:right w:w="15" w:type="dxa"/>
            </w:tcMar>
            <w:vAlign w:val="center"/>
          </w:tcPr>
          <w:p w14:paraId="55751C74">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影响到招标活动正常进行的。</w:t>
            </w:r>
          </w:p>
        </w:tc>
        <w:tc>
          <w:tcPr>
            <w:tcW w:w="3058" w:type="dxa"/>
            <w:tcBorders>
              <w:tl2br w:val="nil"/>
              <w:tr2bl w:val="nil"/>
            </w:tcBorders>
            <w:tcMar>
              <w:top w:w="15" w:type="dxa"/>
              <w:left w:w="15" w:type="dxa"/>
              <w:bottom w:w="15" w:type="dxa"/>
              <w:right w:w="15" w:type="dxa"/>
            </w:tcMar>
            <w:vAlign w:val="center"/>
          </w:tcPr>
          <w:p w14:paraId="787F601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没收收受的财物，处2万元以上4万元以下的罚款；取消担任评标委员会成员的资格，不得再参加依法必须进行招标的项目的评标。</w:t>
            </w:r>
          </w:p>
        </w:tc>
      </w:tr>
      <w:tr w14:paraId="3DD28B0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466" w:hRule="atLeast"/>
          <w:jc w:val="center"/>
        </w:trPr>
        <w:tc>
          <w:tcPr>
            <w:tcW w:w="443" w:type="dxa"/>
            <w:gridSpan w:val="2"/>
            <w:vMerge w:val="continue"/>
            <w:tcBorders>
              <w:tl2br w:val="nil"/>
              <w:tr2bl w:val="nil"/>
            </w:tcBorders>
            <w:vAlign w:val="center"/>
          </w:tcPr>
          <w:p w14:paraId="6BDBABB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52D377E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5BEA6103">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tc>
        <w:tc>
          <w:tcPr>
            <w:tcW w:w="823" w:type="dxa"/>
            <w:tcBorders>
              <w:tl2br w:val="nil"/>
              <w:tr2bl w:val="nil"/>
            </w:tcBorders>
            <w:tcMar>
              <w:top w:w="15" w:type="dxa"/>
              <w:left w:w="15" w:type="dxa"/>
              <w:bottom w:w="15" w:type="dxa"/>
              <w:right w:w="15" w:type="dxa"/>
            </w:tcMar>
            <w:vAlign w:val="center"/>
          </w:tcPr>
          <w:p w14:paraId="794F1EB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从重情节</w:t>
            </w:r>
          </w:p>
        </w:tc>
        <w:tc>
          <w:tcPr>
            <w:tcW w:w="3437" w:type="dxa"/>
            <w:gridSpan w:val="2"/>
            <w:tcBorders>
              <w:tl2br w:val="nil"/>
              <w:tr2bl w:val="nil"/>
            </w:tcBorders>
            <w:tcMar>
              <w:top w:w="15" w:type="dxa"/>
              <w:left w:w="15" w:type="dxa"/>
              <w:bottom w:w="15" w:type="dxa"/>
              <w:right w:w="15" w:type="dxa"/>
            </w:tcMar>
            <w:vAlign w:val="center"/>
          </w:tcPr>
          <w:p w14:paraId="4AD36B58">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导致中标结果无效的</w:t>
            </w:r>
            <w:r>
              <w:rPr>
                <w:rFonts w:hint="eastAsia" w:ascii="仿宋_GB2312" w:hAnsi="宋体" w:eastAsia="仿宋_GB2312"/>
                <w:color w:val="auto"/>
                <w:kern w:val="0"/>
                <w:sz w:val="13"/>
                <w:szCs w:val="13"/>
                <w:highlight w:val="none"/>
                <w:lang w:eastAsia="zh-CN"/>
              </w:rPr>
              <w:t>，</w:t>
            </w:r>
            <w:r>
              <w:rPr>
                <w:rFonts w:hint="eastAsia" w:ascii="仿宋_GB2312" w:hAnsi="宋体" w:eastAsia="仿宋_GB2312"/>
                <w:color w:val="auto"/>
                <w:kern w:val="0"/>
                <w:sz w:val="13"/>
                <w:szCs w:val="13"/>
                <w:highlight w:val="none"/>
                <w:lang w:val="en-US" w:eastAsia="zh-CN"/>
              </w:rPr>
              <w:t>或</w:t>
            </w:r>
            <w:r>
              <w:rPr>
                <w:rFonts w:hint="eastAsia" w:ascii="仿宋_GB2312" w:hAnsi="宋体" w:eastAsia="仿宋_GB2312"/>
                <w:color w:val="auto"/>
                <w:kern w:val="0"/>
                <w:sz w:val="13"/>
                <w:szCs w:val="13"/>
                <w:highlight w:val="none"/>
              </w:rPr>
              <w:t>其他情节恶劣，或造成严重后果的违法行为。</w:t>
            </w:r>
          </w:p>
        </w:tc>
        <w:tc>
          <w:tcPr>
            <w:tcW w:w="3058" w:type="dxa"/>
            <w:tcBorders>
              <w:tl2br w:val="nil"/>
              <w:tr2bl w:val="nil"/>
            </w:tcBorders>
            <w:tcMar>
              <w:top w:w="15" w:type="dxa"/>
              <w:left w:w="15" w:type="dxa"/>
              <w:bottom w:w="15" w:type="dxa"/>
              <w:right w:w="15" w:type="dxa"/>
            </w:tcMar>
            <w:vAlign w:val="center"/>
          </w:tcPr>
          <w:p w14:paraId="72C60B0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没收收受的财物，处4万元以上5万元以下的罚款；取消担任评标委员会成员的资格，不得再参加依法必须进行招标的项目的评标。</w:t>
            </w:r>
          </w:p>
        </w:tc>
      </w:tr>
      <w:tr w14:paraId="523B9B9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522" w:hRule="atLeast"/>
          <w:jc w:val="center"/>
        </w:trPr>
        <w:tc>
          <w:tcPr>
            <w:tcW w:w="443" w:type="dxa"/>
            <w:gridSpan w:val="2"/>
            <w:vMerge w:val="restart"/>
            <w:tcBorders>
              <w:tl2br w:val="nil"/>
              <w:tr2bl w:val="nil"/>
            </w:tcBorders>
            <w:vAlign w:val="center"/>
          </w:tcPr>
          <w:p w14:paraId="070F5C2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hint="default" w:ascii="仿宋_GB2312" w:hAnsi="宋体" w:eastAsia="仿宋_GB2312" w:cs="Times New Roman"/>
                <w:color w:val="auto"/>
                <w:sz w:val="13"/>
                <w:szCs w:val="13"/>
                <w:highlight w:val="none"/>
                <w:lang w:val="en-US" w:eastAsia="zh-CN"/>
              </w:rPr>
            </w:pPr>
            <w:r>
              <w:rPr>
                <w:rFonts w:hint="eastAsia" w:ascii="仿宋_GB2312" w:hAnsi="宋体" w:eastAsia="仿宋_GB2312" w:cs="Times New Roman"/>
                <w:color w:val="auto"/>
                <w:sz w:val="13"/>
                <w:szCs w:val="13"/>
                <w:highlight w:val="none"/>
                <w:lang w:val="en-US" w:eastAsia="zh-CN"/>
              </w:rPr>
              <w:t>19</w:t>
            </w:r>
          </w:p>
        </w:tc>
        <w:tc>
          <w:tcPr>
            <w:tcW w:w="1550" w:type="dxa"/>
            <w:vMerge w:val="restart"/>
            <w:tcBorders>
              <w:tl2br w:val="nil"/>
              <w:tr2bl w:val="nil"/>
            </w:tcBorders>
            <w:vAlign w:val="center"/>
          </w:tcPr>
          <w:p w14:paraId="4743C8DB">
            <w:pPr>
              <w:keepNext w:val="0"/>
              <w:keepLines w:val="0"/>
              <w:pageBreakBefore w:val="0"/>
              <w:widowControl/>
              <w:kinsoku/>
              <w:wordWrap/>
              <w:overflowPunct/>
              <w:topLinePunct w:val="0"/>
              <w:autoSpaceDE/>
              <w:autoSpaceDN/>
              <w:bidi w:val="0"/>
              <w:adjustRightInd/>
              <w:snapToGrid/>
              <w:spacing w:beforeAutospacing="0" w:afterAutospacing="0" w:line="260" w:lineRule="exact"/>
              <w:ind w:left="0" w:leftChars="0" w:right="0" w:rightChars="0" w:firstLine="260" w:firstLineChars="2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依法必须进行招标的项目的招标人放弃中标项目的不发出中标通知书的；依法必须进行招标的项目的招标人不按照规定确定中标人的；依法必须进行招标的项目的招标人在中标通知书发出后无正当理由改变中标结果的；依法必须进行招标的项目的招标人无正当理由不与中标人订立合同的</w:t>
            </w:r>
            <w:r>
              <w:rPr>
                <w:rFonts w:hint="eastAsia" w:ascii="仿宋_GB2312" w:hAnsi="宋体" w:eastAsia="仿宋_GB2312"/>
                <w:color w:val="auto"/>
                <w:kern w:val="0"/>
                <w:sz w:val="13"/>
                <w:szCs w:val="13"/>
                <w:highlight w:val="none"/>
                <w:lang w:eastAsia="zh-CN"/>
              </w:rPr>
              <w:t>；</w:t>
            </w:r>
            <w:r>
              <w:rPr>
                <w:rFonts w:hint="eastAsia" w:ascii="仿宋_GB2312" w:hAnsi="宋体" w:eastAsia="仿宋_GB2312"/>
                <w:color w:val="auto"/>
                <w:kern w:val="0"/>
                <w:sz w:val="13"/>
                <w:szCs w:val="13"/>
                <w:highlight w:val="none"/>
              </w:rPr>
              <w:t>依法必须进行招标的项目的招标人在订立合同时向中标人提出附加条件的</w:t>
            </w:r>
          </w:p>
        </w:tc>
        <w:tc>
          <w:tcPr>
            <w:tcW w:w="4820" w:type="dxa"/>
            <w:vMerge w:val="restart"/>
            <w:tcBorders>
              <w:tl2br w:val="nil"/>
              <w:tr2bl w:val="nil"/>
            </w:tcBorders>
            <w:vAlign w:val="center"/>
          </w:tcPr>
          <w:p w14:paraId="73917CA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《中华人民共和国招标投标法实施条例》</w:t>
            </w:r>
            <w:r>
              <w:rPr>
                <w:rFonts w:hint="eastAsia" w:ascii="仿宋_GB2312" w:hAnsi="宋体" w:eastAsia="仿宋_GB2312"/>
                <w:b/>
                <w:bCs/>
                <w:color w:val="auto"/>
                <w:kern w:val="0"/>
                <w:sz w:val="13"/>
                <w:szCs w:val="13"/>
                <w:highlight w:val="none"/>
              </w:rPr>
              <w:t>第七十三条</w:t>
            </w:r>
            <w:r>
              <w:rPr>
                <w:rFonts w:hint="eastAsia" w:ascii="仿宋_GB2312" w:hAnsi="宋体" w:eastAsia="仿宋_GB2312"/>
                <w:b/>
                <w:bCs/>
                <w:color w:val="auto"/>
                <w:kern w:val="0"/>
                <w:sz w:val="13"/>
                <w:szCs w:val="13"/>
                <w:highlight w:val="none"/>
                <w:lang w:eastAsia="zh-CN"/>
              </w:rPr>
              <w:t>：</w:t>
            </w:r>
            <w:r>
              <w:rPr>
                <w:rFonts w:hint="eastAsia" w:ascii="仿宋_GB2312" w:hAnsi="宋体" w:eastAsia="仿宋_GB2312"/>
                <w:color w:val="auto"/>
                <w:kern w:val="0"/>
                <w:sz w:val="13"/>
                <w:szCs w:val="13"/>
                <w:highlight w:val="none"/>
              </w:rPr>
              <w:t>依法必须进行招标的项目的招标人有下列情形之一的，由有关行政监督部门责令改正，可以处中标项目金额10‰以下的罚款；给他人造成损失的，依法承担赔偿责任；对单位直接负责的主管人员和其他直接责任人员依法给予处分：</w:t>
            </w:r>
          </w:p>
          <w:p w14:paraId="29F5F4E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rPr>
              <w:t>（一）无正当理由不发出中标通知书</w:t>
            </w:r>
            <w:r>
              <w:rPr>
                <w:rFonts w:hint="eastAsia" w:ascii="仿宋_GB2312" w:hAnsi="宋体" w:eastAsia="仿宋_GB2312"/>
                <w:color w:val="auto"/>
                <w:kern w:val="0"/>
                <w:sz w:val="13"/>
                <w:szCs w:val="13"/>
                <w:highlight w:val="none"/>
                <w:lang w:eastAsia="zh-CN"/>
              </w:rPr>
              <w:t>；</w:t>
            </w:r>
          </w:p>
          <w:p w14:paraId="636BEBE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rPr>
              <w:t>（二）不按照规定确定中标人</w:t>
            </w:r>
            <w:r>
              <w:rPr>
                <w:rFonts w:hint="eastAsia" w:ascii="仿宋_GB2312" w:hAnsi="宋体" w:eastAsia="仿宋_GB2312"/>
                <w:color w:val="auto"/>
                <w:kern w:val="0"/>
                <w:sz w:val="13"/>
                <w:szCs w:val="13"/>
                <w:highlight w:val="none"/>
                <w:lang w:eastAsia="zh-CN"/>
              </w:rPr>
              <w:t>；</w:t>
            </w:r>
          </w:p>
          <w:p w14:paraId="0E273C2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（三）中标通知书发出后无正当理由改变中标结果；</w:t>
            </w:r>
          </w:p>
          <w:p w14:paraId="2A0D2F9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（四）无正当理由不与中标人订立合同；</w:t>
            </w:r>
          </w:p>
          <w:p w14:paraId="7CFA9E9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（五）在订立合同时向中标人提出附加条件。</w:t>
            </w:r>
          </w:p>
        </w:tc>
        <w:tc>
          <w:tcPr>
            <w:tcW w:w="823" w:type="dxa"/>
            <w:tcBorders>
              <w:tl2br w:val="nil"/>
              <w:tr2bl w:val="nil"/>
            </w:tcBorders>
            <w:tcMar>
              <w:top w:w="15" w:type="dxa"/>
              <w:left w:w="15" w:type="dxa"/>
              <w:bottom w:w="15" w:type="dxa"/>
              <w:right w:w="15" w:type="dxa"/>
            </w:tcMar>
            <w:vAlign w:val="center"/>
          </w:tcPr>
          <w:p w14:paraId="1F2A39F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tcMar>
              <w:top w:w="15" w:type="dxa"/>
              <w:left w:w="15" w:type="dxa"/>
              <w:bottom w:w="15" w:type="dxa"/>
              <w:right w:w="15" w:type="dxa"/>
            </w:tcMar>
            <w:vAlign w:val="center"/>
          </w:tcPr>
          <w:p w14:paraId="5AB77D6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危害后果轻微，主动消除或减轻违法行为危害后果的。</w:t>
            </w:r>
          </w:p>
        </w:tc>
        <w:tc>
          <w:tcPr>
            <w:tcW w:w="3058" w:type="dxa"/>
            <w:tcBorders>
              <w:tl2br w:val="nil"/>
              <w:tr2bl w:val="nil"/>
            </w:tcBorders>
            <w:tcMar>
              <w:top w:w="15" w:type="dxa"/>
              <w:left w:w="15" w:type="dxa"/>
              <w:bottom w:w="15" w:type="dxa"/>
              <w:right w:w="15" w:type="dxa"/>
            </w:tcMar>
            <w:vAlign w:val="center"/>
          </w:tcPr>
          <w:p w14:paraId="2156C2F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责令改正，可以处中标项目金额千分之一以上千分之</w:t>
            </w:r>
            <w:r>
              <w:rPr>
                <w:rFonts w:hint="eastAsia" w:ascii="仿宋_GB2312" w:hAnsi="宋体" w:eastAsia="仿宋_GB2312"/>
                <w:color w:val="auto"/>
                <w:kern w:val="0"/>
                <w:sz w:val="13"/>
                <w:szCs w:val="13"/>
                <w:highlight w:val="none"/>
                <w:lang w:val="en-US" w:eastAsia="zh-CN"/>
              </w:rPr>
              <w:t>三</w:t>
            </w:r>
            <w:r>
              <w:rPr>
                <w:rFonts w:hint="eastAsia" w:ascii="仿宋_GB2312" w:hAnsi="宋体" w:eastAsia="仿宋_GB2312"/>
                <w:color w:val="auto"/>
                <w:kern w:val="0"/>
                <w:sz w:val="13"/>
                <w:szCs w:val="13"/>
                <w:highlight w:val="none"/>
              </w:rPr>
              <w:t>以下的罚款。</w:t>
            </w:r>
          </w:p>
        </w:tc>
      </w:tr>
      <w:tr w14:paraId="74FC1BE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578" w:hRule="atLeast"/>
          <w:jc w:val="center"/>
        </w:trPr>
        <w:tc>
          <w:tcPr>
            <w:tcW w:w="443" w:type="dxa"/>
            <w:gridSpan w:val="2"/>
            <w:vMerge w:val="continue"/>
            <w:tcBorders>
              <w:tl2br w:val="nil"/>
              <w:tr2bl w:val="nil"/>
            </w:tcBorders>
            <w:vAlign w:val="center"/>
          </w:tcPr>
          <w:p w14:paraId="77D2033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7FF8889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2ADFA69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823" w:type="dxa"/>
            <w:tcBorders>
              <w:tl2br w:val="nil"/>
              <w:tr2bl w:val="nil"/>
            </w:tcBorders>
            <w:tcMar>
              <w:top w:w="15" w:type="dxa"/>
              <w:left w:w="15" w:type="dxa"/>
              <w:bottom w:w="15" w:type="dxa"/>
              <w:right w:w="15" w:type="dxa"/>
            </w:tcMar>
            <w:vAlign w:val="center"/>
          </w:tcPr>
          <w:p w14:paraId="0BAA9EC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一般情节</w:t>
            </w:r>
          </w:p>
        </w:tc>
        <w:tc>
          <w:tcPr>
            <w:tcW w:w="3437" w:type="dxa"/>
            <w:gridSpan w:val="2"/>
            <w:tcBorders>
              <w:tl2br w:val="nil"/>
              <w:tr2bl w:val="nil"/>
            </w:tcBorders>
            <w:tcMar>
              <w:top w:w="15" w:type="dxa"/>
              <w:left w:w="15" w:type="dxa"/>
              <w:bottom w:w="15" w:type="dxa"/>
              <w:right w:w="15" w:type="dxa"/>
            </w:tcMar>
            <w:vAlign w:val="center"/>
          </w:tcPr>
          <w:p w14:paraId="038D6B4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不具有从轻、</w:t>
            </w:r>
            <w:r>
              <w:rPr>
                <w:rFonts w:hint="eastAsia" w:ascii="仿宋_GB2312" w:hAnsi="宋体" w:eastAsia="仿宋_GB2312"/>
                <w:color w:val="auto"/>
                <w:kern w:val="0"/>
                <w:sz w:val="13"/>
                <w:szCs w:val="13"/>
                <w:highlight w:val="none"/>
                <w:lang w:eastAsia="zh-CN"/>
              </w:rPr>
              <w:t>从重情节</w:t>
            </w:r>
            <w:r>
              <w:rPr>
                <w:rFonts w:hint="eastAsia" w:ascii="仿宋_GB2312" w:hAnsi="宋体" w:eastAsia="仿宋_GB2312"/>
                <w:color w:val="auto"/>
                <w:kern w:val="0"/>
                <w:sz w:val="13"/>
                <w:szCs w:val="13"/>
                <w:highlight w:val="none"/>
              </w:rPr>
              <w:t>的。</w:t>
            </w:r>
          </w:p>
        </w:tc>
        <w:tc>
          <w:tcPr>
            <w:tcW w:w="3058" w:type="dxa"/>
            <w:tcBorders>
              <w:tl2br w:val="nil"/>
              <w:tr2bl w:val="nil"/>
            </w:tcBorders>
            <w:tcMar>
              <w:top w:w="15" w:type="dxa"/>
              <w:left w:w="15" w:type="dxa"/>
              <w:bottom w:w="15" w:type="dxa"/>
              <w:right w:w="15" w:type="dxa"/>
            </w:tcMar>
            <w:vAlign w:val="center"/>
          </w:tcPr>
          <w:p w14:paraId="6F48A4B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责令改正，可以处中标项目金额千分之</w:t>
            </w:r>
            <w:r>
              <w:rPr>
                <w:rFonts w:hint="eastAsia" w:ascii="仿宋_GB2312" w:hAnsi="宋体" w:eastAsia="仿宋_GB2312"/>
                <w:color w:val="auto"/>
                <w:kern w:val="0"/>
                <w:sz w:val="13"/>
                <w:szCs w:val="13"/>
                <w:highlight w:val="none"/>
                <w:lang w:val="en-US" w:eastAsia="zh-CN"/>
              </w:rPr>
              <w:t>三</w:t>
            </w:r>
            <w:r>
              <w:rPr>
                <w:rFonts w:hint="eastAsia" w:ascii="仿宋_GB2312" w:hAnsi="宋体" w:eastAsia="仿宋_GB2312"/>
                <w:color w:val="auto"/>
                <w:kern w:val="0"/>
                <w:sz w:val="13"/>
                <w:szCs w:val="13"/>
                <w:highlight w:val="none"/>
              </w:rPr>
              <w:t>以上千分之</w:t>
            </w:r>
            <w:r>
              <w:rPr>
                <w:rFonts w:hint="eastAsia" w:ascii="仿宋_GB2312" w:hAnsi="宋体" w:eastAsia="仿宋_GB2312"/>
                <w:color w:val="auto"/>
                <w:kern w:val="0"/>
                <w:sz w:val="13"/>
                <w:szCs w:val="13"/>
                <w:highlight w:val="none"/>
                <w:lang w:val="en-US" w:eastAsia="zh-CN"/>
              </w:rPr>
              <w:t>七</w:t>
            </w:r>
            <w:r>
              <w:rPr>
                <w:rFonts w:hint="eastAsia" w:ascii="仿宋_GB2312" w:hAnsi="宋体" w:eastAsia="仿宋_GB2312"/>
                <w:color w:val="auto"/>
                <w:kern w:val="0"/>
                <w:sz w:val="13"/>
                <w:szCs w:val="13"/>
                <w:highlight w:val="none"/>
              </w:rPr>
              <w:t>以下的罚款。</w:t>
            </w:r>
          </w:p>
        </w:tc>
      </w:tr>
      <w:tr w14:paraId="09D6481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055" w:hRule="atLeast"/>
          <w:jc w:val="center"/>
        </w:trPr>
        <w:tc>
          <w:tcPr>
            <w:tcW w:w="443" w:type="dxa"/>
            <w:gridSpan w:val="2"/>
            <w:vMerge w:val="continue"/>
            <w:tcBorders>
              <w:tl2br w:val="nil"/>
              <w:tr2bl w:val="nil"/>
            </w:tcBorders>
            <w:vAlign w:val="center"/>
          </w:tcPr>
          <w:p w14:paraId="3A16734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292B9DB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1711AD3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823" w:type="dxa"/>
            <w:tcBorders>
              <w:tl2br w:val="nil"/>
              <w:tr2bl w:val="nil"/>
            </w:tcBorders>
            <w:tcMar>
              <w:top w:w="15" w:type="dxa"/>
              <w:left w:w="15" w:type="dxa"/>
              <w:bottom w:w="15" w:type="dxa"/>
              <w:right w:w="15" w:type="dxa"/>
            </w:tcMar>
            <w:vAlign w:val="center"/>
          </w:tcPr>
          <w:p w14:paraId="39AE51F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从重情节</w:t>
            </w:r>
          </w:p>
        </w:tc>
        <w:tc>
          <w:tcPr>
            <w:tcW w:w="3437" w:type="dxa"/>
            <w:gridSpan w:val="2"/>
            <w:tcBorders>
              <w:tl2br w:val="nil"/>
              <w:tr2bl w:val="nil"/>
            </w:tcBorders>
            <w:tcMar>
              <w:top w:w="15" w:type="dxa"/>
              <w:left w:w="15" w:type="dxa"/>
              <w:bottom w:w="15" w:type="dxa"/>
              <w:right w:w="15" w:type="dxa"/>
            </w:tcMar>
            <w:vAlign w:val="center"/>
          </w:tcPr>
          <w:p w14:paraId="531C28E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lang w:val="en-US" w:eastAsia="zh-CN"/>
              </w:rPr>
              <w:t>有下列情形之一的：</w:t>
            </w:r>
            <w:r>
              <w:rPr>
                <w:rFonts w:hint="eastAsia" w:ascii="仿宋_GB2312" w:hAnsi="宋体" w:eastAsia="仿宋_GB2312"/>
                <w:color w:val="auto"/>
                <w:kern w:val="0"/>
                <w:sz w:val="13"/>
                <w:szCs w:val="13"/>
                <w:highlight w:val="none"/>
              </w:rPr>
              <w:t>（1）经责令改正后，逾期未改正的；</w:t>
            </w:r>
          </w:p>
          <w:p w14:paraId="7234E73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（2）曾因该违法行为被依法查处，再次实施该违法行为的；</w:t>
            </w:r>
          </w:p>
          <w:p w14:paraId="5A5CDBF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（3）造成工程质量事故的；</w:t>
            </w:r>
          </w:p>
          <w:p w14:paraId="114A86A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（4）经有关部门确认，存在商业贿赂情形的；</w:t>
            </w:r>
          </w:p>
          <w:p w14:paraId="66114EA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（5）其他依法应予从重处罚的情形。</w:t>
            </w:r>
          </w:p>
        </w:tc>
        <w:tc>
          <w:tcPr>
            <w:tcW w:w="3058" w:type="dxa"/>
            <w:tcBorders>
              <w:tl2br w:val="nil"/>
              <w:tr2bl w:val="nil"/>
            </w:tcBorders>
            <w:tcMar>
              <w:top w:w="15" w:type="dxa"/>
              <w:left w:w="15" w:type="dxa"/>
              <w:bottom w:w="15" w:type="dxa"/>
              <w:right w:w="15" w:type="dxa"/>
            </w:tcMar>
            <w:vAlign w:val="center"/>
          </w:tcPr>
          <w:p w14:paraId="09602FB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责令改正，可以处中标项目金额千分之</w:t>
            </w:r>
            <w:r>
              <w:rPr>
                <w:rFonts w:hint="eastAsia" w:ascii="仿宋_GB2312" w:hAnsi="宋体" w:eastAsia="仿宋_GB2312"/>
                <w:color w:val="auto"/>
                <w:kern w:val="0"/>
                <w:sz w:val="13"/>
                <w:szCs w:val="13"/>
                <w:highlight w:val="none"/>
                <w:lang w:val="en-US" w:eastAsia="zh-CN"/>
              </w:rPr>
              <w:t>七</w:t>
            </w:r>
            <w:r>
              <w:rPr>
                <w:rFonts w:hint="eastAsia" w:ascii="仿宋_GB2312" w:hAnsi="宋体" w:eastAsia="仿宋_GB2312"/>
                <w:color w:val="auto"/>
                <w:kern w:val="0"/>
                <w:sz w:val="13"/>
                <w:szCs w:val="13"/>
                <w:highlight w:val="none"/>
              </w:rPr>
              <w:t>以上千分之十以下的罚款。</w:t>
            </w:r>
          </w:p>
        </w:tc>
      </w:tr>
      <w:tr w14:paraId="7532855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9" w:hRule="atLeast"/>
          <w:jc w:val="center"/>
        </w:trPr>
        <w:tc>
          <w:tcPr>
            <w:tcW w:w="443" w:type="dxa"/>
            <w:gridSpan w:val="2"/>
            <w:vMerge w:val="restart"/>
            <w:tcBorders>
              <w:tl2br w:val="nil"/>
              <w:tr2bl w:val="nil"/>
            </w:tcBorders>
            <w:tcMar>
              <w:top w:w="15" w:type="dxa"/>
              <w:left w:w="15" w:type="dxa"/>
              <w:bottom w:w="15" w:type="dxa"/>
              <w:right w:w="15" w:type="dxa"/>
            </w:tcMar>
            <w:vAlign w:val="center"/>
          </w:tcPr>
          <w:p w14:paraId="343A2BD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Times New Roman"/>
                <w:color w:val="auto"/>
                <w:sz w:val="13"/>
                <w:szCs w:val="13"/>
                <w:highlight w:val="none"/>
                <w:lang w:val="en-US" w:eastAsia="zh-CN"/>
              </w:rPr>
            </w:pPr>
            <w:r>
              <w:rPr>
                <w:rFonts w:hint="eastAsia" w:ascii="仿宋_GB2312" w:hAnsi="宋体" w:eastAsia="仿宋_GB2312" w:cs="Times New Roman"/>
                <w:color w:val="auto"/>
                <w:kern w:val="0"/>
                <w:sz w:val="13"/>
                <w:szCs w:val="13"/>
                <w:highlight w:val="none"/>
                <w:lang w:val="en-US" w:eastAsia="zh-CN"/>
              </w:rPr>
              <w:t>20</w:t>
            </w:r>
          </w:p>
        </w:tc>
        <w:tc>
          <w:tcPr>
            <w:tcW w:w="1550" w:type="dxa"/>
            <w:vMerge w:val="restart"/>
            <w:tcBorders>
              <w:tl2br w:val="nil"/>
              <w:tr2bl w:val="nil"/>
            </w:tcBorders>
            <w:tcMar>
              <w:top w:w="15" w:type="dxa"/>
              <w:left w:w="15" w:type="dxa"/>
              <w:bottom w:w="15" w:type="dxa"/>
              <w:right w:w="15" w:type="dxa"/>
            </w:tcMar>
            <w:vAlign w:val="center"/>
          </w:tcPr>
          <w:p w14:paraId="33E83B1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依法必须进行招标的项目的中标人无正当理由不与招标人订立合同，在签订合同时向招标人提出附加条件，或者不按照招标文件要求提交履约保证金的</w:t>
            </w:r>
          </w:p>
        </w:tc>
        <w:tc>
          <w:tcPr>
            <w:tcW w:w="4820" w:type="dxa"/>
            <w:vMerge w:val="restart"/>
            <w:tcBorders>
              <w:tl2br w:val="nil"/>
              <w:tr2bl w:val="nil"/>
            </w:tcBorders>
            <w:tcMar>
              <w:top w:w="15" w:type="dxa"/>
              <w:left w:w="15" w:type="dxa"/>
              <w:bottom w:w="15" w:type="dxa"/>
              <w:right w:w="15" w:type="dxa"/>
            </w:tcMar>
            <w:vAlign w:val="center"/>
          </w:tcPr>
          <w:p w14:paraId="30D78889">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《中华人民共和国招标投标法实施条例》</w:t>
            </w:r>
            <w:r>
              <w:rPr>
                <w:rFonts w:hint="eastAsia" w:ascii="仿宋_GB2312" w:hAnsi="宋体" w:eastAsia="仿宋_GB2312"/>
                <w:b/>
                <w:bCs/>
                <w:color w:val="auto"/>
                <w:kern w:val="0"/>
                <w:sz w:val="13"/>
                <w:szCs w:val="13"/>
                <w:highlight w:val="none"/>
              </w:rPr>
              <w:t>第七十四条</w:t>
            </w:r>
            <w:r>
              <w:rPr>
                <w:rFonts w:hint="eastAsia" w:ascii="仿宋_GB2312" w:hAnsi="宋体" w:eastAsia="仿宋_GB2312"/>
                <w:b/>
                <w:bCs/>
                <w:color w:val="auto"/>
                <w:kern w:val="0"/>
                <w:sz w:val="13"/>
                <w:szCs w:val="13"/>
                <w:highlight w:val="none"/>
                <w:lang w:eastAsia="zh-CN"/>
              </w:rPr>
              <w:t>：</w:t>
            </w:r>
            <w:r>
              <w:rPr>
                <w:rFonts w:hint="eastAsia" w:ascii="仿宋_GB2312" w:hAnsi="宋体" w:eastAsia="仿宋_GB2312"/>
                <w:color w:val="auto"/>
                <w:kern w:val="0"/>
                <w:sz w:val="13"/>
                <w:szCs w:val="13"/>
                <w:highlight w:val="none"/>
              </w:rPr>
              <w:t>中标人无正当理由不与招标人订立合同，在签订合同时向招标人提出附加条件，或者不按照招标文件要求提交履约保证金的，取消其中标资格，投标保证金不予退还。对依法必须进行招标的项目的中标人，由有关行政监督部门责令改正，可以处中标项目金额10‰以下的罚款。</w:t>
            </w:r>
          </w:p>
        </w:tc>
        <w:tc>
          <w:tcPr>
            <w:tcW w:w="823" w:type="dxa"/>
            <w:tcBorders>
              <w:tl2br w:val="nil"/>
              <w:tr2bl w:val="nil"/>
            </w:tcBorders>
            <w:tcMar>
              <w:top w:w="15" w:type="dxa"/>
              <w:left w:w="15" w:type="dxa"/>
              <w:bottom w:w="15" w:type="dxa"/>
              <w:right w:w="15" w:type="dxa"/>
            </w:tcMar>
            <w:vAlign w:val="center"/>
          </w:tcPr>
          <w:p w14:paraId="5262A12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tcMar>
              <w:top w:w="15" w:type="dxa"/>
              <w:left w:w="15" w:type="dxa"/>
              <w:bottom w:w="15" w:type="dxa"/>
              <w:right w:w="15" w:type="dxa"/>
            </w:tcMar>
            <w:vAlign w:val="center"/>
          </w:tcPr>
          <w:p w14:paraId="1B04702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危害后果轻微，主动消除或减轻违法行为危害后果的。</w:t>
            </w:r>
          </w:p>
        </w:tc>
        <w:tc>
          <w:tcPr>
            <w:tcW w:w="3058" w:type="dxa"/>
            <w:tcBorders>
              <w:tl2br w:val="nil"/>
              <w:tr2bl w:val="nil"/>
            </w:tcBorders>
            <w:tcMar>
              <w:top w:w="15" w:type="dxa"/>
              <w:left w:w="15" w:type="dxa"/>
              <w:bottom w:w="15" w:type="dxa"/>
              <w:right w:w="15" w:type="dxa"/>
            </w:tcMar>
            <w:vAlign w:val="center"/>
          </w:tcPr>
          <w:p w14:paraId="4DB9098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取消其中标资格，投标保证金不予退还；责令改正，可以处中标项目千分之一以上千分之</w:t>
            </w:r>
            <w:r>
              <w:rPr>
                <w:rFonts w:hint="eastAsia" w:ascii="仿宋_GB2312" w:hAnsi="宋体" w:eastAsia="仿宋_GB2312"/>
                <w:color w:val="auto"/>
                <w:kern w:val="0"/>
                <w:sz w:val="13"/>
                <w:szCs w:val="13"/>
                <w:highlight w:val="none"/>
                <w:lang w:val="en-US" w:eastAsia="zh-CN"/>
              </w:rPr>
              <w:t>三</w:t>
            </w:r>
            <w:r>
              <w:rPr>
                <w:rFonts w:hint="eastAsia" w:ascii="仿宋_GB2312" w:hAnsi="宋体" w:eastAsia="仿宋_GB2312"/>
                <w:color w:val="auto"/>
                <w:kern w:val="0"/>
                <w:sz w:val="13"/>
                <w:szCs w:val="13"/>
                <w:highlight w:val="none"/>
              </w:rPr>
              <w:t>以下的罚款。</w:t>
            </w:r>
          </w:p>
        </w:tc>
      </w:tr>
      <w:tr w14:paraId="72AC9F1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9" w:hRule="atLeast"/>
          <w:jc w:val="center"/>
        </w:trPr>
        <w:tc>
          <w:tcPr>
            <w:tcW w:w="443" w:type="dxa"/>
            <w:gridSpan w:val="2"/>
            <w:vMerge w:val="continue"/>
            <w:tcBorders>
              <w:tl2br w:val="nil"/>
              <w:tr2bl w:val="nil"/>
            </w:tcBorders>
            <w:vAlign w:val="center"/>
          </w:tcPr>
          <w:p w14:paraId="339D652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44B93CB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62A0F23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tc>
        <w:tc>
          <w:tcPr>
            <w:tcW w:w="823" w:type="dxa"/>
            <w:tcBorders>
              <w:tl2br w:val="nil"/>
              <w:tr2bl w:val="nil"/>
            </w:tcBorders>
            <w:tcMar>
              <w:top w:w="15" w:type="dxa"/>
              <w:left w:w="15" w:type="dxa"/>
              <w:bottom w:w="15" w:type="dxa"/>
              <w:right w:w="15" w:type="dxa"/>
            </w:tcMar>
            <w:vAlign w:val="center"/>
          </w:tcPr>
          <w:p w14:paraId="004EA0B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一般情节</w:t>
            </w:r>
          </w:p>
        </w:tc>
        <w:tc>
          <w:tcPr>
            <w:tcW w:w="3437" w:type="dxa"/>
            <w:gridSpan w:val="2"/>
            <w:tcBorders>
              <w:tl2br w:val="nil"/>
              <w:tr2bl w:val="nil"/>
            </w:tcBorders>
            <w:tcMar>
              <w:top w:w="15" w:type="dxa"/>
              <w:left w:w="15" w:type="dxa"/>
              <w:bottom w:w="15" w:type="dxa"/>
              <w:right w:w="15" w:type="dxa"/>
            </w:tcMar>
            <w:vAlign w:val="center"/>
          </w:tcPr>
          <w:p w14:paraId="5069646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不具有从轻、</w:t>
            </w:r>
            <w:r>
              <w:rPr>
                <w:rFonts w:hint="eastAsia" w:ascii="仿宋_GB2312" w:hAnsi="宋体" w:eastAsia="仿宋_GB2312"/>
                <w:color w:val="auto"/>
                <w:kern w:val="0"/>
                <w:sz w:val="13"/>
                <w:szCs w:val="13"/>
                <w:highlight w:val="none"/>
                <w:lang w:eastAsia="zh-CN"/>
              </w:rPr>
              <w:t>从重情节</w:t>
            </w:r>
            <w:r>
              <w:rPr>
                <w:rFonts w:hint="eastAsia" w:ascii="仿宋_GB2312" w:hAnsi="宋体" w:eastAsia="仿宋_GB2312"/>
                <w:color w:val="auto"/>
                <w:kern w:val="0"/>
                <w:sz w:val="13"/>
                <w:szCs w:val="13"/>
                <w:highlight w:val="none"/>
              </w:rPr>
              <w:t>的。</w:t>
            </w:r>
          </w:p>
        </w:tc>
        <w:tc>
          <w:tcPr>
            <w:tcW w:w="3058" w:type="dxa"/>
            <w:tcBorders>
              <w:tl2br w:val="nil"/>
              <w:tr2bl w:val="nil"/>
            </w:tcBorders>
            <w:tcMar>
              <w:top w:w="15" w:type="dxa"/>
              <w:left w:w="15" w:type="dxa"/>
              <w:bottom w:w="15" w:type="dxa"/>
              <w:right w:w="15" w:type="dxa"/>
            </w:tcMar>
            <w:vAlign w:val="center"/>
          </w:tcPr>
          <w:p w14:paraId="10E13AB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取消其中标资格，投标保证金不予退还；责令改正，可以处中标项目金额千分之</w:t>
            </w:r>
            <w:r>
              <w:rPr>
                <w:rFonts w:hint="eastAsia" w:ascii="仿宋_GB2312" w:hAnsi="宋体" w:eastAsia="仿宋_GB2312"/>
                <w:color w:val="auto"/>
                <w:kern w:val="0"/>
                <w:sz w:val="13"/>
                <w:szCs w:val="13"/>
                <w:highlight w:val="none"/>
                <w:lang w:val="en-US" w:eastAsia="zh-CN"/>
              </w:rPr>
              <w:t>三</w:t>
            </w:r>
            <w:r>
              <w:rPr>
                <w:rFonts w:hint="eastAsia" w:ascii="仿宋_GB2312" w:hAnsi="宋体" w:eastAsia="仿宋_GB2312"/>
                <w:color w:val="auto"/>
                <w:kern w:val="0"/>
                <w:sz w:val="13"/>
                <w:szCs w:val="13"/>
                <w:highlight w:val="none"/>
              </w:rPr>
              <w:t>以上千分之</w:t>
            </w:r>
            <w:r>
              <w:rPr>
                <w:rFonts w:hint="eastAsia" w:ascii="仿宋_GB2312" w:hAnsi="宋体" w:eastAsia="仿宋_GB2312"/>
                <w:color w:val="auto"/>
                <w:kern w:val="0"/>
                <w:sz w:val="13"/>
                <w:szCs w:val="13"/>
                <w:highlight w:val="none"/>
                <w:lang w:val="en-US" w:eastAsia="zh-CN"/>
              </w:rPr>
              <w:t>七</w:t>
            </w:r>
            <w:r>
              <w:rPr>
                <w:rFonts w:hint="eastAsia" w:ascii="仿宋_GB2312" w:hAnsi="宋体" w:eastAsia="仿宋_GB2312"/>
                <w:color w:val="auto"/>
                <w:kern w:val="0"/>
                <w:sz w:val="13"/>
                <w:szCs w:val="13"/>
                <w:highlight w:val="none"/>
              </w:rPr>
              <w:t>以下的罚款。</w:t>
            </w:r>
          </w:p>
        </w:tc>
      </w:tr>
      <w:tr w14:paraId="456FF97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25" w:hRule="atLeast"/>
          <w:jc w:val="center"/>
        </w:trPr>
        <w:tc>
          <w:tcPr>
            <w:tcW w:w="443" w:type="dxa"/>
            <w:gridSpan w:val="2"/>
            <w:vMerge w:val="continue"/>
            <w:tcBorders>
              <w:tl2br w:val="nil"/>
              <w:tr2bl w:val="nil"/>
            </w:tcBorders>
            <w:vAlign w:val="center"/>
          </w:tcPr>
          <w:p w14:paraId="14DC233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67954A2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02F7FFB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tc>
        <w:tc>
          <w:tcPr>
            <w:tcW w:w="823" w:type="dxa"/>
            <w:tcBorders>
              <w:tl2br w:val="nil"/>
              <w:tr2bl w:val="nil"/>
            </w:tcBorders>
            <w:tcMar>
              <w:top w:w="15" w:type="dxa"/>
              <w:left w:w="15" w:type="dxa"/>
              <w:bottom w:w="15" w:type="dxa"/>
              <w:right w:w="15" w:type="dxa"/>
            </w:tcMar>
            <w:vAlign w:val="center"/>
          </w:tcPr>
          <w:p w14:paraId="3B700F6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从重情节</w:t>
            </w:r>
          </w:p>
        </w:tc>
        <w:tc>
          <w:tcPr>
            <w:tcW w:w="3437" w:type="dxa"/>
            <w:gridSpan w:val="2"/>
            <w:tcBorders>
              <w:tl2br w:val="nil"/>
              <w:tr2bl w:val="nil"/>
            </w:tcBorders>
            <w:tcMar>
              <w:top w:w="15" w:type="dxa"/>
              <w:left w:w="15" w:type="dxa"/>
              <w:bottom w:w="15" w:type="dxa"/>
              <w:right w:w="15" w:type="dxa"/>
            </w:tcMar>
            <w:vAlign w:val="center"/>
          </w:tcPr>
          <w:p w14:paraId="3DA2092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lang w:val="en-US" w:eastAsia="zh-CN"/>
              </w:rPr>
              <w:t>有下列情形之一的：</w:t>
            </w:r>
            <w:r>
              <w:rPr>
                <w:rFonts w:hint="eastAsia" w:ascii="仿宋_GB2312" w:hAnsi="宋体" w:eastAsia="仿宋_GB2312"/>
                <w:color w:val="auto"/>
                <w:kern w:val="0"/>
                <w:sz w:val="13"/>
                <w:szCs w:val="13"/>
                <w:highlight w:val="none"/>
              </w:rPr>
              <w:t>（1）曾因该违法行为被依法查处，再次实施该违法行为的；</w:t>
            </w:r>
          </w:p>
          <w:p w14:paraId="253602F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（2）造成工程质量事故的；</w:t>
            </w:r>
          </w:p>
          <w:p w14:paraId="4356E9F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（3）其他依法应予从重处罚的情形。</w:t>
            </w:r>
          </w:p>
        </w:tc>
        <w:tc>
          <w:tcPr>
            <w:tcW w:w="3058" w:type="dxa"/>
            <w:tcBorders>
              <w:tl2br w:val="nil"/>
              <w:tr2bl w:val="nil"/>
            </w:tcBorders>
            <w:tcMar>
              <w:top w:w="15" w:type="dxa"/>
              <w:left w:w="15" w:type="dxa"/>
              <w:bottom w:w="15" w:type="dxa"/>
              <w:right w:w="15" w:type="dxa"/>
            </w:tcMar>
            <w:vAlign w:val="center"/>
          </w:tcPr>
          <w:p w14:paraId="4711056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取消其中标资格，投标保证金不予退还；责令改正，可以处中标项目金额千分之</w:t>
            </w:r>
            <w:r>
              <w:rPr>
                <w:rFonts w:hint="eastAsia" w:ascii="仿宋_GB2312" w:hAnsi="宋体" w:eastAsia="仿宋_GB2312"/>
                <w:color w:val="auto"/>
                <w:kern w:val="0"/>
                <w:sz w:val="13"/>
                <w:szCs w:val="13"/>
                <w:highlight w:val="none"/>
                <w:lang w:val="en-US" w:eastAsia="zh-CN"/>
              </w:rPr>
              <w:t>七</w:t>
            </w:r>
            <w:r>
              <w:rPr>
                <w:rFonts w:hint="eastAsia" w:ascii="仿宋_GB2312" w:hAnsi="宋体" w:eastAsia="仿宋_GB2312"/>
                <w:color w:val="auto"/>
                <w:kern w:val="0"/>
                <w:sz w:val="13"/>
                <w:szCs w:val="13"/>
                <w:highlight w:val="none"/>
              </w:rPr>
              <w:t>以上千分之十以下的罚款。</w:t>
            </w:r>
          </w:p>
        </w:tc>
      </w:tr>
      <w:tr w14:paraId="03ED007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0" w:hRule="atLeast"/>
          <w:jc w:val="center"/>
        </w:trPr>
        <w:tc>
          <w:tcPr>
            <w:tcW w:w="443" w:type="dxa"/>
            <w:gridSpan w:val="2"/>
            <w:vMerge w:val="restart"/>
            <w:tcBorders>
              <w:tl2br w:val="nil"/>
              <w:tr2bl w:val="nil"/>
            </w:tcBorders>
            <w:vAlign w:val="center"/>
          </w:tcPr>
          <w:p w14:paraId="584FEA4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p w14:paraId="26ABAD2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p w14:paraId="2178D2C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hint="default" w:ascii="仿宋_GB2312" w:hAnsi="宋体" w:eastAsia="仿宋_GB2312" w:cs="Times New Roman"/>
                <w:color w:val="auto"/>
                <w:sz w:val="13"/>
                <w:szCs w:val="13"/>
                <w:highlight w:val="none"/>
                <w:lang w:val="en-US" w:eastAsia="zh-CN"/>
              </w:rPr>
            </w:pPr>
            <w:r>
              <w:rPr>
                <w:rFonts w:hint="eastAsia" w:ascii="仿宋_GB2312" w:hAnsi="宋体" w:eastAsia="仿宋_GB2312" w:cs="Times New Roman"/>
                <w:color w:val="auto"/>
                <w:sz w:val="13"/>
                <w:szCs w:val="13"/>
                <w:highlight w:val="none"/>
                <w:lang w:val="en-US" w:eastAsia="zh-CN"/>
              </w:rPr>
              <w:t>21</w:t>
            </w:r>
          </w:p>
        </w:tc>
        <w:tc>
          <w:tcPr>
            <w:tcW w:w="1550" w:type="dxa"/>
            <w:vMerge w:val="restart"/>
            <w:tcBorders>
              <w:tl2br w:val="nil"/>
              <w:tr2bl w:val="nil"/>
            </w:tcBorders>
            <w:vAlign w:val="center"/>
          </w:tcPr>
          <w:p w14:paraId="79CAD04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招标人与中标人不按照招标文件和中标人的投标文件订立合同，合同的主要条款与招标文件、中标人的投标文件的内容不一致，或者招标人、中标人订立背离合同实质性内容的协议的</w:t>
            </w:r>
          </w:p>
        </w:tc>
        <w:tc>
          <w:tcPr>
            <w:tcW w:w="4820" w:type="dxa"/>
            <w:vMerge w:val="restart"/>
            <w:tcBorders>
              <w:tl2br w:val="nil"/>
              <w:tr2bl w:val="nil"/>
            </w:tcBorders>
            <w:vAlign w:val="center"/>
          </w:tcPr>
          <w:p w14:paraId="62DCC59D">
            <w:pPr>
              <w:pStyle w:val="19"/>
              <w:keepNext w:val="0"/>
              <w:keepLines w:val="0"/>
              <w:pageBreakBefore w:val="0"/>
              <w:kinsoku/>
              <w:overflowPunct/>
              <w:topLinePunct w:val="0"/>
              <w:autoSpaceDE/>
              <w:autoSpaceDN/>
              <w:bidi w:val="0"/>
              <w:adjustRightInd/>
              <w:snapToGrid/>
              <w:spacing w:before="0" w:beforeAutospacing="0" w:after="0" w:afterAutospacing="0" w:line="260" w:lineRule="exact"/>
              <w:ind w:left="0" w:leftChars="0" w:right="0" w:rightChars="0"/>
              <w:rPr>
                <w:rFonts w:ascii="仿宋_GB2312" w:hAnsi="宋体" w:eastAsia="仿宋_GB2312"/>
                <w:color w:val="auto"/>
                <w:kern w:val="0"/>
                <w:sz w:val="13"/>
                <w:szCs w:val="13"/>
                <w:highlight w:val="none"/>
              </w:rPr>
            </w:pPr>
            <w:r>
              <w:rPr>
                <w:rFonts w:hint="eastAsia" w:ascii="仿宋_GB2312" w:hAnsi="宋体" w:eastAsia="仿宋_GB2312" w:cstheme="minorBidi"/>
                <w:color w:val="auto"/>
                <w:kern w:val="0"/>
                <w:sz w:val="13"/>
                <w:szCs w:val="13"/>
                <w:highlight w:val="none"/>
                <w:lang w:val="en-US" w:eastAsia="zh-CN" w:bidi="ar-SA"/>
              </w:rPr>
              <w:t>《中华人民共和国招标投标法实施条例》</w:t>
            </w:r>
            <w:r>
              <w:rPr>
                <w:rFonts w:hint="eastAsia" w:ascii="仿宋_GB2312" w:hAnsi="宋体" w:eastAsia="仿宋_GB2312" w:cstheme="minorBidi"/>
                <w:b/>
                <w:bCs/>
                <w:color w:val="auto"/>
                <w:kern w:val="0"/>
                <w:sz w:val="13"/>
                <w:szCs w:val="13"/>
                <w:highlight w:val="none"/>
                <w:lang w:val="en-US" w:eastAsia="zh-CN" w:bidi="ar-SA"/>
              </w:rPr>
              <w:t>第七十五条：</w:t>
            </w:r>
            <w:r>
              <w:rPr>
                <w:rFonts w:hint="eastAsia" w:ascii="仿宋_GB2312" w:hAnsi="宋体" w:eastAsia="仿宋_GB2312" w:cstheme="minorBidi"/>
                <w:color w:val="auto"/>
                <w:kern w:val="0"/>
                <w:sz w:val="13"/>
                <w:szCs w:val="13"/>
                <w:highlight w:val="none"/>
                <w:lang w:val="en-US" w:eastAsia="zh-CN" w:bidi="ar-SA"/>
              </w:rPr>
              <w:t>招标人和中标人不按照招标文件和中标人的投标文件订立合同，合同的主要条款与招标文件、中标人的投标文件的内容不一致，或者招标人、中标人订立背离合同实质性内容的协议的，由有关行政监督部门责令改正，可以处中标项目金额5‰以上10‰以下的罚款。</w:t>
            </w:r>
          </w:p>
        </w:tc>
        <w:tc>
          <w:tcPr>
            <w:tcW w:w="823" w:type="dxa"/>
            <w:tcBorders>
              <w:tl2br w:val="nil"/>
              <w:tr2bl w:val="nil"/>
            </w:tcBorders>
            <w:tcMar>
              <w:top w:w="15" w:type="dxa"/>
              <w:left w:w="15" w:type="dxa"/>
              <w:bottom w:w="15" w:type="dxa"/>
              <w:right w:w="15" w:type="dxa"/>
            </w:tcMar>
            <w:vAlign w:val="center"/>
          </w:tcPr>
          <w:p w14:paraId="2A0A907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tcMar>
              <w:top w:w="15" w:type="dxa"/>
              <w:left w:w="15" w:type="dxa"/>
              <w:bottom w:w="15" w:type="dxa"/>
              <w:right w:w="15" w:type="dxa"/>
            </w:tcMar>
            <w:vAlign w:val="center"/>
          </w:tcPr>
          <w:p w14:paraId="4C498BC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危害后果轻微，主动消除或减轻违法行为危害后果的。</w:t>
            </w:r>
          </w:p>
        </w:tc>
        <w:tc>
          <w:tcPr>
            <w:tcW w:w="3058" w:type="dxa"/>
            <w:tcBorders>
              <w:tl2br w:val="nil"/>
              <w:tr2bl w:val="nil"/>
            </w:tcBorders>
            <w:tcMar>
              <w:top w:w="15" w:type="dxa"/>
              <w:left w:w="15" w:type="dxa"/>
              <w:bottom w:w="15" w:type="dxa"/>
              <w:right w:w="15" w:type="dxa"/>
            </w:tcMar>
            <w:vAlign w:val="center"/>
          </w:tcPr>
          <w:p w14:paraId="34EB86A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责令改正，可以处中标项目金额千分之六以下的罚款。</w:t>
            </w:r>
          </w:p>
        </w:tc>
      </w:tr>
      <w:tr w14:paraId="7C2DE49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93" w:hRule="atLeast"/>
          <w:jc w:val="center"/>
        </w:trPr>
        <w:tc>
          <w:tcPr>
            <w:tcW w:w="443" w:type="dxa"/>
            <w:gridSpan w:val="2"/>
            <w:vMerge w:val="continue"/>
            <w:tcBorders>
              <w:tl2br w:val="nil"/>
              <w:tr2bl w:val="nil"/>
            </w:tcBorders>
            <w:vAlign w:val="center"/>
          </w:tcPr>
          <w:p w14:paraId="67D799B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3110F27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619C9C8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823" w:type="dxa"/>
            <w:tcBorders>
              <w:tl2br w:val="nil"/>
              <w:tr2bl w:val="nil"/>
            </w:tcBorders>
            <w:tcMar>
              <w:top w:w="15" w:type="dxa"/>
              <w:left w:w="15" w:type="dxa"/>
              <w:bottom w:w="15" w:type="dxa"/>
              <w:right w:w="15" w:type="dxa"/>
            </w:tcMar>
            <w:vAlign w:val="center"/>
          </w:tcPr>
          <w:p w14:paraId="16FD0DF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一般情节</w:t>
            </w:r>
          </w:p>
        </w:tc>
        <w:tc>
          <w:tcPr>
            <w:tcW w:w="3437" w:type="dxa"/>
            <w:gridSpan w:val="2"/>
            <w:tcBorders>
              <w:tl2br w:val="nil"/>
              <w:tr2bl w:val="nil"/>
            </w:tcBorders>
            <w:tcMar>
              <w:top w:w="15" w:type="dxa"/>
              <w:left w:w="15" w:type="dxa"/>
              <w:bottom w:w="15" w:type="dxa"/>
              <w:right w:w="15" w:type="dxa"/>
            </w:tcMar>
            <w:vAlign w:val="center"/>
          </w:tcPr>
          <w:p w14:paraId="28D38A5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不具有从轻、</w:t>
            </w:r>
            <w:r>
              <w:rPr>
                <w:rFonts w:hint="eastAsia" w:ascii="仿宋_GB2312" w:hAnsi="宋体" w:eastAsia="仿宋_GB2312"/>
                <w:color w:val="auto"/>
                <w:kern w:val="0"/>
                <w:sz w:val="13"/>
                <w:szCs w:val="13"/>
                <w:highlight w:val="none"/>
                <w:lang w:eastAsia="zh-CN"/>
              </w:rPr>
              <w:t>从重情节</w:t>
            </w:r>
            <w:r>
              <w:rPr>
                <w:rFonts w:hint="eastAsia" w:ascii="仿宋_GB2312" w:hAnsi="宋体" w:eastAsia="仿宋_GB2312"/>
                <w:color w:val="auto"/>
                <w:kern w:val="0"/>
                <w:sz w:val="13"/>
                <w:szCs w:val="13"/>
                <w:highlight w:val="none"/>
              </w:rPr>
              <w:t>的。</w:t>
            </w:r>
          </w:p>
        </w:tc>
        <w:tc>
          <w:tcPr>
            <w:tcW w:w="3058" w:type="dxa"/>
            <w:tcBorders>
              <w:tl2br w:val="nil"/>
              <w:tr2bl w:val="nil"/>
            </w:tcBorders>
            <w:tcMar>
              <w:top w:w="15" w:type="dxa"/>
              <w:left w:w="15" w:type="dxa"/>
              <w:bottom w:w="15" w:type="dxa"/>
              <w:right w:w="15" w:type="dxa"/>
            </w:tcMar>
            <w:vAlign w:val="center"/>
          </w:tcPr>
          <w:p w14:paraId="5C6472B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责令改正，可以处中标项目金额千分之六以上千分之八以下的罚款。</w:t>
            </w:r>
          </w:p>
        </w:tc>
      </w:tr>
      <w:tr w14:paraId="4B00F0F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638" w:hRule="atLeast"/>
          <w:jc w:val="center"/>
        </w:trPr>
        <w:tc>
          <w:tcPr>
            <w:tcW w:w="443" w:type="dxa"/>
            <w:gridSpan w:val="2"/>
            <w:vMerge w:val="continue"/>
            <w:tcBorders>
              <w:tl2br w:val="nil"/>
              <w:tr2bl w:val="nil"/>
            </w:tcBorders>
            <w:vAlign w:val="center"/>
          </w:tcPr>
          <w:p w14:paraId="105EE24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5217353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76C34D8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823" w:type="dxa"/>
            <w:tcBorders>
              <w:tl2br w:val="nil"/>
              <w:tr2bl w:val="nil"/>
            </w:tcBorders>
            <w:tcMar>
              <w:top w:w="15" w:type="dxa"/>
              <w:left w:w="15" w:type="dxa"/>
              <w:bottom w:w="15" w:type="dxa"/>
              <w:right w:w="15" w:type="dxa"/>
            </w:tcMar>
            <w:vAlign w:val="center"/>
          </w:tcPr>
          <w:p w14:paraId="1839B13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从重情节</w:t>
            </w:r>
          </w:p>
        </w:tc>
        <w:tc>
          <w:tcPr>
            <w:tcW w:w="3437" w:type="dxa"/>
            <w:gridSpan w:val="2"/>
            <w:tcBorders>
              <w:tl2br w:val="nil"/>
              <w:tr2bl w:val="nil"/>
            </w:tcBorders>
            <w:tcMar>
              <w:top w:w="15" w:type="dxa"/>
              <w:left w:w="15" w:type="dxa"/>
              <w:bottom w:w="15" w:type="dxa"/>
              <w:right w:w="15" w:type="dxa"/>
            </w:tcMar>
            <w:vAlign w:val="center"/>
          </w:tcPr>
          <w:p w14:paraId="42761BD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lang w:val="en-US" w:eastAsia="zh-CN"/>
              </w:rPr>
              <w:t>有下列情形之一的：</w:t>
            </w:r>
            <w:r>
              <w:rPr>
                <w:rFonts w:hint="eastAsia" w:ascii="仿宋_GB2312" w:hAnsi="宋体" w:eastAsia="仿宋_GB2312"/>
                <w:color w:val="auto"/>
                <w:kern w:val="0"/>
                <w:sz w:val="13"/>
                <w:szCs w:val="13"/>
                <w:highlight w:val="none"/>
              </w:rPr>
              <w:t>（1）经责令改正后，逾期未改正的；</w:t>
            </w:r>
          </w:p>
          <w:p w14:paraId="13366FE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（2）曾因该违法行为被依法查处，再次实施该违法行为的；</w:t>
            </w:r>
          </w:p>
          <w:p w14:paraId="363859D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（3）造成工程质量事故的；</w:t>
            </w:r>
          </w:p>
          <w:p w14:paraId="47BE3B1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（4）经有关部门确认，存在商业贿赂情形的；</w:t>
            </w:r>
          </w:p>
          <w:p w14:paraId="449D255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（5）其他依法应予从重处罚的情形。</w:t>
            </w:r>
          </w:p>
        </w:tc>
        <w:tc>
          <w:tcPr>
            <w:tcW w:w="3058" w:type="dxa"/>
            <w:tcBorders>
              <w:tl2br w:val="nil"/>
              <w:tr2bl w:val="nil"/>
            </w:tcBorders>
            <w:tcMar>
              <w:top w:w="15" w:type="dxa"/>
              <w:left w:w="15" w:type="dxa"/>
              <w:bottom w:w="15" w:type="dxa"/>
              <w:right w:w="15" w:type="dxa"/>
            </w:tcMar>
            <w:vAlign w:val="center"/>
          </w:tcPr>
          <w:p w14:paraId="58001A8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责令改正，可以处中标项目金额千分之八以上千分之十以下的罚款。</w:t>
            </w:r>
          </w:p>
        </w:tc>
      </w:tr>
      <w:tr w14:paraId="4E2CC2E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9" w:hRule="atLeast"/>
          <w:jc w:val="center"/>
        </w:trPr>
        <w:tc>
          <w:tcPr>
            <w:tcW w:w="443" w:type="dxa"/>
            <w:gridSpan w:val="2"/>
            <w:vMerge w:val="restart"/>
            <w:tcBorders>
              <w:tl2br w:val="nil"/>
              <w:tr2bl w:val="nil"/>
            </w:tcBorders>
            <w:vAlign w:val="center"/>
          </w:tcPr>
          <w:p w14:paraId="568185A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s="Times New Roman"/>
                <w:color w:val="auto"/>
                <w:sz w:val="13"/>
                <w:szCs w:val="13"/>
                <w:highlight w:val="none"/>
              </w:rPr>
            </w:pPr>
          </w:p>
          <w:p w14:paraId="674AB18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hint="default" w:ascii="仿宋_GB2312" w:hAnsi="宋体" w:eastAsia="仿宋_GB2312" w:cs="Times New Roman"/>
                <w:color w:val="auto"/>
                <w:sz w:val="13"/>
                <w:szCs w:val="13"/>
                <w:highlight w:val="none"/>
                <w:lang w:val="en-US" w:eastAsia="zh-CN"/>
              </w:rPr>
            </w:pPr>
            <w:r>
              <w:rPr>
                <w:rFonts w:hint="eastAsia" w:ascii="仿宋_GB2312" w:hAnsi="宋体" w:eastAsia="仿宋_GB2312" w:cs="Times New Roman"/>
                <w:color w:val="auto"/>
                <w:sz w:val="13"/>
                <w:szCs w:val="13"/>
                <w:highlight w:val="none"/>
                <w:lang w:val="en-US" w:eastAsia="zh-CN"/>
              </w:rPr>
              <w:t>22</w:t>
            </w:r>
          </w:p>
        </w:tc>
        <w:tc>
          <w:tcPr>
            <w:tcW w:w="1550" w:type="dxa"/>
            <w:vMerge w:val="restart"/>
            <w:tcBorders>
              <w:tl2br w:val="nil"/>
              <w:tr2bl w:val="nil"/>
            </w:tcBorders>
            <w:vAlign w:val="center"/>
          </w:tcPr>
          <w:p w14:paraId="1255834B">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招标人不具备自行办理施工招标事宜条件而自行招标</w:t>
            </w:r>
          </w:p>
        </w:tc>
        <w:tc>
          <w:tcPr>
            <w:tcW w:w="4820" w:type="dxa"/>
            <w:vMerge w:val="restart"/>
            <w:tcBorders>
              <w:tl2br w:val="nil"/>
              <w:tr2bl w:val="nil"/>
            </w:tcBorders>
            <w:vAlign w:val="center"/>
          </w:tcPr>
          <w:p w14:paraId="6AA16579">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《房屋建筑和市政基础设施工程施工招标投标管理办法》</w:t>
            </w:r>
            <w:r>
              <w:rPr>
                <w:rFonts w:hint="eastAsia" w:ascii="仿宋_GB2312" w:hAnsi="宋体" w:eastAsia="仿宋_GB2312"/>
                <w:b/>
                <w:bCs/>
                <w:color w:val="auto"/>
                <w:kern w:val="0"/>
                <w:sz w:val="13"/>
                <w:szCs w:val="13"/>
                <w:highlight w:val="none"/>
              </w:rPr>
              <w:t>第五十一条</w:t>
            </w:r>
            <w:r>
              <w:rPr>
                <w:rFonts w:hint="eastAsia" w:ascii="仿宋_GB2312" w:hAnsi="宋体" w:eastAsia="仿宋_GB2312"/>
                <w:b/>
                <w:bCs/>
                <w:color w:val="auto"/>
                <w:kern w:val="0"/>
                <w:sz w:val="13"/>
                <w:szCs w:val="13"/>
                <w:highlight w:val="none"/>
                <w:lang w:eastAsia="zh-CN"/>
              </w:rPr>
              <w:t>：</w:t>
            </w:r>
            <w:r>
              <w:rPr>
                <w:rFonts w:hint="eastAsia" w:ascii="仿宋_GB2312" w:hAnsi="宋体" w:eastAsia="仿宋_GB2312"/>
                <w:color w:val="auto"/>
                <w:kern w:val="0"/>
                <w:sz w:val="13"/>
                <w:szCs w:val="13"/>
                <w:highlight w:val="none"/>
              </w:rPr>
              <w:t>招标人不具备自行办理施工招标事宜条件而自行招标的，县级以上地方人民政府建设行政主管部门应当责令改正，处1万元以下的罚款。</w:t>
            </w:r>
          </w:p>
        </w:tc>
        <w:tc>
          <w:tcPr>
            <w:tcW w:w="823" w:type="dxa"/>
            <w:tcBorders>
              <w:tl2br w:val="nil"/>
              <w:tr2bl w:val="nil"/>
            </w:tcBorders>
            <w:tcMar>
              <w:top w:w="15" w:type="dxa"/>
              <w:left w:w="15" w:type="dxa"/>
              <w:bottom w:w="15" w:type="dxa"/>
              <w:right w:w="15" w:type="dxa"/>
            </w:tcMar>
            <w:vAlign w:val="center"/>
          </w:tcPr>
          <w:p w14:paraId="4E6E6D9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tcMar>
              <w:top w:w="15" w:type="dxa"/>
              <w:left w:w="15" w:type="dxa"/>
              <w:bottom w:w="15" w:type="dxa"/>
              <w:right w:w="15" w:type="dxa"/>
            </w:tcMar>
            <w:vAlign w:val="center"/>
          </w:tcPr>
          <w:p w14:paraId="26DC68E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危害后果轻微，主动消除或减轻违法行为危害后果的。</w:t>
            </w:r>
          </w:p>
        </w:tc>
        <w:tc>
          <w:tcPr>
            <w:tcW w:w="3058" w:type="dxa"/>
            <w:tcBorders>
              <w:tl2br w:val="nil"/>
              <w:tr2bl w:val="nil"/>
            </w:tcBorders>
            <w:tcMar>
              <w:top w:w="15" w:type="dxa"/>
              <w:left w:w="15" w:type="dxa"/>
              <w:bottom w:w="15" w:type="dxa"/>
              <w:right w:w="15" w:type="dxa"/>
            </w:tcMar>
            <w:vAlign w:val="center"/>
          </w:tcPr>
          <w:p w14:paraId="599E95C7">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责令改正，处3千元以下的罚款。</w:t>
            </w:r>
          </w:p>
        </w:tc>
      </w:tr>
      <w:tr w14:paraId="58628AB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74" w:hRule="atLeast"/>
          <w:jc w:val="center"/>
        </w:trPr>
        <w:tc>
          <w:tcPr>
            <w:tcW w:w="443" w:type="dxa"/>
            <w:gridSpan w:val="2"/>
            <w:vMerge w:val="continue"/>
            <w:tcBorders>
              <w:tl2br w:val="nil"/>
              <w:tr2bl w:val="nil"/>
            </w:tcBorders>
            <w:vAlign w:val="center"/>
          </w:tcPr>
          <w:p w14:paraId="74615B7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589B9C25">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6B5C9EFF">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tc>
        <w:tc>
          <w:tcPr>
            <w:tcW w:w="823" w:type="dxa"/>
            <w:tcBorders>
              <w:tl2br w:val="nil"/>
              <w:tr2bl w:val="nil"/>
            </w:tcBorders>
            <w:tcMar>
              <w:top w:w="15" w:type="dxa"/>
              <w:left w:w="15" w:type="dxa"/>
              <w:bottom w:w="15" w:type="dxa"/>
              <w:right w:w="15" w:type="dxa"/>
            </w:tcMar>
            <w:vAlign w:val="center"/>
          </w:tcPr>
          <w:p w14:paraId="5CF1706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一般情节</w:t>
            </w:r>
          </w:p>
        </w:tc>
        <w:tc>
          <w:tcPr>
            <w:tcW w:w="3437" w:type="dxa"/>
            <w:gridSpan w:val="2"/>
            <w:tcBorders>
              <w:tl2br w:val="nil"/>
              <w:tr2bl w:val="nil"/>
            </w:tcBorders>
            <w:tcMar>
              <w:top w:w="15" w:type="dxa"/>
              <w:left w:w="15" w:type="dxa"/>
              <w:bottom w:w="15" w:type="dxa"/>
              <w:right w:w="15" w:type="dxa"/>
            </w:tcMar>
            <w:vAlign w:val="center"/>
          </w:tcPr>
          <w:p w14:paraId="4490502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不具有从轻、</w:t>
            </w:r>
            <w:r>
              <w:rPr>
                <w:rFonts w:hint="eastAsia" w:ascii="仿宋_GB2312" w:hAnsi="宋体" w:eastAsia="仿宋_GB2312"/>
                <w:color w:val="auto"/>
                <w:kern w:val="0"/>
                <w:sz w:val="13"/>
                <w:szCs w:val="13"/>
                <w:highlight w:val="none"/>
                <w:lang w:eastAsia="zh-CN"/>
              </w:rPr>
              <w:t>从重情节</w:t>
            </w:r>
            <w:r>
              <w:rPr>
                <w:rFonts w:hint="eastAsia" w:ascii="仿宋_GB2312" w:hAnsi="宋体" w:eastAsia="仿宋_GB2312"/>
                <w:color w:val="auto"/>
                <w:kern w:val="0"/>
                <w:sz w:val="13"/>
                <w:szCs w:val="13"/>
                <w:highlight w:val="none"/>
              </w:rPr>
              <w:t>的。</w:t>
            </w:r>
          </w:p>
        </w:tc>
        <w:tc>
          <w:tcPr>
            <w:tcW w:w="3058" w:type="dxa"/>
            <w:tcBorders>
              <w:tl2br w:val="nil"/>
              <w:tr2bl w:val="nil"/>
            </w:tcBorders>
            <w:tcMar>
              <w:top w:w="15" w:type="dxa"/>
              <w:left w:w="15" w:type="dxa"/>
              <w:bottom w:w="15" w:type="dxa"/>
              <w:right w:w="15" w:type="dxa"/>
            </w:tcMar>
            <w:vAlign w:val="center"/>
          </w:tcPr>
          <w:p w14:paraId="62514013">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责令改正，处3千元以上7千元以下的罚款。</w:t>
            </w:r>
          </w:p>
        </w:tc>
      </w:tr>
      <w:tr w14:paraId="18DFC72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481" w:hRule="atLeast"/>
          <w:jc w:val="center"/>
        </w:trPr>
        <w:tc>
          <w:tcPr>
            <w:tcW w:w="443" w:type="dxa"/>
            <w:gridSpan w:val="2"/>
            <w:vMerge w:val="continue"/>
            <w:tcBorders>
              <w:tl2br w:val="nil"/>
              <w:tr2bl w:val="nil"/>
            </w:tcBorders>
            <w:vAlign w:val="center"/>
          </w:tcPr>
          <w:p w14:paraId="527F9E0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700A0352">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6B5B148C">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tc>
        <w:tc>
          <w:tcPr>
            <w:tcW w:w="823" w:type="dxa"/>
            <w:tcBorders>
              <w:tl2br w:val="nil"/>
              <w:tr2bl w:val="nil"/>
            </w:tcBorders>
            <w:tcMar>
              <w:top w:w="15" w:type="dxa"/>
              <w:left w:w="15" w:type="dxa"/>
              <w:bottom w:w="15" w:type="dxa"/>
              <w:right w:w="15" w:type="dxa"/>
            </w:tcMar>
            <w:vAlign w:val="center"/>
          </w:tcPr>
          <w:p w14:paraId="4D20400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从重情节</w:t>
            </w:r>
          </w:p>
        </w:tc>
        <w:tc>
          <w:tcPr>
            <w:tcW w:w="3437" w:type="dxa"/>
            <w:gridSpan w:val="2"/>
            <w:tcBorders>
              <w:tl2br w:val="nil"/>
              <w:tr2bl w:val="nil"/>
            </w:tcBorders>
            <w:tcMar>
              <w:top w:w="15" w:type="dxa"/>
              <w:left w:w="15" w:type="dxa"/>
              <w:bottom w:w="15" w:type="dxa"/>
              <w:right w:w="15" w:type="dxa"/>
            </w:tcMar>
            <w:vAlign w:val="center"/>
          </w:tcPr>
          <w:p w14:paraId="43EB356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lang w:val="en-US" w:eastAsia="zh-CN"/>
              </w:rPr>
              <w:t>有下列情形之一的：</w:t>
            </w:r>
            <w:r>
              <w:rPr>
                <w:rFonts w:hint="eastAsia" w:ascii="仿宋_GB2312" w:hAnsi="宋体" w:eastAsia="仿宋_GB2312"/>
                <w:color w:val="auto"/>
                <w:kern w:val="0"/>
                <w:sz w:val="13"/>
                <w:szCs w:val="13"/>
                <w:highlight w:val="none"/>
              </w:rPr>
              <w:t>（1）经责令改正后，逾期未改正的；</w:t>
            </w:r>
          </w:p>
          <w:p w14:paraId="19BC9C2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（2）曾因该违法行为被依法查处，再次实施该违法行为的；</w:t>
            </w:r>
          </w:p>
          <w:p w14:paraId="3E193D8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（3）造成工程质量事故的；</w:t>
            </w:r>
          </w:p>
          <w:p w14:paraId="60BEAA6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（4）其他依法应予从重处罚的情形。</w:t>
            </w:r>
          </w:p>
        </w:tc>
        <w:tc>
          <w:tcPr>
            <w:tcW w:w="3058" w:type="dxa"/>
            <w:tcBorders>
              <w:tl2br w:val="nil"/>
              <w:tr2bl w:val="nil"/>
            </w:tcBorders>
            <w:tcMar>
              <w:top w:w="15" w:type="dxa"/>
              <w:left w:w="15" w:type="dxa"/>
              <w:bottom w:w="15" w:type="dxa"/>
              <w:right w:w="15" w:type="dxa"/>
            </w:tcMar>
            <w:vAlign w:val="center"/>
          </w:tcPr>
          <w:p w14:paraId="43D0EE3F">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责令改正，处7千元以上1万元以下的罚款。</w:t>
            </w:r>
          </w:p>
        </w:tc>
      </w:tr>
      <w:tr w14:paraId="79495D2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547" w:hRule="atLeast"/>
          <w:jc w:val="center"/>
        </w:trPr>
        <w:tc>
          <w:tcPr>
            <w:tcW w:w="14131" w:type="dxa"/>
            <w:gridSpan w:val="8"/>
            <w:tcBorders>
              <w:tl2br w:val="nil"/>
              <w:tr2bl w:val="nil"/>
            </w:tcBorders>
            <w:vAlign w:val="center"/>
          </w:tcPr>
          <w:p w14:paraId="34D50A9B">
            <w:pPr>
              <w:pStyle w:val="10"/>
              <w:bidi w:val="0"/>
              <w:jc w:val="center"/>
              <w:rPr>
                <w:rFonts w:hint="eastAsia" w:ascii="黑体" w:hAnsi="黑体" w:eastAsia="黑体" w:cs="黑体"/>
                <w:color w:val="auto"/>
                <w:kern w:val="2"/>
                <w:sz w:val="28"/>
                <w:szCs w:val="28"/>
                <w:lang w:val="en-US" w:eastAsia="zh-CN" w:bidi="ar-SA"/>
              </w:rPr>
            </w:pPr>
            <w:bookmarkStart w:id="2" w:name="_Toc8431"/>
            <w:bookmarkStart w:id="3" w:name="_Toc7366"/>
            <w:r>
              <w:rPr>
                <w:rFonts w:hint="eastAsia"/>
                <w:color w:val="auto"/>
                <w:lang w:val="en-US" w:eastAsia="zh-CN"/>
              </w:rPr>
              <w:t>二、建筑市场监管类（49项）</w:t>
            </w:r>
            <w:bookmarkEnd w:id="2"/>
            <w:bookmarkEnd w:id="3"/>
          </w:p>
        </w:tc>
      </w:tr>
      <w:tr w14:paraId="76FBD55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823" w:hRule="atLeast"/>
          <w:jc w:val="center"/>
        </w:trPr>
        <w:tc>
          <w:tcPr>
            <w:tcW w:w="443" w:type="dxa"/>
            <w:gridSpan w:val="2"/>
            <w:vMerge w:val="restart"/>
            <w:tcBorders>
              <w:tl2br w:val="nil"/>
              <w:tr2bl w:val="nil"/>
            </w:tcBorders>
            <w:vAlign w:val="center"/>
          </w:tcPr>
          <w:p w14:paraId="7FC9A543">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Times New Roman"/>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23</w:t>
            </w:r>
          </w:p>
        </w:tc>
        <w:tc>
          <w:tcPr>
            <w:tcW w:w="1550" w:type="dxa"/>
            <w:vMerge w:val="restart"/>
            <w:tcBorders>
              <w:tl2br w:val="nil"/>
              <w:tr2bl w:val="nil"/>
            </w:tcBorders>
            <w:vAlign w:val="center"/>
          </w:tcPr>
          <w:p w14:paraId="689ADBB3">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未经注册擅自以注册建筑师名义从事注册建筑师业务</w:t>
            </w:r>
          </w:p>
        </w:tc>
        <w:tc>
          <w:tcPr>
            <w:tcW w:w="4820" w:type="dxa"/>
            <w:vMerge w:val="restart"/>
            <w:tcBorders>
              <w:tl2br w:val="nil"/>
              <w:tr2bl w:val="nil"/>
            </w:tcBorders>
            <w:vAlign w:val="center"/>
          </w:tcPr>
          <w:p w14:paraId="692BB4AE">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rPr>
              <w:t>《中华人民共和国注册建筑师条例》</w:t>
            </w:r>
            <w:r>
              <w:rPr>
                <w:rFonts w:hint="eastAsia" w:ascii="仿宋_GB2312" w:hAnsi="宋体" w:eastAsia="仿宋_GB2312"/>
                <w:b/>
                <w:bCs/>
                <w:color w:val="auto"/>
                <w:kern w:val="0"/>
                <w:sz w:val="13"/>
                <w:szCs w:val="13"/>
                <w:highlight w:val="none"/>
              </w:rPr>
              <w:t>第三十条</w:t>
            </w:r>
            <w:r>
              <w:rPr>
                <w:rFonts w:hint="eastAsia" w:ascii="仿宋_GB2312" w:hAnsi="宋体" w:eastAsia="仿宋_GB2312"/>
                <w:b/>
                <w:bCs/>
                <w:color w:val="auto"/>
                <w:kern w:val="0"/>
                <w:sz w:val="13"/>
                <w:szCs w:val="13"/>
                <w:highlight w:val="none"/>
                <w:lang w:eastAsia="zh-CN"/>
              </w:rPr>
              <w:t>：</w:t>
            </w:r>
          </w:p>
          <w:p w14:paraId="64F79905">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未经注册擅自以注册建筑师名义从事注册建筑师业务的，由县级以上人民政府建设行政主管部门责令停止违法活动，没收违法所得，并可以处以违法所得5倍以下的罚款；造成损失的，应当承担赔偿责任。</w:t>
            </w:r>
          </w:p>
        </w:tc>
        <w:tc>
          <w:tcPr>
            <w:tcW w:w="823" w:type="dxa"/>
            <w:tcBorders>
              <w:tl2br w:val="nil"/>
              <w:tr2bl w:val="nil"/>
            </w:tcBorders>
            <w:vAlign w:val="center"/>
          </w:tcPr>
          <w:p w14:paraId="0F55155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vAlign w:val="center"/>
          </w:tcPr>
          <w:p w14:paraId="74E112C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left"/>
              <w:textAlignment w:val="center"/>
              <w:rPr>
                <w:rFonts w:hint="eastAsia" w:ascii="仿宋_GB2312" w:hAnsi="宋体" w:eastAsia="仿宋_GB2312"/>
                <w:color w:val="auto"/>
                <w:kern w:val="0"/>
                <w:sz w:val="13"/>
                <w:szCs w:val="13"/>
                <w:highlight w:val="none"/>
                <w:lang w:val="en-US" w:eastAsia="zh-CN"/>
              </w:rPr>
            </w:pPr>
            <w:r>
              <w:rPr>
                <w:rFonts w:hint="eastAsia" w:ascii="仿宋_GB2312" w:hAnsi="宋体" w:eastAsia="仿宋_GB2312"/>
                <w:color w:val="auto"/>
                <w:kern w:val="0"/>
                <w:sz w:val="13"/>
                <w:szCs w:val="13"/>
                <w:highlight w:val="none"/>
              </w:rPr>
              <w:t>设计成果未交付的</w:t>
            </w:r>
            <w:r>
              <w:rPr>
                <w:rFonts w:hint="eastAsia" w:ascii="仿宋_GB2312" w:hAnsi="宋体" w:eastAsia="仿宋_GB2312"/>
                <w:color w:val="auto"/>
                <w:kern w:val="0"/>
                <w:sz w:val="13"/>
                <w:szCs w:val="13"/>
                <w:highlight w:val="none"/>
                <w:lang w:eastAsia="zh-CN"/>
              </w:rPr>
              <w:t>。</w:t>
            </w:r>
          </w:p>
        </w:tc>
        <w:tc>
          <w:tcPr>
            <w:tcW w:w="3058" w:type="dxa"/>
            <w:tcBorders>
              <w:tl2br w:val="nil"/>
              <w:tr2bl w:val="nil"/>
            </w:tcBorders>
            <w:vAlign w:val="center"/>
          </w:tcPr>
          <w:p w14:paraId="760147C4">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color w:val="auto"/>
                <w:sz w:val="13"/>
                <w:szCs w:val="13"/>
                <w:highlight w:val="none"/>
              </w:rPr>
            </w:pPr>
            <w:r>
              <w:rPr>
                <w:rFonts w:hint="eastAsia" w:ascii="仿宋_GB2312" w:hAnsi="宋体" w:eastAsia="仿宋_GB2312"/>
                <w:color w:val="auto"/>
                <w:kern w:val="0"/>
                <w:sz w:val="13"/>
                <w:szCs w:val="13"/>
                <w:highlight w:val="none"/>
              </w:rPr>
              <w:t>责令停止违法活动，没收违法所得，并可处以违法所得</w:t>
            </w:r>
            <w:r>
              <w:rPr>
                <w:rFonts w:hint="eastAsia" w:ascii="仿宋_GB2312" w:hAnsi="宋体" w:eastAsia="仿宋_GB2312"/>
                <w:color w:val="auto"/>
                <w:kern w:val="0"/>
                <w:sz w:val="13"/>
                <w:szCs w:val="13"/>
                <w:highlight w:val="none"/>
                <w:lang w:val="en-US" w:eastAsia="zh-CN"/>
              </w:rPr>
              <w:t>2</w:t>
            </w:r>
            <w:r>
              <w:rPr>
                <w:rFonts w:hint="eastAsia" w:ascii="仿宋_GB2312" w:hAnsi="宋体" w:eastAsia="仿宋_GB2312"/>
                <w:color w:val="auto"/>
                <w:kern w:val="0"/>
                <w:sz w:val="13"/>
                <w:szCs w:val="13"/>
                <w:highlight w:val="none"/>
              </w:rPr>
              <w:t>倍以下的罚款。</w:t>
            </w:r>
          </w:p>
        </w:tc>
      </w:tr>
      <w:tr w14:paraId="6D3624A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906" w:hRule="atLeast"/>
          <w:jc w:val="center"/>
        </w:trPr>
        <w:tc>
          <w:tcPr>
            <w:tcW w:w="443" w:type="dxa"/>
            <w:gridSpan w:val="2"/>
            <w:vMerge w:val="continue"/>
            <w:tcBorders>
              <w:tl2br w:val="nil"/>
              <w:tr2bl w:val="nil"/>
            </w:tcBorders>
            <w:vAlign w:val="center"/>
          </w:tcPr>
          <w:p w14:paraId="619E563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61CFDC0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top"/>
          </w:tcPr>
          <w:p w14:paraId="4F4083D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823" w:type="dxa"/>
            <w:tcBorders>
              <w:tl2br w:val="nil"/>
              <w:tr2bl w:val="nil"/>
            </w:tcBorders>
            <w:vAlign w:val="center"/>
          </w:tcPr>
          <w:p w14:paraId="268ACB2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textAlignment w:val="center"/>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lang w:val="en-US" w:eastAsia="zh-CN"/>
              </w:rPr>
              <w:t>一般</w:t>
            </w:r>
            <w:r>
              <w:rPr>
                <w:rFonts w:hint="eastAsia" w:ascii="仿宋_GB2312" w:hAnsi="宋体" w:eastAsia="仿宋_GB2312"/>
                <w:color w:val="auto"/>
                <w:kern w:val="0"/>
                <w:sz w:val="13"/>
                <w:szCs w:val="13"/>
                <w:highlight w:val="none"/>
                <w:lang w:eastAsia="zh-CN"/>
              </w:rPr>
              <w:t>情节</w:t>
            </w:r>
          </w:p>
        </w:tc>
        <w:tc>
          <w:tcPr>
            <w:tcW w:w="3437" w:type="dxa"/>
            <w:gridSpan w:val="2"/>
            <w:tcBorders>
              <w:tl2br w:val="nil"/>
              <w:tr2bl w:val="nil"/>
            </w:tcBorders>
            <w:vAlign w:val="center"/>
          </w:tcPr>
          <w:p w14:paraId="473282D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left"/>
              <w:textAlignment w:val="center"/>
              <w:rPr>
                <w:rFonts w:hint="eastAsia" w:ascii="仿宋_GB2312" w:hAnsi="宋体" w:eastAsia="仿宋_GB2312"/>
                <w:color w:val="auto"/>
                <w:kern w:val="0"/>
                <w:sz w:val="13"/>
                <w:szCs w:val="13"/>
                <w:highlight w:val="none"/>
                <w:lang w:val="en-US" w:eastAsia="zh-CN"/>
              </w:rPr>
            </w:pPr>
            <w:r>
              <w:rPr>
                <w:rFonts w:hint="eastAsia" w:ascii="仿宋_GB2312" w:hAnsi="宋体" w:eastAsia="仿宋_GB2312"/>
                <w:color w:val="auto"/>
                <w:kern w:val="0"/>
                <w:sz w:val="13"/>
                <w:szCs w:val="13"/>
                <w:highlight w:val="none"/>
              </w:rPr>
              <w:t>设计成果已交付但未违反设计标准的</w:t>
            </w:r>
            <w:r>
              <w:rPr>
                <w:rFonts w:hint="eastAsia" w:ascii="仿宋_GB2312" w:hAnsi="宋体" w:eastAsia="仿宋_GB2312"/>
                <w:color w:val="auto"/>
                <w:kern w:val="0"/>
                <w:sz w:val="13"/>
                <w:szCs w:val="13"/>
                <w:highlight w:val="none"/>
                <w:lang w:eastAsia="zh-CN"/>
              </w:rPr>
              <w:t>。</w:t>
            </w:r>
          </w:p>
        </w:tc>
        <w:tc>
          <w:tcPr>
            <w:tcW w:w="3058" w:type="dxa"/>
            <w:tcBorders>
              <w:tl2br w:val="nil"/>
              <w:tr2bl w:val="nil"/>
            </w:tcBorders>
            <w:vAlign w:val="center"/>
          </w:tcPr>
          <w:p w14:paraId="704E1DE2">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color w:val="auto"/>
                <w:sz w:val="13"/>
                <w:szCs w:val="13"/>
                <w:highlight w:val="none"/>
              </w:rPr>
            </w:pPr>
            <w:r>
              <w:rPr>
                <w:rFonts w:hint="eastAsia" w:ascii="仿宋_GB2312" w:hAnsi="宋体" w:eastAsia="仿宋_GB2312"/>
                <w:color w:val="auto"/>
                <w:kern w:val="0"/>
                <w:sz w:val="13"/>
                <w:szCs w:val="13"/>
                <w:highlight w:val="none"/>
              </w:rPr>
              <w:t>责令停止违法活动，没收违法所得，并可处以违法所得</w:t>
            </w:r>
            <w:r>
              <w:rPr>
                <w:rFonts w:hint="eastAsia" w:ascii="仿宋_GB2312" w:hAnsi="宋体" w:eastAsia="仿宋_GB2312"/>
                <w:color w:val="auto"/>
                <w:kern w:val="0"/>
                <w:sz w:val="13"/>
                <w:szCs w:val="13"/>
                <w:highlight w:val="none"/>
                <w:lang w:val="en-US" w:eastAsia="zh-CN"/>
              </w:rPr>
              <w:t>2</w:t>
            </w:r>
            <w:r>
              <w:rPr>
                <w:rFonts w:hint="eastAsia" w:ascii="仿宋_GB2312" w:hAnsi="宋体" w:eastAsia="仿宋_GB2312"/>
                <w:color w:val="auto"/>
                <w:kern w:val="0"/>
                <w:sz w:val="13"/>
                <w:szCs w:val="13"/>
                <w:highlight w:val="none"/>
              </w:rPr>
              <w:t>倍以上</w:t>
            </w:r>
            <w:r>
              <w:rPr>
                <w:rFonts w:hint="eastAsia" w:ascii="仿宋_GB2312" w:hAnsi="宋体" w:eastAsia="仿宋_GB2312"/>
                <w:color w:val="auto"/>
                <w:kern w:val="0"/>
                <w:sz w:val="13"/>
                <w:szCs w:val="13"/>
                <w:highlight w:val="none"/>
                <w:lang w:val="en-US" w:eastAsia="zh-CN"/>
              </w:rPr>
              <w:t>4</w:t>
            </w:r>
            <w:r>
              <w:rPr>
                <w:rFonts w:hint="eastAsia" w:ascii="仿宋_GB2312" w:hAnsi="宋体" w:eastAsia="仿宋_GB2312"/>
                <w:color w:val="auto"/>
                <w:kern w:val="0"/>
                <w:sz w:val="13"/>
                <w:szCs w:val="13"/>
                <w:highlight w:val="none"/>
              </w:rPr>
              <w:t>倍以下的罚款。</w:t>
            </w:r>
          </w:p>
        </w:tc>
      </w:tr>
      <w:tr w14:paraId="136FE21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681" w:hRule="atLeast"/>
          <w:jc w:val="center"/>
        </w:trPr>
        <w:tc>
          <w:tcPr>
            <w:tcW w:w="443" w:type="dxa"/>
            <w:gridSpan w:val="2"/>
            <w:vMerge w:val="continue"/>
            <w:tcBorders>
              <w:tl2br w:val="nil"/>
              <w:tr2bl w:val="nil"/>
            </w:tcBorders>
            <w:vAlign w:val="center"/>
          </w:tcPr>
          <w:p w14:paraId="2F31B42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76921F6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top"/>
          </w:tcPr>
          <w:p w14:paraId="7B3302E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823" w:type="dxa"/>
            <w:tcBorders>
              <w:tl2br w:val="nil"/>
              <w:tr2bl w:val="nil"/>
            </w:tcBorders>
            <w:vAlign w:val="center"/>
          </w:tcPr>
          <w:p w14:paraId="2443260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textAlignment w:val="center"/>
              <w:rPr>
                <w:rFonts w:hint="eastAsia" w:ascii="仿宋_GB2312" w:hAnsi="宋体" w:eastAsia="仿宋_GB2312"/>
                <w:color w:val="auto"/>
                <w:kern w:val="0"/>
                <w:sz w:val="13"/>
                <w:szCs w:val="13"/>
                <w:highlight w:val="none"/>
                <w:lang w:val="en-US" w:eastAsia="zh-CN"/>
              </w:rPr>
            </w:pPr>
            <w:r>
              <w:rPr>
                <w:rFonts w:hint="eastAsia" w:ascii="仿宋_GB2312" w:hAnsi="宋体" w:eastAsia="仿宋_GB2312"/>
                <w:color w:val="auto"/>
                <w:kern w:val="0"/>
                <w:sz w:val="13"/>
                <w:szCs w:val="13"/>
                <w:highlight w:val="none"/>
                <w:lang w:val="en-US" w:eastAsia="zh-CN"/>
              </w:rPr>
              <w:t>从重情节</w:t>
            </w:r>
          </w:p>
        </w:tc>
        <w:tc>
          <w:tcPr>
            <w:tcW w:w="3437" w:type="dxa"/>
            <w:gridSpan w:val="2"/>
            <w:tcBorders>
              <w:tl2br w:val="nil"/>
              <w:tr2bl w:val="nil"/>
            </w:tcBorders>
            <w:vAlign w:val="center"/>
          </w:tcPr>
          <w:p w14:paraId="70CA699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left"/>
              <w:textAlignment w:val="center"/>
              <w:rPr>
                <w:rFonts w:hint="eastAsia" w:ascii="仿宋_GB2312" w:hAnsi="宋体" w:eastAsia="仿宋_GB2312"/>
                <w:color w:val="auto"/>
                <w:kern w:val="0"/>
                <w:sz w:val="13"/>
                <w:szCs w:val="13"/>
                <w:highlight w:val="none"/>
                <w:lang w:val="en-US" w:eastAsia="zh-CN"/>
              </w:rPr>
            </w:pPr>
            <w:r>
              <w:rPr>
                <w:rFonts w:hint="eastAsia" w:ascii="仿宋_GB2312" w:hAnsi="宋体" w:eastAsia="仿宋_GB2312"/>
                <w:color w:val="auto"/>
                <w:kern w:val="0"/>
                <w:sz w:val="13"/>
                <w:szCs w:val="13"/>
                <w:highlight w:val="none"/>
              </w:rPr>
              <w:t>设计成果已交付且违反设计标准的</w:t>
            </w:r>
            <w:r>
              <w:rPr>
                <w:rFonts w:hint="eastAsia" w:ascii="仿宋_GB2312" w:hAnsi="宋体" w:eastAsia="仿宋_GB2312"/>
                <w:color w:val="auto"/>
                <w:kern w:val="0"/>
                <w:sz w:val="13"/>
                <w:szCs w:val="13"/>
                <w:highlight w:val="none"/>
                <w:lang w:val="en-US" w:eastAsia="zh-CN"/>
              </w:rPr>
              <w:t>.</w:t>
            </w:r>
          </w:p>
        </w:tc>
        <w:tc>
          <w:tcPr>
            <w:tcW w:w="3058" w:type="dxa"/>
            <w:tcBorders>
              <w:tl2br w:val="nil"/>
              <w:tr2bl w:val="nil"/>
            </w:tcBorders>
            <w:vAlign w:val="center"/>
          </w:tcPr>
          <w:p w14:paraId="17D2702A">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责令停止违法活动，没收违法所得，并可处以违法所得</w:t>
            </w:r>
            <w:r>
              <w:rPr>
                <w:rFonts w:hint="eastAsia" w:ascii="仿宋_GB2312" w:hAnsi="宋体" w:eastAsia="仿宋_GB2312"/>
                <w:color w:val="auto"/>
                <w:kern w:val="0"/>
                <w:sz w:val="13"/>
                <w:szCs w:val="13"/>
                <w:highlight w:val="none"/>
                <w:lang w:val="en-US" w:eastAsia="zh-CN"/>
              </w:rPr>
              <w:t>4</w:t>
            </w:r>
            <w:r>
              <w:rPr>
                <w:rFonts w:hint="eastAsia" w:ascii="仿宋_GB2312" w:hAnsi="宋体" w:eastAsia="仿宋_GB2312"/>
                <w:color w:val="auto"/>
                <w:kern w:val="0"/>
                <w:sz w:val="13"/>
                <w:szCs w:val="13"/>
                <w:highlight w:val="none"/>
              </w:rPr>
              <w:t>倍以上</w:t>
            </w:r>
            <w:r>
              <w:rPr>
                <w:rFonts w:hint="eastAsia" w:ascii="仿宋_GB2312" w:hAnsi="宋体" w:eastAsia="仿宋_GB2312"/>
                <w:color w:val="auto"/>
                <w:kern w:val="0"/>
                <w:sz w:val="13"/>
                <w:szCs w:val="13"/>
                <w:highlight w:val="none"/>
                <w:lang w:val="en-US" w:eastAsia="zh-CN"/>
              </w:rPr>
              <w:t>5</w:t>
            </w:r>
            <w:r>
              <w:rPr>
                <w:rFonts w:hint="eastAsia" w:ascii="仿宋_GB2312" w:hAnsi="宋体" w:eastAsia="仿宋_GB2312"/>
                <w:color w:val="auto"/>
                <w:kern w:val="0"/>
                <w:sz w:val="13"/>
                <w:szCs w:val="13"/>
                <w:highlight w:val="none"/>
              </w:rPr>
              <w:t>倍以下的罚款。</w:t>
            </w:r>
          </w:p>
        </w:tc>
      </w:tr>
      <w:tr w14:paraId="6CB8ABD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710" w:hRule="atLeast"/>
          <w:jc w:val="center"/>
        </w:trPr>
        <w:tc>
          <w:tcPr>
            <w:tcW w:w="443" w:type="dxa"/>
            <w:gridSpan w:val="2"/>
            <w:vMerge w:val="restart"/>
            <w:tcBorders>
              <w:tl2br w:val="nil"/>
              <w:tr2bl w:val="nil"/>
            </w:tcBorders>
            <w:vAlign w:val="center"/>
          </w:tcPr>
          <w:p w14:paraId="125FA233">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Times New Roman"/>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24</w:t>
            </w:r>
          </w:p>
        </w:tc>
        <w:tc>
          <w:tcPr>
            <w:tcW w:w="1550" w:type="dxa"/>
            <w:vMerge w:val="restart"/>
            <w:tcBorders>
              <w:tl2br w:val="nil"/>
              <w:tr2bl w:val="nil"/>
            </w:tcBorders>
            <w:vAlign w:val="center"/>
          </w:tcPr>
          <w:p w14:paraId="7AA249A7">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r>
              <w:rPr>
                <w:rFonts w:ascii="仿宋_GB2312" w:hAnsi="宋体" w:eastAsia="仿宋_GB2312"/>
                <w:color w:val="auto"/>
                <w:kern w:val="0"/>
                <w:sz w:val="13"/>
                <w:szCs w:val="13"/>
                <w:highlight w:val="none"/>
              </w:rPr>
              <w:t>以个人名义承接注册建筑师业务、收取费用的；同时受聘于二个以上建筑设计单位执行业务的；在建筑设计或者相关业务中侵犯他人合法权益的；准许他人以本人名义执行业务的；二级注册建筑师以一级注册建筑师的名义执行业务或者超越国家规定的执业范围执行业务的。</w:t>
            </w:r>
          </w:p>
        </w:tc>
        <w:tc>
          <w:tcPr>
            <w:tcW w:w="4820" w:type="dxa"/>
            <w:vMerge w:val="restart"/>
            <w:tcBorders>
              <w:tl2br w:val="nil"/>
              <w:tr2bl w:val="nil"/>
            </w:tcBorders>
            <w:vAlign w:val="center"/>
          </w:tcPr>
          <w:p w14:paraId="0C906F5F">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《中华人民共和国注册建筑师条例》</w:t>
            </w:r>
            <w:r>
              <w:rPr>
                <w:rFonts w:ascii="仿宋_GB2312" w:hAnsi="宋体" w:eastAsia="仿宋_GB2312"/>
                <w:b/>
                <w:bCs/>
                <w:color w:val="auto"/>
                <w:kern w:val="0"/>
                <w:sz w:val="13"/>
                <w:szCs w:val="13"/>
                <w:highlight w:val="none"/>
              </w:rPr>
              <w:t>第三十一条</w:t>
            </w:r>
            <w:r>
              <w:rPr>
                <w:rFonts w:hint="eastAsia" w:ascii="仿宋_GB2312" w:hAnsi="宋体" w:eastAsia="仿宋_GB2312"/>
                <w:b/>
                <w:bCs/>
                <w:color w:val="auto"/>
                <w:kern w:val="0"/>
                <w:sz w:val="13"/>
                <w:szCs w:val="13"/>
                <w:highlight w:val="none"/>
                <w:lang w:eastAsia="zh-CN"/>
              </w:rPr>
              <w:t>：</w:t>
            </w:r>
            <w:r>
              <w:rPr>
                <w:rFonts w:ascii="仿宋_GB2312" w:hAnsi="宋体" w:eastAsia="仿宋_GB2312"/>
                <w:color w:val="auto"/>
                <w:kern w:val="0"/>
                <w:sz w:val="13"/>
                <w:szCs w:val="13"/>
                <w:highlight w:val="none"/>
              </w:rPr>
              <w:t>注册建筑师违反本条例规定，有下列行为之一的，由县级以上人民政府建设行政主管部门责令停止违法活动，没收违法所得，并可以处以违法所得5倍以下的罚款；情节严重的，可以责令停止执行业务或者由全国注册建筑师管理委员会或者省、自治区、直辖市注册建筑师管理委员会吊销注册建筑师证书；</w:t>
            </w:r>
          </w:p>
          <w:p w14:paraId="11013E4C">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r>
              <w:rPr>
                <w:rFonts w:ascii="仿宋_GB2312" w:hAnsi="宋体" w:eastAsia="仿宋_GB2312"/>
                <w:color w:val="auto"/>
                <w:kern w:val="0"/>
                <w:sz w:val="13"/>
                <w:szCs w:val="13"/>
                <w:highlight w:val="none"/>
              </w:rPr>
              <w:t>（一）以个人名义承接注册建筑师业务、收取费用的；</w:t>
            </w:r>
          </w:p>
          <w:p w14:paraId="6880E9BA">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r>
              <w:rPr>
                <w:rFonts w:ascii="仿宋_GB2312" w:hAnsi="宋体" w:eastAsia="仿宋_GB2312"/>
                <w:color w:val="auto"/>
                <w:kern w:val="0"/>
                <w:sz w:val="13"/>
                <w:szCs w:val="13"/>
                <w:highlight w:val="none"/>
              </w:rPr>
              <w:t>（二）同时受聘于二个以上建筑设计单位执行业务的；</w:t>
            </w:r>
          </w:p>
          <w:p w14:paraId="2B901AD9">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r>
              <w:rPr>
                <w:rFonts w:ascii="仿宋_GB2312" w:hAnsi="宋体" w:eastAsia="仿宋_GB2312"/>
                <w:color w:val="auto"/>
                <w:kern w:val="0"/>
                <w:sz w:val="13"/>
                <w:szCs w:val="13"/>
                <w:highlight w:val="none"/>
              </w:rPr>
              <w:t>（三）在建筑设计或者相关业务中侵犯他人合法权益的；</w:t>
            </w:r>
          </w:p>
          <w:p w14:paraId="0DF33C9F">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r>
              <w:rPr>
                <w:rFonts w:ascii="仿宋_GB2312" w:hAnsi="宋体" w:eastAsia="仿宋_GB2312"/>
                <w:color w:val="auto"/>
                <w:kern w:val="0"/>
                <w:sz w:val="13"/>
                <w:szCs w:val="13"/>
                <w:highlight w:val="none"/>
              </w:rPr>
              <w:t>（四）准许他人以本人名义执行业务的；</w:t>
            </w:r>
          </w:p>
          <w:p w14:paraId="07A18520">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r>
              <w:rPr>
                <w:rFonts w:ascii="仿宋_GB2312" w:hAnsi="宋体" w:eastAsia="仿宋_GB2312"/>
                <w:color w:val="auto"/>
                <w:kern w:val="0"/>
                <w:sz w:val="13"/>
                <w:szCs w:val="13"/>
                <w:highlight w:val="none"/>
              </w:rPr>
              <w:t>（五）二级注册建筑师以一级注册建筑师的名义执行业务或者超越国家规定的执业范围执行业务的。</w:t>
            </w:r>
          </w:p>
        </w:tc>
        <w:tc>
          <w:tcPr>
            <w:tcW w:w="823" w:type="dxa"/>
            <w:tcBorders>
              <w:tl2br w:val="nil"/>
              <w:tr2bl w:val="nil"/>
            </w:tcBorders>
            <w:vAlign w:val="center"/>
          </w:tcPr>
          <w:p w14:paraId="4D2157C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vAlign w:val="center"/>
          </w:tcPr>
          <w:p w14:paraId="5095647E">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rPr>
              <w:t>设计成果未交付的</w:t>
            </w:r>
            <w:r>
              <w:rPr>
                <w:rFonts w:hint="eastAsia" w:ascii="仿宋_GB2312" w:hAnsi="宋体" w:eastAsia="仿宋_GB2312"/>
                <w:color w:val="auto"/>
                <w:kern w:val="0"/>
                <w:sz w:val="13"/>
                <w:szCs w:val="13"/>
                <w:highlight w:val="none"/>
                <w:lang w:eastAsia="zh-CN"/>
              </w:rPr>
              <w:t>。</w:t>
            </w:r>
          </w:p>
        </w:tc>
        <w:tc>
          <w:tcPr>
            <w:tcW w:w="3058" w:type="dxa"/>
            <w:tcBorders>
              <w:tl2br w:val="nil"/>
              <w:tr2bl w:val="nil"/>
            </w:tcBorders>
            <w:vAlign w:val="center"/>
          </w:tcPr>
          <w:p w14:paraId="2BFE9E25">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color w:val="auto"/>
                <w:sz w:val="13"/>
                <w:szCs w:val="13"/>
                <w:highlight w:val="none"/>
              </w:rPr>
            </w:pPr>
            <w:r>
              <w:rPr>
                <w:rFonts w:hint="eastAsia" w:ascii="仿宋_GB2312" w:hAnsi="宋体" w:eastAsia="仿宋_GB2312"/>
                <w:color w:val="auto"/>
                <w:kern w:val="0"/>
                <w:sz w:val="13"/>
                <w:szCs w:val="13"/>
                <w:highlight w:val="none"/>
              </w:rPr>
              <w:t>责令停止违法活动，没收违法所得，并可处以违法所得</w:t>
            </w:r>
            <w:r>
              <w:rPr>
                <w:rFonts w:hint="eastAsia" w:ascii="仿宋_GB2312" w:hAnsi="宋体" w:eastAsia="仿宋_GB2312"/>
                <w:color w:val="auto"/>
                <w:kern w:val="0"/>
                <w:sz w:val="13"/>
                <w:szCs w:val="13"/>
                <w:highlight w:val="none"/>
                <w:lang w:val="en-US" w:eastAsia="zh-CN"/>
              </w:rPr>
              <w:t>2</w:t>
            </w:r>
            <w:r>
              <w:rPr>
                <w:rFonts w:hint="eastAsia" w:ascii="仿宋_GB2312" w:hAnsi="宋体" w:eastAsia="仿宋_GB2312"/>
                <w:color w:val="auto"/>
                <w:kern w:val="0"/>
                <w:sz w:val="13"/>
                <w:szCs w:val="13"/>
                <w:highlight w:val="none"/>
              </w:rPr>
              <w:t>倍以下的罚款。</w:t>
            </w:r>
          </w:p>
        </w:tc>
      </w:tr>
      <w:tr w14:paraId="6AE629A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749" w:hRule="atLeast"/>
          <w:jc w:val="center"/>
        </w:trPr>
        <w:tc>
          <w:tcPr>
            <w:tcW w:w="443" w:type="dxa"/>
            <w:gridSpan w:val="2"/>
            <w:vMerge w:val="continue"/>
            <w:tcBorders>
              <w:tl2br w:val="nil"/>
              <w:tr2bl w:val="nil"/>
            </w:tcBorders>
            <w:vAlign w:val="center"/>
          </w:tcPr>
          <w:p w14:paraId="0822073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b/>
                <w:color w:val="auto"/>
                <w:kern w:val="0"/>
                <w:sz w:val="13"/>
                <w:szCs w:val="13"/>
                <w:highlight w:val="none"/>
              </w:rPr>
            </w:pPr>
          </w:p>
        </w:tc>
        <w:tc>
          <w:tcPr>
            <w:tcW w:w="1550" w:type="dxa"/>
            <w:vMerge w:val="continue"/>
            <w:tcBorders>
              <w:tl2br w:val="nil"/>
              <w:tr2bl w:val="nil"/>
            </w:tcBorders>
            <w:vAlign w:val="center"/>
          </w:tcPr>
          <w:p w14:paraId="1BD19226">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p>
        </w:tc>
        <w:tc>
          <w:tcPr>
            <w:tcW w:w="4820" w:type="dxa"/>
            <w:vMerge w:val="continue"/>
            <w:tcBorders>
              <w:tl2br w:val="nil"/>
              <w:tr2bl w:val="nil"/>
            </w:tcBorders>
            <w:vAlign w:val="top"/>
          </w:tcPr>
          <w:p w14:paraId="759BBE54">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s="Times New Roman"/>
                <w:b/>
                <w:color w:val="auto"/>
                <w:kern w:val="0"/>
                <w:sz w:val="13"/>
                <w:szCs w:val="13"/>
                <w:highlight w:val="none"/>
              </w:rPr>
            </w:pPr>
          </w:p>
        </w:tc>
        <w:tc>
          <w:tcPr>
            <w:tcW w:w="823" w:type="dxa"/>
            <w:tcBorders>
              <w:tl2br w:val="nil"/>
              <w:tr2bl w:val="nil"/>
            </w:tcBorders>
            <w:vAlign w:val="center"/>
          </w:tcPr>
          <w:p w14:paraId="25073FC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一般情节</w:t>
            </w:r>
          </w:p>
        </w:tc>
        <w:tc>
          <w:tcPr>
            <w:tcW w:w="3437" w:type="dxa"/>
            <w:gridSpan w:val="2"/>
            <w:tcBorders>
              <w:tl2br w:val="nil"/>
              <w:tr2bl w:val="nil"/>
            </w:tcBorders>
            <w:vAlign w:val="center"/>
          </w:tcPr>
          <w:p w14:paraId="1A4D2F97">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rPr>
              <w:t>设计成果已交付但未违反设计标准的</w:t>
            </w:r>
            <w:r>
              <w:rPr>
                <w:rFonts w:hint="eastAsia" w:ascii="仿宋_GB2312" w:hAnsi="宋体" w:eastAsia="仿宋_GB2312"/>
                <w:color w:val="auto"/>
                <w:kern w:val="0"/>
                <w:sz w:val="13"/>
                <w:szCs w:val="13"/>
                <w:highlight w:val="none"/>
                <w:lang w:eastAsia="zh-CN"/>
              </w:rPr>
              <w:t>。</w:t>
            </w:r>
          </w:p>
        </w:tc>
        <w:tc>
          <w:tcPr>
            <w:tcW w:w="3058" w:type="dxa"/>
            <w:tcBorders>
              <w:tl2br w:val="nil"/>
              <w:tr2bl w:val="nil"/>
            </w:tcBorders>
            <w:vAlign w:val="center"/>
          </w:tcPr>
          <w:p w14:paraId="64200874">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color w:val="auto"/>
                <w:sz w:val="13"/>
                <w:szCs w:val="13"/>
                <w:highlight w:val="none"/>
              </w:rPr>
            </w:pPr>
            <w:r>
              <w:rPr>
                <w:rFonts w:hint="eastAsia" w:ascii="仿宋_GB2312" w:hAnsi="宋体" w:eastAsia="仿宋_GB2312"/>
                <w:color w:val="auto"/>
                <w:kern w:val="0"/>
                <w:sz w:val="13"/>
                <w:szCs w:val="13"/>
                <w:highlight w:val="none"/>
              </w:rPr>
              <w:t>责令停止违法活动，没收违法所得，并可处以违法所得</w:t>
            </w:r>
            <w:r>
              <w:rPr>
                <w:rFonts w:hint="eastAsia" w:ascii="仿宋_GB2312" w:hAnsi="宋体" w:eastAsia="仿宋_GB2312"/>
                <w:color w:val="auto"/>
                <w:kern w:val="0"/>
                <w:sz w:val="13"/>
                <w:szCs w:val="13"/>
                <w:highlight w:val="none"/>
                <w:lang w:val="en-US" w:eastAsia="zh-CN"/>
              </w:rPr>
              <w:t>2</w:t>
            </w:r>
            <w:r>
              <w:rPr>
                <w:rFonts w:hint="eastAsia" w:ascii="仿宋_GB2312" w:hAnsi="宋体" w:eastAsia="仿宋_GB2312"/>
                <w:color w:val="auto"/>
                <w:kern w:val="0"/>
                <w:sz w:val="13"/>
                <w:szCs w:val="13"/>
                <w:highlight w:val="none"/>
              </w:rPr>
              <w:t>倍以上4倍以下的罚款。</w:t>
            </w:r>
          </w:p>
        </w:tc>
      </w:tr>
      <w:tr w14:paraId="6C583F6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24" w:hRule="atLeast"/>
          <w:jc w:val="center"/>
        </w:trPr>
        <w:tc>
          <w:tcPr>
            <w:tcW w:w="443" w:type="dxa"/>
            <w:gridSpan w:val="2"/>
            <w:vMerge w:val="continue"/>
            <w:tcBorders>
              <w:tl2br w:val="nil"/>
              <w:tr2bl w:val="nil"/>
            </w:tcBorders>
            <w:vAlign w:val="center"/>
          </w:tcPr>
          <w:p w14:paraId="2DEA8C0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b/>
                <w:color w:val="auto"/>
                <w:kern w:val="0"/>
                <w:sz w:val="13"/>
                <w:szCs w:val="13"/>
                <w:highlight w:val="none"/>
              </w:rPr>
            </w:pPr>
          </w:p>
        </w:tc>
        <w:tc>
          <w:tcPr>
            <w:tcW w:w="1550" w:type="dxa"/>
            <w:vMerge w:val="continue"/>
            <w:tcBorders>
              <w:tl2br w:val="nil"/>
              <w:tr2bl w:val="nil"/>
            </w:tcBorders>
            <w:vAlign w:val="center"/>
          </w:tcPr>
          <w:p w14:paraId="5CAEA6F6">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69A2BACD">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s="Times New Roman"/>
                <w:b/>
                <w:color w:val="auto"/>
                <w:kern w:val="0"/>
                <w:sz w:val="13"/>
                <w:szCs w:val="13"/>
                <w:highlight w:val="none"/>
              </w:rPr>
            </w:pPr>
          </w:p>
        </w:tc>
        <w:tc>
          <w:tcPr>
            <w:tcW w:w="823" w:type="dxa"/>
            <w:tcBorders>
              <w:tl2br w:val="nil"/>
              <w:tr2bl w:val="nil"/>
            </w:tcBorders>
            <w:vAlign w:val="center"/>
          </w:tcPr>
          <w:p w14:paraId="5B7773A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从重情节</w:t>
            </w:r>
          </w:p>
        </w:tc>
        <w:tc>
          <w:tcPr>
            <w:tcW w:w="3437" w:type="dxa"/>
            <w:gridSpan w:val="2"/>
            <w:tcBorders>
              <w:tl2br w:val="nil"/>
              <w:tr2bl w:val="nil"/>
            </w:tcBorders>
            <w:vAlign w:val="center"/>
          </w:tcPr>
          <w:p w14:paraId="3173142B">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rPr>
              <w:t>设计成果已交付且违反设计标准的</w:t>
            </w:r>
            <w:r>
              <w:rPr>
                <w:rFonts w:hint="eastAsia" w:ascii="仿宋_GB2312" w:hAnsi="宋体" w:eastAsia="仿宋_GB2312"/>
                <w:color w:val="auto"/>
                <w:kern w:val="0"/>
                <w:sz w:val="13"/>
                <w:szCs w:val="13"/>
                <w:highlight w:val="none"/>
                <w:lang w:eastAsia="zh-CN"/>
              </w:rPr>
              <w:t>。</w:t>
            </w:r>
          </w:p>
        </w:tc>
        <w:tc>
          <w:tcPr>
            <w:tcW w:w="3058" w:type="dxa"/>
            <w:tcBorders>
              <w:tl2br w:val="nil"/>
              <w:tr2bl w:val="nil"/>
            </w:tcBorders>
            <w:vAlign w:val="center"/>
          </w:tcPr>
          <w:p w14:paraId="15F6B7F9">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color w:val="auto"/>
                <w:sz w:val="13"/>
                <w:szCs w:val="13"/>
                <w:highlight w:val="none"/>
              </w:rPr>
            </w:pPr>
            <w:r>
              <w:rPr>
                <w:rFonts w:hint="eastAsia" w:ascii="仿宋_GB2312" w:hAnsi="宋体" w:eastAsia="仿宋_GB2312"/>
                <w:color w:val="auto"/>
                <w:kern w:val="0"/>
                <w:sz w:val="13"/>
                <w:szCs w:val="13"/>
                <w:highlight w:val="none"/>
              </w:rPr>
              <w:t>责令停止违法活动，没收违法所得，并可处以违法所得4倍以上5倍以下的罚款；</w:t>
            </w:r>
            <w:r>
              <w:rPr>
                <w:rFonts w:ascii="仿宋_GB2312" w:hAnsi="宋体" w:eastAsia="仿宋_GB2312"/>
                <w:color w:val="auto"/>
                <w:kern w:val="0"/>
                <w:sz w:val="13"/>
                <w:szCs w:val="13"/>
                <w:highlight w:val="none"/>
              </w:rPr>
              <w:t>可以责令停止执行业务</w:t>
            </w:r>
            <w:r>
              <w:rPr>
                <w:rFonts w:hint="eastAsia" w:ascii="仿宋_GB2312" w:hAnsi="宋体" w:eastAsia="仿宋_GB2312"/>
                <w:color w:val="auto"/>
                <w:kern w:val="0"/>
                <w:sz w:val="13"/>
                <w:szCs w:val="13"/>
                <w:highlight w:val="none"/>
              </w:rPr>
              <w:t>或者由全国注册建筑师</w:t>
            </w:r>
            <w:r>
              <w:rPr>
                <w:rFonts w:hint="eastAsia" w:ascii="仿宋_GB2312" w:hAnsi="宋体" w:eastAsia="仿宋_GB2312"/>
                <w:color w:val="auto"/>
                <w:kern w:val="0"/>
                <w:sz w:val="13"/>
                <w:szCs w:val="13"/>
                <w:highlight w:val="none"/>
                <w:lang w:eastAsia="zh-CN"/>
              </w:rPr>
              <w:t>管理</w:t>
            </w:r>
            <w:r>
              <w:rPr>
                <w:rFonts w:hint="eastAsia" w:ascii="仿宋_GB2312" w:hAnsi="宋体" w:eastAsia="仿宋_GB2312"/>
                <w:color w:val="auto"/>
                <w:kern w:val="0"/>
                <w:sz w:val="13"/>
                <w:szCs w:val="13"/>
                <w:highlight w:val="none"/>
              </w:rPr>
              <w:t>委员会或者省、自治区、直辖市注册建筑师管理委员会吊销注册建筑师证书。</w:t>
            </w:r>
          </w:p>
        </w:tc>
      </w:tr>
      <w:tr w14:paraId="660861E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8" w:hRule="atLeast"/>
          <w:jc w:val="center"/>
        </w:trPr>
        <w:tc>
          <w:tcPr>
            <w:tcW w:w="443" w:type="dxa"/>
            <w:gridSpan w:val="2"/>
            <w:vMerge w:val="restart"/>
            <w:tcBorders>
              <w:tl2br w:val="nil"/>
              <w:tr2bl w:val="nil"/>
            </w:tcBorders>
            <w:vAlign w:val="center"/>
          </w:tcPr>
          <w:p w14:paraId="214FB413">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Times New Roman"/>
                <w:b/>
                <w:color w:val="auto"/>
                <w:kern w:val="0"/>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25</w:t>
            </w:r>
          </w:p>
        </w:tc>
        <w:tc>
          <w:tcPr>
            <w:tcW w:w="1550" w:type="dxa"/>
            <w:vMerge w:val="restart"/>
            <w:tcBorders>
              <w:tl2br w:val="nil"/>
              <w:tr2bl w:val="nil"/>
            </w:tcBorders>
            <w:vAlign w:val="center"/>
          </w:tcPr>
          <w:p w14:paraId="6EA89D56">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以欺骗、贿赂等不正当手段取得注册证书和执业印章</w:t>
            </w:r>
          </w:p>
        </w:tc>
        <w:tc>
          <w:tcPr>
            <w:tcW w:w="4820" w:type="dxa"/>
            <w:vMerge w:val="restart"/>
            <w:tcBorders>
              <w:tl2br w:val="nil"/>
              <w:tr2bl w:val="nil"/>
            </w:tcBorders>
            <w:vAlign w:val="center"/>
          </w:tcPr>
          <w:p w14:paraId="23175D0D">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《中华人民共和国注册建筑师条例实施细则》</w:t>
            </w:r>
            <w:r>
              <w:rPr>
                <w:rFonts w:hint="eastAsia" w:ascii="仿宋_GB2312" w:hAnsi="宋体" w:eastAsia="仿宋_GB2312"/>
                <w:b/>
                <w:bCs/>
                <w:color w:val="auto"/>
                <w:kern w:val="0"/>
                <w:sz w:val="13"/>
                <w:szCs w:val="13"/>
                <w:highlight w:val="none"/>
              </w:rPr>
              <w:t>第四十一条</w:t>
            </w:r>
            <w:r>
              <w:rPr>
                <w:rFonts w:hint="eastAsia" w:ascii="仿宋_GB2312" w:hAnsi="宋体" w:eastAsia="仿宋_GB2312"/>
                <w:b/>
                <w:bCs/>
                <w:color w:val="auto"/>
                <w:kern w:val="0"/>
                <w:sz w:val="13"/>
                <w:szCs w:val="13"/>
                <w:highlight w:val="none"/>
                <w:lang w:eastAsia="zh-CN"/>
              </w:rPr>
              <w:t>：</w:t>
            </w:r>
            <w:r>
              <w:rPr>
                <w:rFonts w:hint="eastAsia" w:ascii="仿宋_GB2312" w:hAnsi="宋体" w:eastAsia="仿宋_GB2312"/>
                <w:color w:val="auto"/>
                <w:kern w:val="0"/>
                <w:sz w:val="13"/>
                <w:szCs w:val="13"/>
                <w:highlight w:val="none"/>
              </w:rPr>
              <w:t>以欺骗、贿赂等不正当手段取得注册证书和执业印章的，由全国注册建筑师管理委员会或省、自治区、直辖市注册建筑师管理委员会撤销注册证书并收回执业印章，三年内不得再次申请注册，并由县级以上人民政府建设主管部门处以罚款。其中没有违法所得的，处以1万元以下罚款；有违法所得的处以违法所得3倍以下且不超过3万元的罚款。</w:t>
            </w:r>
          </w:p>
        </w:tc>
        <w:tc>
          <w:tcPr>
            <w:tcW w:w="823" w:type="dxa"/>
            <w:tcBorders>
              <w:tl2br w:val="nil"/>
              <w:tr2bl w:val="nil"/>
            </w:tcBorders>
            <w:vAlign w:val="center"/>
          </w:tcPr>
          <w:p w14:paraId="6364C98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vAlign w:val="center"/>
          </w:tcPr>
          <w:p w14:paraId="0FD45985">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没有违法所得，未造成危害后果或造成轻微危害后果的。</w:t>
            </w:r>
          </w:p>
        </w:tc>
        <w:tc>
          <w:tcPr>
            <w:tcW w:w="3058" w:type="dxa"/>
            <w:tcBorders>
              <w:tl2br w:val="nil"/>
              <w:tr2bl w:val="nil"/>
            </w:tcBorders>
            <w:vAlign w:val="center"/>
          </w:tcPr>
          <w:p w14:paraId="13A132C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由全国注册建筑师管理委员会或省、自治区、直辖市注册建筑师管理委员会撤销注册证书并收回执业印章，三年内不得再次申请注册，处3千元以下的罚款。</w:t>
            </w:r>
          </w:p>
        </w:tc>
      </w:tr>
      <w:tr w14:paraId="2B19DEB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16" w:hRule="atLeast"/>
          <w:jc w:val="center"/>
        </w:trPr>
        <w:tc>
          <w:tcPr>
            <w:tcW w:w="443" w:type="dxa"/>
            <w:gridSpan w:val="2"/>
            <w:vMerge w:val="continue"/>
            <w:tcBorders>
              <w:tl2br w:val="nil"/>
              <w:tr2bl w:val="nil"/>
            </w:tcBorders>
            <w:vAlign w:val="center"/>
          </w:tcPr>
          <w:p w14:paraId="729771B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b/>
                <w:color w:val="auto"/>
                <w:kern w:val="0"/>
                <w:sz w:val="13"/>
                <w:szCs w:val="13"/>
                <w:highlight w:val="none"/>
              </w:rPr>
            </w:pPr>
          </w:p>
        </w:tc>
        <w:tc>
          <w:tcPr>
            <w:tcW w:w="1550" w:type="dxa"/>
            <w:vMerge w:val="continue"/>
            <w:tcBorders>
              <w:tl2br w:val="nil"/>
              <w:tr2bl w:val="nil"/>
            </w:tcBorders>
            <w:vAlign w:val="center"/>
          </w:tcPr>
          <w:p w14:paraId="4981B23B">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p>
        </w:tc>
        <w:tc>
          <w:tcPr>
            <w:tcW w:w="4820" w:type="dxa"/>
            <w:vMerge w:val="continue"/>
            <w:tcBorders>
              <w:tl2br w:val="nil"/>
              <w:tr2bl w:val="nil"/>
            </w:tcBorders>
            <w:vAlign w:val="top"/>
          </w:tcPr>
          <w:p w14:paraId="6C2BB6C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vMerge w:val="restart"/>
            <w:tcBorders>
              <w:tl2br w:val="nil"/>
              <w:tr2bl w:val="nil"/>
            </w:tcBorders>
            <w:vAlign w:val="center"/>
          </w:tcPr>
          <w:p w14:paraId="2FC8771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一般情节</w:t>
            </w:r>
          </w:p>
        </w:tc>
        <w:tc>
          <w:tcPr>
            <w:tcW w:w="3437" w:type="dxa"/>
            <w:gridSpan w:val="2"/>
            <w:tcBorders>
              <w:tl2br w:val="nil"/>
              <w:tr2bl w:val="nil"/>
            </w:tcBorders>
            <w:vAlign w:val="center"/>
          </w:tcPr>
          <w:p w14:paraId="1FE67761">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65" w:firstLineChars="5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（1）违法所得在1万元以下的。</w:t>
            </w:r>
          </w:p>
        </w:tc>
        <w:tc>
          <w:tcPr>
            <w:tcW w:w="3058" w:type="dxa"/>
            <w:tcBorders>
              <w:tl2br w:val="nil"/>
              <w:tr2bl w:val="nil"/>
            </w:tcBorders>
            <w:vAlign w:val="center"/>
          </w:tcPr>
          <w:p w14:paraId="58D50DC0">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由全国注册建筑师管理委员会或省、自治区、直辖市注册建筑师管理委员会撤销注册证书并收回执业印章，三年内不得再次申请注册，处以违法所得1倍以下且不超过3万元的罚款。</w:t>
            </w:r>
          </w:p>
        </w:tc>
      </w:tr>
      <w:tr w14:paraId="7633CB4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8" w:hRule="atLeast"/>
          <w:jc w:val="center"/>
        </w:trPr>
        <w:tc>
          <w:tcPr>
            <w:tcW w:w="443" w:type="dxa"/>
            <w:gridSpan w:val="2"/>
            <w:vMerge w:val="continue"/>
            <w:tcBorders>
              <w:tl2br w:val="nil"/>
              <w:tr2bl w:val="nil"/>
            </w:tcBorders>
            <w:vAlign w:val="center"/>
          </w:tcPr>
          <w:p w14:paraId="3069253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b/>
                <w:color w:val="auto"/>
                <w:kern w:val="0"/>
                <w:sz w:val="13"/>
                <w:szCs w:val="13"/>
                <w:highlight w:val="none"/>
              </w:rPr>
            </w:pPr>
          </w:p>
        </w:tc>
        <w:tc>
          <w:tcPr>
            <w:tcW w:w="1550" w:type="dxa"/>
            <w:vMerge w:val="continue"/>
            <w:tcBorders>
              <w:tl2br w:val="nil"/>
              <w:tr2bl w:val="nil"/>
            </w:tcBorders>
            <w:vAlign w:val="center"/>
          </w:tcPr>
          <w:p w14:paraId="3BB70150">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p>
        </w:tc>
        <w:tc>
          <w:tcPr>
            <w:tcW w:w="4820" w:type="dxa"/>
            <w:vMerge w:val="continue"/>
            <w:tcBorders>
              <w:tl2br w:val="nil"/>
              <w:tr2bl w:val="nil"/>
            </w:tcBorders>
            <w:vAlign w:val="top"/>
          </w:tcPr>
          <w:p w14:paraId="14FCDFA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vMerge w:val="continue"/>
            <w:tcBorders>
              <w:tl2br w:val="nil"/>
              <w:tr2bl w:val="nil"/>
            </w:tcBorders>
            <w:vAlign w:val="center"/>
          </w:tcPr>
          <w:p w14:paraId="179AAD4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olor w:val="auto"/>
                <w:kern w:val="0"/>
                <w:sz w:val="13"/>
                <w:szCs w:val="13"/>
                <w:highlight w:val="none"/>
              </w:rPr>
            </w:pPr>
          </w:p>
        </w:tc>
        <w:tc>
          <w:tcPr>
            <w:tcW w:w="3437" w:type="dxa"/>
            <w:gridSpan w:val="2"/>
            <w:tcBorders>
              <w:tl2br w:val="nil"/>
              <w:tr2bl w:val="nil"/>
            </w:tcBorders>
            <w:vAlign w:val="center"/>
          </w:tcPr>
          <w:p w14:paraId="3C012015">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65" w:firstLineChars="5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（2）没有违法所得，造成一般危害后果的。</w:t>
            </w:r>
          </w:p>
        </w:tc>
        <w:tc>
          <w:tcPr>
            <w:tcW w:w="3058" w:type="dxa"/>
            <w:tcBorders>
              <w:tl2br w:val="nil"/>
              <w:tr2bl w:val="nil"/>
            </w:tcBorders>
            <w:vAlign w:val="center"/>
          </w:tcPr>
          <w:p w14:paraId="77D0620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由全国注册建筑师管理委员会或省、自治区、直辖市注册建筑师管理委员会撤销注册证书并收回执业印章，三年内不得再次申请注册，处3千元以上7千元以下的罚款。</w:t>
            </w:r>
          </w:p>
        </w:tc>
      </w:tr>
      <w:tr w14:paraId="3863A10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16" w:hRule="atLeast"/>
          <w:jc w:val="center"/>
        </w:trPr>
        <w:tc>
          <w:tcPr>
            <w:tcW w:w="443" w:type="dxa"/>
            <w:gridSpan w:val="2"/>
            <w:vMerge w:val="continue"/>
            <w:tcBorders>
              <w:tl2br w:val="nil"/>
              <w:tr2bl w:val="nil"/>
            </w:tcBorders>
            <w:vAlign w:val="center"/>
          </w:tcPr>
          <w:p w14:paraId="084E6A5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b/>
                <w:color w:val="auto"/>
                <w:kern w:val="0"/>
                <w:sz w:val="13"/>
                <w:szCs w:val="13"/>
                <w:highlight w:val="none"/>
              </w:rPr>
            </w:pPr>
          </w:p>
        </w:tc>
        <w:tc>
          <w:tcPr>
            <w:tcW w:w="1550" w:type="dxa"/>
            <w:vMerge w:val="continue"/>
            <w:tcBorders>
              <w:tl2br w:val="nil"/>
              <w:tr2bl w:val="nil"/>
            </w:tcBorders>
            <w:vAlign w:val="center"/>
          </w:tcPr>
          <w:p w14:paraId="26F52EA7">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4969CE9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vMerge w:val="restart"/>
            <w:tcBorders>
              <w:tl2br w:val="nil"/>
              <w:tr2bl w:val="nil"/>
            </w:tcBorders>
            <w:vAlign w:val="center"/>
          </w:tcPr>
          <w:p w14:paraId="5A3DD01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从重情节</w:t>
            </w:r>
          </w:p>
        </w:tc>
        <w:tc>
          <w:tcPr>
            <w:tcW w:w="3437" w:type="dxa"/>
            <w:gridSpan w:val="2"/>
            <w:tcBorders>
              <w:tl2br w:val="nil"/>
              <w:tr2bl w:val="nil"/>
            </w:tcBorders>
            <w:vAlign w:val="center"/>
          </w:tcPr>
          <w:p w14:paraId="16BD0CDD">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65" w:firstLineChars="5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（1）违法所得在1万元以上3万元以下的。</w:t>
            </w:r>
          </w:p>
        </w:tc>
        <w:tc>
          <w:tcPr>
            <w:tcW w:w="3058" w:type="dxa"/>
            <w:tcBorders>
              <w:tl2br w:val="nil"/>
              <w:tr2bl w:val="nil"/>
            </w:tcBorders>
            <w:vAlign w:val="center"/>
          </w:tcPr>
          <w:p w14:paraId="25A86913">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由全国注册建筑师管理委员会或省、自治区、直辖市注册建筑师管理委员会撤销注册证书并收回执业印章，三年内不得再次申请注册，处以违法所得1倍以上2倍以下的罚款且不超过3万元。</w:t>
            </w:r>
          </w:p>
        </w:tc>
      </w:tr>
      <w:tr w14:paraId="5D0B360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16" w:hRule="atLeast"/>
          <w:jc w:val="center"/>
        </w:trPr>
        <w:tc>
          <w:tcPr>
            <w:tcW w:w="443" w:type="dxa"/>
            <w:gridSpan w:val="2"/>
            <w:vMerge w:val="continue"/>
            <w:tcBorders>
              <w:tl2br w:val="nil"/>
              <w:tr2bl w:val="nil"/>
            </w:tcBorders>
            <w:vAlign w:val="center"/>
          </w:tcPr>
          <w:p w14:paraId="17D133C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b/>
                <w:color w:val="auto"/>
                <w:kern w:val="0"/>
                <w:sz w:val="13"/>
                <w:szCs w:val="13"/>
                <w:highlight w:val="none"/>
              </w:rPr>
            </w:pPr>
          </w:p>
        </w:tc>
        <w:tc>
          <w:tcPr>
            <w:tcW w:w="1550" w:type="dxa"/>
            <w:vMerge w:val="continue"/>
            <w:tcBorders>
              <w:tl2br w:val="nil"/>
              <w:tr2bl w:val="nil"/>
            </w:tcBorders>
            <w:vAlign w:val="center"/>
          </w:tcPr>
          <w:p w14:paraId="140735B8">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72D78FC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b/>
                <w:color w:val="auto"/>
                <w:kern w:val="0"/>
                <w:sz w:val="13"/>
                <w:szCs w:val="13"/>
                <w:highlight w:val="none"/>
              </w:rPr>
            </w:pPr>
          </w:p>
        </w:tc>
        <w:tc>
          <w:tcPr>
            <w:tcW w:w="823" w:type="dxa"/>
            <w:vMerge w:val="continue"/>
            <w:tcBorders>
              <w:tl2br w:val="nil"/>
              <w:tr2bl w:val="nil"/>
            </w:tcBorders>
            <w:vAlign w:val="center"/>
          </w:tcPr>
          <w:p w14:paraId="1A62214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olor w:val="auto"/>
                <w:kern w:val="0"/>
                <w:sz w:val="13"/>
                <w:szCs w:val="13"/>
                <w:highlight w:val="none"/>
              </w:rPr>
            </w:pPr>
          </w:p>
        </w:tc>
        <w:tc>
          <w:tcPr>
            <w:tcW w:w="3437" w:type="dxa"/>
            <w:gridSpan w:val="2"/>
            <w:tcBorders>
              <w:tl2br w:val="nil"/>
              <w:tr2bl w:val="nil"/>
            </w:tcBorders>
            <w:vAlign w:val="center"/>
          </w:tcPr>
          <w:p w14:paraId="5898732A">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65" w:firstLineChars="5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（2）违法所得在3万元以上的。</w:t>
            </w:r>
          </w:p>
        </w:tc>
        <w:tc>
          <w:tcPr>
            <w:tcW w:w="3058" w:type="dxa"/>
            <w:tcBorders>
              <w:tl2br w:val="nil"/>
              <w:tr2bl w:val="nil"/>
            </w:tcBorders>
            <w:vAlign w:val="center"/>
          </w:tcPr>
          <w:p w14:paraId="70FAC803">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rPr>
                <w:color w:val="auto"/>
                <w:sz w:val="13"/>
                <w:szCs w:val="13"/>
                <w:highlight w:val="none"/>
              </w:rPr>
            </w:pPr>
            <w:r>
              <w:rPr>
                <w:rFonts w:hint="eastAsia" w:ascii="仿宋_GB2312" w:hAnsi="宋体" w:eastAsia="仿宋_GB2312"/>
                <w:color w:val="auto"/>
                <w:kern w:val="0"/>
                <w:sz w:val="13"/>
                <w:szCs w:val="13"/>
                <w:highlight w:val="none"/>
              </w:rPr>
              <w:t>由全国注册建筑师管理委员会或省、自治区、直辖市注册建筑师管理委员会撤销注册证书并收回执业印章，三年内不得再次申请注册，处以违法所得2倍以上3倍以下且不超过3万元的罚款。</w:t>
            </w:r>
          </w:p>
        </w:tc>
      </w:tr>
      <w:tr w14:paraId="3975365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72" w:hRule="atLeast"/>
          <w:jc w:val="center"/>
        </w:trPr>
        <w:tc>
          <w:tcPr>
            <w:tcW w:w="443" w:type="dxa"/>
            <w:gridSpan w:val="2"/>
            <w:vMerge w:val="continue"/>
            <w:tcBorders>
              <w:tl2br w:val="nil"/>
              <w:tr2bl w:val="nil"/>
            </w:tcBorders>
            <w:vAlign w:val="center"/>
          </w:tcPr>
          <w:p w14:paraId="3483F60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b/>
                <w:color w:val="auto"/>
                <w:kern w:val="0"/>
                <w:sz w:val="13"/>
                <w:szCs w:val="13"/>
                <w:highlight w:val="none"/>
              </w:rPr>
            </w:pPr>
          </w:p>
        </w:tc>
        <w:tc>
          <w:tcPr>
            <w:tcW w:w="1550" w:type="dxa"/>
            <w:vMerge w:val="continue"/>
            <w:tcBorders>
              <w:tl2br w:val="nil"/>
              <w:tr2bl w:val="nil"/>
            </w:tcBorders>
            <w:vAlign w:val="center"/>
          </w:tcPr>
          <w:p w14:paraId="494B35DC">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31CF1EF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b/>
                <w:color w:val="auto"/>
                <w:kern w:val="0"/>
                <w:sz w:val="13"/>
                <w:szCs w:val="13"/>
                <w:highlight w:val="none"/>
              </w:rPr>
            </w:pPr>
          </w:p>
        </w:tc>
        <w:tc>
          <w:tcPr>
            <w:tcW w:w="823" w:type="dxa"/>
            <w:vMerge w:val="continue"/>
            <w:tcBorders>
              <w:tl2br w:val="nil"/>
              <w:tr2bl w:val="nil"/>
            </w:tcBorders>
            <w:vAlign w:val="center"/>
          </w:tcPr>
          <w:p w14:paraId="1EBC392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olor w:val="auto"/>
                <w:kern w:val="0"/>
                <w:sz w:val="13"/>
                <w:szCs w:val="13"/>
                <w:highlight w:val="none"/>
              </w:rPr>
            </w:pPr>
          </w:p>
        </w:tc>
        <w:tc>
          <w:tcPr>
            <w:tcW w:w="3437" w:type="dxa"/>
            <w:gridSpan w:val="2"/>
            <w:tcBorders>
              <w:tl2br w:val="nil"/>
              <w:tr2bl w:val="nil"/>
            </w:tcBorders>
            <w:vAlign w:val="center"/>
          </w:tcPr>
          <w:p w14:paraId="37394678">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65" w:firstLineChars="5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（3）没有违法所得，造成严重危害后果的。</w:t>
            </w:r>
          </w:p>
        </w:tc>
        <w:tc>
          <w:tcPr>
            <w:tcW w:w="3058" w:type="dxa"/>
            <w:tcBorders>
              <w:tl2br w:val="nil"/>
              <w:tr2bl w:val="nil"/>
            </w:tcBorders>
            <w:vAlign w:val="center"/>
          </w:tcPr>
          <w:p w14:paraId="1472D6D9">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rPr>
                <w:color w:val="auto"/>
                <w:sz w:val="13"/>
                <w:szCs w:val="13"/>
                <w:highlight w:val="none"/>
              </w:rPr>
            </w:pPr>
            <w:r>
              <w:rPr>
                <w:rFonts w:hint="eastAsia" w:ascii="仿宋_GB2312" w:hAnsi="宋体" w:eastAsia="仿宋_GB2312"/>
                <w:color w:val="auto"/>
                <w:kern w:val="0"/>
                <w:sz w:val="13"/>
                <w:szCs w:val="13"/>
                <w:highlight w:val="none"/>
              </w:rPr>
              <w:t>由全国注册建筑师管理委员会或省、自治区、直辖市注册建筑师管理委员会撤销注册证书并收回执业印章，三年内不得再次申请注册，处7千元以上1万元以下的罚款。</w:t>
            </w:r>
          </w:p>
        </w:tc>
      </w:tr>
      <w:tr w14:paraId="278B5C3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667" w:hRule="atLeast"/>
          <w:jc w:val="center"/>
        </w:trPr>
        <w:tc>
          <w:tcPr>
            <w:tcW w:w="443" w:type="dxa"/>
            <w:gridSpan w:val="2"/>
            <w:vMerge w:val="restart"/>
            <w:tcBorders>
              <w:tl2br w:val="nil"/>
              <w:tr2bl w:val="nil"/>
            </w:tcBorders>
            <w:vAlign w:val="center"/>
          </w:tcPr>
          <w:p w14:paraId="27FB7CC3">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Times New Roman"/>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26</w:t>
            </w:r>
          </w:p>
        </w:tc>
        <w:tc>
          <w:tcPr>
            <w:tcW w:w="1550" w:type="dxa"/>
            <w:vMerge w:val="restart"/>
            <w:tcBorders>
              <w:tl2br w:val="nil"/>
              <w:tr2bl w:val="nil"/>
            </w:tcBorders>
            <w:vAlign w:val="center"/>
          </w:tcPr>
          <w:p w14:paraId="7F2274B0">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未受聘并注册于中华人民共和国境内一个具有工程设计资质的单位，从事建筑工程设计执业活动</w:t>
            </w:r>
          </w:p>
        </w:tc>
        <w:tc>
          <w:tcPr>
            <w:tcW w:w="4820" w:type="dxa"/>
            <w:vMerge w:val="restart"/>
            <w:tcBorders>
              <w:tl2br w:val="nil"/>
              <w:tr2bl w:val="nil"/>
            </w:tcBorders>
            <w:vAlign w:val="center"/>
          </w:tcPr>
          <w:p w14:paraId="7A275783">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《中华人民共和国注册建筑师条例实施细则》</w:t>
            </w:r>
            <w:r>
              <w:rPr>
                <w:rFonts w:hint="eastAsia" w:ascii="仿宋_GB2312" w:hAnsi="宋体" w:eastAsia="仿宋_GB2312"/>
                <w:b/>
                <w:bCs/>
                <w:color w:val="auto"/>
                <w:kern w:val="0"/>
                <w:sz w:val="13"/>
                <w:szCs w:val="13"/>
                <w:highlight w:val="none"/>
              </w:rPr>
              <w:t>第四十二条</w:t>
            </w:r>
            <w:r>
              <w:rPr>
                <w:rFonts w:hint="eastAsia" w:ascii="仿宋_GB2312" w:hAnsi="宋体" w:eastAsia="仿宋_GB2312"/>
                <w:b/>
                <w:bCs/>
                <w:color w:val="auto"/>
                <w:kern w:val="0"/>
                <w:sz w:val="13"/>
                <w:szCs w:val="13"/>
                <w:highlight w:val="none"/>
                <w:lang w:eastAsia="zh-CN"/>
              </w:rPr>
              <w:t>：</w:t>
            </w:r>
            <w:r>
              <w:rPr>
                <w:rFonts w:hint="eastAsia" w:ascii="仿宋_GB2312" w:hAnsi="宋体" w:eastAsia="仿宋_GB2312"/>
                <w:color w:val="auto"/>
                <w:kern w:val="0"/>
                <w:sz w:val="13"/>
                <w:szCs w:val="13"/>
                <w:highlight w:val="none"/>
              </w:rPr>
              <w:t>违反本细则，未受聘并注册于中华人民共和国境内一个具有工程设计资质的单位，从事建筑工程设计执业活动的，由县级以上人民政府建设主管部门给予警告，责令停止违法活动，并可处以1万元以上3万元以下的罚款。</w:t>
            </w:r>
          </w:p>
        </w:tc>
        <w:tc>
          <w:tcPr>
            <w:tcW w:w="823" w:type="dxa"/>
            <w:tcBorders>
              <w:tl2br w:val="nil"/>
              <w:tr2bl w:val="nil"/>
            </w:tcBorders>
            <w:vAlign w:val="center"/>
          </w:tcPr>
          <w:p w14:paraId="24825A1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pacing w:val="-20"/>
                <w:kern w:val="0"/>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vAlign w:val="center"/>
          </w:tcPr>
          <w:p w14:paraId="0A064A04">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设计成果未交付的</w:t>
            </w:r>
            <w:r>
              <w:rPr>
                <w:rFonts w:hint="eastAsia" w:ascii="仿宋_GB2312" w:hAnsi="宋体" w:eastAsia="仿宋_GB2312"/>
                <w:color w:val="auto"/>
                <w:kern w:val="0"/>
                <w:sz w:val="13"/>
                <w:szCs w:val="13"/>
                <w:highlight w:val="none"/>
                <w:lang w:eastAsia="zh-CN"/>
              </w:rPr>
              <w:t>。</w:t>
            </w:r>
          </w:p>
        </w:tc>
        <w:tc>
          <w:tcPr>
            <w:tcW w:w="3058" w:type="dxa"/>
            <w:tcBorders>
              <w:tl2br w:val="nil"/>
              <w:tr2bl w:val="nil"/>
            </w:tcBorders>
            <w:vAlign w:val="center"/>
          </w:tcPr>
          <w:p w14:paraId="05ABEF0B">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color w:val="auto"/>
                <w:sz w:val="13"/>
                <w:szCs w:val="13"/>
                <w:highlight w:val="none"/>
              </w:rPr>
            </w:pPr>
            <w:r>
              <w:rPr>
                <w:rFonts w:hint="eastAsia" w:ascii="仿宋_GB2312" w:hAnsi="宋体" w:eastAsia="仿宋_GB2312"/>
                <w:color w:val="auto"/>
                <w:kern w:val="0"/>
                <w:sz w:val="13"/>
                <w:szCs w:val="13"/>
                <w:highlight w:val="none"/>
              </w:rPr>
              <w:t>给予警告，责令停止违法活动，可处以1万元以上1.5万元以下的罚款。</w:t>
            </w:r>
          </w:p>
        </w:tc>
      </w:tr>
      <w:tr w14:paraId="6EA738F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0" w:hRule="atLeast"/>
          <w:jc w:val="center"/>
        </w:trPr>
        <w:tc>
          <w:tcPr>
            <w:tcW w:w="443" w:type="dxa"/>
            <w:gridSpan w:val="2"/>
            <w:vMerge w:val="continue"/>
            <w:tcBorders>
              <w:tl2br w:val="nil"/>
              <w:tr2bl w:val="nil"/>
            </w:tcBorders>
            <w:vAlign w:val="center"/>
          </w:tcPr>
          <w:p w14:paraId="7520C7F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2F4A700C">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top"/>
          </w:tcPr>
          <w:p w14:paraId="5B48B19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olor w:val="auto"/>
                <w:kern w:val="0"/>
                <w:sz w:val="13"/>
                <w:szCs w:val="13"/>
                <w:highlight w:val="none"/>
              </w:rPr>
            </w:pPr>
          </w:p>
        </w:tc>
        <w:tc>
          <w:tcPr>
            <w:tcW w:w="823" w:type="dxa"/>
            <w:tcBorders>
              <w:tl2br w:val="nil"/>
              <w:tr2bl w:val="nil"/>
            </w:tcBorders>
            <w:vAlign w:val="center"/>
          </w:tcPr>
          <w:p w14:paraId="08A5086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pacing w:val="-20"/>
                <w:kern w:val="0"/>
                <w:sz w:val="13"/>
                <w:szCs w:val="13"/>
                <w:highlight w:val="none"/>
              </w:rPr>
            </w:pPr>
            <w:r>
              <w:rPr>
                <w:rFonts w:hint="eastAsia" w:ascii="仿宋_GB2312" w:hAnsi="宋体" w:eastAsia="仿宋_GB2312"/>
                <w:color w:val="auto"/>
                <w:kern w:val="0"/>
                <w:sz w:val="13"/>
                <w:szCs w:val="13"/>
                <w:highlight w:val="none"/>
              </w:rPr>
              <w:t>一般情节</w:t>
            </w:r>
          </w:p>
        </w:tc>
        <w:tc>
          <w:tcPr>
            <w:tcW w:w="3437" w:type="dxa"/>
            <w:gridSpan w:val="2"/>
            <w:tcBorders>
              <w:tl2br w:val="nil"/>
              <w:tr2bl w:val="nil"/>
            </w:tcBorders>
            <w:vAlign w:val="center"/>
          </w:tcPr>
          <w:p w14:paraId="4C71E710">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设计成果已交付但未违反设计标准的</w:t>
            </w:r>
            <w:r>
              <w:rPr>
                <w:rFonts w:hint="eastAsia" w:ascii="仿宋_GB2312" w:hAnsi="宋体" w:eastAsia="仿宋_GB2312"/>
                <w:color w:val="auto"/>
                <w:kern w:val="0"/>
                <w:sz w:val="13"/>
                <w:szCs w:val="13"/>
                <w:highlight w:val="none"/>
                <w:lang w:eastAsia="zh-CN"/>
              </w:rPr>
              <w:t>。</w:t>
            </w:r>
          </w:p>
        </w:tc>
        <w:tc>
          <w:tcPr>
            <w:tcW w:w="3058" w:type="dxa"/>
            <w:tcBorders>
              <w:tl2br w:val="nil"/>
              <w:tr2bl w:val="nil"/>
            </w:tcBorders>
            <w:vAlign w:val="center"/>
          </w:tcPr>
          <w:p w14:paraId="6A91FC79">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color w:val="auto"/>
                <w:sz w:val="13"/>
                <w:szCs w:val="13"/>
                <w:highlight w:val="none"/>
              </w:rPr>
            </w:pPr>
            <w:r>
              <w:rPr>
                <w:rFonts w:hint="eastAsia" w:ascii="仿宋_GB2312" w:hAnsi="宋体" w:eastAsia="仿宋_GB2312"/>
                <w:color w:val="auto"/>
                <w:kern w:val="0"/>
                <w:sz w:val="13"/>
                <w:szCs w:val="13"/>
                <w:highlight w:val="none"/>
              </w:rPr>
              <w:t>给予警告，责令停止违法活动，处以1.5万元以上2.5万元以下的罚款。</w:t>
            </w:r>
          </w:p>
        </w:tc>
      </w:tr>
      <w:tr w14:paraId="45BBBF3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729" w:hRule="atLeast"/>
          <w:jc w:val="center"/>
        </w:trPr>
        <w:tc>
          <w:tcPr>
            <w:tcW w:w="443" w:type="dxa"/>
            <w:gridSpan w:val="2"/>
            <w:vMerge w:val="continue"/>
            <w:tcBorders>
              <w:tl2br w:val="nil"/>
              <w:tr2bl w:val="nil"/>
            </w:tcBorders>
            <w:vAlign w:val="center"/>
          </w:tcPr>
          <w:p w14:paraId="2236385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1A439A0E">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4B625B4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olor w:val="auto"/>
                <w:kern w:val="0"/>
                <w:sz w:val="13"/>
                <w:szCs w:val="13"/>
                <w:highlight w:val="none"/>
              </w:rPr>
            </w:pPr>
          </w:p>
        </w:tc>
        <w:tc>
          <w:tcPr>
            <w:tcW w:w="823" w:type="dxa"/>
            <w:tcBorders>
              <w:tl2br w:val="nil"/>
              <w:tr2bl w:val="nil"/>
            </w:tcBorders>
            <w:vAlign w:val="center"/>
          </w:tcPr>
          <w:p w14:paraId="35F0835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pacing w:val="-20"/>
                <w:kern w:val="0"/>
                <w:sz w:val="13"/>
                <w:szCs w:val="13"/>
                <w:highlight w:val="none"/>
              </w:rPr>
            </w:pPr>
            <w:r>
              <w:rPr>
                <w:rFonts w:hint="eastAsia" w:ascii="仿宋_GB2312" w:hAnsi="宋体" w:eastAsia="仿宋_GB2312"/>
                <w:color w:val="auto"/>
                <w:kern w:val="0"/>
                <w:sz w:val="13"/>
                <w:szCs w:val="13"/>
                <w:highlight w:val="none"/>
              </w:rPr>
              <w:t>从重情节</w:t>
            </w:r>
          </w:p>
        </w:tc>
        <w:tc>
          <w:tcPr>
            <w:tcW w:w="3437" w:type="dxa"/>
            <w:gridSpan w:val="2"/>
            <w:tcBorders>
              <w:tl2br w:val="nil"/>
              <w:tr2bl w:val="nil"/>
            </w:tcBorders>
            <w:vAlign w:val="center"/>
          </w:tcPr>
          <w:p w14:paraId="57DE80D9">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lang w:val="en-US" w:eastAsia="zh-CN"/>
              </w:rPr>
            </w:pPr>
            <w:r>
              <w:rPr>
                <w:rFonts w:hint="eastAsia" w:ascii="仿宋_GB2312" w:hAnsi="宋体" w:eastAsia="仿宋_GB2312"/>
                <w:color w:val="auto"/>
                <w:kern w:val="0"/>
                <w:sz w:val="13"/>
                <w:szCs w:val="13"/>
                <w:highlight w:val="none"/>
              </w:rPr>
              <w:t>设计成果已交付且违反设计标准的</w:t>
            </w:r>
            <w:r>
              <w:rPr>
                <w:rFonts w:hint="eastAsia" w:ascii="仿宋_GB2312" w:hAnsi="宋体" w:eastAsia="仿宋_GB2312"/>
                <w:color w:val="auto"/>
                <w:kern w:val="0"/>
                <w:sz w:val="13"/>
                <w:szCs w:val="13"/>
                <w:highlight w:val="none"/>
                <w:lang w:eastAsia="zh-CN"/>
              </w:rPr>
              <w:t>。</w:t>
            </w:r>
          </w:p>
        </w:tc>
        <w:tc>
          <w:tcPr>
            <w:tcW w:w="3058" w:type="dxa"/>
            <w:tcBorders>
              <w:tl2br w:val="nil"/>
              <w:tr2bl w:val="nil"/>
            </w:tcBorders>
            <w:vAlign w:val="center"/>
          </w:tcPr>
          <w:p w14:paraId="7D9661B7">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color w:val="auto"/>
                <w:sz w:val="13"/>
                <w:szCs w:val="13"/>
                <w:highlight w:val="none"/>
              </w:rPr>
            </w:pPr>
            <w:r>
              <w:rPr>
                <w:rFonts w:hint="eastAsia" w:ascii="仿宋_GB2312" w:hAnsi="宋体" w:eastAsia="仿宋_GB2312"/>
                <w:color w:val="auto"/>
                <w:kern w:val="0"/>
                <w:sz w:val="13"/>
                <w:szCs w:val="13"/>
                <w:highlight w:val="none"/>
              </w:rPr>
              <w:t>给予警告，责令停止违法活动，处以2.5万元以上3万元以下的罚款。</w:t>
            </w:r>
          </w:p>
        </w:tc>
      </w:tr>
      <w:tr w14:paraId="74B4E35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584" w:hRule="atLeast"/>
          <w:jc w:val="center"/>
        </w:trPr>
        <w:tc>
          <w:tcPr>
            <w:tcW w:w="443" w:type="dxa"/>
            <w:gridSpan w:val="2"/>
            <w:vMerge w:val="restart"/>
            <w:tcBorders>
              <w:tl2br w:val="nil"/>
              <w:tr2bl w:val="nil"/>
            </w:tcBorders>
            <w:vAlign w:val="center"/>
          </w:tcPr>
          <w:p w14:paraId="7E532B8A">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Times New Roman"/>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27</w:t>
            </w:r>
          </w:p>
        </w:tc>
        <w:tc>
          <w:tcPr>
            <w:tcW w:w="1550" w:type="dxa"/>
            <w:vMerge w:val="restart"/>
            <w:tcBorders>
              <w:tl2br w:val="nil"/>
              <w:tr2bl w:val="nil"/>
            </w:tcBorders>
            <w:vAlign w:val="center"/>
          </w:tcPr>
          <w:p w14:paraId="1C2F918B">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未办理变更注册而继续执业</w:t>
            </w:r>
          </w:p>
        </w:tc>
        <w:tc>
          <w:tcPr>
            <w:tcW w:w="4820" w:type="dxa"/>
            <w:vMerge w:val="restart"/>
            <w:tcBorders>
              <w:tl2br w:val="nil"/>
              <w:tr2bl w:val="nil"/>
            </w:tcBorders>
            <w:vAlign w:val="center"/>
          </w:tcPr>
          <w:p w14:paraId="37800CB1">
            <w:pPr>
              <w:pStyle w:val="19"/>
              <w:keepNext w:val="0"/>
              <w:keepLines w:val="0"/>
              <w:pageBreakBefore w:val="0"/>
              <w:kinsoku/>
              <w:overflowPunct/>
              <w:topLinePunct w:val="0"/>
              <w:autoSpaceDE/>
              <w:autoSpaceDN/>
              <w:bidi w:val="0"/>
              <w:adjustRightInd/>
              <w:snapToGrid/>
              <w:spacing w:before="0" w:beforeAutospacing="0" w:after="0" w:afterAutospacing="0" w:line="260" w:lineRule="exact"/>
              <w:ind w:left="0" w:leftChars="0" w:right="0" w:rightChars="0"/>
              <w:rPr>
                <w:rFonts w:ascii="仿宋_GB2312" w:eastAsia="仿宋_GB2312" w:cstheme="minorBidi"/>
                <w:color w:val="auto"/>
                <w:sz w:val="13"/>
                <w:szCs w:val="13"/>
                <w:highlight w:val="none"/>
              </w:rPr>
            </w:pPr>
            <w:r>
              <w:rPr>
                <w:rFonts w:hint="eastAsia" w:ascii="仿宋_GB2312" w:eastAsia="仿宋_GB2312" w:cstheme="minorBidi"/>
                <w:color w:val="auto"/>
                <w:sz w:val="13"/>
                <w:szCs w:val="13"/>
                <w:highlight w:val="none"/>
              </w:rPr>
              <w:t>《中华人民共和国注册建筑师条例实施细则》</w:t>
            </w:r>
            <w:r>
              <w:rPr>
                <w:rFonts w:hint="eastAsia" w:ascii="仿宋_GB2312" w:eastAsia="仿宋_GB2312" w:cstheme="minorBidi"/>
                <w:b/>
                <w:bCs/>
                <w:color w:val="auto"/>
                <w:sz w:val="13"/>
                <w:szCs w:val="13"/>
                <w:highlight w:val="none"/>
              </w:rPr>
              <w:t>第四十三条</w:t>
            </w:r>
            <w:r>
              <w:rPr>
                <w:rFonts w:hint="eastAsia" w:ascii="仿宋_GB2312" w:eastAsia="仿宋_GB2312" w:cstheme="minorBidi"/>
                <w:b/>
                <w:bCs/>
                <w:color w:val="auto"/>
                <w:sz w:val="13"/>
                <w:szCs w:val="13"/>
                <w:highlight w:val="none"/>
                <w:lang w:eastAsia="zh-CN"/>
              </w:rPr>
              <w:t>：</w:t>
            </w:r>
            <w:r>
              <w:rPr>
                <w:rFonts w:hint="eastAsia" w:ascii="仿宋_GB2312" w:eastAsia="仿宋_GB2312" w:cstheme="minorBidi"/>
                <w:color w:val="auto"/>
                <w:sz w:val="13"/>
                <w:szCs w:val="13"/>
                <w:highlight w:val="none"/>
              </w:rPr>
              <w:t>违反本细则，未办理变更注册而继续执业的，由县级以上人民政府建设主管部门责令限期改正；逾期未改正的，可处以5000元以下的罚款。</w:t>
            </w:r>
          </w:p>
        </w:tc>
        <w:tc>
          <w:tcPr>
            <w:tcW w:w="823" w:type="dxa"/>
            <w:tcBorders>
              <w:tl2br w:val="nil"/>
              <w:tr2bl w:val="nil"/>
            </w:tcBorders>
            <w:vAlign w:val="center"/>
          </w:tcPr>
          <w:p w14:paraId="7F30557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pacing w:val="-20"/>
                <w:kern w:val="0"/>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vAlign w:val="center"/>
          </w:tcPr>
          <w:p w14:paraId="1AE8DDE6">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经责令限期改正，逾期15日以内改正的。</w:t>
            </w:r>
          </w:p>
        </w:tc>
        <w:tc>
          <w:tcPr>
            <w:tcW w:w="3058" w:type="dxa"/>
            <w:tcBorders>
              <w:tl2br w:val="nil"/>
              <w:tr2bl w:val="nil"/>
            </w:tcBorders>
            <w:vAlign w:val="center"/>
          </w:tcPr>
          <w:p w14:paraId="46F9D3B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可处2千元以下的罚款。</w:t>
            </w:r>
          </w:p>
        </w:tc>
      </w:tr>
      <w:tr w14:paraId="0502B72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78" w:hRule="atLeast"/>
          <w:jc w:val="center"/>
        </w:trPr>
        <w:tc>
          <w:tcPr>
            <w:tcW w:w="443" w:type="dxa"/>
            <w:gridSpan w:val="2"/>
            <w:vMerge w:val="continue"/>
            <w:tcBorders>
              <w:tl2br w:val="nil"/>
              <w:tr2bl w:val="nil"/>
            </w:tcBorders>
            <w:vAlign w:val="center"/>
          </w:tcPr>
          <w:p w14:paraId="5ECE0EB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2E1C0499">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top"/>
          </w:tcPr>
          <w:p w14:paraId="4E5AE03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olor w:val="auto"/>
                <w:kern w:val="0"/>
                <w:sz w:val="13"/>
                <w:szCs w:val="13"/>
                <w:highlight w:val="none"/>
              </w:rPr>
            </w:pPr>
          </w:p>
        </w:tc>
        <w:tc>
          <w:tcPr>
            <w:tcW w:w="823" w:type="dxa"/>
            <w:tcBorders>
              <w:tl2br w:val="nil"/>
              <w:tr2bl w:val="nil"/>
            </w:tcBorders>
            <w:vAlign w:val="center"/>
          </w:tcPr>
          <w:p w14:paraId="474924C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pacing w:val="-20"/>
                <w:kern w:val="0"/>
                <w:sz w:val="13"/>
                <w:szCs w:val="13"/>
                <w:highlight w:val="none"/>
              </w:rPr>
            </w:pPr>
            <w:r>
              <w:rPr>
                <w:rFonts w:hint="eastAsia" w:ascii="仿宋_GB2312" w:hAnsi="宋体" w:eastAsia="仿宋_GB2312"/>
                <w:color w:val="auto"/>
                <w:kern w:val="0"/>
                <w:sz w:val="13"/>
                <w:szCs w:val="13"/>
                <w:highlight w:val="none"/>
                <w:lang w:eastAsia="zh-CN"/>
              </w:rPr>
              <w:t>一般情节</w:t>
            </w:r>
          </w:p>
        </w:tc>
        <w:tc>
          <w:tcPr>
            <w:tcW w:w="3437" w:type="dxa"/>
            <w:gridSpan w:val="2"/>
            <w:tcBorders>
              <w:tl2br w:val="nil"/>
              <w:tr2bl w:val="nil"/>
            </w:tcBorders>
            <w:vAlign w:val="center"/>
          </w:tcPr>
          <w:p w14:paraId="53D8D0B0">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经责令限期改正，逾期15日以上30日以内改正的。</w:t>
            </w:r>
          </w:p>
        </w:tc>
        <w:tc>
          <w:tcPr>
            <w:tcW w:w="3058" w:type="dxa"/>
            <w:tcBorders>
              <w:tl2br w:val="nil"/>
              <w:tr2bl w:val="nil"/>
            </w:tcBorders>
            <w:vAlign w:val="center"/>
          </w:tcPr>
          <w:p w14:paraId="629E3D2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处2千元以上4千元以下的罚款。</w:t>
            </w:r>
          </w:p>
        </w:tc>
      </w:tr>
      <w:tr w14:paraId="3ECEC52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677" w:hRule="atLeast"/>
          <w:jc w:val="center"/>
        </w:trPr>
        <w:tc>
          <w:tcPr>
            <w:tcW w:w="443" w:type="dxa"/>
            <w:gridSpan w:val="2"/>
            <w:vMerge w:val="continue"/>
            <w:tcBorders>
              <w:tl2br w:val="nil"/>
              <w:tr2bl w:val="nil"/>
            </w:tcBorders>
            <w:vAlign w:val="center"/>
          </w:tcPr>
          <w:p w14:paraId="6717B93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6383ED44">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0781F60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olor w:val="auto"/>
                <w:kern w:val="0"/>
                <w:sz w:val="13"/>
                <w:szCs w:val="13"/>
                <w:highlight w:val="none"/>
              </w:rPr>
            </w:pPr>
          </w:p>
        </w:tc>
        <w:tc>
          <w:tcPr>
            <w:tcW w:w="823" w:type="dxa"/>
            <w:tcBorders>
              <w:tl2br w:val="nil"/>
              <w:tr2bl w:val="nil"/>
            </w:tcBorders>
            <w:vAlign w:val="center"/>
          </w:tcPr>
          <w:p w14:paraId="1549DD7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pacing w:val="-20"/>
                <w:kern w:val="0"/>
                <w:sz w:val="13"/>
                <w:szCs w:val="13"/>
                <w:highlight w:val="none"/>
              </w:rPr>
            </w:pPr>
            <w:r>
              <w:rPr>
                <w:rFonts w:hint="eastAsia" w:ascii="仿宋_GB2312" w:hAnsi="宋体" w:eastAsia="仿宋_GB2312"/>
                <w:color w:val="auto"/>
                <w:kern w:val="0"/>
                <w:sz w:val="13"/>
                <w:szCs w:val="13"/>
                <w:highlight w:val="none"/>
                <w:lang w:eastAsia="zh-CN"/>
              </w:rPr>
              <w:t>从重情节</w:t>
            </w:r>
          </w:p>
        </w:tc>
        <w:tc>
          <w:tcPr>
            <w:tcW w:w="3437" w:type="dxa"/>
            <w:gridSpan w:val="2"/>
            <w:tcBorders>
              <w:tl2br w:val="nil"/>
              <w:tr2bl w:val="nil"/>
            </w:tcBorders>
            <w:vAlign w:val="center"/>
          </w:tcPr>
          <w:p w14:paraId="289ABBB6">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经责令限期改正，逾期30日以上未改正的。</w:t>
            </w:r>
          </w:p>
        </w:tc>
        <w:tc>
          <w:tcPr>
            <w:tcW w:w="3058" w:type="dxa"/>
            <w:tcBorders>
              <w:tl2br w:val="nil"/>
              <w:tr2bl w:val="nil"/>
            </w:tcBorders>
            <w:vAlign w:val="center"/>
          </w:tcPr>
          <w:p w14:paraId="3F03D9C5">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处4千元以上5千元以下的罚款。</w:t>
            </w:r>
          </w:p>
        </w:tc>
      </w:tr>
      <w:tr w14:paraId="586FC90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0" w:hRule="atLeast"/>
          <w:jc w:val="center"/>
        </w:trPr>
        <w:tc>
          <w:tcPr>
            <w:tcW w:w="443" w:type="dxa"/>
            <w:gridSpan w:val="2"/>
            <w:vMerge w:val="restart"/>
            <w:tcBorders>
              <w:tl2br w:val="nil"/>
              <w:tr2bl w:val="nil"/>
            </w:tcBorders>
            <w:vAlign w:val="center"/>
          </w:tcPr>
          <w:p w14:paraId="6379992D">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Times New Roman"/>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28</w:t>
            </w:r>
          </w:p>
        </w:tc>
        <w:tc>
          <w:tcPr>
            <w:tcW w:w="1550" w:type="dxa"/>
            <w:vMerge w:val="restart"/>
            <w:tcBorders>
              <w:tl2br w:val="nil"/>
              <w:tr2bl w:val="nil"/>
            </w:tcBorders>
            <w:vAlign w:val="center"/>
          </w:tcPr>
          <w:p w14:paraId="28F7F7E3">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涂改、倒卖、出租、出借或者以其他形式非法转让执业资格证书、互认资格证书、注册证书和执业印章</w:t>
            </w:r>
          </w:p>
        </w:tc>
        <w:tc>
          <w:tcPr>
            <w:tcW w:w="4820" w:type="dxa"/>
            <w:vMerge w:val="restart"/>
            <w:tcBorders>
              <w:tl2br w:val="nil"/>
              <w:tr2bl w:val="nil"/>
            </w:tcBorders>
            <w:vAlign w:val="center"/>
          </w:tcPr>
          <w:p w14:paraId="76C357A0">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《中华人民共和国注册建筑师条例实施细则》</w:t>
            </w:r>
            <w:r>
              <w:rPr>
                <w:rFonts w:hint="eastAsia" w:ascii="仿宋_GB2312" w:hAnsi="宋体" w:eastAsia="仿宋_GB2312"/>
                <w:b/>
                <w:bCs/>
                <w:color w:val="auto"/>
                <w:kern w:val="0"/>
                <w:sz w:val="13"/>
                <w:szCs w:val="13"/>
                <w:highlight w:val="none"/>
              </w:rPr>
              <w:t>第四十四条</w:t>
            </w:r>
            <w:r>
              <w:rPr>
                <w:rFonts w:hint="eastAsia" w:ascii="仿宋_GB2312" w:hAnsi="宋体" w:eastAsia="仿宋_GB2312"/>
                <w:b/>
                <w:bCs/>
                <w:color w:val="auto"/>
                <w:kern w:val="0"/>
                <w:sz w:val="13"/>
                <w:szCs w:val="13"/>
                <w:highlight w:val="none"/>
                <w:lang w:eastAsia="zh-CN"/>
              </w:rPr>
              <w:t>：</w:t>
            </w:r>
            <w:r>
              <w:rPr>
                <w:rFonts w:hint="eastAsia" w:ascii="仿宋_GB2312" w:hAnsi="宋体" w:eastAsia="仿宋_GB2312"/>
                <w:color w:val="auto"/>
                <w:kern w:val="0"/>
                <w:sz w:val="13"/>
                <w:szCs w:val="13"/>
                <w:highlight w:val="none"/>
              </w:rPr>
              <w:t>违反本细则，涂改、倒卖、出租、出借或者以其他形式非法转让执业资格证书、互认资格证书、注册证书和执业印章的，由县级以上人民政府建设主管部门责令改正，其中没有违法所得的，处以1万元以下罚款；有违法所得的处以违法所得3倍以下且不超过3万元的罚款。</w:t>
            </w:r>
          </w:p>
        </w:tc>
        <w:tc>
          <w:tcPr>
            <w:tcW w:w="823" w:type="dxa"/>
            <w:tcBorders>
              <w:tl2br w:val="nil"/>
              <w:tr2bl w:val="nil"/>
            </w:tcBorders>
            <w:vAlign w:val="center"/>
          </w:tcPr>
          <w:p w14:paraId="1CB39BA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pacing w:val="-20"/>
                <w:kern w:val="0"/>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vAlign w:val="center"/>
          </w:tcPr>
          <w:p w14:paraId="517D5D5C">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没有违法所得，未造成危害后果或造成轻微危害后果的。</w:t>
            </w:r>
          </w:p>
        </w:tc>
        <w:tc>
          <w:tcPr>
            <w:tcW w:w="3058" w:type="dxa"/>
            <w:tcBorders>
              <w:tl2br w:val="nil"/>
              <w:tr2bl w:val="nil"/>
            </w:tcBorders>
            <w:vAlign w:val="center"/>
          </w:tcPr>
          <w:p w14:paraId="37B3B4C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责令改正，处3千元以下的罚款。</w:t>
            </w:r>
          </w:p>
        </w:tc>
      </w:tr>
      <w:tr w14:paraId="74D0979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90" w:hRule="atLeast"/>
          <w:jc w:val="center"/>
        </w:trPr>
        <w:tc>
          <w:tcPr>
            <w:tcW w:w="443" w:type="dxa"/>
            <w:gridSpan w:val="2"/>
            <w:vMerge w:val="continue"/>
            <w:tcBorders>
              <w:tl2br w:val="nil"/>
              <w:tr2bl w:val="nil"/>
            </w:tcBorders>
            <w:vAlign w:val="center"/>
          </w:tcPr>
          <w:p w14:paraId="6C81849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40749A5A">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top"/>
          </w:tcPr>
          <w:p w14:paraId="752DCA6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olor w:val="auto"/>
                <w:kern w:val="0"/>
                <w:sz w:val="13"/>
                <w:szCs w:val="13"/>
                <w:highlight w:val="none"/>
              </w:rPr>
            </w:pPr>
          </w:p>
        </w:tc>
        <w:tc>
          <w:tcPr>
            <w:tcW w:w="823" w:type="dxa"/>
            <w:vMerge w:val="restart"/>
            <w:tcBorders>
              <w:tl2br w:val="nil"/>
              <w:tr2bl w:val="nil"/>
            </w:tcBorders>
            <w:vAlign w:val="center"/>
          </w:tcPr>
          <w:p w14:paraId="3174227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olor w:val="auto"/>
                <w:spacing w:val="-20"/>
                <w:kern w:val="0"/>
                <w:sz w:val="13"/>
                <w:szCs w:val="13"/>
                <w:highlight w:val="none"/>
              </w:rPr>
            </w:pPr>
            <w:r>
              <w:rPr>
                <w:rFonts w:hint="eastAsia" w:ascii="仿宋_GB2312" w:hAnsi="宋体" w:eastAsia="仿宋_GB2312"/>
                <w:color w:val="auto"/>
                <w:kern w:val="0"/>
                <w:sz w:val="13"/>
                <w:szCs w:val="13"/>
                <w:highlight w:val="none"/>
                <w:lang w:eastAsia="zh-CN"/>
              </w:rPr>
              <w:t>一般情节</w:t>
            </w:r>
          </w:p>
        </w:tc>
        <w:tc>
          <w:tcPr>
            <w:tcW w:w="3437" w:type="dxa"/>
            <w:gridSpan w:val="2"/>
            <w:tcBorders>
              <w:tl2br w:val="nil"/>
              <w:tr2bl w:val="nil"/>
            </w:tcBorders>
            <w:vAlign w:val="center"/>
          </w:tcPr>
          <w:p w14:paraId="06359D4F">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（1）违法所得在1万元以下的。</w:t>
            </w:r>
          </w:p>
        </w:tc>
        <w:tc>
          <w:tcPr>
            <w:tcW w:w="3058" w:type="dxa"/>
            <w:tcBorders>
              <w:tl2br w:val="nil"/>
              <w:tr2bl w:val="nil"/>
            </w:tcBorders>
            <w:vAlign w:val="center"/>
          </w:tcPr>
          <w:p w14:paraId="499EA61F">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color w:val="auto"/>
                <w:sz w:val="13"/>
                <w:szCs w:val="13"/>
                <w:highlight w:val="none"/>
              </w:rPr>
            </w:pPr>
            <w:r>
              <w:rPr>
                <w:rFonts w:hint="eastAsia" w:ascii="仿宋_GB2312" w:hAnsi="宋体" w:eastAsia="仿宋_GB2312"/>
                <w:color w:val="auto"/>
                <w:kern w:val="0"/>
                <w:sz w:val="13"/>
                <w:szCs w:val="13"/>
                <w:highlight w:val="none"/>
              </w:rPr>
              <w:t>责令改正，处以违法所得1倍以下且不超过3万元的罚款。</w:t>
            </w:r>
          </w:p>
        </w:tc>
      </w:tr>
      <w:tr w14:paraId="090E8FD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94" w:hRule="atLeast"/>
          <w:jc w:val="center"/>
        </w:trPr>
        <w:tc>
          <w:tcPr>
            <w:tcW w:w="443" w:type="dxa"/>
            <w:gridSpan w:val="2"/>
            <w:vMerge w:val="continue"/>
            <w:tcBorders>
              <w:tl2br w:val="nil"/>
              <w:tr2bl w:val="nil"/>
            </w:tcBorders>
            <w:vAlign w:val="center"/>
          </w:tcPr>
          <w:p w14:paraId="1C37B09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28F0862F">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top"/>
          </w:tcPr>
          <w:p w14:paraId="40376DC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olor w:val="auto"/>
                <w:kern w:val="0"/>
                <w:sz w:val="13"/>
                <w:szCs w:val="13"/>
                <w:highlight w:val="none"/>
              </w:rPr>
            </w:pPr>
          </w:p>
        </w:tc>
        <w:tc>
          <w:tcPr>
            <w:tcW w:w="823" w:type="dxa"/>
            <w:vMerge w:val="continue"/>
            <w:tcBorders>
              <w:tl2br w:val="nil"/>
              <w:tr2bl w:val="nil"/>
            </w:tcBorders>
            <w:vAlign w:val="center"/>
          </w:tcPr>
          <w:p w14:paraId="3EF3D58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olor w:val="auto"/>
                <w:spacing w:val="-20"/>
                <w:kern w:val="0"/>
                <w:sz w:val="13"/>
                <w:szCs w:val="13"/>
                <w:highlight w:val="none"/>
              </w:rPr>
            </w:pPr>
          </w:p>
        </w:tc>
        <w:tc>
          <w:tcPr>
            <w:tcW w:w="3437" w:type="dxa"/>
            <w:gridSpan w:val="2"/>
            <w:tcBorders>
              <w:tl2br w:val="nil"/>
              <w:tr2bl w:val="nil"/>
            </w:tcBorders>
            <w:vAlign w:val="center"/>
          </w:tcPr>
          <w:p w14:paraId="78AE08D2">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（2）没有违法所得，造成一般危害后果的。</w:t>
            </w:r>
          </w:p>
        </w:tc>
        <w:tc>
          <w:tcPr>
            <w:tcW w:w="3058" w:type="dxa"/>
            <w:tcBorders>
              <w:tl2br w:val="nil"/>
              <w:tr2bl w:val="nil"/>
            </w:tcBorders>
            <w:vAlign w:val="center"/>
          </w:tcPr>
          <w:p w14:paraId="1EB2F54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责令改正，处3千元以上7千元以下的罚款。</w:t>
            </w:r>
          </w:p>
        </w:tc>
      </w:tr>
      <w:tr w14:paraId="52721EE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0" w:hRule="atLeast"/>
          <w:jc w:val="center"/>
        </w:trPr>
        <w:tc>
          <w:tcPr>
            <w:tcW w:w="443" w:type="dxa"/>
            <w:gridSpan w:val="2"/>
            <w:vMerge w:val="continue"/>
            <w:tcBorders>
              <w:tl2br w:val="nil"/>
              <w:tr2bl w:val="nil"/>
            </w:tcBorders>
            <w:vAlign w:val="center"/>
          </w:tcPr>
          <w:p w14:paraId="17A38C6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21AA4CE1">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58D34A3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b/>
                <w:color w:val="auto"/>
                <w:kern w:val="0"/>
                <w:sz w:val="13"/>
                <w:szCs w:val="13"/>
                <w:highlight w:val="none"/>
              </w:rPr>
            </w:pPr>
          </w:p>
        </w:tc>
        <w:tc>
          <w:tcPr>
            <w:tcW w:w="823" w:type="dxa"/>
            <w:vMerge w:val="restart"/>
            <w:tcBorders>
              <w:tl2br w:val="nil"/>
              <w:tr2bl w:val="nil"/>
            </w:tcBorders>
            <w:vAlign w:val="center"/>
          </w:tcPr>
          <w:p w14:paraId="2E9B7E4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olor w:val="auto"/>
                <w:spacing w:val="-20"/>
                <w:kern w:val="0"/>
                <w:sz w:val="13"/>
                <w:szCs w:val="13"/>
                <w:highlight w:val="none"/>
              </w:rPr>
            </w:pPr>
            <w:r>
              <w:rPr>
                <w:rFonts w:hint="eastAsia" w:ascii="仿宋_GB2312" w:hAnsi="宋体" w:eastAsia="仿宋_GB2312"/>
                <w:color w:val="auto"/>
                <w:kern w:val="0"/>
                <w:sz w:val="13"/>
                <w:szCs w:val="13"/>
                <w:highlight w:val="none"/>
                <w:lang w:eastAsia="zh-CN"/>
              </w:rPr>
              <w:t>从重情节</w:t>
            </w:r>
          </w:p>
        </w:tc>
        <w:tc>
          <w:tcPr>
            <w:tcW w:w="3437" w:type="dxa"/>
            <w:gridSpan w:val="2"/>
            <w:tcBorders>
              <w:tl2br w:val="nil"/>
              <w:tr2bl w:val="nil"/>
            </w:tcBorders>
            <w:vAlign w:val="center"/>
          </w:tcPr>
          <w:p w14:paraId="0A9927A7">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65" w:firstLineChars="5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（1）违法所得在1万元以上3万元以下的。</w:t>
            </w:r>
          </w:p>
        </w:tc>
        <w:tc>
          <w:tcPr>
            <w:tcW w:w="3058" w:type="dxa"/>
            <w:tcBorders>
              <w:tl2br w:val="nil"/>
              <w:tr2bl w:val="nil"/>
            </w:tcBorders>
            <w:vAlign w:val="center"/>
          </w:tcPr>
          <w:p w14:paraId="47E84476">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color w:val="auto"/>
                <w:sz w:val="13"/>
                <w:szCs w:val="13"/>
                <w:highlight w:val="none"/>
              </w:rPr>
            </w:pPr>
            <w:r>
              <w:rPr>
                <w:rFonts w:hint="eastAsia" w:ascii="仿宋_GB2312" w:hAnsi="宋体" w:eastAsia="仿宋_GB2312"/>
                <w:color w:val="auto"/>
                <w:kern w:val="0"/>
                <w:sz w:val="13"/>
                <w:szCs w:val="13"/>
                <w:highlight w:val="none"/>
              </w:rPr>
              <w:t>责令改正，处以违法所得1倍以上2倍以下且不超过3万元的罚款。</w:t>
            </w:r>
          </w:p>
        </w:tc>
      </w:tr>
      <w:tr w14:paraId="6ADEA19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0" w:hRule="atLeast"/>
          <w:jc w:val="center"/>
        </w:trPr>
        <w:tc>
          <w:tcPr>
            <w:tcW w:w="443" w:type="dxa"/>
            <w:gridSpan w:val="2"/>
            <w:vMerge w:val="continue"/>
            <w:tcBorders>
              <w:tl2br w:val="nil"/>
              <w:tr2bl w:val="nil"/>
            </w:tcBorders>
            <w:vAlign w:val="center"/>
          </w:tcPr>
          <w:p w14:paraId="7035644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0AE43193">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10687E6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b/>
                <w:color w:val="auto"/>
                <w:kern w:val="0"/>
                <w:sz w:val="13"/>
                <w:szCs w:val="13"/>
                <w:highlight w:val="none"/>
              </w:rPr>
            </w:pPr>
          </w:p>
        </w:tc>
        <w:tc>
          <w:tcPr>
            <w:tcW w:w="823" w:type="dxa"/>
            <w:vMerge w:val="continue"/>
            <w:tcBorders>
              <w:tl2br w:val="nil"/>
              <w:tr2bl w:val="nil"/>
            </w:tcBorders>
            <w:vAlign w:val="center"/>
          </w:tcPr>
          <w:p w14:paraId="6E7795C4">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center"/>
              <w:rPr>
                <w:rFonts w:ascii="仿宋_GB2312" w:hAnsi="宋体" w:eastAsia="仿宋_GB2312"/>
                <w:color w:val="auto"/>
                <w:kern w:val="0"/>
                <w:sz w:val="13"/>
                <w:szCs w:val="13"/>
                <w:highlight w:val="none"/>
              </w:rPr>
            </w:pPr>
          </w:p>
        </w:tc>
        <w:tc>
          <w:tcPr>
            <w:tcW w:w="3437" w:type="dxa"/>
            <w:gridSpan w:val="2"/>
            <w:tcBorders>
              <w:tl2br w:val="nil"/>
              <w:tr2bl w:val="nil"/>
            </w:tcBorders>
            <w:vAlign w:val="center"/>
          </w:tcPr>
          <w:p w14:paraId="107937BB">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65" w:firstLineChars="5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（2）违法所得在3万元以上的。</w:t>
            </w:r>
          </w:p>
        </w:tc>
        <w:tc>
          <w:tcPr>
            <w:tcW w:w="3058" w:type="dxa"/>
            <w:tcBorders>
              <w:tl2br w:val="nil"/>
              <w:tr2bl w:val="nil"/>
            </w:tcBorders>
            <w:vAlign w:val="center"/>
          </w:tcPr>
          <w:p w14:paraId="7353B381">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color w:val="auto"/>
                <w:sz w:val="13"/>
                <w:szCs w:val="13"/>
                <w:highlight w:val="none"/>
              </w:rPr>
            </w:pPr>
            <w:r>
              <w:rPr>
                <w:rFonts w:hint="eastAsia" w:ascii="仿宋_GB2312" w:hAnsi="宋体" w:eastAsia="仿宋_GB2312"/>
                <w:color w:val="auto"/>
                <w:kern w:val="0"/>
                <w:sz w:val="13"/>
                <w:szCs w:val="13"/>
                <w:highlight w:val="none"/>
              </w:rPr>
              <w:t>责令改正，处以违法所得2倍以上3倍以下且不超过3万元的罚款。</w:t>
            </w:r>
          </w:p>
        </w:tc>
      </w:tr>
      <w:tr w14:paraId="3350077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97" w:hRule="atLeast"/>
          <w:jc w:val="center"/>
        </w:trPr>
        <w:tc>
          <w:tcPr>
            <w:tcW w:w="443" w:type="dxa"/>
            <w:gridSpan w:val="2"/>
            <w:vMerge w:val="continue"/>
            <w:tcBorders>
              <w:tl2br w:val="nil"/>
              <w:tr2bl w:val="nil"/>
            </w:tcBorders>
            <w:vAlign w:val="center"/>
          </w:tcPr>
          <w:p w14:paraId="6DA9749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213335C8">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715A3D2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b/>
                <w:color w:val="auto"/>
                <w:kern w:val="0"/>
                <w:sz w:val="13"/>
                <w:szCs w:val="13"/>
                <w:highlight w:val="none"/>
              </w:rPr>
            </w:pPr>
          </w:p>
        </w:tc>
        <w:tc>
          <w:tcPr>
            <w:tcW w:w="823" w:type="dxa"/>
            <w:vMerge w:val="continue"/>
            <w:tcBorders>
              <w:tl2br w:val="nil"/>
              <w:tr2bl w:val="nil"/>
            </w:tcBorders>
            <w:vAlign w:val="center"/>
          </w:tcPr>
          <w:p w14:paraId="2BB41F21">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center"/>
              <w:rPr>
                <w:rFonts w:ascii="仿宋_GB2312" w:hAnsi="宋体" w:eastAsia="仿宋_GB2312"/>
                <w:color w:val="auto"/>
                <w:kern w:val="0"/>
                <w:sz w:val="13"/>
                <w:szCs w:val="13"/>
                <w:highlight w:val="none"/>
              </w:rPr>
            </w:pPr>
          </w:p>
        </w:tc>
        <w:tc>
          <w:tcPr>
            <w:tcW w:w="3437" w:type="dxa"/>
            <w:gridSpan w:val="2"/>
            <w:tcBorders>
              <w:tl2br w:val="nil"/>
              <w:tr2bl w:val="nil"/>
            </w:tcBorders>
            <w:vAlign w:val="center"/>
          </w:tcPr>
          <w:p w14:paraId="008BE13A">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65" w:firstLineChars="5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（3）没有违法所得，造成严重危害后果的。</w:t>
            </w:r>
          </w:p>
        </w:tc>
        <w:tc>
          <w:tcPr>
            <w:tcW w:w="3058" w:type="dxa"/>
            <w:tcBorders>
              <w:tl2br w:val="nil"/>
              <w:tr2bl w:val="nil"/>
            </w:tcBorders>
            <w:vAlign w:val="center"/>
          </w:tcPr>
          <w:p w14:paraId="2F99598A">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责令改正，处7千元以上1万元以下的罚款。</w:t>
            </w:r>
          </w:p>
        </w:tc>
      </w:tr>
      <w:tr w14:paraId="23A34D5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06" w:hRule="atLeast"/>
          <w:jc w:val="center"/>
        </w:trPr>
        <w:tc>
          <w:tcPr>
            <w:tcW w:w="443" w:type="dxa"/>
            <w:gridSpan w:val="2"/>
            <w:vMerge w:val="restart"/>
            <w:tcBorders>
              <w:tl2br w:val="nil"/>
              <w:tr2bl w:val="nil"/>
            </w:tcBorders>
            <w:vAlign w:val="center"/>
          </w:tcPr>
          <w:p w14:paraId="0E779E17">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Times New Roman"/>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29</w:t>
            </w:r>
          </w:p>
        </w:tc>
        <w:tc>
          <w:tcPr>
            <w:tcW w:w="1550" w:type="dxa"/>
            <w:vMerge w:val="restart"/>
            <w:tcBorders>
              <w:tl2br w:val="nil"/>
              <w:tr2bl w:val="nil"/>
            </w:tcBorders>
            <w:vAlign w:val="center"/>
          </w:tcPr>
          <w:p w14:paraId="03349823">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注册建筑师或者其聘用单位未按照要求提供注册建筑师信用档案信息</w:t>
            </w:r>
          </w:p>
        </w:tc>
        <w:tc>
          <w:tcPr>
            <w:tcW w:w="4820" w:type="dxa"/>
            <w:vMerge w:val="restart"/>
            <w:tcBorders>
              <w:tl2br w:val="nil"/>
              <w:tr2bl w:val="nil"/>
            </w:tcBorders>
            <w:vAlign w:val="center"/>
          </w:tcPr>
          <w:p w14:paraId="4F5AC8F2">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《中华人民共和国注册建筑师条例实施细则》</w:t>
            </w:r>
            <w:r>
              <w:rPr>
                <w:rFonts w:hint="eastAsia" w:ascii="仿宋_GB2312" w:hAnsi="宋体" w:eastAsia="仿宋_GB2312"/>
                <w:b/>
                <w:bCs/>
                <w:color w:val="auto"/>
                <w:kern w:val="0"/>
                <w:sz w:val="13"/>
                <w:szCs w:val="13"/>
                <w:highlight w:val="none"/>
              </w:rPr>
              <w:t>第四十五条</w:t>
            </w:r>
            <w:r>
              <w:rPr>
                <w:rFonts w:hint="eastAsia" w:ascii="仿宋_GB2312" w:hAnsi="宋体" w:eastAsia="仿宋_GB2312"/>
                <w:b/>
                <w:bCs/>
                <w:color w:val="auto"/>
                <w:kern w:val="0"/>
                <w:sz w:val="13"/>
                <w:szCs w:val="13"/>
                <w:highlight w:val="none"/>
                <w:lang w:eastAsia="zh-CN"/>
              </w:rPr>
              <w:t>：</w:t>
            </w:r>
            <w:r>
              <w:rPr>
                <w:rFonts w:hint="eastAsia" w:ascii="仿宋_GB2312" w:hAnsi="宋体" w:eastAsia="仿宋_GB2312"/>
                <w:color w:val="auto"/>
                <w:kern w:val="0"/>
                <w:sz w:val="13"/>
                <w:szCs w:val="13"/>
                <w:highlight w:val="none"/>
              </w:rPr>
              <w:t>违反本细则，注册建筑师或者其聘用单位未按照要求提供注册建筑师信用档案信息的，由县级以上人民政府建设主管部门责令限期改正；逾期未改正的，可处以1000元以上1万元以下的罚款。</w:t>
            </w:r>
          </w:p>
        </w:tc>
        <w:tc>
          <w:tcPr>
            <w:tcW w:w="823" w:type="dxa"/>
            <w:tcBorders>
              <w:tl2br w:val="nil"/>
              <w:tr2bl w:val="nil"/>
            </w:tcBorders>
            <w:vAlign w:val="center"/>
          </w:tcPr>
          <w:p w14:paraId="61A75E49">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vAlign w:val="center"/>
          </w:tcPr>
          <w:p w14:paraId="2DB2348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经责令限期改正，逾期15日以内改正的。</w:t>
            </w:r>
          </w:p>
        </w:tc>
        <w:tc>
          <w:tcPr>
            <w:tcW w:w="3058" w:type="dxa"/>
            <w:tcBorders>
              <w:tl2br w:val="nil"/>
              <w:tr2bl w:val="nil"/>
            </w:tcBorders>
            <w:vAlign w:val="center"/>
          </w:tcPr>
          <w:p w14:paraId="71BE9A5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可处1千元以上4千元以下的罚款。</w:t>
            </w:r>
          </w:p>
        </w:tc>
      </w:tr>
      <w:tr w14:paraId="57FEA5E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71" w:hRule="atLeast"/>
          <w:jc w:val="center"/>
        </w:trPr>
        <w:tc>
          <w:tcPr>
            <w:tcW w:w="443" w:type="dxa"/>
            <w:gridSpan w:val="2"/>
            <w:vMerge w:val="continue"/>
            <w:tcBorders>
              <w:tl2br w:val="nil"/>
              <w:tr2bl w:val="nil"/>
            </w:tcBorders>
            <w:vAlign w:val="center"/>
          </w:tcPr>
          <w:p w14:paraId="09A7B08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63F2FF1D">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p>
        </w:tc>
        <w:tc>
          <w:tcPr>
            <w:tcW w:w="4820" w:type="dxa"/>
            <w:vMerge w:val="continue"/>
            <w:tcBorders>
              <w:tl2br w:val="nil"/>
              <w:tr2bl w:val="nil"/>
            </w:tcBorders>
            <w:vAlign w:val="top"/>
          </w:tcPr>
          <w:p w14:paraId="45A35A1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823" w:type="dxa"/>
            <w:tcBorders>
              <w:tl2br w:val="nil"/>
              <w:tr2bl w:val="nil"/>
            </w:tcBorders>
            <w:vAlign w:val="center"/>
          </w:tcPr>
          <w:p w14:paraId="2AC81C45">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一般情节</w:t>
            </w:r>
          </w:p>
        </w:tc>
        <w:tc>
          <w:tcPr>
            <w:tcW w:w="3437" w:type="dxa"/>
            <w:gridSpan w:val="2"/>
            <w:tcBorders>
              <w:tl2br w:val="nil"/>
              <w:tr2bl w:val="nil"/>
            </w:tcBorders>
            <w:vAlign w:val="center"/>
          </w:tcPr>
          <w:p w14:paraId="4DEC634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经责令限期改正，逾期15日以上30日以内改正的。</w:t>
            </w:r>
          </w:p>
        </w:tc>
        <w:tc>
          <w:tcPr>
            <w:tcW w:w="3058" w:type="dxa"/>
            <w:tcBorders>
              <w:tl2br w:val="nil"/>
              <w:tr2bl w:val="nil"/>
            </w:tcBorders>
            <w:vAlign w:val="center"/>
          </w:tcPr>
          <w:p w14:paraId="4C7F5B2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可处4千元以上7千元以下的罚款。</w:t>
            </w:r>
          </w:p>
        </w:tc>
      </w:tr>
      <w:tr w14:paraId="0AE1F9C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06" w:hRule="atLeast"/>
          <w:jc w:val="center"/>
        </w:trPr>
        <w:tc>
          <w:tcPr>
            <w:tcW w:w="443" w:type="dxa"/>
            <w:gridSpan w:val="2"/>
            <w:vMerge w:val="continue"/>
            <w:tcBorders>
              <w:tl2br w:val="nil"/>
              <w:tr2bl w:val="nil"/>
            </w:tcBorders>
            <w:vAlign w:val="center"/>
          </w:tcPr>
          <w:p w14:paraId="32B2EA7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5FE3F7EB">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4A4CAF2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823" w:type="dxa"/>
            <w:tcBorders>
              <w:tl2br w:val="nil"/>
              <w:tr2bl w:val="nil"/>
            </w:tcBorders>
            <w:vAlign w:val="center"/>
          </w:tcPr>
          <w:p w14:paraId="388B895A">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从重情节</w:t>
            </w:r>
          </w:p>
        </w:tc>
        <w:tc>
          <w:tcPr>
            <w:tcW w:w="3437" w:type="dxa"/>
            <w:gridSpan w:val="2"/>
            <w:tcBorders>
              <w:tl2br w:val="nil"/>
              <w:tr2bl w:val="nil"/>
            </w:tcBorders>
            <w:vAlign w:val="center"/>
          </w:tcPr>
          <w:p w14:paraId="3EC3326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经责令限期改正，逾期30日以上未改正的。</w:t>
            </w:r>
          </w:p>
        </w:tc>
        <w:tc>
          <w:tcPr>
            <w:tcW w:w="3058" w:type="dxa"/>
            <w:tcBorders>
              <w:tl2br w:val="nil"/>
              <w:tr2bl w:val="nil"/>
            </w:tcBorders>
            <w:vAlign w:val="center"/>
          </w:tcPr>
          <w:p w14:paraId="1715BB0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可处7千元以上1万元以下的罚款。</w:t>
            </w:r>
          </w:p>
        </w:tc>
      </w:tr>
      <w:tr w14:paraId="086B0D9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500" w:hRule="atLeast"/>
          <w:jc w:val="center"/>
        </w:trPr>
        <w:tc>
          <w:tcPr>
            <w:tcW w:w="443" w:type="dxa"/>
            <w:gridSpan w:val="2"/>
            <w:vMerge w:val="restart"/>
            <w:tcBorders>
              <w:tl2br w:val="nil"/>
              <w:tr2bl w:val="nil"/>
            </w:tcBorders>
            <w:vAlign w:val="center"/>
          </w:tcPr>
          <w:p w14:paraId="2B94AA5C">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Times New Roman"/>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30</w:t>
            </w:r>
          </w:p>
        </w:tc>
        <w:tc>
          <w:tcPr>
            <w:tcW w:w="1550" w:type="dxa"/>
            <w:vMerge w:val="restart"/>
            <w:tcBorders>
              <w:tl2br w:val="nil"/>
              <w:tr2bl w:val="nil"/>
            </w:tcBorders>
            <w:vAlign w:val="center"/>
          </w:tcPr>
          <w:p w14:paraId="7D67FBED">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聘用单位为申请人提供虚假注册材料，逾期未改正</w:t>
            </w:r>
          </w:p>
        </w:tc>
        <w:tc>
          <w:tcPr>
            <w:tcW w:w="4820" w:type="dxa"/>
            <w:vMerge w:val="restart"/>
            <w:tcBorders>
              <w:tl2br w:val="nil"/>
              <w:tr2bl w:val="nil"/>
            </w:tcBorders>
            <w:vAlign w:val="center"/>
          </w:tcPr>
          <w:p w14:paraId="2EBBCBB1">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《中华人民共和国注册建筑师条例实施细则》</w:t>
            </w:r>
            <w:r>
              <w:rPr>
                <w:rFonts w:hint="eastAsia" w:ascii="仿宋_GB2312" w:hAnsi="宋体" w:eastAsia="仿宋_GB2312"/>
                <w:b/>
                <w:bCs/>
                <w:color w:val="auto"/>
                <w:kern w:val="0"/>
                <w:sz w:val="13"/>
                <w:szCs w:val="13"/>
                <w:highlight w:val="none"/>
              </w:rPr>
              <w:t>第四十六条</w:t>
            </w:r>
            <w:r>
              <w:rPr>
                <w:rFonts w:hint="eastAsia" w:ascii="仿宋_GB2312" w:hAnsi="宋体" w:eastAsia="仿宋_GB2312"/>
                <w:b/>
                <w:bCs/>
                <w:color w:val="auto"/>
                <w:kern w:val="0"/>
                <w:sz w:val="13"/>
                <w:szCs w:val="13"/>
                <w:highlight w:val="none"/>
                <w:lang w:eastAsia="zh-CN"/>
              </w:rPr>
              <w:t>：</w:t>
            </w:r>
            <w:r>
              <w:rPr>
                <w:rFonts w:hint="eastAsia" w:ascii="仿宋_GB2312" w:hAnsi="宋体" w:eastAsia="仿宋_GB2312"/>
                <w:color w:val="auto"/>
                <w:kern w:val="0"/>
                <w:sz w:val="13"/>
                <w:szCs w:val="13"/>
                <w:highlight w:val="none"/>
              </w:rPr>
              <w:t>聘用单位为申请人提供虚假注册材料的，由县级以上人民政府建设主管部门给予警告，责令限期改正；逾期未改正的，可处以1万元以上3万元以下的罚款。</w:t>
            </w:r>
          </w:p>
        </w:tc>
        <w:tc>
          <w:tcPr>
            <w:tcW w:w="823" w:type="dxa"/>
            <w:tcBorders>
              <w:tl2br w:val="nil"/>
              <w:tr2bl w:val="nil"/>
            </w:tcBorders>
            <w:vAlign w:val="center"/>
          </w:tcPr>
          <w:p w14:paraId="347A717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vAlign w:val="center"/>
          </w:tcPr>
          <w:p w14:paraId="008B538D">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聘用单位为1个申请人提供虚假注册材料。</w:t>
            </w:r>
          </w:p>
        </w:tc>
        <w:tc>
          <w:tcPr>
            <w:tcW w:w="3058" w:type="dxa"/>
            <w:tcBorders>
              <w:tl2br w:val="nil"/>
              <w:tr2bl w:val="nil"/>
            </w:tcBorders>
            <w:vAlign w:val="center"/>
          </w:tcPr>
          <w:p w14:paraId="5593A271">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可处以1万元以上1.5万元以下的罚款。</w:t>
            </w:r>
          </w:p>
        </w:tc>
      </w:tr>
      <w:tr w14:paraId="020EFEC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0" w:hRule="atLeast"/>
          <w:jc w:val="center"/>
        </w:trPr>
        <w:tc>
          <w:tcPr>
            <w:tcW w:w="443" w:type="dxa"/>
            <w:gridSpan w:val="2"/>
            <w:vMerge w:val="continue"/>
            <w:tcBorders>
              <w:tl2br w:val="nil"/>
              <w:tr2bl w:val="nil"/>
            </w:tcBorders>
            <w:vAlign w:val="center"/>
          </w:tcPr>
          <w:p w14:paraId="7E5AD9A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14BD8095">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top"/>
          </w:tcPr>
          <w:p w14:paraId="4CF39DC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olor w:val="auto"/>
                <w:kern w:val="0"/>
                <w:sz w:val="13"/>
                <w:szCs w:val="13"/>
                <w:highlight w:val="none"/>
              </w:rPr>
            </w:pPr>
          </w:p>
        </w:tc>
        <w:tc>
          <w:tcPr>
            <w:tcW w:w="823" w:type="dxa"/>
            <w:tcBorders>
              <w:tl2br w:val="nil"/>
              <w:tr2bl w:val="nil"/>
            </w:tcBorders>
            <w:vAlign w:val="center"/>
          </w:tcPr>
          <w:p w14:paraId="46F0BD1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一般情节</w:t>
            </w:r>
          </w:p>
        </w:tc>
        <w:tc>
          <w:tcPr>
            <w:tcW w:w="3437" w:type="dxa"/>
            <w:gridSpan w:val="2"/>
            <w:tcBorders>
              <w:tl2br w:val="nil"/>
              <w:tr2bl w:val="nil"/>
            </w:tcBorders>
            <w:vAlign w:val="center"/>
          </w:tcPr>
          <w:p w14:paraId="2F163066">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聘用单位为2个以上5个以下申请人提供虚假注册材料。</w:t>
            </w:r>
          </w:p>
        </w:tc>
        <w:tc>
          <w:tcPr>
            <w:tcW w:w="3058" w:type="dxa"/>
            <w:tcBorders>
              <w:tl2br w:val="nil"/>
              <w:tr2bl w:val="nil"/>
            </w:tcBorders>
            <w:vAlign w:val="center"/>
          </w:tcPr>
          <w:p w14:paraId="1776513D">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可处以1.5万元以上2.5万元以下的罚款。</w:t>
            </w:r>
          </w:p>
        </w:tc>
      </w:tr>
      <w:tr w14:paraId="68B12FD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454" w:hRule="atLeast"/>
          <w:jc w:val="center"/>
        </w:trPr>
        <w:tc>
          <w:tcPr>
            <w:tcW w:w="443" w:type="dxa"/>
            <w:gridSpan w:val="2"/>
            <w:vMerge w:val="continue"/>
            <w:tcBorders>
              <w:tl2br w:val="nil"/>
              <w:tr2bl w:val="nil"/>
            </w:tcBorders>
            <w:vAlign w:val="center"/>
          </w:tcPr>
          <w:p w14:paraId="301067C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7930979B">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12C6C0D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olor w:val="auto"/>
                <w:kern w:val="0"/>
                <w:sz w:val="13"/>
                <w:szCs w:val="13"/>
                <w:highlight w:val="none"/>
              </w:rPr>
            </w:pPr>
          </w:p>
        </w:tc>
        <w:tc>
          <w:tcPr>
            <w:tcW w:w="823" w:type="dxa"/>
            <w:tcBorders>
              <w:tl2br w:val="nil"/>
              <w:tr2bl w:val="nil"/>
            </w:tcBorders>
            <w:vAlign w:val="center"/>
          </w:tcPr>
          <w:p w14:paraId="5D6E5DA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从重情节</w:t>
            </w:r>
          </w:p>
        </w:tc>
        <w:tc>
          <w:tcPr>
            <w:tcW w:w="3437" w:type="dxa"/>
            <w:gridSpan w:val="2"/>
            <w:tcBorders>
              <w:tl2br w:val="nil"/>
              <w:tr2bl w:val="nil"/>
            </w:tcBorders>
            <w:vAlign w:val="center"/>
          </w:tcPr>
          <w:p w14:paraId="58C0A29B">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聘用单位为5个以上申请人提供虚假注册材料。</w:t>
            </w:r>
          </w:p>
        </w:tc>
        <w:tc>
          <w:tcPr>
            <w:tcW w:w="3058" w:type="dxa"/>
            <w:tcBorders>
              <w:tl2br w:val="nil"/>
              <w:tr2bl w:val="nil"/>
            </w:tcBorders>
            <w:vAlign w:val="center"/>
          </w:tcPr>
          <w:p w14:paraId="1F57592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可处以2.5万元以上3万元以下的罚款。</w:t>
            </w:r>
          </w:p>
        </w:tc>
      </w:tr>
      <w:tr w14:paraId="3D470E5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440" w:hRule="atLeast"/>
          <w:jc w:val="center"/>
        </w:trPr>
        <w:tc>
          <w:tcPr>
            <w:tcW w:w="443" w:type="dxa"/>
            <w:gridSpan w:val="2"/>
            <w:vMerge w:val="restart"/>
            <w:tcBorders>
              <w:tl2br w:val="nil"/>
              <w:tr2bl w:val="nil"/>
            </w:tcBorders>
            <w:vAlign w:val="center"/>
          </w:tcPr>
          <w:p w14:paraId="0AF7DBC0">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Times New Roman"/>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31</w:t>
            </w:r>
          </w:p>
        </w:tc>
        <w:tc>
          <w:tcPr>
            <w:tcW w:w="1550" w:type="dxa"/>
            <w:vMerge w:val="restart"/>
            <w:tcBorders>
              <w:tl2br w:val="nil"/>
              <w:tr2bl w:val="nil"/>
            </w:tcBorders>
            <w:vAlign w:val="center"/>
          </w:tcPr>
          <w:p w14:paraId="0D00EE1B">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工程造价咨询企业跨省、自治区、直辖市承接业务不备案</w:t>
            </w:r>
          </w:p>
        </w:tc>
        <w:tc>
          <w:tcPr>
            <w:tcW w:w="4820" w:type="dxa"/>
            <w:vMerge w:val="restart"/>
            <w:tcBorders>
              <w:tl2br w:val="nil"/>
              <w:tr2bl w:val="nil"/>
            </w:tcBorders>
            <w:vAlign w:val="center"/>
          </w:tcPr>
          <w:p w14:paraId="6C61983C">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《工程造价咨询企业管理办法》</w:t>
            </w:r>
            <w:r>
              <w:rPr>
                <w:rFonts w:hint="eastAsia" w:ascii="仿宋_GB2312" w:hAnsi="宋体" w:eastAsia="仿宋_GB2312"/>
                <w:b/>
                <w:bCs/>
                <w:color w:val="auto"/>
                <w:kern w:val="0"/>
                <w:sz w:val="13"/>
                <w:szCs w:val="13"/>
                <w:highlight w:val="none"/>
              </w:rPr>
              <w:t>第三十八条</w:t>
            </w:r>
            <w:r>
              <w:rPr>
                <w:rFonts w:hint="eastAsia" w:ascii="仿宋_GB2312" w:hAnsi="宋体" w:eastAsia="仿宋_GB2312"/>
                <w:b/>
                <w:bCs/>
                <w:color w:val="auto"/>
                <w:kern w:val="0"/>
                <w:sz w:val="13"/>
                <w:szCs w:val="13"/>
                <w:highlight w:val="none"/>
                <w:lang w:eastAsia="zh-CN"/>
              </w:rPr>
              <w:t>：</w:t>
            </w:r>
            <w:r>
              <w:rPr>
                <w:rFonts w:hint="eastAsia" w:ascii="仿宋_GB2312" w:hAnsi="宋体" w:eastAsia="仿宋_GB2312"/>
                <w:color w:val="auto"/>
                <w:kern w:val="0"/>
                <w:sz w:val="13"/>
                <w:szCs w:val="13"/>
                <w:highlight w:val="none"/>
              </w:rPr>
              <w:t>违反本办法第二十三条规定，跨省、自治区、直辖市承接业务不备案的，由县级以上地方人民政府住房城乡建设主管部门或者有关专业部门给予警告，责令限期改正；逾期未改正的，可处以5000元以上2万元以下的罚款。</w:t>
            </w:r>
          </w:p>
          <w:p w14:paraId="0415FCC0">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《工程造价咨询企业管理办法》</w:t>
            </w:r>
            <w:r>
              <w:rPr>
                <w:rFonts w:hint="eastAsia" w:ascii="仿宋_GB2312" w:hAnsi="宋体" w:eastAsia="仿宋_GB2312"/>
                <w:b/>
                <w:bCs/>
                <w:color w:val="auto"/>
                <w:kern w:val="0"/>
                <w:sz w:val="13"/>
                <w:szCs w:val="13"/>
                <w:highlight w:val="none"/>
              </w:rPr>
              <w:t>第二十三条</w:t>
            </w:r>
            <w:r>
              <w:rPr>
                <w:rFonts w:hint="eastAsia" w:ascii="仿宋_GB2312" w:hAnsi="宋体" w:eastAsia="仿宋_GB2312"/>
                <w:b/>
                <w:bCs/>
                <w:color w:val="auto"/>
                <w:kern w:val="0"/>
                <w:sz w:val="13"/>
                <w:szCs w:val="13"/>
                <w:highlight w:val="none"/>
                <w:lang w:eastAsia="zh-CN"/>
              </w:rPr>
              <w:t>：</w:t>
            </w:r>
            <w:r>
              <w:rPr>
                <w:rFonts w:hint="eastAsia" w:ascii="仿宋_GB2312" w:hAnsi="宋体" w:eastAsia="仿宋_GB2312"/>
                <w:color w:val="auto"/>
                <w:kern w:val="0"/>
                <w:sz w:val="13"/>
                <w:szCs w:val="13"/>
                <w:highlight w:val="none"/>
              </w:rPr>
              <w:t>工程造价咨询企业跨省、自治区、直辖市承接工程造价咨询业务的，应当自承接业务之日起30日内到建设工程所在地省、自治区、直辖市人民政府住房城乡建设主管部门备案。</w:t>
            </w:r>
          </w:p>
        </w:tc>
        <w:tc>
          <w:tcPr>
            <w:tcW w:w="823" w:type="dxa"/>
            <w:tcBorders>
              <w:tl2br w:val="nil"/>
              <w:tr2bl w:val="nil"/>
            </w:tcBorders>
            <w:vAlign w:val="center"/>
          </w:tcPr>
          <w:p w14:paraId="244CF6D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vAlign w:val="center"/>
          </w:tcPr>
          <w:p w14:paraId="00317FD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经责令限期改正，逾期15日以内改正的</w:t>
            </w:r>
          </w:p>
        </w:tc>
        <w:tc>
          <w:tcPr>
            <w:tcW w:w="3058" w:type="dxa"/>
            <w:tcBorders>
              <w:tl2br w:val="nil"/>
              <w:tr2bl w:val="nil"/>
            </w:tcBorders>
            <w:vAlign w:val="center"/>
          </w:tcPr>
          <w:p w14:paraId="78A42B0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可处5千元以上1万元以下的罚款。</w:t>
            </w:r>
          </w:p>
        </w:tc>
      </w:tr>
      <w:tr w14:paraId="24D9E90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70" w:hRule="atLeast"/>
          <w:jc w:val="center"/>
        </w:trPr>
        <w:tc>
          <w:tcPr>
            <w:tcW w:w="443" w:type="dxa"/>
            <w:gridSpan w:val="2"/>
            <w:vMerge w:val="continue"/>
            <w:tcBorders>
              <w:tl2br w:val="nil"/>
              <w:tr2bl w:val="nil"/>
            </w:tcBorders>
            <w:vAlign w:val="center"/>
          </w:tcPr>
          <w:p w14:paraId="07B1444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3263C509">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009165E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tcBorders>
              <w:tl2br w:val="nil"/>
              <w:tr2bl w:val="nil"/>
            </w:tcBorders>
            <w:vAlign w:val="center"/>
          </w:tcPr>
          <w:p w14:paraId="19308FD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一般情节</w:t>
            </w:r>
          </w:p>
        </w:tc>
        <w:tc>
          <w:tcPr>
            <w:tcW w:w="3437" w:type="dxa"/>
            <w:gridSpan w:val="2"/>
            <w:tcBorders>
              <w:tl2br w:val="nil"/>
              <w:tr2bl w:val="nil"/>
            </w:tcBorders>
            <w:vAlign w:val="center"/>
          </w:tcPr>
          <w:p w14:paraId="47353A2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经责令限期改正，逾期15日以上30日以内改正的</w:t>
            </w:r>
          </w:p>
        </w:tc>
        <w:tc>
          <w:tcPr>
            <w:tcW w:w="3058" w:type="dxa"/>
            <w:tcBorders>
              <w:tl2br w:val="nil"/>
              <w:tr2bl w:val="nil"/>
            </w:tcBorders>
            <w:vAlign w:val="center"/>
          </w:tcPr>
          <w:p w14:paraId="4DCC7C9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处1万元以上1.5万元以下的罚款。</w:t>
            </w:r>
          </w:p>
        </w:tc>
      </w:tr>
      <w:tr w14:paraId="19BE73C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20" w:hRule="atLeast"/>
          <w:jc w:val="center"/>
        </w:trPr>
        <w:tc>
          <w:tcPr>
            <w:tcW w:w="443" w:type="dxa"/>
            <w:gridSpan w:val="2"/>
            <w:vMerge w:val="continue"/>
            <w:tcBorders>
              <w:tl2br w:val="nil"/>
              <w:tr2bl w:val="nil"/>
            </w:tcBorders>
            <w:vAlign w:val="center"/>
          </w:tcPr>
          <w:p w14:paraId="5BCE6CD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2037FB4D">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4E21BCD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tcBorders>
              <w:tl2br w:val="nil"/>
              <w:tr2bl w:val="nil"/>
            </w:tcBorders>
            <w:vAlign w:val="center"/>
          </w:tcPr>
          <w:p w14:paraId="66FDAC5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从重情节</w:t>
            </w:r>
          </w:p>
        </w:tc>
        <w:tc>
          <w:tcPr>
            <w:tcW w:w="3437" w:type="dxa"/>
            <w:gridSpan w:val="2"/>
            <w:tcBorders>
              <w:tl2br w:val="nil"/>
              <w:tr2bl w:val="nil"/>
            </w:tcBorders>
            <w:vAlign w:val="center"/>
          </w:tcPr>
          <w:p w14:paraId="20BC736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经责令限期改正，逾期30日以上未改正的</w:t>
            </w:r>
          </w:p>
        </w:tc>
        <w:tc>
          <w:tcPr>
            <w:tcW w:w="3058" w:type="dxa"/>
            <w:tcBorders>
              <w:tl2br w:val="nil"/>
              <w:tr2bl w:val="nil"/>
            </w:tcBorders>
            <w:vAlign w:val="center"/>
          </w:tcPr>
          <w:p w14:paraId="24435C83">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处1.5万元以上2万元以下的罚款。</w:t>
            </w:r>
          </w:p>
        </w:tc>
      </w:tr>
      <w:tr w14:paraId="35B65B2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648" w:hRule="atLeast"/>
          <w:jc w:val="center"/>
        </w:trPr>
        <w:tc>
          <w:tcPr>
            <w:tcW w:w="443" w:type="dxa"/>
            <w:gridSpan w:val="2"/>
            <w:vMerge w:val="restart"/>
            <w:tcBorders>
              <w:tl2br w:val="nil"/>
              <w:tr2bl w:val="nil"/>
            </w:tcBorders>
            <w:vAlign w:val="center"/>
          </w:tcPr>
          <w:p w14:paraId="721E9FBB">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Times New Roman"/>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32</w:t>
            </w:r>
          </w:p>
        </w:tc>
        <w:tc>
          <w:tcPr>
            <w:tcW w:w="1550" w:type="dxa"/>
            <w:vMerge w:val="restart"/>
            <w:tcBorders>
              <w:tl2br w:val="nil"/>
              <w:tr2bl w:val="nil"/>
            </w:tcBorders>
            <w:vAlign w:val="center"/>
          </w:tcPr>
          <w:p w14:paraId="2984637A">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三）同时接受招标人和投标人或两个以上投标人对同一工程项目的工程造价咨询业务；（四）以给予回扣、恶意压低收费等方式进行不正当竞争；（五）转包承接的工程造价咨询业务；（六）法律、法规禁止的其他行为。</w:t>
            </w:r>
          </w:p>
        </w:tc>
        <w:tc>
          <w:tcPr>
            <w:tcW w:w="4820" w:type="dxa"/>
            <w:vMerge w:val="restart"/>
            <w:tcBorders>
              <w:tl2br w:val="nil"/>
              <w:tr2bl w:val="nil"/>
            </w:tcBorders>
            <w:vAlign w:val="center"/>
          </w:tcPr>
          <w:p w14:paraId="4ACEAC6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《工程造价咨询企业管理办法》</w:t>
            </w:r>
            <w:r>
              <w:rPr>
                <w:rFonts w:hint="eastAsia" w:ascii="仿宋_GB2312" w:hAnsi="宋体" w:eastAsia="仿宋_GB2312"/>
                <w:b w:val="0"/>
                <w:bCs w:val="0"/>
                <w:color w:val="auto"/>
                <w:kern w:val="0"/>
                <w:sz w:val="13"/>
                <w:szCs w:val="13"/>
                <w:highlight w:val="none"/>
              </w:rPr>
              <w:t>第三十九条</w:t>
            </w:r>
            <w:r>
              <w:rPr>
                <w:rFonts w:hint="eastAsia" w:ascii="仿宋_GB2312" w:hAnsi="宋体" w:eastAsia="仿宋_GB2312"/>
                <w:b w:val="0"/>
                <w:bCs w:val="0"/>
                <w:color w:val="auto"/>
                <w:kern w:val="0"/>
                <w:sz w:val="13"/>
                <w:szCs w:val="13"/>
                <w:highlight w:val="none"/>
                <w:lang w:eastAsia="zh-CN"/>
              </w:rPr>
              <w:t>：</w:t>
            </w:r>
            <w:r>
              <w:rPr>
                <w:rFonts w:hint="eastAsia" w:ascii="仿宋_GB2312" w:hAnsi="宋体" w:eastAsia="仿宋_GB2312"/>
                <w:color w:val="auto"/>
                <w:kern w:val="0"/>
                <w:sz w:val="13"/>
                <w:szCs w:val="13"/>
                <w:highlight w:val="none"/>
              </w:rPr>
              <w:t>程造价咨询企业有本办法第二十五条行为之一的，由县级以上地方人民政府住房城乡建设主管部门或者有关专业部门给予警告，责令限期改正，并处以1万元以上3万元以下的罚款。</w:t>
            </w:r>
          </w:p>
          <w:p w14:paraId="207AE73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0" w:firstLineChars="200"/>
              <w:jc w:val="left"/>
              <w:textAlignment w:val="center"/>
              <w:rPr>
                <w:rFonts w:hint="eastAsia" w:ascii="仿宋_GB2312" w:hAnsi="宋体" w:eastAsia="仿宋_GB2312"/>
                <w:color w:val="auto"/>
                <w:kern w:val="0"/>
                <w:sz w:val="13"/>
                <w:szCs w:val="13"/>
                <w:highlight w:val="none"/>
              </w:rPr>
            </w:pPr>
          </w:p>
          <w:p w14:paraId="0AB51832">
            <w:pPr>
              <w:keepNext w:val="0"/>
              <w:keepLines w:val="0"/>
              <w:pageBreakBefore w:val="0"/>
              <w:widowControl/>
              <w:shd w:val="clear" w:color="auto" w:fill="FFFFFF"/>
              <w:kinsoku/>
              <w:overflowPunct/>
              <w:topLinePunct w:val="0"/>
              <w:autoSpaceDE/>
              <w:autoSpaceDN/>
              <w:bidi w:val="0"/>
              <w:adjustRightInd/>
              <w:snapToGrid/>
              <w:spacing w:beforeAutospacing="0" w:afterAutospacing="0" w:line="260" w:lineRule="exact"/>
              <w:ind w:left="0" w:leftChars="0" w:right="0" w:rightChars="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《工程造价咨询企业管理办法》</w:t>
            </w:r>
            <w:r>
              <w:rPr>
                <w:rFonts w:hint="eastAsia" w:ascii="仿宋_GB2312" w:hAnsi="宋体" w:eastAsia="仿宋_GB2312"/>
                <w:b/>
                <w:bCs/>
                <w:color w:val="auto"/>
                <w:kern w:val="0"/>
                <w:sz w:val="13"/>
                <w:szCs w:val="13"/>
                <w:highlight w:val="none"/>
              </w:rPr>
              <w:t>第二十五条</w:t>
            </w:r>
            <w:r>
              <w:rPr>
                <w:rFonts w:hint="eastAsia" w:ascii="仿宋_GB2312" w:hAnsi="宋体" w:eastAsia="仿宋_GB2312"/>
                <w:b w:val="0"/>
                <w:bCs w:val="0"/>
                <w:color w:val="auto"/>
                <w:kern w:val="0"/>
                <w:sz w:val="13"/>
                <w:szCs w:val="13"/>
                <w:highlight w:val="none"/>
                <w:lang w:eastAsia="zh-CN"/>
              </w:rPr>
              <w:t>：</w:t>
            </w:r>
            <w:r>
              <w:rPr>
                <w:rFonts w:hint="eastAsia" w:ascii="仿宋_GB2312" w:hAnsi="宋体" w:eastAsia="仿宋_GB2312"/>
                <w:color w:val="auto"/>
                <w:kern w:val="0"/>
                <w:sz w:val="13"/>
                <w:szCs w:val="13"/>
                <w:highlight w:val="none"/>
              </w:rPr>
              <w:t>工程造价咨询企业不得有下列行为：</w:t>
            </w:r>
          </w:p>
          <w:p w14:paraId="488C589D">
            <w:pPr>
              <w:keepNext w:val="0"/>
              <w:keepLines w:val="0"/>
              <w:pageBreakBefore w:val="0"/>
              <w:widowControl/>
              <w:shd w:val="clear" w:color="auto" w:fill="FFFFFF"/>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rPr>
              <w:t>（一）涂改、倒卖、出租、出借资质证书，或者以其他形式非法转让资质证书；</w:t>
            </w:r>
          </w:p>
          <w:p w14:paraId="66DF9D6B">
            <w:pPr>
              <w:keepNext w:val="0"/>
              <w:keepLines w:val="0"/>
              <w:pageBreakBefore w:val="0"/>
              <w:widowControl/>
              <w:shd w:val="clear" w:color="auto" w:fill="FFFFFF"/>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（二）超越资质等级业务范围承接工程造价咨询业务；</w:t>
            </w:r>
          </w:p>
          <w:p w14:paraId="2608A9DC">
            <w:pPr>
              <w:keepNext w:val="0"/>
              <w:keepLines w:val="0"/>
              <w:pageBreakBefore w:val="0"/>
              <w:widowControl/>
              <w:shd w:val="clear" w:color="auto" w:fill="FFFFFF"/>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（三）同时接受招标人和投标人或两个以上投标人对同一工程项目的工程造价咨询业务；</w:t>
            </w:r>
          </w:p>
          <w:p w14:paraId="016BB7DD">
            <w:pPr>
              <w:keepNext w:val="0"/>
              <w:keepLines w:val="0"/>
              <w:pageBreakBefore w:val="0"/>
              <w:widowControl/>
              <w:shd w:val="clear" w:color="auto" w:fill="FFFFFF"/>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（四）以给予回扣、恶意压低收费等方式进行不正当竞争；</w:t>
            </w:r>
          </w:p>
          <w:p w14:paraId="627E52F7">
            <w:pPr>
              <w:keepNext w:val="0"/>
              <w:keepLines w:val="0"/>
              <w:pageBreakBefore w:val="0"/>
              <w:widowControl/>
              <w:shd w:val="clear" w:color="auto" w:fill="FFFFFF"/>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（五）转包承接的工程造价咨询业务；</w:t>
            </w:r>
          </w:p>
          <w:p w14:paraId="142A5F2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0" w:firstLineChars="200"/>
              <w:jc w:val="left"/>
              <w:textAlignment w:val="center"/>
              <w:rPr>
                <w:rFonts w:ascii="仿宋_GB2312" w:hAnsi="宋体" w:eastAsia="仿宋_GB2312" w:cs="Times New Roman"/>
                <w:b/>
                <w:color w:val="auto"/>
                <w:kern w:val="0"/>
                <w:sz w:val="13"/>
                <w:szCs w:val="13"/>
                <w:highlight w:val="none"/>
              </w:rPr>
            </w:pPr>
            <w:r>
              <w:rPr>
                <w:rFonts w:hint="eastAsia" w:ascii="仿宋_GB2312" w:hAnsi="宋体" w:eastAsia="仿宋_GB2312"/>
                <w:color w:val="auto"/>
                <w:kern w:val="0"/>
                <w:sz w:val="13"/>
                <w:szCs w:val="13"/>
                <w:highlight w:val="none"/>
              </w:rPr>
              <w:t>（六）法律、法规禁止的其他行为。</w:t>
            </w:r>
          </w:p>
        </w:tc>
        <w:tc>
          <w:tcPr>
            <w:tcW w:w="823" w:type="dxa"/>
            <w:tcBorders>
              <w:tl2br w:val="nil"/>
              <w:tr2bl w:val="nil"/>
            </w:tcBorders>
            <w:vAlign w:val="center"/>
          </w:tcPr>
          <w:p w14:paraId="1D24509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vAlign w:val="center"/>
          </w:tcPr>
          <w:p w14:paraId="50EE6F6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sz w:val="13"/>
                <w:szCs w:val="13"/>
                <w:highlight w:val="none"/>
              </w:rPr>
            </w:pPr>
            <w:r>
              <w:rPr>
                <w:rFonts w:hint="eastAsia" w:ascii="仿宋_GB2312" w:hAnsi="宋体" w:eastAsia="仿宋_GB2312"/>
                <w:color w:val="auto"/>
                <w:kern w:val="0"/>
                <w:sz w:val="13"/>
                <w:szCs w:val="13"/>
                <w:highlight w:val="none"/>
              </w:rPr>
              <w:t>初次违法，危害后果不重，主动消除或减轻违法行为危害后果的。</w:t>
            </w:r>
          </w:p>
        </w:tc>
        <w:tc>
          <w:tcPr>
            <w:tcW w:w="3058" w:type="dxa"/>
            <w:tcBorders>
              <w:tl2br w:val="nil"/>
              <w:tr2bl w:val="nil"/>
            </w:tcBorders>
            <w:vAlign w:val="center"/>
          </w:tcPr>
          <w:p w14:paraId="79CFDE7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给予警告，责令改正，处以1万元以上1.5万元以下的罚款。</w:t>
            </w:r>
          </w:p>
        </w:tc>
      </w:tr>
      <w:tr w14:paraId="37A0885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685" w:hRule="atLeast"/>
          <w:jc w:val="center"/>
        </w:trPr>
        <w:tc>
          <w:tcPr>
            <w:tcW w:w="443" w:type="dxa"/>
            <w:gridSpan w:val="2"/>
            <w:vMerge w:val="continue"/>
            <w:tcBorders>
              <w:tl2br w:val="nil"/>
              <w:tr2bl w:val="nil"/>
            </w:tcBorders>
            <w:vAlign w:val="center"/>
          </w:tcPr>
          <w:p w14:paraId="4EE633B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b/>
                <w:color w:val="auto"/>
                <w:kern w:val="0"/>
                <w:sz w:val="13"/>
                <w:szCs w:val="13"/>
                <w:highlight w:val="none"/>
              </w:rPr>
            </w:pPr>
          </w:p>
        </w:tc>
        <w:tc>
          <w:tcPr>
            <w:tcW w:w="1550" w:type="dxa"/>
            <w:vMerge w:val="continue"/>
            <w:tcBorders>
              <w:tl2br w:val="nil"/>
              <w:tr2bl w:val="nil"/>
            </w:tcBorders>
            <w:vAlign w:val="center"/>
          </w:tcPr>
          <w:p w14:paraId="64AA9093">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4818458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tcBorders>
              <w:tl2br w:val="nil"/>
              <w:tr2bl w:val="nil"/>
            </w:tcBorders>
            <w:vAlign w:val="center"/>
          </w:tcPr>
          <w:p w14:paraId="7CE7211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一般情节</w:t>
            </w:r>
          </w:p>
        </w:tc>
        <w:tc>
          <w:tcPr>
            <w:tcW w:w="3437" w:type="dxa"/>
            <w:gridSpan w:val="2"/>
            <w:tcBorders>
              <w:tl2br w:val="nil"/>
              <w:tr2bl w:val="nil"/>
            </w:tcBorders>
            <w:vAlign w:val="center"/>
          </w:tcPr>
          <w:p w14:paraId="6FD3FA4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sz w:val="13"/>
                <w:szCs w:val="13"/>
                <w:highlight w:val="none"/>
              </w:rPr>
            </w:pPr>
            <w:r>
              <w:rPr>
                <w:rFonts w:hint="eastAsia" w:ascii="仿宋_GB2312" w:hAnsi="宋体" w:eastAsia="仿宋_GB2312"/>
                <w:color w:val="auto"/>
                <w:kern w:val="0"/>
                <w:sz w:val="13"/>
                <w:szCs w:val="13"/>
                <w:highlight w:val="none"/>
              </w:rPr>
              <w:t>不具有从轻、</w:t>
            </w:r>
            <w:r>
              <w:rPr>
                <w:rFonts w:hint="eastAsia" w:ascii="仿宋_GB2312" w:hAnsi="宋体" w:eastAsia="仿宋_GB2312"/>
                <w:color w:val="auto"/>
                <w:kern w:val="0"/>
                <w:sz w:val="13"/>
                <w:szCs w:val="13"/>
                <w:highlight w:val="none"/>
                <w:lang w:eastAsia="zh-CN"/>
              </w:rPr>
              <w:t>从重情节</w:t>
            </w:r>
            <w:r>
              <w:rPr>
                <w:rFonts w:hint="eastAsia" w:ascii="仿宋_GB2312" w:hAnsi="宋体" w:eastAsia="仿宋_GB2312"/>
                <w:color w:val="auto"/>
                <w:kern w:val="0"/>
                <w:sz w:val="13"/>
                <w:szCs w:val="13"/>
                <w:highlight w:val="none"/>
              </w:rPr>
              <w:t>的。</w:t>
            </w:r>
          </w:p>
        </w:tc>
        <w:tc>
          <w:tcPr>
            <w:tcW w:w="3058" w:type="dxa"/>
            <w:tcBorders>
              <w:tl2br w:val="nil"/>
              <w:tr2bl w:val="nil"/>
            </w:tcBorders>
            <w:vAlign w:val="center"/>
          </w:tcPr>
          <w:p w14:paraId="4CEBC7F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给予警告，责令改正，处以1.5万元以上2.5万元以下的罚款。</w:t>
            </w:r>
          </w:p>
        </w:tc>
      </w:tr>
      <w:tr w14:paraId="6DC200A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629" w:hRule="atLeast"/>
          <w:jc w:val="center"/>
        </w:trPr>
        <w:tc>
          <w:tcPr>
            <w:tcW w:w="443" w:type="dxa"/>
            <w:gridSpan w:val="2"/>
            <w:vMerge w:val="continue"/>
            <w:tcBorders>
              <w:tl2br w:val="nil"/>
              <w:tr2bl w:val="nil"/>
            </w:tcBorders>
            <w:vAlign w:val="center"/>
          </w:tcPr>
          <w:p w14:paraId="694962A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b/>
                <w:color w:val="auto"/>
                <w:kern w:val="0"/>
                <w:sz w:val="13"/>
                <w:szCs w:val="13"/>
                <w:highlight w:val="none"/>
              </w:rPr>
            </w:pPr>
          </w:p>
        </w:tc>
        <w:tc>
          <w:tcPr>
            <w:tcW w:w="1550" w:type="dxa"/>
            <w:vMerge w:val="continue"/>
            <w:tcBorders>
              <w:tl2br w:val="nil"/>
              <w:tr2bl w:val="nil"/>
            </w:tcBorders>
            <w:vAlign w:val="center"/>
          </w:tcPr>
          <w:p w14:paraId="448E4B55">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42ED127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tcBorders>
              <w:tl2br w:val="nil"/>
              <w:tr2bl w:val="nil"/>
            </w:tcBorders>
            <w:vAlign w:val="center"/>
          </w:tcPr>
          <w:p w14:paraId="3BFD4C5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从重情节</w:t>
            </w:r>
          </w:p>
        </w:tc>
        <w:tc>
          <w:tcPr>
            <w:tcW w:w="3437" w:type="dxa"/>
            <w:gridSpan w:val="2"/>
            <w:tcBorders>
              <w:tl2br w:val="nil"/>
              <w:tr2bl w:val="nil"/>
            </w:tcBorders>
            <w:vAlign w:val="center"/>
          </w:tcPr>
          <w:p w14:paraId="5AF473F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lang w:val="en-US" w:eastAsia="zh-CN"/>
              </w:rPr>
              <w:t>有些列情形之一的：</w:t>
            </w:r>
            <w:r>
              <w:rPr>
                <w:rFonts w:hint="eastAsia" w:ascii="仿宋_GB2312" w:hAnsi="宋体" w:eastAsia="仿宋_GB2312"/>
                <w:color w:val="auto"/>
                <w:kern w:val="0"/>
                <w:sz w:val="13"/>
                <w:szCs w:val="13"/>
                <w:highlight w:val="none"/>
              </w:rPr>
              <w:t>（1）责令改正，拒不改正的；</w:t>
            </w:r>
          </w:p>
          <w:p w14:paraId="6780BBD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（2）曾因该违法行为被依法查处，再次实施该违法行为的；</w:t>
            </w:r>
          </w:p>
          <w:p w14:paraId="74A176A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（3）严重扰乱工程造价咨询市场秩序的；</w:t>
            </w:r>
          </w:p>
          <w:p w14:paraId="5F1BA83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（4）经有关部门确认，存在扰乱招投标市场情形的；</w:t>
            </w:r>
          </w:p>
          <w:p w14:paraId="2DC2E8C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left"/>
              <w:textAlignment w:val="center"/>
              <w:rPr>
                <w:rFonts w:ascii="仿宋_GB2312" w:hAnsi="宋体" w:eastAsia="仿宋_GB2312"/>
                <w:color w:val="auto"/>
                <w:sz w:val="13"/>
                <w:szCs w:val="13"/>
                <w:highlight w:val="none"/>
              </w:rPr>
            </w:pPr>
            <w:r>
              <w:rPr>
                <w:rFonts w:hint="eastAsia" w:ascii="仿宋_GB2312" w:hAnsi="宋体" w:eastAsia="仿宋_GB2312"/>
                <w:color w:val="auto"/>
                <w:kern w:val="0"/>
                <w:sz w:val="13"/>
                <w:szCs w:val="13"/>
                <w:highlight w:val="none"/>
              </w:rPr>
              <w:t>（5）其他依法应予从重处罚的情形。</w:t>
            </w:r>
          </w:p>
        </w:tc>
        <w:tc>
          <w:tcPr>
            <w:tcW w:w="3058" w:type="dxa"/>
            <w:tcBorders>
              <w:tl2br w:val="nil"/>
              <w:tr2bl w:val="nil"/>
            </w:tcBorders>
            <w:vAlign w:val="center"/>
          </w:tcPr>
          <w:p w14:paraId="01E8990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给予警告，责令改正，处以2.5万元以上3万元以下的罚款。</w:t>
            </w:r>
          </w:p>
        </w:tc>
      </w:tr>
      <w:tr w14:paraId="71655A6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54" w:hRule="atLeast"/>
          <w:jc w:val="center"/>
        </w:trPr>
        <w:tc>
          <w:tcPr>
            <w:tcW w:w="443" w:type="dxa"/>
            <w:gridSpan w:val="2"/>
            <w:vMerge w:val="restart"/>
            <w:tcBorders>
              <w:tl2br w:val="nil"/>
              <w:tr2bl w:val="nil"/>
            </w:tcBorders>
            <w:vAlign w:val="center"/>
          </w:tcPr>
          <w:p w14:paraId="1E1CC4BA">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Times New Roman"/>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33</w:t>
            </w:r>
          </w:p>
        </w:tc>
        <w:tc>
          <w:tcPr>
            <w:tcW w:w="1550" w:type="dxa"/>
            <w:vMerge w:val="restart"/>
            <w:tcBorders>
              <w:tl2br w:val="nil"/>
              <w:tr2bl w:val="nil"/>
            </w:tcBorders>
            <w:vAlign w:val="center"/>
          </w:tcPr>
          <w:p w14:paraId="6230C280">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聘用单位为申请人提供虚假注册材料</w:t>
            </w:r>
          </w:p>
        </w:tc>
        <w:tc>
          <w:tcPr>
            <w:tcW w:w="4820" w:type="dxa"/>
            <w:vMerge w:val="restart"/>
            <w:tcBorders>
              <w:tl2br w:val="nil"/>
              <w:tr2bl w:val="nil"/>
            </w:tcBorders>
            <w:vAlign w:val="center"/>
          </w:tcPr>
          <w:p w14:paraId="595A002D">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《注册造价工程师管理办法》</w:t>
            </w:r>
            <w:r>
              <w:rPr>
                <w:rFonts w:hint="eastAsia" w:ascii="仿宋_GB2312" w:hAnsi="宋体" w:eastAsia="仿宋_GB2312"/>
                <w:b/>
                <w:bCs/>
                <w:color w:val="auto"/>
                <w:kern w:val="0"/>
                <w:sz w:val="13"/>
                <w:szCs w:val="13"/>
                <w:highlight w:val="none"/>
              </w:rPr>
              <w:t>第三十二条</w:t>
            </w:r>
            <w:r>
              <w:rPr>
                <w:rFonts w:hint="eastAsia" w:ascii="仿宋_GB2312" w:hAnsi="宋体" w:eastAsia="仿宋_GB2312"/>
                <w:b/>
                <w:bCs/>
                <w:color w:val="auto"/>
                <w:kern w:val="0"/>
                <w:sz w:val="13"/>
                <w:szCs w:val="13"/>
                <w:highlight w:val="none"/>
                <w:lang w:eastAsia="zh-CN"/>
              </w:rPr>
              <w:t>：</w:t>
            </w:r>
            <w:r>
              <w:rPr>
                <w:rFonts w:hint="eastAsia" w:ascii="仿宋_GB2312" w:hAnsi="宋体" w:eastAsia="仿宋_GB2312"/>
                <w:color w:val="auto"/>
                <w:kern w:val="0"/>
                <w:sz w:val="13"/>
                <w:szCs w:val="13"/>
                <w:highlight w:val="none"/>
              </w:rPr>
              <w:t>聘用单位为申请人提供虚假注册材料的，由县级以上地方人民政府建设主管部门或者其他有关部门给予警告，并可处以1万元以上3万元以下的罚款。</w:t>
            </w:r>
          </w:p>
        </w:tc>
        <w:tc>
          <w:tcPr>
            <w:tcW w:w="823" w:type="dxa"/>
            <w:tcBorders>
              <w:tl2br w:val="nil"/>
              <w:tr2bl w:val="nil"/>
            </w:tcBorders>
            <w:vAlign w:val="center"/>
          </w:tcPr>
          <w:p w14:paraId="2EE852C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vAlign w:val="center"/>
          </w:tcPr>
          <w:p w14:paraId="578549DD">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聘用单位为1个申请人提供虚假注册材料的。</w:t>
            </w:r>
          </w:p>
        </w:tc>
        <w:tc>
          <w:tcPr>
            <w:tcW w:w="3058" w:type="dxa"/>
            <w:tcBorders>
              <w:tl2br w:val="nil"/>
              <w:tr2bl w:val="nil"/>
            </w:tcBorders>
            <w:vAlign w:val="center"/>
          </w:tcPr>
          <w:p w14:paraId="5DF49404">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color w:val="auto"/>
                <w:sz w:val="13"/>
                <w:szCs w:val="13"/>
                <w:highlight w:val="none"/>
              </w:rPr>
            </w:pPr>
            <w:r>
              <w:rPr>
                <w:rFonts w:hint="eastAsia" w:ascii="仿宋_GB2312" w:hAnsi="宋体" w:eastAsia="仿宋_GB2312"/>
                <w:color w:val="auto"/>
                <w:kern w:val="0"/>
                <w:sz w:val="13"/>
                <w:szCs w:val="13"/>
                <w:highlight w:val="none"/>
              </w:rPr>
              <w:t>给予警告，可处以1万元以上1.5万元以下的罚款。</w:t>
            </w:r>
          </w:p>
        </w:tc>
      </w:tr>
      <w:tr w14:paraId="5D3C2F1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0" w:hRule="atLeast"/>
          <w:jc w:val="center"/>
        </w:trPr>
        <w:tc>
          <w:tcPr>
            <w:tcW w:w="443" w:type="dxa"/>
            <w:gridSpan w:val="2"/>
            <w:vMerge w:val="continue"/>
            <w:tcBorders>
              <w:tl2br w:val="nil"/>
              <w:tr2bl w:val="nil"/>
            </w:tcBorders>
            <w:vAlign w:val="center"/>
          </w:tcPr>
          <w:p w14:paraId="73C4618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76D1339C">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p>
        </w:tc>
        <w:tc>
          <w:tcPr>
            <w:tcW w:w="4820" w:type="dxa"/>
            <w:vMerge w:val="continue"/>
            <w:tcBorders>
              <w:tl2br w:val="nil"/>
              <w:tr2bl w:val="nil"/>
            </w:tcBorders>
            <w:vAlign w:val="top"/>
          </w:tcPr>
          <w:p w14:paraId="5CA6416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823" w:type="dxa"/>
            <w:tcBorders>
              <w:tl2br w:val="nil"/>
              <w:tr2bl w:val="nil"/>
            </w:tcBorders>
            <w:vAlign w:val="center"/>
          </w:tcPr>
          <w:p w14:paraId="2897847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一般情节</w:t>
            </w:r>
          </w:p>
        </w:tc>
        <w:tc>
          <w:tcPr>
            <w:tcW w:w="3437" w:type="dxa"/>
            <w:gridSpan w:val="2"/>
            <w:tcBorders>
              <w:tl2br w:val="nil"/>
              <w:tr2bl w:val="nil"/>
            </w:tcBorders>
            <w:vAlign w:val="center"/>
          </w:tcPr>
          <w:p w14:paraId="08E7602A">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聘用单位为2个以上5个以下申请人提供虚假注册材料的。</w:t>
            </w:r>
          </w:p>
        </w:tc>
        <w:tc>
          <w:tcPr>
            <w:tcW w:w="3058" w:type="dxa"/>
            <w:tcBorders>
              <w:tl2br w:val="nil"/>
              <w:tr2bl w:val="nil"/>
            </w:tcBorders>
            <w:vAlign w:val="center"/>
          </w:tcPr>
          <w:p w14:paraId="5D50AA48">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color w:val="auto"/>
                <w:sz w:val="13"/>
                <w:szCs w:val="13"/>
                <w:highlight w:val="none"/>
              </w:rPr>
            </w:pPr>
            <w:r>
              <w:rPr>
                <w:rFonts w:hint="eastAsia" w:ascii="仿宋_GB2312" w:hAnsi="宋体" w:eastAsia="仿宋_GB2312"/>
                <w:color w:val="auto"/>
                <w:kern w:val="0"/>
                <w:sz w:val="13"/>
                <w:szCs w:val="13"/>
                <w:highlight w:val="none"/>
              </w:rPr>
              <w:t>给予警告，处以1.5万元以上2.5万元以下的罚款。</w:t>
            </w:r>
          </w:p>
        </w:tc>
      </w:tr>
      <w:tr w14:paraId="38730AC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90" w:hRule="atLeast"/>
          <w:jc w:val="center"/>
        </w:trPr>
        <w:tc>
          <w:tcPr>
            <w:tcW w:w="443" w:type="dxa"/>
            <w:gridSpan w:val="2"/>
            <w:vMerge w:val="continue"/>
            <w:tcBorders>
              <w:tl2br w:val="nil"/>
              <w:tr2bl w:val="nil"/>
            </w:tcBorders>
            <w:vAlign w:val="center"/>
          </w:tcPr>
          <w:p w14:paraId="2240ADC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544D0A9C">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6923E1A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823" w:type="dxa"/>
            <w:tcBorders>
              <w:tl2br w:val="nil"/>
              <w:tr2bl w:val="nil"/>
            </w:tcBorders>
            <w:vAlign w:val="center"/>
          </w:tcPr>
          <w:p w14:paraId="28022FE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从重情节</w:t>
            </w:r>
          </w:p>
        </w:tc>
        <w:tc>
          <w:tcPr>
            <w:tcW w:w="3437" w:type="dxa"/>
            <w:gridSpan w:val="2"/>
            <w:tcBorders>
              <w:tl2br w:val="nil"/>
              <w:tr2bl w:val="nil"/>
            </w:tcBorders>
            <w:vAlign w:val="center"/>
          </w:tcPr>
          <w:p w14:paraId="23779B2D">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聘用单位为5个以上申请人提供虚假注册材料的。</w:t>
            </w:r>
          </w:p>
        </w:tc>
        <w:tc>
          <w:tcPr>
            <w:tcW w:w="3058" w:type="dxa"/>
            <w:tcBorders>
              <w:tl2br w:val="nil"/>
              <w:tr2bl w:val="nil"/>
            </w:tcBorders>
            <w:vAlign w:val="center"/>
          </w:tcPr>
          <w:p w14:paraId="7411D801">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color w:val="auto"/>
                <w:sz w:val="13"/>
                <w:szCs w:val="13"/>
                <w:highlight w:val="none"/>
              </w:rPr>
            </w:pPr>
            <w:r>
              <w:rPr>
                <w:rFonts w:hint="eastAsia" w:ascii="仿宋_GB2312" w:hAnsi="宋体" w:eastAsia="仿宋_GB2312"/>
                <w:color w:val="auto"/>
                <w:kern w:val="0"/>
                <w:sz w:val="13"/>
                <w:szCs w:val="13"/>
                <w:highlight w:val="none"/>
              </w:rPr>
              <w:t>给予警告，处以2.5万元以上3万元以下的罚款。</w:t>
            </w:r>
          </w:p>
        </w:tc>
      </w:tr>
      <w:tr w14:paraId="0346C83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0" w:hRule="atLeast"/>
          <w:jc w:val="center"/>
        </w:trPr>
        <w:tc>
          <w:tcPr>
            <w:tcW w:w="443" w:type="dxa"/>
            <w:gridSpan w:val="2"/>
            <w:vMerge w:val="restart"/>
            <w:tcBorders>
              <w:tl2br w:val="nil"/>
              <w:tr2bl w:val="nil"/>
            </w:tcBorders>
            <w:vAlign w:val="center"/>
          </w:tcPr>
          <w:p w14:paraId="6A5D5DA2">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Times New Roman"/>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34</w:t>
            </w:r>
          </w:p>
        </w:tc>
        <w:tc>
          <w:tcPr>
            <w:tcW w:w="1550" w:type="dxa"/>
            <w:vMerge w:val="restart"/>
            <w:tcBorders>
              <w:tl2br w:val="nil"/>
              <w:tr2bl w:val="nil"/>
            </w:tcBorders>
            <w:vAlign w:val="center"/>
          </w:tcPr>
          <w:p w14:paraId="434BF60C">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以欺骗、贿赂等不正当手段取得造价工程师注册</w:t>
            </w:r>
          </w:p>
        </w:tc>
        <w:tc>
          <w:tcPr>
            <w:tcW w:w="4820" w:type="dxa"/>
            <w:vMerge w:val="restart"/>
            <w:tcBorders>
              <w:tl2br w:val="nil"/>
              <w:tr2bl w:val="nil"/>
            </w:tcBorders>
            <w:vAlign w:val="center"/>
          </w:tcPr>
          <w:p w14:paraId="23BDC125">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《注册造价工程师管理办法》</w:t>
            </w:r>
            <w:r>
              <w:rPr>
                <w:rFonts w:hint="eastAsia" w:ascii="仿宋_GB2312" w:hAnsi="宋体" w:eastAsia="仿宋_GB2312"/>
                <w:b/>
                <w:bCs/>
                <w:color w:val="auto"/>
                <w:kern w:val="0"/>
                <w:sz w:val="13"/>
                <w:szCs w:val="13"/>
                <w:highlight w:val="none"/>
              </w:rPr>
              <w:t>第三十三条</w:t>
            </w:r>
            <w:r>
              <w:rPr>
                <w:rFonts w:hint="eastAsia" w:ascii="仿宋_GB2312" w:hAnsi="宋体" w:eastAsia="仿宋_GB2312"/>
                <w:b/>
                <w:bCs/>
                <w:color w:val="auto"/>
                <w:kern w:val="0"/>
                <w:sz w:val="13"/>
                <w:szCs w:val="13"/>
                <w:highlight w:val="none"/>
                <w:lang w:eastAsia="zh-CN"/>
              </w:rPr>
              <w:t>：</w:t>
            </w:r>
            <w:r>
              <w:rPr>
                <w:rFonts w:hint="eastAsia" w:ascii="仿宋_GB2312" w:hAnsi="宋体" w:eastAsia="仿宋_GB2312"/>
                <w:color w:val="auto"/>
                <w:kern w:val="0"/>
                <w:sz w:val="13"/>
                <w:szCs w:val="13"/>
                <w:highlight w:val="none"/>
              </w:rPr>
              <w:t>以欺骗、贿赂等不正当手段取得造价工程师注册的，由注册机关撤销其注册，3年内不得再次申请注册，并由县级以上地方人民政府建设主管部门处以罚款。其中，没有违法所得的，处以1万元以下罚款；有违法所得的，处以违法所得3倍以下且不超过3万元的罚款。</w:t>
            </w:r>
          </w:p>
        </w:tc>
        <w:tc>
          <w:tcPr>
            <w:tcW w:w="823" w:type="dxa"/>
            <w:tcBorders>
              <w:tl2br w:val="nil"/>
              <w:tr2bl w:val="nil"/>
            </w:tcBorders>
            <w:vAlign w:val="center"/>
          </w:tcPr>
          <w:p w14:paraId="28703A6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vAlign w:val="center"/>
          </w:tcPr>
          <w:p w14:paraId="13E61831">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没有违法所得，未造成危害后果或造成轻微危害后果的。</w:t>
            </w:r>
          </w:p>
        </w:tc>
        <w:tc>
          <w:tcPr>
            <w:tcW w:w="3058" w:type="dxa"/>
            <w:tcBorders>
              <w:tl2br w:val="nil"/>
              <w:tr2bl w:val="nil"/>
            </w:tcBorders>
            <w:vAlign w:val="center"/>
          </w:tcPr>
          <w:p w14:paraId="1405659F">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color w:val="auto"/>
                <w:sz w:val="13"/>
                <w:szCs w:val="13"/>
                <w:highlight w:val="none"/>
              </w:rPr>
            </w:pPr>
            <w:r>
              <w:rPr>
                <w:rFonts w:hint="eastAsia" w:ascii="仿宋_GB2312" w:hAnsi="宋体" w:eastAsia="仿宋_GB2312"/>
                <w:color w:val="auto"/>
                <w:kern w:val="0"/>
                <w:sz w:val="13"/>
                <w:szCs w:val="13"/>
                <w:highlight w:val="none"/>
              </w:rPr>
              <w:t>由注册机关撤销其注册，3年内不得再次申请注册，处3千元以下的罚款。</w:t>
            </w:r>
          </w:p>
        </w:tc>
      </w:tr>
      <w:tr w14:paraId="3F2D902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0" w:hRule="atLeast"/>
          <w:jc w:val="center"/>
        </w:trPr>
        <w:tc>
          <w:tcPr>
            <w:tcW w:w="443" w:type="dxa"/>
            <w:gridSpan w:val="2"/>
            <w:vMerge w:val="continue"/>
            <w:tcBorders>
              <w:tl2br w:val="nil"/>
              <w:tr2bl w:val="nil"/>
            </w:tcBorders>
            <w:vAlign w:val="center"/>
          </w:tcPr>
          <w:p w14:paraId="112D791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b/>
                <w:color w:val="auto"/>
                <w:kern w:val="0"/>
                <w:sz w:val="13"/>
                <w:szCs w:val="13"/>
                <w:highlight w:val="none"/>
              </w:rPr>
            </w:pPr>
          </w:p>
        </w:tc>
        <w:tc>
          <w:tcPr>
            <w:tcW w:w="1550" w:type="dxa"/>
            <w:vMerge w:val="continue"/>
            <w:tcBorders>
              <w:tl2br w:val="nil"/>
              <w:tr2bl w:val="nil"/>
            </w:tcBorders>
            <w:vAlign w:val="top"/>
          </w:tcPr>
          <w:p w14:paraId="1DD1E42C">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p>
        </w:tc>
        <w:tc>
          <w:tcPr>
            <w:tcW w:w="4820" w:type="dxa"/>
            <w:vMerge w:val="continue"/>
            <w:tcBorders>
              <w:tl2br w:val="nil"/>
              <w:tr2bl w:val="nil"/>
            </w:tcBorders>
            <w:vAlign w:val="top"/>
          </w:tcPr>
          <w:p w14:paraId="3CD0B9F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823" w:type="dxa"/>
            <w:vMerge w:val="restart"/>
            <w:tcBorders>
              <w:tl2br w:val="nil"/>
              <w:tr2bl w:val="nil"/>
            </w:tcBorders>
            <w:vAlign w:val="center"/>
          </w:tcPr>
          <w:p w14:paraId="6E93684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一般情节</w:t>
            </w:r>
          </w:p>
        </w:tc>
        <w:tc>
          <w:tcPr>
            <w:tcW w:w="3437" w:type="dxa"/>
            <w:gridSpan w:val="2"/>
            <w:tcBorders>
              <w:tl2br w:val="nil"/>
              <w:tr2bl w:val="nil"/>
            </w:tcBorders>
            <w:vAlign w:val="center"/>
          </w:tcPr>
          <w:p w14:paraId="3762475A">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（1）违法所得在5千元以下的。</w:t>
            </w:r>
          </w:p>
        </w:tc>
        <w:tc>
          <w:tcPr>
            <w:tcW w:w="3058" w:type="dxa"/>
            <w:tcBorders>
              <w:tl2br w:val="nil"/>
              <w:tr2bl w:val="nil"/>
            </w:tcBorders>
            <w:vAlign w:val="center"/>
          </w:tcPr>
          <w:p w14:paraId="0BCA8F5B">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color w:val="auto"/>
                <w:sz w:val="13"/>
                <w:szCs w:val="13"/>
                <w:highlight w:val="none"/>
              </w:rPr>
            </w:pPr>
            <w:r>
              <w:rPr>
                <w:rFonts w:hint="eastAsia" w:ascii="仿宋_GB2312" w:hAnsi="宋体" w:eastAsia="仿宋_GB2312"/>
                <w:color w:val="auto"/>
                <w:kern w:val="0"/>
                <w:sz w:val="13"/>
                <w:szCs w:val="13"/>
                <w:highlight w:val="none"/>
              </w:rPr>
              <w:t>由注册机关撤销其注册，3年内不得再次申请注册，处以违法所得1倍以下且不超过3万元的罚款。</w:t>
            </w:r>
          </w:p>
        </w:tc>
      </w:tr>
      <w:tr w14:paraId="376268B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0" w:hRule="atLeast"/>
          <w:jc w:val="center"/>
        </w:trPr>
        <w:tc>
          <w:tcPr>
            <w:tcW w:w="443" w:type="dxa"/>
            <w:gridSpan w:val="2"/>
            <w:vMerge w:val="continue"/>
            <w:tcBorders>
              <w:tl2br w:val="nil"/>
              <w:tr2bl w:val="nil"/>
            </w:tcBorders>
            <w:vAlign w:val="center"/>
          </w:tcPr>
          <w:p w14:paraId="6540AB1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b/>
                <w:color w:val="auto"/>
                <w:kern w:val="0"/>
                <w:sz w:val="13"/>
                <w:szCs w:val="13"/>
                <w:highlight w:val="none"/>
              </w:rPr>
            </w:pPr>
          </w:p>
        </w:tc>
        <w:tc>
          <w:tcPr>
            <w:tcW w:w="1550" w:type="dxa"/>
            <w:vMerge w:val="continue"/>
            <w:tcBorders>
              <w:tl2br w:val="nil"/>
              <w:tr2bl w:val="nil"/>
            </w:tcBorders>
            <w:vAlign w:val="top"/>
          </w:tcPr>
          <w:p w14:paraId="55F949FC">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p>
        </w:tc>
        <w:tc>
          <w:tcPr>
            <w:tcW w:w="4820" w:type="dxa"/>
            <w:vMerge w:val="continue"/>
            <w:tcBorders>
              <w:tl2br w:val="nil"/>
              <w:tr2bl w:val="nil"/>
            </w:tcBorders>
            <w:vAlign w:val="top"/>
          </w:tcPr>
          <w:p w14:paraId="4B25D51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823" w:type="dxa"/>
            <w:vMerge w:val="continue"/>
            <w:tcBorders>
              <w:tl2br w:val="nil"/>
              <w:tr2bl w:val="nil"/>
            </w:tcBorders>
            <w:vAlign w:val="center"/>
          </w:tcPr>
          <w:p w14:paraId="330F27C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olor w:val="auto"/>
                <w:kern w:val="0"/>
                <w:sz w:val="13"/>
                <w:szCs w:val="13"/>
                <w:highlight w:val="none"/>
              </w:rPr>
            </w:pPr>
          </w:p>
        </w:tc>
        <w:tc>
          <w:tcPr>
            <w:tcW w:w="3437" w:type="dxa"/>
            <w:gridSpan w:val="2"/>
            <w:tcBorders>
              <w:tl2br w:val="nil"/>
              <w:tr2bl w:val="nil"/>
            </w:tcBorders>
            <w:vAlign w:val="center"/>
          </w:tcPr>
          <w:p w14:paraId="2BB8F4D5">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（2）没有违法所得，造成一般危害后果的。</w:t>
            </w:r>
          </w:p>
        </w:tc>
        <w:tc>
          <w:tcPr>
            <w:tcW w:w="3058" w:type="dxa"/>
            <w:tcBorders>
              <w:tl2br w:val="nil"/>
              <w:tr2bl w:val="nil"/>
            </w:tcBorders>
            <w:vAlign w:val="center"/>
          </w:tcPr>
          <w:p w14:paraId="4DCEC1AE">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color w:val="auto"/>
                <w:sz w:val="13"/>
                <w:szCs w:val="13"/>
                <w:highlight w:val="none"/>
              </w:rPr>
            </w:pPr>
            <w:r>
              <w:rPr>
                <w:rFonts w:hint="eastAsia" w:ascii="仿宋_GB2312" w:hAnsi="宋体" w:eastAsia="仿宋_GB2312"/>
                <w:color w:val="auto"/>
                <w:kern w:val="0"/>
                <w:sz w:val="13"/>
                <w:szCs w:val="13"/>
                <w:highlight w:val="none"/>
              </w:rPr>
              <w:t>由注册机关撤销其注册，3年内不得再次申请注册，处3千元以上7千元以下的罚款。</w:t>
            </w:r>
          </w:p>
        </w:tc>
      </w:tr>
      <w:tr w14:paraId="7DCD943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09" w:hRule="atLeast"/>
          <w:jc w:val="center"/>
        </w:trPr>
        <w:tc>
          <w:tcPr>
            <w:tcW w:w="443" w:type="dxa"/>
            <w:gridSpan w:val="2"/>
            <w:vMerge w:val="continue"/>
            <w:tcBorders>
              <w:tl2br w:val="nil"/>
              <w:tr2bl w:val="nil"/>
            </w:tcBorders>
            <w:vAlign w:val="center"/>
          </w:tcPr>
          <w:p w14:paraId="16C3D08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b/>
                <w:color w:val="auto"/>
                <w:kern w:val="0"/>
                <w:sz w:val="13"/>
                <w:szCs w:val="13"/>
                <w:highlight w:val="none"/>
              </w:rPr>
            </w:pPr>
          </w:p>
        </w:tc>
        <w:tc>
          <w:tcPr>
            <w:tcW w:w="1550" w:type="dxa"/>
            <w:vMerge w:val="continue"/>
            <w:tcBorders>
              <w:tl2br w:val="nil"/>
              <w:tr2bl w:val="nil"/>
            </w:tcBorders>
            <w:vAlign w:val="center"/>
          </w:tcPr>
          <w:p w14:paraId="2A464FF5">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p>
        </w:tc>
        <w:tc>
          <w:tcPr>
            <w:tcW w:w="4820" w:type="dxa"/>
            <w:vMerge w:val="continue"/>
            <w:tcBorders>
              <w:tl2br w:val="nil"/>
              <w:tr2bl w:val="nil"/>
            </w:tcBorders>
            <w:vAlign w:val="top"/>
          </w:tcPr>
          <w:p w14:paraId="1AEDEAD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823" w:type="dxa"/>
            <w:vMerge w:val="restart"/>
            <w:tcBorders>
              <w:tl2br w:val="nil"/>
              <w:tr2bl w:val="nil"/>
            </w:tcBorders>
            <w:vAlign w:val="center"/>
          </w:tcPr>
          <w:p w14:paraId="5EEF8AC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从重情节</w:t>
            </w:r>
          </w:p>
        </w:tc>
        <w:tc>
          <w:tcPr>
            <w:tcW w:w="3437" w:type="dxa"/>
            <w:gridSpan w:val="2"/>
            <w:tcBorders>
              <w:tl2br w:val="nil"/>
              <w:tr2bl w:val="nil"/>
            </w:tcBorders>
            <w:vAlign w:val="center"/>
          </w:tcPr>
          <w:p w14:paraId="15B702EA">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65" w:firstLineChars="50"/>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（1）违法所得在5千元以上1万元以下的。</w:t>
            </w:r>
          </w:p>
        </w:tc>
        <w:tc>
          <w:tcPr>
            <w:tcW w:w="3058" w:type="dxa"/>
            <w:tcBorders>
              <w:tl2br w:val="nil"/>
              <w:tr2bl w:val="nil"/>
            </w:tcBorders>
            <w:vAlign w:val="center"/>
          </w:tcPr>
          <w:p w14:paraId="743C4CD1">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color w:val="auto"/>
                <w:sz w:val="13"/>
                <w:szCs w:val="13"/>
                <w:highlight w:val="none"/>
              </w:rPr>
            </w:pPr>
            <w:r>
              <w:rPr>
                <w:rFonts w:hint="eastAsia" w:ascii="仿宋_GB2312" w:hAnsi="宋体" w:eastAsia="仿宋_GB2312"/>
                <w:color w:val="auto"/>
                <w:kern w:val="0"/>
                <w:sz w:val="13"/>
                <w:szCs w:val="13"/>
                <w:highlight w:val="none"/>
              </w:rPr>
              <w:t>由注册机关撤销其注册，3年内不得再次申请注册，处以违法所得1倍以上2倍以下且不超过3万元的罚款。</w:t>
            </w:r>
          </w:p>
        </w:tc>
      </w:tr>
      <w:tr w14:paraId="6165724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99" w:hRule="atLeast"/>
          <w:jc w:val="center"/>
        </w:trPr>
        <w:tc>
          <w:tcPr>
            <w:tcW w:w="443" w:type="dxa"/>
            <w:gridSpan w:val="2"/>
            <w:vMerge w:val="continue"/>
            <w:tcBorders>
              <w:tl2br w:val="nil"/>
              <w:tr2bl w:val="nil"/>
            </w:tcBorders>
            <w:vAlign w:val="center"/>
          </w:tcPr>
          <w:p w14:paraId="6D2464C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b/>
                <w:color w:val="auto"/>
                <w:kern w:val="0"/>
                <w:sz w:val="13"/>
                <w:szCs w:val="13"/>
                <w:highlight w:val="none"/>
              </w:rPr>
            </w:pPr>
          </w:p>
        </w:tc>
        <w:tc>
          <w:tcPr>
            <w:tcW w:w="1550" w:type="dxa"/>
            <w:vMerge w:val="continue"/>
            <w:tcBorders>
              <w:tl2br w:val="nil"/>
              <w:tr2bl w:val="nil"/>
            </w:tcBorders>
            <w:vAlign w:val="center"/>
          </w:tcPr>
          <w:p w14:paraId="398C4323">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top"/>
          </w:tcPr>
          <w:p w14:paraId="286A4E9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olor w:val="auto"/>
                <w:kern w:val="0"/>
                <w:sz w:val="13"/>
                <w:szCs w:val="13"/>
                <w:highlight w:val="none"/>
              </w:rPr>
            </w:pPr>
          </w:p>
        </w:tc>
        <w:tc>
          <w:tcPr>
            <w:tcW w:w="823" w:type="dxa"/>
            <w:vMerge w:val="continue"/>
            <w:tcBorders>
              <w:tl2br w:val="nil"/>
              <w:tr2bl w:val="nil"/>
            </w:tcBorders>
            <w:vAlign w:val="center"/>
          </w:tcPr>
          <w:p w14:paraId="4D820F8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olor w:val="auto"/>
                <w:kern w:val="0"/>
                <w:sz w:val="13"/>
                <w:szCs w:val="13"/>
                <w:highlight w:val="none"/>
              </w:rPr>
            </w:pPr>
          </w:p>
        </w:tc>
        <w:tc>
          <w:tcPr>
            <w:tcW w:w="3437" w:type="dxa"/>
            <w:gridSpan w:val="2"/>
            <w:tcBorders>
              <w:tl2br w:val="nil"/>
              <w:tr2bl w:val="nil"/>
            </w:tcBorders>
            <w:vAlign w:val="center"/>
          </w:tcPr>
          <w:p w14:paraId="4C85B415">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65" w:firstLineChars="50"/>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（2）没有违法所得，造成严重危害后果的。</w:t>
            </w:r>
          </w:p>
        </w:tc>
        <w:tc>
          <w:tcPr>
            <w:tcW w:w="3058" w:type="dxa"/>
            <w:tcBorders>
              <w:tl2br w:val="nil"/>
              <w:tr2bl w:val="nil"/>
            </w:tcBorders>
            <w:vAlign w:val="center"/>
          </w:tcPr>
          <w:p w14:paraId="671E408C">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color w:val="auto"/>
                <w:sz w:val="13"/>
                <w:szCs w:val="13"/>
                <w:highlight w:val="none"/>
              </w:rPr>
            </w:pPr>
            <w:r>
              <w:rPr>
                <w:rFonts w:hint="eastAsia" w:ascii="仿宋_GB2312" w:hAnsi="宋体" w:eastAsia="仿宋_GB2312"/>
                <w:color w:val="auto"/>
                <w:kern w:val="0"/>
                <w:sz w:val="13"/>
                <w:szCs w:val="13"/>
                <w:highlight w:val="none"/>
              </w:rPr>
              <w:t>由注册机关撤销其注册，3年内不得再次申请注册，处7千元以上1万元以下的罚款。</w:t>
            </w:r>
          </w:p>
        </w:tc>
      </w:tr>
      <w:tr w14:paraId="2F5D0A8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14" w:hRule="atLeast"/>
          <w:jc w:val="center"/>
        </w:trPr>
        <w:tc>
          <w:tcPr>
            <w:tcW w:w="443" w:type="dxa"/>
            <w:gridSpan w:val="2"/>
            <w:vMerge w:val="continue"/>
            <w:tcBorders>
              <w:tl2br w:val="nil"/>
              <w:tr2bl w:val="nil"/>
            </w:tcBorders>
            <w:vAlign w:val="center"/>
          </w:tcPr>
          <w:p w14:paraId="1989B5D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b/>
                <w:color w:val="auto"/>
                <w:kern w:val="0"/>
                <w:sz w:val="13"/>
                <w:szCs w:val="13"/>
                <w:highlight w:val="none"/>
              </w:rPr>
            </w:pPr>
          </w:p>
        </w:tc>
        <w:tc>
          <w:tcPr>
            <w:tcW w:w="1550" w:type="dxa"/>
            <w:vMerge w:val="continue"/>
            <w:tcBorders>
              <w:tl2br w:val="nil"/>
              <w:tr2bl w:val="nil"/>
            </w:tcBorders>
            <w:vAlign w:val="center"/>
          </w:tcPr>
          <w:p w14:paraId="4A4511DC">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top"/>
          </w:tcPr>
          <w:p w14:paraId="1EF3D9C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olor w:val="auto"/>
                <w:kern w:val="0"/>
                <w:sz w:val="13"/>
                <w:szCs w:val="13"/>
                <w:highlight w:val="none"/>
              </w:rPr>
            </w:pPr>
          </w:p>
        </w:tc>
        <w:tc>
          <w:tcPr>
            <w:tcW w:w="823" w:type="dxa"/>
            <w:vMerge w:val="continue"/>
            <w:tcBorders>
              <w:tl2br w:val="nil"/>
              <w:tr2bl w:val="nil"/>
            </w:tcBorders>
            <w:vAlign w:val="center"/>
          </w:tcPr>
          <w:p w14:paraId="4641790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olor w:val="auto"/>
                <w:kern w:val="0"/>
                <w:sz w:val="13"/>
                <w:szCs w:val="13"/>
                <w:highlight w:val="none"/>
              </w:rPr>
            </w:pPr>
          </w:p>
        </w:tc>
        <w:tc>
          <w:tcPr>
            <w:tcW w:w="3437" w:type="dxa"/>
            <w:gridSpan w:val="2"/>
            <w:tcBorders>
              <w:tl2br w:val="nil"/>
              <w:tr2bl w:val="nil"/>
            </w:tcBorders>
            <w:vAlign w:val="center"/>
          </w:tcPr>
          <w:p w14:paraId="7A10A9C2">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65" w:firstLineChars="50"/>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（3）违法所得在1万元以上的。</w:t>
            </w:r>
          </w:p>
        </w:tc>
        <w:tc>
          <w:tcPr>
            <w:tcW w:w="3058" w:type="dxa"/>
            <w:tcBorders>
              <w:tl2br w:val="nil"/>
              <w:tr2bl w:val="nil"/>
            </w:tcBorders>
            <w:vAlign w:val="center"/>
          </w:tcPr>
          <w:p w14:paraId="45D79B93">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color w:val="auto"/>
                <w:sz w:val="13"/>
                <w:szCs w:val="13"/>
                <w:highlight w:val="none"/>
              </w:rPr>
            </w:pPr>
            <w:r>
              <w:rPr>
                <w:rFonts w:hint="eastAsia" w:ascii="仿宋_GB2312" w:hAnsi="宋体" w:eastAsia="仿宋_GB2312"/>
                <w:color w:val="auto"/>
                <w:kern w:val="0"/>
                <w:sz w:val="13"/>
                <w:szCs w:val="13"/>
                <w:highlight w:val="none"/>
              </w:rPr>
              <w:t>由注册机关撤销其注册，3年内不得再次申请注册，处以违法所得2倍以上3倍以下且不超过3万元的罚款。</w:t>
            </w:r>
          </w:p>
        </w:tc>
      </w:tr>
      <w:tr w14:paraId="23D1D9F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0" w:hRule="atLeast"/>
          <w:jc w:val="center"/>
        </w:trPr>
        <w:tc>
          <w:tcPr>
            <w:tcW w:w="443" w:type="dxa"/>
            <w:gridSpan w:val="2"/>
            <w:vMerge w:val="restart"/>
            <w:tcBorders>
              <w:tl2br w:val="nil"/>
              <w:tr2bl w:val="nil"/>
            </w:tcBorders>
            <w:vAlign w:val="center"/>
          </w:tcPr>
          <w:p w14:paraId="22171C9E">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color w:val="auto"/>
                <w:sz w:val="13"/>
                <w:szCs w:val="13"/>
                <w:highlight w:val="none"/>
              </w:rPr>
            </w:pPr>
            <w:r>
              <w:rPr>
                <w:rFonts w:hint="default" w:ascii="仿宋_GB2312" w:hAnsi="宋体" w:eastAsia="仿宋_GB2312" w:cs="仿宋_GB2312"/>
                <w:i w:val="0"/>
                <w:color w:val="auto"/>
                <w:kern w:val="0"/>
                <w:sz w:val="13"/>
                <w:szCs w:val="13"/>
                <w:highlight w:val="none"/>
                <w:u w:val="none"/>
                <w:lang w:val="en-US" w:eastAsia="zh-CN" w:bidi="ar"/>
              </w:rPr>
              <w:t>3</w:t>
            </w:r>
            <w:r>
              <w:rPr>
                <w:rFonts w:hint="eastAsia" w:ascii="仿宋_GB2312" w:hAnsi="宋体" w:eastAsia="仿宋_GB2312" w:cs="仿宋_GB2312"/>
                <w:i w:val="0"/>
                <w:color w:val="auto"/>
                <w:kern w:val="0"/>
                <w:sz w:val="13"/>
                <w:szCs w:val="13"/>
                <w:highlight w:val="none"/>
                <w:u w:val="none"/>
                <w:lang w:val="en-US" w:eastAsia="zh-CN" w:bidi="ar"/>
              </w:rPr>
              <w:t>5</w:t>
            </w:r>
          </w:p>
        </w:tc>
        <w:tc>
          <w:tcPr>
            <w:tcW w:w="1550" w:type="dxa"/>
            <w:vMerge w:val="restart"/>
            <w:tcBorders>
              <w:tl2br w:val="nil"/>
              <w:tr2bl w:val="nil"/>
            </w:tcBorders>
            <w:vAlign w:val="center"/>
          </w:tcPr>
          <w:p w14:paraId="63EA7CF3">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未经注册而以注册造价工程师的名义从事工程造价活动</w:t>
            </w:r>
          </w:p>
        </w:tc>
        <w:tc>
          <w:tcPr>
            <w:tcW w:w="4820" w:type="dxa"/>
            <w:vMerge w:val="restart"/>
            <w:tcBorders>
              <w:tl2br w:val="nil"/>
              <w:tr2bl w:val="nil"/>
            </w:tcBorders>
            <w:vAlign w:val="center"/>
          </w:tcPr>
          <w:p w14:paraId="6607EB40">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《注册造价工程师管理办法》</w:t>
            </w:r>
            <w:r>
              <w:rPr>
                <w:rFonts w:hint="eastAsia" w:ascii="仿宋_GB2312" w:hAnsi="宋体" w:eastAsia="仿宋_GB2312"/>
                <w:b/>
                <w:bCs/>
                <w:color w:val="auto"/>
                <w:kern w:val="0"/>
                <w:sz w:val="13"/>
                <w:szCs w:val="13"/>
                <w:highlight w:val="none"/>
              </w:rPr>
              <w:t>第三十四条</w:t>
            </w:r>
            <w:r>
              <w:rPr>
                <w:rFonts w:hint="eastAsia" w:ascii="仿宋_GB2312" w:hAnsi="宋体" w:eastAsia="仿宋_GB2312"/>
                <w:b/>
                <w:bCs/>
                <w:color w:val="auto"/>
                <w:kern w:val="0"/>
                <w:sz w:val="13"/>
                <w:szCs w:val="13"/>
                <w:highlight w:val="none"/>
                <w:lang w:eastAsia="zh-CN"/>
              </w:rPr>
              <w:t>：</w:t>
            </w:r>
            <w:r>
              <w:rPr>
                <w:rFonts w:hint="eastAsia" w:ascii="仿宋_GB2312" w:hAnsi="宋体" w:eastAsia="仿宋_GB2312"/>
                <w:color w:val="auto"/>
                <w:kern w:val="0"/>
                <w:sz w:val="13"/>
                <w:szCs w:val="13"/>
                <w:highlight w:val="none"/>
              </w:rPr>
              <w:t>违反本办法规定，未经注册而以注册造价工程师的名义从事工程造价活动的，所签署的工程造价成果文件无效，由县级以上地方人民政府建设主管部门或者其他有关部门给予警告，责令停止违法活动，并可处以1万元以上3万元以下的罚款。</w:t>
            </w:r>
          </w:p>
        </w:tc>
        <w:tc>
          <w:tcPr>
            <w:tcW w:w="823" w:type="dxa"/>
            <w:tcBorders>
              <w:tl2br w:val="nil"/>
              <w:tr2bl w:val="nil"/>
            </w:tcBorders>
            <w:vAlign w:val="center"/>
          </w:tcPr>
          <w:p w14:paraId="6BAFC37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vAlign w:val="center"/>
          </w:tcPr>
          <w:p w14:paraId="71AC036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olor w:val="auto"/>
                <w:sz w:val="13"/>
                <w:szCs w:val="13"/>
                <w:highlight w:val="none"/>
              </w:rPr>
            </w:pPr>
            <w:r>
              <w:rPr>
                <w:rFonts w:hint="eastAsia" w:ascii="仿宋_GB2312" w:hAnsi="宋体" w:eastAsia="仿宋_GB2312"/>
                <w:color w:val="auto"/>
                <w:kern w:val="0"/>
                <w:sz w:val="13"/>
                <w:szCs w:val="13"/>
                <w:highlight w:val="none"/>
              </w:rPr>
              <w:t>初次发生违法行为，危害后果轻微，主动消除或减轻违法行为危害后果的。</w:t>
            </w:r>
          </w:p>
        </w:tc>
        <w:tc>
          <w:tcPr>
            <w:tcW w:w="3058" w:type="dxa"/>
            <w:tcBorders>
              <w:tl2br w:val="nil"/>
              <w:tr2bl w:val="nil"/>
            </w:tcBorders>
            <w:vAlign w:val="center"/>
          </w:tcPr>
          <w:p w14:paraId="1578FCC6">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所签署的工程造价成果文件无效，给予警告，责令停止违法活动，可处以1万元以上1.5万元以下的罚款。</w:t>
            </w:r>
          </w:p>
        </w:tc>
      </w:tr>
      <w:tr w14:paraId="59DD964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0" w:hRule="atLeast"/>
          <w:jc w:val="center"/>
        </w:trPr>
        <w:tc>
          <w:tcPr>
            <w:tcW w:w="443" w:type="dxa"/>
            <w:gridSpan w:val="2"/>
            <w:vMerge w:val="continue"/>
            <w:tcBorders>
              <w:tl2br w:val="nil"/>
              <w:tr2bl w:val="nil"/>
            </w:tcBorders>
            <w:vAlign w:val="center"/>
          </w:tcPr>
          <w:p w14:paraId="3D50711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1C4F3B8C">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top"/>
          </w:tcPr>
          <w:p w14:paraId="045B805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b/>
                <w:color w:val="auto"/>
                <w:kern w:val="0"/>
                <w:sz w:val="13"/>
                <w:szCs w:val="13"/>
                <w:highlight w:val="none"/>
              </w:rPr>
            </w:pPr>
          </w:p>
        </w:tc>
        <w:tc>
          <w:tcPr>
            <w:tcW w:w="823" w:type="dxa"/>
            <w:tcBorders>
              <w:tl2br w:val="nil"/>
              <w:tr2bl w:val="nil"/>
            </w:tcBorders>
            <w:vAlign w:val="center"/>
          </w:tcPr>
          <w:p w14:paraId="464E542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一般情节</w:t>
            </w:r>
          </w:p>
        </w:tc>
        <w:tc>
          <w:tcPr>
            <w:tcW w:w="3437" w:type="dxa"/>
            <w:gridSpan w:val="2"/>
            <w:tcBorders>
              <w:tl2br w:val="nil"/>
              <w:tr2bl w:val="nil"/>
            </w:tcBorders>
            <w:vAlign w:val="center"/>
          </w:tcPr>
          <w:p w14:paraId="3B9D50A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olor w:val="auto"/>
                <w:sz w:val="13"/>
                <w:szCs w:val="13"/>
                <w:highlight w:val="none"/>
              </w:rPr>
            </w:pPr>
            <w:r>
              <w:rPr>
                <w:rFonts w:hint="eastAsia" w:ascii="仿宋_GB2312" w:hAnsi="宋体" w:eastAsia="仿宋_GB2312"/>
                <w:color w:val="auto"/>
                <w:kern w:val="0"/>
                <w:sz w:val="13"/>
                <w:szCs w:val="13"/>
                <w:highlight w:val="none"/>
              </w:rPr>
              <w:t>不具有从轻、</w:t>
            </w:r>
            <w:r>
              <w:rPr>
                <w:rFonts w:hint="eastAsia" w:ascii="仿宋_GB2312" w:hAnsi="宋体" w:eastAsia="仿宋_GB2312"/>
                <w:color w:val="auto"/>
                <w:kern w:val="0"/>
                <w:sz w:val="13"/>
                <w:szCs w:val="13"/>
                <w:highlight w:val="none"/>
                <w:lang w:eastAsia="zh-CN"/>
              </w:rPr>
              <w:t>从重情节</w:t>
            </w:r>
            <w:r>
              <w:rPr>
                <w:rFonts w:hint="eastAsia" w:ascii="仿宋_GB2312" w:hAnsi="宋体" w:eastAsia="仿宋_GB2312"/>
                <w:color w:val="auto"/>
                <w:kern w:val="0"/>
                <w:sz w:val="13"/>
                <w:szCs w:val="13"/>
                <w:highlight w:val="none"/>
              </w:rPr>
              <w:t>的。</w:t>
            </w:r>
          </w:p>
        </w:tc>
        <w:tc>
          <w:tcPr>
            <w:tcW w:w="3058" w:type="dxa"/>
            <w:tcBorders>
              <w:tl2br w:val="nil"/>
              <w:tr2bl w:val="nil"/>
            </w:tcBorders>
            <w:vAlign w:val="center"/>
          </w:tcPr>
          <w:p w14:paraId="293BAB2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所签署的工程造价成果文件无效；给予警告，责令停止违法活动，处以1.5万元以上2.5万元以下的罚款。</w:t>
            </w:r>
          </w:p>
        </w:tc>
      </w:tr>
      <w:tr w14:paraId="2B22A8D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90" w:hRule="atLeast"/>
          <w:jc w:val="center"/>
        </w:trPr>
        <w:tc>
          <w:tcPr>
            <w:tcW w:w="443" w:type="dxa"/>
            <w:gridSpan w:val="2"/>
            <w:vMerge w:val="continue"/>
            <w:tcBorders>
              <w:tl2br w:val="nil"/>
              <w:tr2bl w:val="nil"/>
            </w:tcBorders>
            <w:vAlign w:val="center"/>
          </w:tcPr>
          <w:p w14:paraId="746E27E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38AA82B5">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4AC3D76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b/>
                <w:color w:val="auto"/>
                <w:kern w:val="0"/>
                <w:sz w:val="13"/>
                <w:szCs w:val="13"/>
                <w:highlight w:val="none"/>
              </w:rPr>
            </w:pPr>
          </w:p>
        </w:tc>
        <w:tc>
          <w:tcPr>
            <w:tcW w:w="823" w:type="dxa"/>
            <w:tcBorders>
              <w:tl2br w:val="nil"/>
              <w:tr2bl w:val="nil"/>
            </w:tcBorders>
            <w:vAlign w:val="center"/>
          </w:tcPr>
          <w:p w14:paraId="5775622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从重情节</w:t>
            </w:r>
          </w:p>
        </w:tc>
        <w:tc>
          <w:tcPr>
            <w:tcW w:w="3437" w:type="dxa"/>
            <w:gridSpan w:val="2"/>
            <w:tcBorders>
              <w:tl2br w:val="nil"/>
              <w:tr2bl w:val="nil"/>
            </w:tcBorders>
            <w:vAlign w:val="center"/>
          </w:tcPr>
          <w:p w14:paraId="7AA895F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lang w:val="en-US" w:eastAsia="zh-CN"/>
              </w:rPr>
              <w:t>有下列情形之一的：</w:t>
            </w:r>
            <w:r>
              <w:rPr>
                <w:rFonts w:hint="eastAsia" w:ascii="仿宋_GB2312" w:hAnsi="宋体" w:eastAsia="仿宋_GB2312"/>
                <w:color w:val="auto"/>
                <w:kern w:val="0"/>
                <w:sz w:val="13"/>
                <w:szCs w:val="13"/>
                <w:highlight w:val="none"/>
              </w:rPr>
              <w:t>（1）曾因未经注册而以注册造价工程师的名义从事工程造价活动被依法查处，再次实施该违法行为的；</w:t>
            </w:r>
          </w:p>
          <w:p w14:paraId="777CB09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（2）严重扰乱工程造价市场秩序的；</w:t>
            </w:r>
          </w:p>
          <w:p w14:paraId="48301CC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textAlignment w:val="center"/>
              <w:rPr>
                <w:rFonts w:ascii="仿宋_GB2312" w:hAnsi="宋体" w:eastAsia="仿宋_GB2312"/>
                <w:color w:val="auto"/>
                <w:sz w:val="13"/>
                <w:szCs w:val="13"/>
                <w:highlight w:val="none"/>
              </w:rPr>
            </w:pPr>
            <w:r>
              <w:rPr>
                <w:rFonts w:hint="eastAsia" w:ascii="仿宋_GB2312" w:hAnsi="宋体" w:eastAsia="仿宋_GB2312"/>
                <w:color w:val="auto"/>
                <w:kern w:val="0"/>
                <w:sz w:val="13"/>
                <w:szCs w:val="13"/>
                <w:highlight w:val="none"/>
              </w:rPr>
              <w:t>（3）其他依法应予从重处罚的情形。</w:t>
            </w:r>
          </w:p>
        </w:tc>
        <w:tc>
          <w:tcPr>
            <w:tcW w:w="3058" w:type="dxa"/>
            <w:tcBorders>
              <w:tl2br w:val="nil"/>
              <w:tr2bl w:val="nil"/>
            </w:tcBorders>
            <w:vAlign w:val="center"/>
          </w:tcPr>
          <w:p w14:paraId="72FADA9C">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所签署的工程造价成果文件无效，给予警告，责令停止违法活动，处以2.5万元以上3万元以下的罚款。</w:t>
            </w:r>
          </w:p>
        </w:tc>
      </w:tr>
      <w:tr w14:paraId="292185B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90" w:hRule="atLeast"/>
          <w:jc w:val="center"/>
        </w:trPr>
        <w:tc>
          <w:tcPr>
            <w:tcW w:w="443" w:type="dxa"/>
            <w:gridSpan w:val="2"/>
            <w:vMerge w:val="restart"/>
            <w:tcBorders>
              <w:tl2br w:val="nil"/>
              <w:tr2bl w:val="nil"/>
            </w:tcBorders>
            <w:vAlign w:val="center"/>
          </w:tcPr>
          <w:p w14:paraId="5C2084DF">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color w:val="auto"/>
                <w:sz w:val="13"/>
                <w:szCs w:val="13"/>
                <w:highlight w:val="none"/>
              </w:rPr>
            </w:pPr>
            <w:r>
              <w:rPr>
                <w:rFonts w:hint="default" w:ascii="仿宋_GB2312" w:hAnsi="宋体" w:eastAsia="仿宋_GB2312" w:cs="仿宋_GB2312"/>
                <w:i w:val="0"/>
                <w:color w:val="auto"/>
                <w:kern w:val="0"/>
                <w:sz w:val="13"/>
                <w:szCs w:val="13"/>
                <w:highlight w:val="none"/>
                <w:u w:val="none"/>
                <w:lang w:val="en-US" w:eastAsia="zh-CN" w:bidi="ar"/>
              </w:rPr>
              <w:t>3</w:t>
            </w:r>
            <w:r>
              <w:rPr>
                <w:rFonts w:hint="eastAsia" w:ascii="仿宋_GB2312" w:hAnsi="宋体" w:eastAsia="仿宋_GB2312" w:cs="仿宋_GB2312"/>
                <w:i w:val="0"/>
                <w:color w:val="auto"/>
                <w:kern w:val="0"/>
                <w:sz w:val="13"/>
                <w:szCs w:val="13"/>
                <w:highlight w:val="none"/>
                <w:u w:val="none"/>
                <w:lang w:val="en-US" w:eastAsia="zh-CN" w:bidi="ar"/>
              </w:rPr>
              <w:t>6</w:t>
            </w:r>
          </w:p>
        </w:tc>
        <w:tc>
          <w:tcPr>
            <w:tcW w:w="1550" w:type="dxa"/>
            <w:vMerge w:val="restart"/>
            <w:tcBorders>
              <w:tl2br w:val="nil"/>
              <w:tr2bl w:val="nil"/>
            </w:tcBorders>
            <w:vAlign w:val="center"/>
          </w:tcPr>
          <w:p w14:paraId="1709E680">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注册造价工程师未办理变更注册而继续执业</w:t>
            </w:r>
          </w:p>
        </w:tc>
        <w:tc>
          <w:tcPr>
            <w:tcW w:w="4820" w:type="dxa"/>
            <w:vMerge w:val="restart"/>
            <w:tcBorders>
              <w:tl2br w:val="nil"/>
              <w:tr2bl w:val="nil"/>
            </w:tcBorders>
            <w:vAlign w:val="center"/>
          </w:tcPr>
          <w:p w14:paraId="5F429C17">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《注册造价工程师管理办法》</w:t>
            </w:r>
            <w:r>
              <w:rPr>
                <w:rFonts w:hint="eastAsia" w:ascii="仿宋_GB2312" w:hAnsi="宋体" w:eastAsia="仿宋_GB2312"/>
                <w:b/>
                <w:bCs/>
                <w:color w:val="auto"/>
                <w:kern w:val="0"/>
                <w:sz w:val="13"/>
                <w:szCs w:val="13"/>
                <w:highlight w:val="none"/>
              </w:rPr>
              <w:t>第三十五条</w:t>
            </w:r>
            <w:r>
              <w:rPr>
                <w:rFonts w:hint="eastAsia" w:ascii="仿宋_GB2312" w:hAnsi="宋体" w:eastAsia="仿宋_GB2312"/>
                <w:b/>
                <w:bCs/>
                <w:color w:val="auto"/>
                <w:kern w:val="0"/>
                <w:sz w:val="13"/>
                <w:szCs w:val="13"/>
                <w:highlight w:val="none"/>
                <w:lang w:eastAsia="zh-CN"/>
              </w:rPr>
              <w:t>：</w:t>
            </w:r>
            <w:r>
              <w:rPr>
                <w:rFonts w:hint="eastAsia" w:ascii="仿宋_GB2312" w:hAnsi="宋体" w:eastAsia="仿宋_GB2312"/>
                <w:color w:val="auto"/>
                <w:kern w:val="0"/>
                <w:sz w:val="13"/>
                <w:szCs w:val="13"/>
                <w:highlight w:val="none"/>
              </w:rPr>
              <w:t>违反本办法规定，未办理变更注册而继续执业的，由县级以上人民政府建设主管部门或者其他有关部门责令限期改正；逾期不改的，可处以5000元以下的罚款。</w:t>
            </w:r>
          </w:p>
        </w:tc>
        <w:tc>
          <w:tcPr>
            <w:tcW w:w="823" w:type="dxa"/>
            <w:tcBorders>
              <w:tl2br w:val="nil"/>
              <w:tr2bl w:val="nil"/>
            </w:tcBorders>
            <w:vAlign w:val="center"/>
          </w:tcPr>
          <w:p w14:paraId="277C5EA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vAlign w:val="center"/>
          </w:tcPr>
          <w:p w14:paraId="592B4C26">
            <w:pPr>
              <w:pStyle w:val="19"/>
              <w:keepNext w:val="0"/>
              <w:keepLines w:val="0"/>
              <w:pageBreakBefore w:val="0"/>
              <w:kinsoku/>
              <w:overflowPunct/>
              <w:topLinePunct w:val="0"/>
              <w:autoSpaceDE/>
              <w:autoSpaceDN/>
              <w:bidi w:val="0"/>
              <w:adjustRightInd/>
              <w:snapToGrid/>
              <w:spacing w:before="0" w:beforeAutospacing="0" w:after="0" w:afterAutospacing="0" w:line="260" w:lineRule="exact"/>
              <w:ind w:left="0" w:leftChars="0" w:right="0" w:rightChars="0" w:firstLine="130" w:firstLineChars="100"/>
              <w:rPr>
                <w:rFonts w:ascii="仿宋_GB2312" w:eastAsia="仿宋_GB2312" w:cstheme="minorBidi"/>
                <w:color w:val="auto"/>
                <w:sz w:val="13"/>
                <w:szCs w:val="13"/>
                <w:highlight w:val="none"/>
              </w:rPr>
            </w:pPr>
            <w:r>
              <w:rPr>
                <w:rFonts w:hint="eastAsia" w:ascii="仿宋_GB2312" w:eastAsia="仿宋_GB2312" w:cstheme="minorBidi"/>
                <w:color w:val="auto"/>
                <w:sz w:val="13"/>
                <w:szCs w:val="13"/>
                <w:highlight w:val="none"/>
              </w:rPr>
              <w:t>经责令限期改正，逾期15日以内改正的。</w:t>
            </w:r>
          </w:p>
        </w:tc>
        <w:tc>
          <w:tcPr>
            <w:tcW w:w="3058" w:type="dxa"/>
            <w:tcBorders>
              <w:tl2br w:val="nil"/>
              <w:tr2bl w:val="nil"/>
            </w:tcBorders>
            <w:vAlign w:val="center"/>
          </w:tcPr>
          <w:p w14:paraId="1FFC5A6B">
            <w:pPr>
              <w:pStyle w:val="19"/>
              <w:keepNext w:val="0"/>
              <w:keepLines w:val="0"/>
              <w:pageBreakBefore w:val="0"/>
              <w:kinsoku/>
              <w:overflowPunct/>
              <w:topLinePunct w:val="0"/>
              <w:autoSpaceDE/>
              <w:autoSpaceDN/>
              <w:bidi w:val="0"/>
              <w:adjustRightInd/>
              <w:snapToGrid/>
              <w:spacing w:before="0" w:beforeAutospacing="0" w:after="0" w:afterAutospacing="0" w:line="260" w:lineRule="exact"/>
              <w:ind w:left="0" w:leftChars="0" w:right="0" w:rightChars="0" w:firstLine="130" w:firstLineChars="100"/>
              <w:rPr>
                <w:rFonts w:ascii="仿宋_GB2312" w:eastAsia="仿宋_GB2312" w:cstheme="minorBidi"/>
                <w:color w:val="auto"/>
                <w:sz w:val="13"/>
                <w:szCs w:val="13"/>
                <w:highlight w:val="none"/>
              </w:rPr>
            </w:pPr>
            <w:r>
              <w:rPr>
                <w:rFonts w:hint="eastAsia" w:ascii="仿宋_GB2312" w:eastAsia="仿宋_GB2312" w:cstheme="minorBidi"/>
                <w:color w:val="auto"/>
                <w:sz w:val="13"/>
                <w:szCs w:val="13"/>
                <w:highlight w:val="none"/>
              </w:rPr>
              <w:t>可处1500元以下的罚款。</w:t>
            </w:r>
          </w:p>
        </w:tc>
      </w:tr>
      <w:tr w14:paraId="4564580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0" w:hRule="atLeast"/>
          <w:jc w:val="center"/>
        </w:trPr>
        <w:tc>
          <w:tcPr>
            <w:tcW w:w="443" w:type="dxa"/>
            <w:gridSpan w:val="2"/>
            <w:vMerge w:val="continue"/>
            <w:tcBorders>
              <w:tl2br w:val="nil"/>
              <w:tr2bl w:val="nil"/>
            </w:tcBorders>
            <w:vAlign w:val="center"/>
          </w:tcPr>
          <w:p w14:paraId="14E0E56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3D64564D">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top"/>
          </w:tcPr>
          <w:p w14:paraId="60880EA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tcBorders>
              <w:tl2br w:val="nil"/>
              <w:tr2bl w:val="nil"/>
            </w:tcBorders>
            <w:vAlign w:val="center"/>
          </w:tcPr>
          <w:p w14:paraId="05EE2D0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一般情节</w:t>
            </w:r>
          </w:p>
        </w:tc>
        <w:tc>
          <w:tcPr>
            <w:tcW w:w="3437" w:type="dxa"/>
            <w:gridSpan w:val="2"/>
            <w:tcBorders>
              <w:tl2br w:val="nil"/>
              <w:tr2bl w:val="nil"/>
            </w:tcBorders>
            <w:vAlign w:val="center"/>
          </w:tcPr>
          <w:p w14:paraId="121C0FE7">
            <w:pPr>
              <w:pStyle w:val="19"/>
              <w:keepNext w:val="0"/>
              <w:keepLines w:val="0"/>
              <w:pageBreakBefore w:val="0"/>
              <w:kinsoku/>
              <w:overflowPunct/>
              <w:topLinePunct w:val="0"/>
              <w:autoSpaceDE/>
              <w:autoSpaceDN/>
              <w:bidi w:val="0"/>
              <w:adjustRightInd/>
              <w:snapToGrid/>
              <w:spacing w:before="0" w:beforeAutospacing="0" w:after="0" w:afterAutospacing="0" w:line="260" w:lineRule="exact"/>
              <w:ind w:left="0" w:leftChars="0" w:right="0" w:rightChars="0" w:firstLine="130" w:firstLineChars="100"/>
              <w:rPr>
                <w:rFonts w:ascii="仿宋_GB2312" w:eastAsia="仿宋_GB2312" w:cstheme="minorBidi"/>
                <w:color w:val="auto"/>
                <w:sz w:val="13"/>
                <w:szCs w:val="13"/>
                <w:highlight w:val="none"/>
              </w:rPr>
            </w:pPr>
            <w:r>
              <w:rPr>
                <w:rFonts w:hint="eastAsia" w:ascii="仿宋_GB2312" w:eastAsia="仿宋_GB2312" w:cstheme="minorBidi"/>
                <w:color w:val="auto"/>
                <w:sz w:val="13"/>
                <w:szCs w:val="13"/>
                <w:highlight w:val="none"/>
              </w:rPr>
              <w:t>经责令限期改正，逾期15日以上30日以内改正的。</w:t>
            </w:r>
          </w:p>
        </w:tc>
        <w:tc>
          <w:tcPr>
            <w:tcW w:w="3058" w:type="dxa"/>
            <w:tcBorders>
              <w:tl2br w:val="nil"/>
              <w:tr2bl w:val="nil"/>
            </w:tcBorders>
            <w:vAlign w:val="center"/>
          </w:tcPr>
          <w:p w14:paraId="71A11A03">
            <w:pPr>
              <w:pStyle w:val="19"/>
              <w:keepNext w:val="0"/>
              <w:keepLines w:val="0"/>
              <w:pageBreakBefore w:val="0"/>
              <w:kinsoku/>
              <w:overflowPunct/>
              <w:topLinePunct w:val="0"/>
              <w:autoSpaceDE/>
              <w:autoSpaceDN/>
              <w:bidi w:val="0"/>
              <w:adjustRightInd/>
              <w:snapToGrid/>
              <w:spacing w:before="0" w:beforeAutospacing="0" w:after="0" w:afterAutospacing="0" w:line="260" w:lineRule="exact"/>
              <w:ind w:left="0" w:leftChars="0" w:right="0" w:rightChars="0" w:firstLine="130" w:firstLineChars="100"/>
              <w:rPr>
                <w:rFonts w:ascii="仿宋_GB2312" w:eastAsia="仿宋_GB2312" w:cstheme="minorBidi"/>
                <w:color w:val="auto"/>
                <w:sz w:val="13"/>
                <w:szCs w:val="13"/>
                <w:highlight w:val="none"/>
              </w:rPr>
            </w:pPr>
            <w:r>
              <w:rPr>
                <w:rFonts w:hint="eastAsia" w:ascii="仿宋_GB2312" w:eastAsia="仿宋_GB2312" w:cstheme="minorBidi"/>
                <w:color w:val="auto"/>
                <w:sz w:val="13"/>
                <w:szCs w:val="13"/>
                <w:highlight w:val="none"/>
                <w:lang w:eastAsia="zh-CN"/>
              </w:rPr>
              <w:t>可</w:t>
            </w:r>
            <w:r>
              <w:rPr>
                <w:rFonts w:hint="eastAsia" w:ascii="仿宋_GB2312" w:eastAsia="仿宋_GB2312" w:cstheme="minorBidi"/>
                <w:color w:val="auto"/>
                <w:sz w:val="13"/>
                <w:szCs w:val="13"/>
                <w:highlight w:val="none"/>
              </w:rPr>
              <w:t>处1500元以上3500元以下的罚款。</w:t>
            </w:r>
          </w:p>
        </w:tc>
      </w:tr>
      <w:tr w14:paraId="4ED8B37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0" w:hRule="atLeast"/>
          <w:jc w:val="center"/>
        </w:trPr>
        <w:tc>
          <w:tcPr>
            <w:tcW w:w="443" w:type="dxa"/>
            <w:gridSpan w:val="2"/>
            <w:vMerge w:val="continue"/>
            <w:tcBorders>
              <w:tl2br w:val="nil"/>
              <w:tr2bl w:val="nil"/>
            </w:tcBorders>
            <w:vAlign w:val="center"/>
          </w:tcPr>
          <w:p w14:paraId="7D06A75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1E0E8ABA">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01DCC4D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tcBorders>
              <w:tl2br w:val="nil"/>
              <w:tr2bl w:val="nil"/>
            </w:tcBorders>
            <w:vAlign w:val="center"/>
          </w:tcPr>
          <w:p w14:paraId="40B6AC0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从重情节</w:t>
            </w:r>
          </w:p>
        </w:tc>
        <w:tc>
          <w:tcPr>
            <w:tcW w:w="3437" w:type="dxa"/>
            <w:gridSpan w:val="2"/>
            <w:tcBorders>
              <w:tl2br w:val="nil"/>
              <w:tr2bl w:val="nil"/>
            </w:tcBorders>
            <w:vAlign w:val="center"/>
          </w:tcPr>
          <w:p w14:paraId="0AC567E2">
            <w:pPr>
              <w:pStyle w:val="19"/>
              <w:keepNext w:val="0"/>
              <w:keepLines w:val="0"/>
              <w:pageBreakBefore w:val="0"/>
              <w:kinsoku/>
              <w:overflowPunct/>
              <w:topLinePunct w:val="0"/>
              <w:autoSpaceDE/>
              <w:autoSpaceDN/>
              <w:bidi w:val="0"/>
              <w:adjustRightInd/>
              <w:snapToGrid/>
              <w:spacing w:before="0" w:beforeAutospacing="0" w:after="0" w:afterAutospacing="0" w:line="260" w:lineRule="exact"/>
              <w:ind w:left="0" w:leftChars="0" w:right="0" w:rightChars="0" w:firstLine="130" w:firstLineChars="100"/>
              <w:rPr>
                <w:rFonts w:ascii="仿宋_GB2312" w:eastAsia="仿宋_GB2312" w:cstheme="minorBidi"/>
                <w:color w:val="auto"/>
                <w:sz w:val="13"/>
                <w:szCs w:val="13"/>
                <w:highlight w:val="none"/>
              </w:rPr>
            </w:pPr>
            <w:r>
              <w:rPr>
                <w:rFonts w:hint="eastAsia" w:ascii="仿宋_GB2312" w:eastAsia="仿宋_GB2312" w:cstheme="minorBidi"/>
                <w:color w:val="auto"/>
                <w:sz w:val="13"/>
                <w:szCs w:val="13"/>
                <w:highlight w:val="none"/>
              </w:rPr>
              <w:t>经责令限期改正，逾期30日以上未改正的。</w:t>
            </w:r>
          </w:p>
        </w:tc>
        <w:tc>
          <w:tcPr>
            <w:tcW w:w="3058" w:type="dxa"/>
            <w:tcBorders>
              <w:tl2br w:val="nil"/>
              <w:tr2bl w:val="nil"/>
            </w:tcBorders>
            <w:vAlign w:val="center"/>
          </w:tcPr>
          <w:p w14:paraId="5BE3E187">
            <w:pPr>
              <w:pStyle w:val="19"/>
              <w:keepNext w:val="0"/>
              <w:keepLines w:val="0"/>
              <w:pageBreakBefore w:val="0"/>
              <w:kinsoku/>
              <w:overflowPunct/>
              <w:topLinePunct w:val="0"/>
              <w:autoSpaceDE/>
              <w:autoSpaceDN/>
              <w:bidi w:val="0"/>
              <w:adjustRightInd/>
              <w:snapToGrid/>
              <w:spacing w:before="0" w:beforeAutospacing="0" w:after="0" w:afterAutospacing="0" w:line="260" w:lineRule="exact"/>
              <w:ind w:left="0" w:leftChars="0" w:right="0" w:rightChars="0" w:firstLine="130" w:firstLineChars="100"/>
              <w:rPr>
                <w:rFonts w:ascii="仿宋_GB2312" w:eastAsia="仿宋_GB2312" w:cstheme="minorBidi"/>
                <w:color w:val="auto"/>
                <w:sz w:val="13"/>
                <w:szCs w:val="13"/>
                <w:highlight w:val="none"/>
              </w:rPr>
            </w:pPr>
            <w:r>
              <w:rPr>
                <w:rFonts w:hint="eastAsia" w:ascii="仿宋_GB2312" w:eastAsia="仿宋_GB2312" w:cstheme="minorBidi"/>
                <w:color w:val="auto"/>
                <w:sz w:val="13"/>
                <w:szCs w:val="13"/>
                <w:highlight w:val="none"/>
                <w:lang w:eastAsia="zh-CN"/>
              </w:rPr>
              <w:t>可</w:t>
            </w:r>
            <w:r>
              <w:rPr>
                <w:rFonts w:hint="eastAsia" w:ascii="仿宋_GB2312" w:eastAsia="仿宋_GB2312" w:cstheme="minorBidi"/>
                <w:color w:val="auto"/>
                <w:sz w:val="13"/>
                <w:szCs w:val="13"/>
                <w:highlight w:val="none"/>
              </w:rPr>
              <w:t>处3500元以上5000元以下的罚款。</w:t>
            </w:r>
          </w:p>
        </w:tc>
      </w:tr>
      <w:tr w14:paraId="6AD1DA8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760" w:hRule="atLeast"/>
          <w:jc w:val="center"/>
        </w:trPr>
        <w:tc>
          <w:tcPr>
            <w:tcW w:w="443" w:type="dxa"/>
            <w:gridSpan w:val="2"/>
            <w:vMerge w:val="restart"/>
            <w:tcBorders>
              <w:tl2br w:val="nil"/>
              <w:tr2bl w:val="nil"/>
            </w:tcBorders>
            <w:vAlign w:val="center"/>
          </w:tcPr>
          <w:p w14:paraId="22A1C9AA">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Times New Roman"/>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37</w:t>
            </w:r>
          </w:p>
        </w:tc>
        <w:tc>
          <w:tcPr>
            <w:tcW w:w="1550" w:type="dxa"/>
            <w:vMerge w:val="restart"/>
            <w:tcBorders>
              <w:tl2br w:val="nil"/>
              <w:tr2bl w:val="nil"/>
            </w:tcBorders>
            <w:vAlign w:val="center"/>
          </w:tcPr>
          <w:p w14:paraId="4E5D40AF">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不履行注册造价工程师义务；在执业过程中，索贿、受贿或者谋取合同约定费用外的其他利益；在执业过程中实施商业贿赂；签署有虚假记载、误导性陈述的工程造价成果文件；以个人名义承接工程造价业务；允许他人以自己名义从事工程造价业务；同时在两个或者两个以上单位执业；涂改、倒卖、出租、出借或者以其他形式非法转让注册证书或者执业印章；法律、法规、规章禁止的其他行为。</w:t>
            </w:r>
          </w:p>
        </w:tc>
        <w:tc>
          <w:tcPr>
            <w:tcW w:w="4820" w:type="dxa"/>
            <w:vMerge w:val="restart"/>
            <w:tcBorders>
              <w:tl2br w:val="nil"/>
              <w:tr2bl w:val="nil"/>
            </w:tcBorders>
            <w:vAlign w:val="center"/>
          </w:tcPr>
          <w:p w14:paraId="5FC65075">
            <w:pPr>
              <w:pStyle w:val="19"/>
              <w:keepNext w:val="0"/>
              <w:keepLines w:val="0"/>
              <w:pageBreakBefore w:val="0"/>
              <w:kinsoku/>
              <w:overflowPunct/>
              <w:topLinePunct w:val="0"/>
              <w:autoSpaceDE/>
              <w:autoSpaceDN/>
              <w:bidi w:val="0"/>
              <w:adjustRightInd/>
              <w:snapToGrid/>
              <w:spacing w:before="0" w:beforeAutospacing="0" w:after="0" w:afterAutospacing="0" w:line="260" w:lineRule="exact"/>
              <w:ind w:left="0" w:leftChars="0" w:right="0" w:rightChars="0"/>
              <w:rPr>
                <w:rFonts w:ascii="仿宋_GB2312" w:eastAsia="仿宋_GB2312" w:cstheme="minorBidi"/>
                <w:color w:val="auto"/>
                <w:sz w:val="13"/>
                <w:szCs w:val="13"/>
                <w:highlight w:val="none"/>
              </w:rPr>
            </w:pPr>
          </w:p>
          <w:p w14:paraId="7298B65B">
            <w:pPr>
              <w:keepNext w:val="0"/>
              <w:keepLines w:val="0"/>
              <w:pageBreakBefore w:val="0"/>
              <w:widowControl w:val="0"/>
              <w:kinsoku/>
              <w:wordWrap/>
              <w:overflowPunct/>
              <w:topLinePunct w:val="0"/>
              <w:autoSpaceDE/>
              <w:autoSpaceDN/>
              <w:bidi w:val="0"/>
              <w:adjustRightInd/>
              <w:snapToGrid/>
              <w:spacing w:beforeAutospacing="0" w:afterAutospacing="0" w:line="200" w:lineRule="exact"/>
              <w:ind w:left="0" w:leftChars="0" w:right="0" w:rightChars="0"/>
              <w:jc w:val="left"/>
              <w:textAlignment w:val="auto"/>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rPr>
              <w:t>《注册造价工程师管理办法》</w:t>
            </w:r>
            <w:r>
              <w:rPr>
                <w:rFonts w:hint="eastAsia" w:ascii="仿宋_GB2312" w:hAnsi="宋体" w:eastAsia="仿宋_GB2312"/>
                <w:b/>
                <w:bCs/>
                <w:color w:val="auto"/>
                <w:kern w:val="0"/>
                <w:sz w:val="13"/>
                <w:szCs w:val="13"/>
                <w:highlight w:val="none"/>
              </w:rPr>
              <w:t>第三十六条</w:t>
            </w:r>
            <w:r>
              <w:rPr>
                <w:rFonts w:hint="eastAsia" w:ascii="仿宋_GB2312" w:hAnsi="宋体" w:eastAsia="仿宋_GB2312"/>
                <w:b/>
                <w:bCs/>
                <w:color w:val="auto"/>
                <w:kern w:val="0"/>
                <w:sz w:val="13"/>
                <w:szCs w:val="13"/>
                <w:highlight w:val="none"/>
                <w:lang w:eastAsia="zh-CN"/>
              </w:rPr>
              <w:t>：</w:t>
            </w:r>
            <w:r>
              <w:rPr>
                <w:rFonts w:hint="eastAsia" w:ascii="仿宋_GB2312" w:hAnsi="宋体" w:eastAsia="仿宋_GB2312"/>
                <w:color w:val="auto"/>
                <w:kern w:val="0"/>
                <w:sz w:val="13"/>
                <w:szCs w:val="13"/>
                <w:highlight w:val="none"/>
              </w:rPr>
              <w:t>注册造价工程师有本办法第二十条规定行为之一的，由县级以上地方人民政府建设主管部门或者其他有关部门给予警告，责令改正，没有违法所得的，处以1万元以下罚款，有违法所得的，处以违法所得3倍以下且不超过3万元的罚款</w:t>
            </w:r>
            <w:r>
              <w:rPr>
                <w:rFonts w:hint="eastAsia" w:ascii="仿宋_GB2312" w:hAnsi="宋体" w:eastAsia="仿宋_GB2312"/>
                <w:color w:val="auto"/>
                <w:kern w:val="0"/>
                <w:sz w:val="13"/>
                <w:szCs w:val="13"/>
                <w:highlight w:val="none"/>
                <w:lang w:eastAsia="zh-CN"/>
              </w:rPr>
              <w:t>。</w:t>
            </w:r>
          </w:p>
          <w:p w14:paraId="5FE68192">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00" w:lineRule="exact"/>
              <w:ind w:left="0" w:leftChars="0" w:right="0" w:rightChars="0" w:firstLine="0"/>
              <w:jc w:val="left"/>
              <w:textAlignment w:val="auto"/>
              <w:rPr>
                <w:rFonts w:hint="eastAsia" w:ascii="仿宋_GB2312" w:hAnsi="宋体" w:eastAsia="仿宋_GB2312" w:cstheme="minorBidi"/>
                <w:color w:val="auto"/>
                <w:kern w:val="0"/>
                <w:sz w:val="13"/>
                <w:szCs w:val="13"/>
                <w:highlight w:val="none"/>
                <w:lang w:val="en-US" w:eastAsia="zh-CN" w:bidi="ar-SA"/>
              </w:rPr>
            </w:pPr>
            <w:r>
              <w:rPr>
                <w:rFonts w:hint="eastAsia" w:ascii="仿宋_GB2312" w:hAnsi="宋体" w:eastAsia="仿宋_GB2312" w:cstheme="minorBidi"/>
                <w:color w:val="auto"/>
                <w:kern w:val="0"/>
                <w:sz w:val="13"/>
                <w:szCs w:val="13"/>
                <w:highlight w:val="none"/>
                <w:lang w:val="en-US" w:eastAsia="zh-CN" w:bidi="ar-SA"/>
              </w:rPr>
              <w:t>第二十条：注册造价工程师不得有下列行为：</w:t>
            </w:r>
          </w:p>
          <w:p w14:paraId="42003B63">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00" w:lineRule="exact"/>
              <w:ind w:left="0" w:leftChars="0" w:right="0" w:rightChars="0" w:firstLine="0"/>
              <w:jc w:val="left"/>
              <w:textAlignment w:val="auto"/>
              <w:rPr>
                <w:rFonts w:hint="eastAsia" w:ascii="仿宋_GB2312" w:hAnsi="宋体" w:eastAsia="仿宋_GB2312" w:cstheme="minorBidi"/>
                <w:color w:val="auto"/>
                <w:kern w:val="0"/>
                <w:sz w:val="13"/>
                <w:szCs w:val="13"/>
                <w:highlight w:val="none"/>
                <w:lang w:val="en-US" w:eastAsia="zh-CN" w:bidi="ar-SA"/>
              </w:rPr>
            </w:pPr>
            <w:r>
              <w:rPr>
                <w:rFonts w:hint="eastAsia" w:ascii="仿宋_GB2312" w:hAnsi="宋体" w:eastAsia="仿宋_GB2312" w:cstheme="minorBidi"/>
                <w:color w:val="auto"/>
                <w:kern w:val="0"/>
                <w:sz w:val="13"/>
                <w:szCs w:val="13"/>
                <w:highlight w:val="none"/>
                <w:lang w:val="en-US" w:eastAsia="zh-CN" w:bidi="ar-SA"/>
              </w:rPr>
              <w:t>　　（一）不履行注册造价工程师义务；</w:t>
            </w:r>
          </w:p>
          <w:p w14:paraId="73A3EBD2">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00" w:lineRule="exact"/>
              <w:ind w:left="0" w:leftChars="0" w:right="0" w:rightChars="0" w:firstLine="0"/>
              <w:jc w:val="left"/>
              <w:textAlignment w:val="auto"/>
              <w:rPr>
                <w:rFonts w:hint="eastAsia" w:ascii="仿宋_GB2312" w:hAnsi="宋体" w:eastAsia="仿宋_GB2312" w:cstheme="minorBidi"/>
                <w:color w:val="auto"/>
                <w:kern w:val="0"/>
                <w:sz w:val="13"/>
                <w:szCs w:val="13"/>
                <w:highlight w:val="none"/>
                <w:lang w:val="en-US" w:eastAsia="zh-CN" w:bidi="ar-SA"/>
              </w:rPr>
            </w:pPr>
            <w:r>
              <w:rPr>
                <w:rFonts w:hint="eastAsia" w:ascii="仿宋_GB2312" w:hAnsi="宋体" w:eastAsia="仿宋_GB2312" w:cstheme="minorBidi"/>
                <w:color w:val="auto"/>
                <w:kern w:val="0"/>
                <w:sz w:val="13"/>
                <w:szCs w:val="13"/>
                <w:highlight w:val="none"/>
                <w:lang w:val="en-US" w:eastAsia="zh-CN" w:bidi="ar-SA"/>
              </w:rPr>
              <w:t>　　（二）在执业过程中，索贿、受贿或者谋取合同约定费用外的其他利益；</w:t>
            </w:r>
          </w:p>
          <w:p w14:paraId="2CF47DA2">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00" w:lineRule="exact"/>
              <w:ind w:left="0" w:leftChars="0" w:right="0" w:rightChars="0" w:firstLine="0"/>
              <w:jc w:val="left"/>
              <w:textAlignment w:val="auto"/>
              <w:rPr>
                <w:rFonts w:hint="eastAsia" w:ascii="仿宋_GB2312" w:hAnsi="宋体" w:eastAsia="仿宋_GB2312" w:cstheme="minorBidi"/>
                <w:color w:val="auto"/>
                <w:kern w:val="0"/>
                <w:sz w:val="13"/>
                <w:szCs w:val="13"/>
                <w:highlight w:val="none"/>
                <w:lang w:val="en-US" w:eastAsia="zh-CN" w:bidi="ar-SA"/>
              </w:rPr>
            </w:pPr>
            <w:r>
              <w:rPr>
                <w:rFonts w:hint="eastAsia" w:ascii="仿宋_GB2312" w:hAnsi="宋体" w:eastAsia="仿宋_GB2312" w:cstheme="minorBidi"/>
                <w:color w:val="auto"/>
                <w:kern w:val="0"/>
                <w:sz w:val="13"/>
                <w:szCs w:val="13"/>
                <w:highlight w:val="none"/>
                <w:lang w:val="en-US" w:eastAsia="zh-CN" w:bidi="ar-SA"/>
              </w:rPr>
              <w:t>　　（三）在执业过程中实施商业贿赂；</w:t>
            </w:r>
          </w:p>
          <w:p w14:paraId="08995A28">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00" w:lineRule="exact"/>
              <w:ind w:left="0" w:leftChars="0" w:right="0" w:rightChars="0" w:firstLine="0"/>
              <w:jc w:val="left"/>
              <w:textAlignment w:val="auto"/>
              <w:rPr>
                <w:rFonts w:hint="eastAsia" w:ascii="仿宋_GB2312" w:hAnsi="宋体" w:eastAsia="仿宋_GB2312" w:cstheme="minorBidi"/>
                <w:color w:val="auto"/>
                <w:kern w:val="0"/>
                <w:sz w:val="13"/>
                <w:szCs w:val="13"/>
                <w:highlight w:val="none"/>
                <w:lang w:val="en-US" w:eastAsia="zh-CN" w:bidi="ar-SA"/>
              </w:rPr>
            </w:pPr>
            <w:r>
              <w:rPr>
                <w:rFonts w:hint="eastAsia" w:ascii="仿宋_GB2312" w:hAnsi="宋体" w:eastAsia="仿宋_GB2312" w:cstheme="minorBidi"/>
                <w:color w:val="auto"/>
                <w:kern w:val="0"/>
                <w:sz w:val="13"/>
                <w:szCs w:val="13"/>
                <w:highlight w:val="none"/>
                <w:lang w:val="en-US" w:eastAsia="zh-CN" w:bidi="ar-SA"/>
              </w:rPr>
              <w:t>　　（四）签署有虚假记载、误导性陈述的工程造价成果文件；</w:t>
            </w:r>
          </w:p>
          <w:p w14:paraId="08D42EA3">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00" w:lineRule="exact"/>
              <w:ind w:left="0" w:leftChars="0" w:right="0" w:rightChars="0" w:firstLine="0"/>
              <w:jc w:val="left"/>
              <w:textAlignment w:val="auto"/>
              <w:rPr>
                <w:rFonts w:hint="eastAsia" w:ascii="仿宋_GB2312" w:hAnsi="宋体" w:eastAsia="仿宋_GB2312" w:cstheme="minorBidi"/>
                <w:color w:val="auto"/>
                <w:kern w:val="0"/>
                <w:sz w:val="13"/>
                <w:szCs w:val="13"/>
                <w:highlight w:val="none"/>
                <w:lang w:val="en-US" w:eastAsia="zh-CN" w:bidi="ar-SA"/>
              </w:rPr>
            </w:pPr>
            <w:r>
              <w:rPr>
                <w:rFonts w:hint="eastAsia" w:ascii="仿宋_GB2312" w:hAnsi="宋体" w:eastAsia="仿宋_GB2312" w:cstheme="minorBidi"/>
                <w:color w:val="auto"/>
                <w:kern w:val="0"/>
                <w:sz w:val="13"/>
                <w:szCs w:val="13"/>
                <w:highlight w:val="none"/>
                <w:lang w:val="en-US" w:eastAsia="zh-CN" w:bidi="ar-SA"/>
              </w:rPr>
              <w:t>　　（五）以个人名义承接工程造价业务；</w:t>
            </w:r>
          </w:p>
          <w:p w14:paraId="25408CA6">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00" w:lineRule="exact"/>
              <w:ind w:left="0" w:leftChars="0" w:right="0" w:rightChars="0" w:firstLine="0"/>
              <w:jc w:val="left"/>
              <w:textAlignment w:val="auto"/>
              <w:rPr>
                <w:rFonts w:hint="eastAsia" w:ascii="仿宋_GB2312" w:hAnsi="宋体" w:eastAsia="仿宋_GB2312" w:cstheme="minorBidi"/>
                <w:color w:val="auto"/>
                <w:kern w:val="0"/>
                <w:sz w:val="13"/>
                <w:szCs w:val="13"/>
                <w:highlight w:val="none"/>
                <w:lang w:val="en-US" w:eastAsia="zh-CN" w:bidi="ar-SA"/>
              </w:rPr>
            </w:pPr>
            <w:r>
              <w:rPr>
                <w:rFonts w:hint="eastAsia" w:ascii="仿宋_GB2312" w:hAnsi="宋体" w:eastAsia="仿宋_GB2312" w:cstheme="minorBidi"/>
                <w:color w:val="auto"/>
                <w:kern w:val="0"/>
                <w:sz w:val="13"/>
                <w:szCs w:val="13"/>
                <w:highlight w:val="none"/>
                <w:lang w:val="en-US" w:eastAsia="zh-CN" w:bidi="ar-SA"/>
              </w:rPr>
              <w:t>　　（六）允许他人以自己名义从事工程造价业务；</w:t>
            </w:r>
          </w:p>
          <w:p w14:paraId="4310CA2A">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00" w:lineRule="exact"/>
              <w:ind w:left="0" w:leftChars="0" w:right="0" w:rightChars="0" w:firstLine="0"/>
              <w:jc w:val="left"/>
              <w:textAlignment w:val="auto"/>
              <w:rPr>
                <w:rFonts w:hint="eastAsia" w:ascii="仿宋_GB2312" w:hAnsi="宋体" w:eastAsia="仿宋_GB2312" w:cstheme="minorBidi"/>
                <w:color w:val="auto"/>
                <w:kern w:val="0"/>
                <w:sz w:val="13"/>
                <w:szCs w:val="13"/>
                <w:highlight w:val="none"/>
                <w:lang w:val="en-US" w:eastAsia="zh-CN" w:bidi="ar-SA"/>
              </w:rPr>
            </w:pPr>
            <w:r>
              <w:rPr>
                <w:rFonts w:hint="eastAsia" w:ascii="仿宋_GB2312" w:hAnsi="宋体" w:eastAsia="仿宋_GB2312" w:cstheme="minorBidi"/>
                <w:color w:val="auto"/>
                <w:kern w:val="0"/>
                <w:sz w:val="13"/>
                <w:szCs w:val="13"/>
                <w:highlight w:val="none"/>
                <w:lang w:val="en-US" w:eastAsia="zh-CN" w:bidi="ar-SA"/>
              </w:rPr>
              <w:t>　　（七）同时在两个或者两个以上单位执业；</w:t>
            </w:r>
          </w:p>
          <w:p w14:paraId="622E1298">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00" w:lineRule="exact"/>
              <w:ind w:left="0" w:leftChars="0" w:right="0" w:rightChars="0" w:firstLine="0"/>
              <w:jc w:val="left"/>
              <w:textAlignment w:val="auto"/>
              <w:rPr>
                <w:rFonts w:hint="eastAsia" w:ascii="仿宋_GB2312" w:hAnsi="宋体" w:eastAsia="仿宋_GB2312" w:cstheme="minorBidi"/>
                <w:color w:val="auto"/>
                <w:kern w:val="0"/>
                <w:sz w:val="13"/>
                <w:szCs w:val="13"/>
                <w:highlight w:val="none"/>
                <w:lang w:val="en-US" w:eastAsia="zh-CN" w:bidi="ar-SA"/>
              </w:rPr>
            </w:pPr>
            <w:r>
              <w:rPr>
                <w:rFonts w:hint="eastAsia" w:ascii="仿宋_GB2312" w:hAnsi="宋体" w:eastAsia="仿宋_GB2312" w:cstheme="minorBidi"/>
                <w:color w:val="auto"/>
                <w:kern w:val="0"/>
                <w:sz w:val="13"/>
                <w:szCs w:val="13"/>
                <w:highlight w:val="none"/>
                <w:lang w:val="en-US" w:eastAsia="zh-CN" w:bidi="ar-SA"/>
              </w:rPr>
              <w:t>　　（八）涂改、倒卖、出租、出借或者以其他形式非法转让注册证书或者执业印章；</w:t>
            </w:r>
          </w:p>
          <w:p w14:paraId="70B5AB32">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00" w:lineRule="exact"/>
              <w:ind w:left="0" w:leftChars="0" w:right="0" w:rightChars="0" w:firstLine="0"/>
              <w:jc w:val="left"/>
              <w:textAlignment w:val="auto"/>
              <w:rPr>
                <w:rFonts w:hint="eastAsia" w:ascii="仿宋_GB2312" w:hAnsi="宋体" w:eastAsia="仿宋_GB2312" w:cstheme="minorBidi"/>
                <w:color w:val="auto"/>
                <w:kern w:val="0"/>
                <w:sz w:val="13"/>
                <w:szCs w:val="13"/>
                <w:highlight w:val="none"/>
                <w:lang w:val="en-US" w:eastAsia="zh-CN" w:bidi="ar-SA"/>
              </w:rPr>
            </w:pPr>
            <w:r>
              <w:rPr>
                <w:rFonts w:hint="eastAsia" w:ascii="仿宋_GB2312" w:hAnsi="宋体" w:eastAsia="仿宋_GB2312" w:cstheme="minorBidi"/>
                <w:color w:val="auto"/>
                <w:kern w:val="0"/>
                <w:sz w:val="13"/>
                <w:szCs w:val="13"/>
                <w:highlight w:val="none"/>
                <w:lang w:val="en-US" w:eastAsia="zh-CN" w:bidi="ar-SA"/>
              </w:rPr>
              <w:t>　　（九）超出执业范围、注册专业范围执业；</w:t>
            </w:r>
          </w:p>
          <w:p w14:paraId="6EA712C6">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00" w:lineRule="exact"/>
              <w:ind w:left="0" w:leftChars="0" w:right="0" w:rightChars="0" w:firstLine="0"/>
              <w:jc w:val="left"/>
              <w:textAlignment w:val="auto"/>
              <w:rPr>
                <w:rFonts w:hint="eastAsia" w:ascii="仿宋_GB2312" w:hAnsi="宋体" w:eastAsia="仿宋_GB2312" w:cstheme="minorBidi"/>
                <w:color w:val="auto"/>
                <w:kern w:val="0"/>
                <w:sz w:val="13"/>
                <w:szCs w:val="13"/>
                <w:highlight w:val="none"/>
                <w:lang w:val="en-US" w:eastAsia="zh-CN" w:bidi="ar-SA"/>
              </w:rPr>
            </w:pPr>
            <w:r>
              <w:rPr>
                <w:rFonts w:hint="eastAsia" w:ascii="仿宋_GB2312" w:hAnsi="宋体" w:eastAsia="仿宋_GB2312" w:cstheme="minorBidi"/>
                <w:color w:val="auto"/>
                <w:kern w:val="0"/>
                <w:sz w:val="13"/>
                <w:szCs w:val="13"/>
                <w:highlight w:val="none"/>
                <w:lang w:val="en-US" w:eastAsia="zh-CN" w:bidi="ar-SA"/>
              </w:rPr>
              <w:t>　　（十）法律、法规、规章禁止的其他行为。</w:t>
            </w:r>
          </w:p>
          <w:p w14:paraId="0F47BC68">
            <w:pPr>
              <w:keepNext w:val="0"/>
              <w:keepLines w:val="0"/>
              <w:pageBreakBefore w:val="0"/>
              <w:kinsoku/>
              <w:wordWrap/>
              <w:overflowPunct/>
              <w:topLinePunct w:val="0"/>
              <w:autoSpaceDE/>
              <w:autoSpaceDN/>
              <w:bidi w:val="0"/>
              <w:adjustRightInd/>
              <w:snapToGrid/>
              <w:spacing w:beforeAutospacing="0" w:afterAutospacing="0" w:line="200" w:lineRule="exact"/>
              <w:ind w:left="0" w:leftChars="0" w:right="0" w:rightChars="0"/>
              <w:jc w:val="left"/>
              <w:textAlignment w:val="auto"/>
              <w:rPr>
                <w:rFonts w:hint="eastAsia" w:ascii="仿宋_GB2312" w:hAnsi="宋体" w:eastAsia="仿宋_GB2312"/>
                <w:color w:val="auto"/>
                <w:kern w:val="0"/>
                <w:sz w:val="13"/>
                <w:szCs w:val="13"/>
                <w:highlight w:val="none"/>
                <w:lang w:val="en-US" w:eastAsia="zh-CN"/>
              </w:rPr>
            </w:pPr>
          </w:p>
          <w:p w14:paraId="6F972E64">
            <w:pPr>
              <w:keepNext w:val="0"/>
              <w:keepLines w:val="0"/>
              <w:pageBreakBefore w:val="0"/>
              <w:kinsoku/>
              <w:wordWrap/>
              <w:overflowPunct/>
              <w:topLinePunct w:val="0"/>
              <w:autoSpaceDE/>
              <w:autoSpaceDN/>
              <w:bidi w:val="0"/>
              <w:adjustRightInd/>
              <w:snapToGrid/>
              <w:spacing w:beforeAutospacing="0" w:afterAutospacing="0" w:line="200" w:lineRule="exact"/>
              <w:ind w:left="0" w:leftChars="0" w:right="0" w:rightChars="0"/>
              <w:jc w:val="left"/>
              <w:textAlignment w:val="auto"/>
              <w:rPr>
                <w:rFonts w:hint="eastAsia" w:ascii="仿宋_GB2312" w:hAnsi="宋体" w:eastAsia="仿宋_GB2312"/>
                <w:color w:val="auto"/>
                <w:kern w:val="0"/>
                <w:sz w:val="13"/>
                <w:szCs w:val="13"/>
                <w:highlight w:val="none"/>
              </w:rPr>
            </w:pPr>
          </w:p>
          <w:p w14:paraId="0E21E2E5">
            <w:pPr>
              <w:pStyle w:val="19"/>
              <w:keepNext w:val="0"/>
              <w:keepLines w:val="0"/>
              <w:pageBreakBefore w:val="0"/>
              <w:kinsoku/>
              <w:overflowPunct/>
              <w:topLinePunct w:val="0"/>
              <w:autoSpaceDE/>
              <w:autoSpaceDN/>
              <w:bidi w:val="0"/>
              <w:adjustRightInd/>
              <w:snapToGrid/>
              <w:spacing w:before="0" w:beforeAutospacing="0" w:after="0" w:afterAutospacing="0" w:line="260" w:lineRule="exact"/>
              <w:ind w:left="0" w:leftChars="0" w:right="0" w:rightChars="0"/>
              <w:rPr>
                <w:rFonts w:ascii="仿宋_GB2312" w:eastAsia="仿宋_GB2312" w:cstheme="minorBidi"/>
                <w:color w:val="auto"/>
                <w:sz w:val="13"/>
                <w:szCs w:val="13"/>
                <w:highlight w:val="none"/>
              </w:rPr>
            </w:pPr>
          </w:p>
        </w:tc>
        <w:tc>
          <w:tcPr>
            <w:tcW w:w="823" w:type="dxa"/>
            <w:tcBorders>
              <w:tl2br w:val="nil"/>
              <w:tr2bl w:val="nil"/>
            </w:tcBorders>
            <w:vAlign w:val="center"/>
          </w:tcPr>
          <w:p w14:paraId="2D3B65B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vAlign w:val="center"/>
          </w:tcPr>
          <w:p w14:paraId="2CBB5326">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没有违法所得，且未造成危害后果或造成轻微危害后果的。</w:t>
            </w:r>
          </w:p>
        </w:tc>
        <w:tc>
          <w:tcPr>
            <w:tcW w:w="3058" w:type="dxa"/>
            <w:tcBorders>
              <w:tl2br w:val="nil"/>
              <w:tr2bl w:val="nil"/>
            </w:tcBorders>
            <w:vAlign w:val="center"/>
          </w:tcPr>
          <w:p w14:paraId="3D89587E">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color w:val="auto"/>
                <w:sz w:val="13"/>
                <w:szCs w:val="13"/>
                <w:highlight w:val="none"/>
              </w:rPr>
            </w:pPr>
            <w:r>
              <w:rPr>
                <w:rFonts w:hint="eastAsia" w:ascii="仿宋_GB2312" w:hAnsi="宋体" w:eastAsia="仿宋_GB2312"/>
                <w:color w:val="auto"/>
                <w:kern w:val="0"/>
                <w:sz w:val="13"/>
                <w:szCs w:val="13"/>
                <w:highlight w:val="none"/>
              </w:rPr>
              <w:t>给予警告，责令改正，处3千元以下的罚款。</w:t>
            </w:r>
          </w:p>
        </w:tc>
      </w:tr>
      <w:tr w14:paraId="36C1459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38" w:hRule="atLeast"/>
          <w:jc w:val="center"/>
        </w:trPr>
        <w:tc>
          <w:tcPr>
            <w:tcW w:w="443" w:type="dxa"/>
            <w:gridSpan w:val="2"/>
            <w:vMerge w:val="continue"/>
            <w:tcBorders>
              <w:tl2br w:val="nil"/>
              <w:tr2bl w:val="nil"/>
            </w:tcBorders>
            <w:vAlign w:val="center"/>
          </w:tcPr>
          <w:p w14:paraId="28C52CF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0ED394CC">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p>
        </w:tc>
        <w:tc>
          <w:tcPr>
            <w:tcW w:w="4820" w:type="dxa"/>
            <w:vMerge w:val="continue"/>
            <w:tcBorders>
              <w:tl2br w:val="nil"/>
              <w:tr2bl w:val="nil"/>
            </w:tcBorders>
            <w:vAlign w:val="top"/>
          </w:tcPr>
          <w:p w14:paraId="1E44AF7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vMerge w:val="restart"/>
            <w:tcBorders>
              <w:tl2br w:val="nil"/>
              <w:tr2bl w:val="nil"/>
            </w:tcBorders>
            <w:vAlign w:val="center"/>
          </w:tcPr>
          <w:p w14:paraId="6A57C17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一般情节</w:t>
            </w:r>
          </w:p>
        </w:tc>
        <w:tc>
          <w:tcPr>
            <w:tcW w:w="3437" w:type="dxa"/>
            <w:gridSpan w:val="2"/>
            <w:tcBorders>
              <w:tl2br w:val="nil"/>
              <w:tr2bl w:val="nil"/>
            </w:tcBorders>
            <w:vAlign w:val="center"/>
          </w:tcPr>
          <w:p w14:paraId="0D216436">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（1）违法所得在5千元以下的。</w:t>
            </w:r>
          </w:p>
        </w:tc>
        <w:tc>
          <w:tcPr>
            <w:tcW w:w="3058" w:type="dxa"/>
            <w:tcBorders>
              <w:tl2br w:val="nil"/>
              <w:tr2bl w:val="nil"/>
            </w:tcBorders>
            <w:vAlign w:val="center"/>
          </w:tcPr>
          <w:p w14:paraId="37B80027">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给予警告，责令改正，处以违法所得1倍以下且不超过3万元的罚款。</w:t>
            </w:r>
          </w:p>
        </w:tc>
      </w:tr>
      <w:tr w14:paraId="38DC801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30" w:hRule="atLeast"/>
          <w:jc w:val="center"/>
        </w:trPr>
        <w:tc>
          <w:tcPr>
            <w:tcW w:w="443" w:type="dxa"/>
            <w:gridSpan w:val="2"/>
            <w:vMerge w:val="continue"/>
            <w:tcBorders>
              <w:tl2br w:val="nil"/>
              <w:tr2bl w:val="nil"/>
            </w:tcBorders>
            <w:vAlign w:val="center"/>
          </w:tcPr>
          <w:p w14:paraId="6EB4C26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51793E63">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p>
        </w:tc>
        <w:tc>
          <w:tcPr>
            <w:tcW w:w="4820" w:type="dxa"/>
            <w:vMerge w:val="continue"/>
            <w:tcBorders>
              <w:tl2br w:val="nil"/>
              <w:tr2bl w:val="nil"/>
            </w:tcBorders>
            <w:vAlign w:val="top"/>
          </w:tcPr>
          <w:p w14:paraId="0C4F490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vMerge w:val="continue"/>
            <w:tcBorders>
              <w:tl2br w:val="nil"/>
              <w:tr2bl w:val="nil"/>
            </w:tcBorders>
            <w:vAlign w:val="center"/>
          </w:tcPr>
          <w:p w14:paraId="790C8C9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olor w:val="auto"/>
                <w:kern w:val="0"/>
                <w:sz w:val="13"/>
                <w:szCs w:val="13"/>
                <w:highlight w:val="none"/>
              </w:rPr>
            </w:pPr>
          </w:p>
        </w:tc>
        <w:tc>
          <w:tcPr>
            <w:tcW w:w="3437" w:type="dxa"/>
            <w:gridSpan w:val="2"/>
            <w:tcBorders>
              <w:tl2br w:val="nil"/>
              <w:tr2bl w:val="nil"/>
            </w:tcBorders>
            <w:vAlign w:val="center"/>
          </w:tcPr>
          <w:p w14:paraId="08062C2B">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（2）没有违法所得，造成一般危害后果的。</w:t>
            </w:r>
          </w:p>
        </w:tc>
        <w:tc>
          <w:tcPr>
            <w:tcW w:w="3058" w:type="dxa"/>
            <w:tcBorders>
              <w:tl2br w:val="nil"/>
              <w:tr2bl w:val="nil"/>
            </w:tcBorders>
            <w:vAlign w:val="center"/>
          </w:tcPr>
          <w:p w14:paraId="529056A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给予警告，责令改正，处3千元以上7千元以下的罚款。</w:t>
            </w:r>
          </w:p>
        </w:tc>
      </w:tr>
      <w:tr w14:paraId="58CCFAD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484" w:hRule="atLeast"/>
          <w:jc w:val="center"/>
        </w:trPr>
        <w:tc>
          <w:tcPr>
            <w:tcW w:w="443" w:type="dxa"/>
            <w:gridSpan w:val="2"/>
            <w:vMerge w:val="continue"/>
            <w:tcBorders>
              <w:tl2br w:val="nil"/>
              <w:tr2bl w:val="nil"/>
            </w:tcBorders>
            <w:vAlign w:val="center"/>
          </w:tcPr>
          <w:p w14:paraId="42D0DC7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5ED1B101">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023C8C2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vMerge w:val="restart"/>
            <w:tcBorders>
              <w:tl2br w:val="nil"/>
              <w:tr2bl w:val="nil"/>
            </w:tcBorders>
            <w:vAlign w:val="center"/>
          </w:tcPr>
          <w:p w14:paraId="4136597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从重情节</w:t>
            </w:r>
          </w:p>
        </w:tc>
        <w:tc>
          <w:tcPr>
            <w:tcW w:w="3437" w:type="dxa"/>
            <w:gridSpan w:val="2"/>
            <w:tcBorders>
              <w:tl2br w:val="nil"/>
              <w:tr2bl w:val="nil"/>
            </w:tcBorders>
            <w:vAlign w:val="center"/>
          </w:tcPr>
          <w:p w14:paraId="138C6929">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（1）违法所得在5千元以上1万元以下的或造成一定危害后果、影响的。</w:t>
            </w:r>
          </w:p>
        </w:tc>
        <w:tc>
          <w:tcPr>
            <w:tcW w:w="3058" w:type="dxa"/>
            <w:tcBorders>
              <w:tl2br w:val="nil"/>
              <w:tr2bl w:val="nil"/>
            </w:tcBorders>
            <w:vAlign w:val="center"/>
          </w:tcPr>
          <w:p w14:paraId="6579D7DE">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给予警告，责令改正，处以违法所得1倍以上2倍以下且不超过3万元的罚款。</w:t>
            </w:r>
          </w:p>
        </w:tc>
      </w:tr>
      <w:tr w14:paraId="5868A1C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756" w:hRule="atLeast"/>
          <w:jc w:val="center"/>
        </w:trPr>
        <w:tc>
          <w:tcPr>
            <w:tcW w:w="443" w:type="dxa"/>
            <w:gridSpan w:val="2"/>
            <w:vMerge w:val="continue"/>
            <w:tcBorders>
              <w:tl2br w:val="nil"/>
              <w:tr2bl w:val="nil"/>
            </w:tcBorders>
            <w:vAlign w:val="center"/>
          </w:tcPr>
          <w:p w14:paraId="23EC4E8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0BB1E98C">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2271644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vMerge w:val="continue"/>
            <w:tcBorders>
              <w:tl2br w:val="nil"/>
              <w:tr2bl w:val="nil"/>
            </w:tcBorders>
            <w:vAlign w:val="center"/>
          </w:tcPr>
          <w:p w14:paraId="2F2CD74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olor w:val="auto"/>
                <w:kern w:val="0"/>
                <w:sz w:val="13"/>
                <w:szCs w:val="13"/>
                <w:highlight w:val="none"/>
              </w:rPr>
            </w:pPr>
          </w:p>
        </w:tc>
        <w:tc>
          <w:tcPr>
            <w:tcW w:w="3437" w:type="dxa"/>
            <w:gridSpan w:val="2"/>
            <w:tcBorders>
              <w:tl2br w:val="nil"/>
              <w:tr2bl w:val="nil"/>
            </w:tcBorders>
            <w:vAlign w:val="center"/>
          </w:tcPr>
          <w:p w14:paraId="5516891B">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（2）没有违法所得，造成严重危害后果的。</w:t>
            </w:r>
          </w:p>
        </w:tc>
        <w:tc>
          <w:tcPr>
            <w:tcW w:w="3058" w:type="dxa"/>
            <w:tcBorders>
              <w:tl2br w:val="nil"/>
              <w:tr2bl w:val="nil"/>
            </w:tcBorders>
            <w:vAlign w:val="center"/>
          </w:tcPr>
          <w:p w14:paraId="633CB39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给予警告；处7千元以上1万元以下的罚款。</w:t>
            </w:r>
          </w:p>
        </w:tc>
      </w:tr>
      <w:tr w14:paraId="13E7552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419" w:hRule="atLeast"/>
          <w:jc w:val="center"/>
        </w:trPr>
        <w:tc>
          <w:tcPr>
            <w:tcW w:w="443" w:type="dxa"/>
            <w:gridSpan w:val="2"/>
            <w:vMerge w:val="continue"/>
            <w:tcBorders>
              <w:tl2br w:val="nil"/>
              <w:tr2bl w:val="nil"/>
            </w:tcBorders>
            <w:vAlign w:val="center"/>
          </w:tcPr>
          <w:p w14:paraId="63F9D6B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7A3AFE48">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55DB02C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vMerge w:val="continue"/>
            <w:tcBorders>
              <w:tl2br w:val="nil"/>
              <w:tr2bl w:val="nil"/>
            </w:tcBorders>
            <w:vAlign w:val="center"/>
          </w:tcPr>
          <w:p w14:paraId="3CD6735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olor w:val="auto"/>
                <w:kern w:val="0"/>
                <w:sz w:val="13"/>
                <w:szCs w:val="13"/>
                <w:highlight w:val="none"/>
              </w:rPr>
            </w:pPr>
          </w:p>
        </w:tc>
        <w:tc>
          <w:tcPr>
            <w:tcW w:w="3437" w:type="dxa"/>
            <w:gridSpan w:val="2"/>
            <w:tcBorders>
              <w:tl2br w:val="nil"/>
              <w:tr2bl w:val="nil"/>
            </w:tcBorders>
            <w:vAlign w:val="center"/>
          </w:tcPr>
          <w:p w14:paraId="35CE20EF">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（3）违法所得在1万元以上的。</w:t>
            </w:r>
          </w:p>
        </w:tc>
        <w:tc>
          <w:tcPr>
            <w:tcW w:w="3058" w:type="dxa"/>
            <w:tcBorders>
              <w:tl2br w:val="nil"/>
              <w:tr2bl w:val="nil"/>
            </w:tcBorders>
            <w:vAlign w:val="center"/>
          </w:tcPr>
          <w:p w14:paraId="779EC33B">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给予警告，处以违法所得2倍以上3倍以下且不超过3万元的罚款。</w:t>
            </w:r>
          </w:p>
        </w:tc>
      </w:tr>
      <w:tr w14:paraId="2F31099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90" w:hRule="atLeast"/>
          <w:jc w:val="center"/>
        </w:trPr>
        <w:tc>
          <w:tcPr>
            <w:tcW w:w="443" w:type="dxa"/>
            <w:gridSpan w:val="2"/>
            <w:vMerge w:val="restart"/>
            <w:tcBorders>
              <w:tl2br w:val="nil"/>
              <w:tr2bl w:val="nil"/>
            </w:tcBorders>
            <w:vAlign w:val="center"/>
          </w:tcPr>
          <w:p w14:paraId="2285C153">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Times New Roman"/>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38</w:t>
            </w:r>
          </w:p>
        </w:tc>
        <w:tc>
          <w:tcPr>
            <w:tcW w:w="1550" w:type="dxa"/>
            <w:vMerge w:val="restart"/>
            <w:tcBorders>
              <w:tl2br w:val="nil"/>
              <w:tr2bl w:val="nil"/>
            </w:tcBorders>
            <w:vAlign w:val="center"/>
          </w:tcPr>
          <w:p w14:paraId="5AFAFA4F">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注册造价工程师或者其聘用单位未按照要求提供造价工程师信用档案信息</w:t>
            </w:r>
          </w:p>
        </w:tc>
        <w:tc>
          <w:tcPr>
            <w:tcW w:w="4820" w:type="dxa"/>
            <w:vMerge w:val="restart"/>
            <w:tcBorders>
              <w:tl2br w:val="nil"/>
              <w:tr2bl w:val="nil"/>
            </w:tcBorders>
            <w:vAlign w:val="center"/>
          </w:tcPr>
          <w:p w14:paraId="67C53585">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《注册造价工程师管理办法》</w:t>
            </w:r>
            <w:r>
              <w:rPr>
                <w:rFonts w:hint="eastAsia" w:ascii="仿宋_GB2312" w:hAnsi="宋体" w:eastAsia="仿宋_GB2312"/>
                <w:b/>
                <w:bCs/>
                <w:color w:val="auto"/>
                <w:kern w:val="0"/>
                <w:sz w:val="13"/>
                <w:szCs w:val="13"/>
                <w:highlight w:val="none"/>
              </w:rPr>
              <w:t>第三十七条</w:t>
            </w:r>
            <w:r>
              <w:rPr>
                <w:rFonts w:hint="eastAsia" w:ascii="仿宋_GB2312" w:hAnsi="宋体" w:eastAsia="仿宋_GB2312"/>
                <w:b/>
                <w:bCs/>
                <w:color w:val="auto"/>
                <w:kern w:val="0"/>
                <w:sz w:val="13"/>
                <w:szCs w:val="13"/>
                <w:highlight w:val="none"/>
                <w:lang w:eastAsia="zh-CN"/>
              </w:rPr>
              <w:t>：</w:t>
            </w:r>
            <w:r>
              <w:rPr>
                <w:rFonts w:hint="eastAsia" w:ascii="仿宋_GB2312" w:hAnsi="宋体" w:eastAsia="仿宋_GB2312"/>
                <w:color w:val="auto"/>
                <w:kern w:val="0"/>
                <w:sz w:val="13"/>
                <w:szCs w:val="13"/>
                <w:highlight w:val="none"/>
              </w:rPr>
              <w:t>违反本办法规定，注册造价工程师或者其聘用单位未按照要求提供造价工程师信用档案信息的，由县级以上地方人民政府建设主管部门或者其他有关部门责令限期改正；逾期未改正的，可处以1000元以上1万元以下的罚款。</w:t>
            </w:r>
          </w:p>
        </w:tc>
        <w:tc>
          <w:tcPr>
            <w:tcW w:w="823" w:type="dxa"/>
            <w:tcBorders>
              <w:tl2br w:val="nil"/>
              <w:tr2bl w:val="nil"/>
            </w:tcBorders>
            <w:vAlign w:val="center"/>
          </w:tcPr>
          <w:p w14:paraId="61C5802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vAlign w:val="center"/>
          </w:tcPr>
          <w:p w14:paraId="3F23BDB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经责令限期改正，逾期15日以内改正的。</w:t>
            </w:r>
          </w:p>
        </w:tc>
        <w:tc>
          <w:tcPr>
            <w:tcW w:w="3058" w:type="dxa"/>
            <w:tcBorders>
              <w:tl2br w:val="nil"/>
              <w:tr2bl w:val="nil"/>
            </w:tcBorders>
            <w:vAlign w:val="center"/>
          </w:tcPr>
          <w:p w14:paraId="74DAA6C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可处1千元以上4千元以下的罚款。</w:t>
            </w:r>
          </w:p>
        </w:tc>
      </w:tr>
      <w:tr w14:paraId="26E9D84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0" w:hRule="atLeast"/>
          <w:jc w:val="center"/>
        </w:trPr>
        <w:tc>
          <w:tcPr>
            <w:tcW w:w="443" w:type="dxa"/>
            <w:gridSpan w:val="2"/>
            <w:vMerge w:val="continue"/>
            <w:tcBorders>
              <w:tl2br w:val="nil"/>
              <w:tr2bl w:val="nil"/>
            </w:tcBorders>
            <w:vAlign w:val="center"/>
          </w:tcPr>
          <w:p w14:paraId="04B9EA4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1B9758DB">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p>
        </w:tc>
        <w:tc>
          <w:tcPr>
            <w:tcW w:w="4820" w:type="dxa"/>
            <w:vMerge w:val="continue"/>
            <w:tcBorders>
              <w:tl2br w:val="nil"/>
              <w:tr2bl w:val="nil"/>
            </w:tcBorders>
            <w:vAlign w:val="top"/>
          </w:tcPr>
          <w:p w14:paraId="3F1F894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tcBorders>
              <w:tl2br w:val="nil"/>
              <w:tr2bl w:val="nil"/>
            </w:tcBorders>
            <w:vAlign w:val="center"/>
          </w:tcPr>
          <w:p w14:paraId="1CD764E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一般情节</w:t>
            </w:r>
          </w:p>
        </w:tc>
        <w:tc>
          <w:tcPr>
            <w:tcW w:w="3437" w:type="dxa"/>
            <w:gridSpan w:val="2"/>
            <w:tcBorders>
              <w:tl2br w:val="nil"/>
              <w:tr2bl w:val="nil"/>
            </w:tcBorders>
            <w:vAlign w:val="center"/>
          </w:tcPr>
          <w:p w14:paraId="3C7BAE1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经责令限期改正，逾期15日以上30日以内改正的。</w:t>
            </w:r>
          </w:p>
        </w:tc>
        <w:tc>
          <w:tcPr>
            <w:tcW w:w="3058" w:type="dxa"/>
            <w:tcBorders>
              <w:tl2br w:val="nil"/>
              <w:tr2bl w:val="nil"/>
            </w:tcBorders>
            <w:vAlign w:val="center"/>
          </w:tcPr>
          <w:p w14:paraId="11CB34C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lang w:eastAsia="zh-CN"/>
              </w:rPr>
              <w:t>可</w:t>
            </w:r>
            <w:r>
              <w:rPr>
                <w:rFonts w:hint="eastAsia" w:ascii="仿宋_GB2312" w:hAnsi="宋体" w:eastAsia="仿宋_GB2312"/>
                <w:color w:val="auto"/>
                <w:kern w:val="0"/>
                <w:sz w:val="13"/>
                <w:szCs w:val="13"/>
                <w:highlight w:val="none"/>
              </w:rPr>
              <w:t>处4千元以上7千元以下的罚款。</w:t>
            </w:r>
          </w:p>
        </w:tc>
      </w:tr>
      <w:tr w14:paraId="618C3A4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0" w:hRule="atLeast"/>
          <w:jc w:val="center"/>
        </w:trPr>
        <w:tc>
          <w:tcPr>
            <w:tcW w:w="443" w:type="dxa"/>
            <w:gridSpan w:val="2"/>
            <w:vMerge w:val="continue"/>
            <w:tcBorders>
              <w:tl2br w:val="nil"/>
              <w:tr2bl w:val="nil"/>
            </w:tcBorders>
            <w:vAlign w:val="center"/>
          </w:tcPr>
          <w:p w14:paraId="46E6951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4F45FDFA">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25FF218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tcBorders>
              <w:tl2br w:val="nil"/>
              <w:tr2bl w:val="nil"/>
            </w:tcBorders>
            <w:vAlign w:val="center"/>
          </w:tcPr>
          <w:p w14:paraId="5E1640B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从重情节</w:t>
            </w:r>
          </w:p>
        </w:tc>
        <w:tc>
          <w:tcPr>
            <w:tcW w:w="3437" w:type="dxa"/>
            <w:gridSpan w:val="2"/>
            <w:tcBorders>
              <w:tl2br w:val="nil"/>
              <w:tr2bl w:val="nil"/>
            </w:tcBorders>
            <w:vAlign w:val="center"/>
          </w:tcPr>
          <w:p w14:paraId="3F0E889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经责令限期改正，逾期30日以上未改正的。</w:t>
            </w:r>
          </w:p>
        </w:tc>
        <w:tc>
          <w:tcPr>
            <w:tcW w:w="3058" w:type="dxa"/>
            <w:tcBorders>
              <w:tl2br w:val="nil"/>
              <w:tr2bl w:val="nil"/>
            </w:tcBorders>
            <w:vAlign w:val="center"/>
          </w:tcPr>
          <w:p w14:paraId="3AA137E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lang w:eastAsia="zh-CN"/>
              </w:rPr>
              <w:t>可</w:t>
            </w:r>
            <w:r>
              <w:rPr>
                <w:rFonts w:hint="eastAsia" w:ascii="仿宋_GB2312" w:hAnsi="宋体" w:eastAsia="仿宋_GB2312"/>
                <w:color w:val="auto"/>
                <w:kern w:val="0"/>
                <w:sz w:val="13"/>
                <w:szCs w:val="13"/>
                <w:highlight w:val="none"/>
              </w:rPr>
              <w:t>处7千元以上1万元以下的罚款。</w:t>
            </w:r>
          </w:p>
        </w:tc>
      </w:tr>
      <w:tr w14:paraId="6917E79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0" w:hRule="atLeast"/>
          <w:jc w:val="center"/>
        </w:trPr>
        <w:tc>
          <w:tcPr>
            <w:tcW w:w="443" w:type="dxa"/>
            <w:gridSpan w:val="2"/>
            <w:vMerge w:val="restart"/>
            <w:tcBorders>
              <w:tl2br w:val="nil"/>
              <w:tr2bl w:val="nil"/>
            </w:tcBorders>
            <w:vAlign w:val="center"/>
          </w:tcPr>
          <w:p w14:paraId="1C7CA1F8">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Times New Roman"/>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39</w:t>
            </w:r>
          </w:p>
        </w:tc>
        <w:tc>
          <w:tcPr>
            <w:tcW w:w="1550" w:type="dxa"/>
            <w:vMerge w:val="restart"/>
            <w:tcBorders>
              <w:tl2br w:val="nil"/>
              <w:tr2bl w:val="nil"/>
            </w:tcBorders>
            <w:vAlign w:val="center"/>
          </w:tcPr>
          <w:p w14:paraId="74A7AC7E">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以欺骗、贿赂等不正当手段取得注册证书</w:t>
            </w:r>
          </w:p>
        </w:tc>
        <w:tc>
          <w:tcPr>
            <w:tcW w:w="4820" w:type="dxa"/>
            <w:vMerge w:val="restart"/>
            <w:tcBorders>
              <w:tl2br w:val="nil"/>
              <w:tr2bl w:val="nil"/>
            </w:tcBorders>
            <w:vAlign w:val="center"/>
          </w:tcPr>
          <w:p w14:paraId="2C05671A">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《注册建造师管理规定》</w:t>
            </w:r>
            <w:r>
              <w:rPr>
                <w:rFonts w:hint="eastAsia" w:ascii="仿宋_GB2312" w:hAnsi="宋体" w:eastAsia="仿宋_GB2312"/>
                <w:b/>
                <w:bCs/>
                <w:color w:val="auto"/>
                <w:kern w:val="0"/>
                <w:sz w:val="13"/>
                <w:szCs w:val="13"/>
                <w:highlight w:val="none"/>
              </w:rPr>
              <w:t>第三十四条</w:t>
            </w:r>
            <w:r>
              <w:rPr>
                <w:rFonts w:hint="eastAsia" w:ascii="仿宋_GB2312" w:hAnsi="宋体" w:eastAsia="仿宋_GB2312"/>
                <w:b/>
                <w:bCs/>
                <w:color w:val="auto"/>
                <w:kern w:val="0"/>
                <w:sz w:val="13"/>
                <w:szCs w:val="13"/>
                <w:highlight w:val="none"/>
                <w:lang w:eastAsia="zh-CN"/>
              </w:rPr>
              <w:t>：</w:t>
            </w:r>
            <w:r>
              <w:rPr>
                <w:rFonts w:hint="eastAsia" w:ascii="仿宋_GB2312" w:hAnsi="宋体" w:eastAsia="仿宋_GB2312"/>
                <w:color w:val="auto"/>
                <w:kern w:val="0"/>
                <w:sz w:val="13"/>
                <w:szCs w:val="13"/>
                <w:highlight w:val="none"/>
              </w:rPr>
              <w:t>以欺骗、贿赂等不正当手段取得注册证书的，由注册机关撤销其注册，3年内不得再次申请注册，并由县级以上地方人民政府建设主管部门处以罚款。其中没有违法所得的，处以1万元以下的罚款；有违法所得的，处以违法所得3倍以下且不超过3万元的罚款。</w:t>
            </w:r>
          </w:p>
        </w:tc>
        <w:tc>
          <w:tcPr>
            <w:tcW w:w="823" w:type="dxa"/>
            <w:tcBorders>
              <w:tl2br w:val="nil"/>
              <w:tr2bl w:val="nil"/>
            </w:tcBorders>
            <w:vAlign w:val="center"/>
          </w:tcPr>
          <w:p w14:paraId="0FBFA22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vAlign w:val="center"/>
          </w:tcPr>
          <w:p w14:paraId="786750AE">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没有违法所得，未造成危害后果或造成轻微危害后果的。</w:t>
            </w:r>
          </w:p>
        </w:tc>
        <w:tc>
          <w:tcPr>
            <w:tcW w:w="3058" w:type="dxa"/>
            <w:tcBorders>
              <w:tl2br w:val="nil"/>
              <w:tr2bl w:val="nil"/>
            </w:tcBorders>
            <w:vAlign w:val="center"/>
          </w:tcPr>
          <w:p w14:paraId="317C1EA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由注册机关撤销其注册，3年内不得再次申请注册，处3千元以下的罚款。</w:t>
            </w:r>
          </w:p>
        </w:tc>
      </w:tr>
      <w:tr w14:paraId="015C481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0" w:hRule="atLeast"/>
          <w:jc w:val="center"/>
        </w:trPr>
        <w:tc>
          <w:tcPr>
            <w:tcW w:w="443" w:type="dxa"/>
            <w:gridSpan w:val="2"/>
            <w:vMerge w:val="continue"/>
            <w:tcBorders>
              <w:tl2br w:val="nil"/>
              <w:tr2bl w:val="nil"/>
            </w:tcBorders>
            <w:vAlign w:val="center"/>
          </w:tcPr>
          <w:p w14:paraId="15233FA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top"/>
          </w:tcPr>
          <w:p w14:paraId="5B13A93F">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p>
        </w:tc>
        <w:tc>
          <w:tcPr>
            <w:tcW w:w="4820" w:type="dxa"/>
            <w:vMerge w:val="continue"/>
            <w:tcBorders>
              <w:tl2br w:val="nil"/>
              <w:tr2bl w:val="nil"/>
            </w:tcBorders>
            <w:vAlign w:val="top"/>
          </w:tcPr>
          <w:p w14:paraId="521709E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vMerge w:val="restart"/>
            <w:tcBorders>
              <w:tl2br w:val="nil"/>
              <w:tr2bl w:val="nil"/>
            </w:tcBorders>
            <w:vAlign w:val="center"/>
          </w:tcPr>
          <w:p w14:paraId="52E448D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一般情节</w:t>
            </w:r>
          </w:p>
        </w:tc>
        <w:tc>
          <w:tcPr>
            <w:tcW w:w="3437" w:type="dxa"/>
            <w:gridSpan w:val="2"/>
            <w:tcBorders>
              <w:tl2br w:val="nil"/>
              <w:tr2bl w:val="nil"/>
            </w:tcBorders>
            <w:vAlign w:val="center"/>
          </w:tcPr>
          <w:p w14:paraId="26BCF3EC">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（1）没有违法所得，造成一般危害后果的。</w:t>
            </w:r>
          </w:p>
        </w:tc>
        <w:tc>
          <w:tcPr>
            <w:tcW w:w="3058" w:type="dxa"/>
            <w:tcBorders>
              <w:tl2br w:val="nil"/>
              <w:tr2bl w:val="nil"/>
            </w:tcBorders>
            <w:vAlign w:val="center"/>
          </w:tcPr>
          <w:p w14:paraId="3E8BFE62">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由注册机关撤销其注册，3年内不得再次申请注册，处3千元以上7千元以下的罚款。</w:t>
            </w:r>
          </w:p>
        </w:tc>
      </w:tr>
      <w:tr w14:paraId="6481527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0" w:hRule="atLeast"/>
          <w:jc w:val="center"/>
        </w:trPr>
        <w:tc>
          <w:tcPr>
            <w:tcW w:w="443" w:type="dxa"/>
            <w:gridSpan w:val="2"/>
            <w:vMerge w:val="continue"/>
            <w:tcBorders>
              <w:tl2br w:val="nil"/>
              <w:tr2bl w:val="nil"/>
            </w:tcBorders>
            <w:vAlign w:val="center"/>
          </w:tcPr>
          <w:p w14:paraId="5BE4134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top"/>
          </w:tcPr>
          <w:p w14:paraId="22B1268B">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p>
        </w:tc>
        <w:tc>
          <w:tcPr>
            <w:tcW w:w="4820" w:type="dxa"/>
            <w:vMerge w:val="continue"/>
            <w:tcBorders>
              <w:tl2br w:val="nil"/>
              <w:tr2bl w:val="nil"/>
            </w:tcBorders>
            <w:vAlign w:val="top"/>
          </w:tcPr>
          <w:p w14:paraId="33F3C3A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vMerge w:val="continue"/>
            <w:tcBorders>
              <w:tl2br w:val="nil"/>
              <w:tr2bl w:val="nil"/>
            </w:tcBorders>
            <w:vAlign w:val="center"/>
          </w:tcPr>
          <w:p w14:paraId="5219A99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olor w:val="auto"/>
                <w:kern w:val="0"/>
                <w:sz w:val="13"/>
                <w:szCs w:val="13"/>
                <w:highlight w:val="none"/>
              </w:rPr>
            </w:pPr>
          </w:p>
        </w:tc>
        <w:tc>
          <w:tcPr>
            <w:tcW w:w="3437" w:type="dxa"/>
            <w:gridSpan w:val="2"/>
            <w:tcBorders>
              <w:tl2br w:val="nil"/>
              <w:tr2bl w:val="nil"/>
            </w:tcBorders>
            <w:vAlign w:val="center"/>
          </w:tcPr>
          <w:p w14:paraId="4599527B">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（2）</w:t>
            </w:r>
            <w:r>
              <w:rPr>
                <w:rFonts w:hint="eastAsia" w:ascii="仿宋_GB2312" w:hAnsi="宋体" w:eastAsia="仿宋_GB2312"/>
                <w:color w:val="auto"/>
                <w:kern w:val="0"/>
                <w:sz w:val="13"/>
                <w:szCs w:val="13"/>
                <w:highlight w:val="none"/>
                <w:lang w:val="en-US" w:eastAsia="zh-CN"/>
              </w:rPr>
              <w:t>违</w:t>
            </w:r>
            <w:r>
              <w:rPr>
                <w:rFonts w:hint="eastAsia" w:ascii="仿宋_GB2312" w:hAnsi="宋体" w:eastAsia="仿宋_GB2312"/>
                <w:color w:val="auto"/>
                <w:kern w:val="0"/>
                <w:sz w:val="13"/>
                <w:szCs w:val="13"/>
                <w:highlight w:val="none"/>
              </w:rPr>
              <w:t>法所得在1万元以下的。</w:t>
            </w:r>
          </w:p>
        </w:tc>
        <w:tc>
          <w:tcPr>
            <w:tcW w:w="3058" w:type="dxa"/>
            <w:tcBorders>
              <w:tl2br w:val="nil"/>
              <w:tr2bl w:val="nil"/>
            </w:tcBorders>
            <w:vAlign w:val="center"/>
          </w:tcPr>
          <w:p w14:paraId="37CA394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由注册机关撤销其注册，3年内不得再次申请注册，处以违法所得1倍以下且不超过3万元的罚款。</w:t>
            </w:r>
          </w:p>
        </w:tc>
      </w:tr>
      <w:tr w14:paraId="2DB840F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0" w:hRule="atLeast"/>
          <w:jc w:val="center"/>
        </w:trPr>
        <w:tc>
          <w:tcPr>
            <w:tcW w:w="443" w:type="dxa"/>
            <w:gridSpan w:val="2"/>
            <w:vMerge w:val="continue"/>
            <w:tcBorders>
              <w:tl2br w:val="nil"/>
              <w:tr2bl w:val="nil"/>
            </w:tcBorders>
            <w:vAlign w:val="center"/>
          </w:tcPr>
          <w:p w14:paraId="2247A08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02D97AFC">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0932B26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vMerge w:val="restart"/>
            <w:tcBorders>
              <w:tl2br w:val="nil"/>
              <w:tr2bl w:val="nil"/>
            </w:tcBorders>
            <w:vAlign w:val="center"/>
          </w:tcPr>
          <w:p w14:paraId="13F7A06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从重情节</w:t>
            </w:r>
          </w:p>
        </w:tc>
        <w:tc>
          <w:tcPr>
            <w:tcW w:w="3437" w:type="dxa"/>
            <w:gridSpan w:val="2"/>
            <w:tcBorders>
              <w:tl2br w:val="nil"/>
              <w:tr2bl w:val="nil"/>
            </w:tcBorders>
            <w:vAlign w:val="center"/>
          </w:tcPr>
          <w:p w14:paraId="52FDDD14">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（1）没有违法所得，造成严重危害后果的。</w:t>
            </w:r>
          </w:p>
        </w:tc>
        <w:tc>
          <w:tcPr>
            <w:tcW w:w="3058" w:type="dxa"/>
            <w:tcBorders>
              <w:tl2br w:val="nil"/>
              <w:tr2bl w:val="nil"/>
            </w:tcBorders>
            <w:vAlign w:val="center"/>
          </w:tcPr>
          <w:p w14:paraId="2DA94F12">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由注册机关撤销其注册，3年内不得再次申请注册，处7000元以上1万元以下的罚款。</w:t>
            </w:r>
          </w:p>
        </w:tc>
      </w:tr>
      <w:tr w14:paraId="48AE603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0" w:hRule="atLeast"/>
          <w:jc w:val="center"/>
        </w:trPr>
        <w:tc>
          <w:tcPr>
            <w:tcW w:w="443" w:type="dxa"/>
            <w:gridSpan w:val="2"/>
            <w:vMerge w:val="continue"/>
            <w:tcBorders>
              <w:tl2br w:val="nil"/>
              <w:tr2bl w:val="nil"/>
            </w:tcBorders>
            <w:vAlign w:val="center"/>
          </w:tcPr>
          <w:p w14:paraId="484745B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0819915D">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58A5293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vMerge w:val="continue"/>
            <w:tcBorders>
              <w:tl2br w:val="nil"/>
              <w:tr2bl w:val="nil"/>
            </w:tcBorders>
            <w:vAlign w:val="center"/>
          </w:tcPr>
          <w:p w14:paraId="74BD9EA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olor w:val="auto"/>
                <w:kern w:val="0"/>
                <w:sz w:val="13"/>
                <w:szCs w:val="13"/>
                <w:highlight w:val="none"/>
              </w:rPr>
            </w:pPr>
          </w:p>
        </w:tc>
        <w:tc>
          <w:tcPr>
            <w:tcW w:w="3437" w:type="dxa"/>
            <w:gridSpan w:val="2"/>
            <w:tcBorders>
              <w:tl2br w:val="nil"/>
              <w:tr2bl w:val="nil"/>
            </w:tcBorders>
            <w:vAlign w:val="center"/>
          </w:tcPr>
          <w:p w14:paraId="582D65AF">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（2）违法所得在1万元以上3万元以下的。</w:t>
            </w:r>
          </w:p>
        </w:tc>
        <w:tc>
          <w:tcPr>
            <w:tcW w:w="3058" w:type="dxa"/>
            <w:tcBorders>
              <w:tl2br w:val="nil"/>
              <w:tr2bl w:val="nil"/>
            </w:tcBorders>
            <w:vAlign w:val="center"/>
          </w:tcPr>
          <w:p w14:paraId="1390475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由注册机关撤销其注册，3年内不得再次申请注册，处以违法所得1倍以上2倍以下且不超过3万元的罚款。</w:t>
            </w:r>
          </w:p>
        </w:tc>
      </w:tr>
      <w:tr w14:paraId="72FACD6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067" w:hRule="atLeast"/>
          <w:jc w:val="center"/>
        </w:trPr>
        <w:tc>
          <w:tcPr>
            <w:tcW w:w="443" w:type="dxa"/>
            <w:gridSpan w:val="2"/>
            <w:vMerge w:val="continue"/>
            <w:tcBorders>
              <w:tl2br w:val="nil"/>
              <w:tr2bl w:val="nil"/>
            </w:tcBorders>
            <w:vAlign w:val="center"/>
          </w:tcPr>
          <w:p w14:paraId="4F8FE8D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47C1E952">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435D253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vMerge w:val="continue"/>
            <w:tcBorders>
              <w:tl2br w:val="nil"/>
              <w:tr2bl w:val="nil"/>
            </w:tcBorders>
            <w:vAlign w:val="center"/>
          </w:tcPr>
          <w:p w14:paraId="6C9DF45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olor w:val="auto"/>
                <w:kern w:val="0"/>
                <w:sz w:val="13"/>
                <w:szCs w:val="13"/>
                <w:highlight w:val="none"/>
              </w:rPr>
            </w:pPr>
          </w:p>
        </w:tc>
        <w:tc>
          <w:tcPr>
            <w:tcW w:w="3437" w:type="dxa"/>
            <w:gridSpan w:val="2"/>
            <w:tcBorders>
              <w:tl2br w:val="nil"/>
              <w:tr2bl w:val="nil"/>
            </w:tcBorders>
            <w:vAlign w:val="center"/>
          </w:tcPr>
          <w:p w14:paraId="79D99789">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（3）违法所得在3万元以上的。</w:t>
            </w:r>
          </w:p>
        </w:tc>
        <w:tc>
          <w:tcPr>
            <w:tcW w:w="3058" w:type="dxa"/>
            <w:tcBorders>
              <w:tl2br w:val="nil"/>
              <w:tr2bl w:val="nil"/>
            </w:tcBorders>
            <w:vAlign w:val="center"/>
          </w:tcPr>
          <w:p w14:paraId="4E0C56FA">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由注册机关撤销其注册，3年内不得再次申请注册，处以违法所得2倍以上3倍以下且不超过3万元的罚款。</w:t>
            </w:r>
          </w:p>
        </w:tc>
      </w:tr>
      <w:tr w14:paraId="37D8AE9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23" w:hRule="atLeast"/>
          <w:jc w:val="center"/>
        </w:trPr>
        <w:tc>
          <w:tcPr>
            <w:tcW w:w="443" w:type="dxa"/>
            <w:gridSpan w:val="2"/>
            <w:vMerge w:val="restart"/>
            <w:tcBorders>
              <w:tl2br w:val="nil"/>
              <w:tr2bl w:val="nil"/>
            </w:tcBorders>
            <w:vAlign w:val="center"/>
          </w:tcPr>
          <w:p w14:paraId="3F6C3616">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color w:val="auto"/>
                <w:sz w:val="13"/>
                <w:szCs w:val="13"/>
                <w:highlight w:val="none"/>
              </w:rPr>
            </w:pPr>
            <w:r>
              <w:rPr>
                <w:rFonts w:hint="default" w:ascii="仿宋_GB2312" w:hAnsi="宋体" w:eastAsia="仿宋_GB2312" w:cs="仿宋_GB2312"/>
                <w:i w:val="0"/>
                <w:color w:val="auto"/>
                <w:kern w:val="0"/>
                <w:sz w:val="13"/>
                <w:szCs w:val="13"/>
                <w:highlight w:val="none"/>
                <w:u w:val="none"/>
                <w:lang w:val="en-US" w:eastAsia="zh-CN" w:bidi="ar"/>
              </w:rPr>
              <w:t>4</w:t>
            </w:r>
            <w:r>
              <w:rPr>
                <w:rFonts w:hint="eastAsia" w:ascii="仿宋_GB2312" w:hAnsi="宋体" w:eastAsia="仿宋_GB2312" w:cs="仿宋_GB2312"/>
                <w:i w:val="0"/>
                <w:color w:val="auto"/>
                <w:kern w:val="0"/>
                <w:sz w:val="13"/>
                <w:szCs w:val="13"/>
                <w:highlight w:val="none"/>
                <w:u w:val="none"/>
                <w:lang w:val="en-US" w:eastAsia="zh-CN" w:bidi="ar"/>
              </w:rPr>
              <w:t>0</w:t>
            </w:r>
          </w:p>
        </w:tc>
        <w:tc>
          <w:tcPr>
            <w:tcW w:w="1550" w:type="dxa"/>
            <w:vMerge w:val="restart"/>
            <w:tcBorders>
              <w:tl2br w:val="nil"/>
              <w:tr2bl w:val="nil"/>
            </w:tcBorders>
            <w:vAlign w:val="center"/>
          </w:tcPr>
          <w:p w14:paraId="1DE1EDA2">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未取得注册证书和执业印章，担任大中型建设工程项目施工单位项目负责人，或者以注册建造师的名义从事相关活动</w:t>
            </w:r>
          </w:p>
        </w:tc>
        <w:tc>
          <w:tcPr>
            <w:tcW w:w="4820" w:type="dxa"/>
            <w:vMerge w:val="restart"/>
            <w:tcBorders>
              <w:tl2br w:val="nil"/>
              <w:tr2bl w:val="nil"/>
            </w:tcBorders>
            <w:vAlign w:val="center"/>
          </w:tcPr>
          <w:p w14:paraId="07A3BC1D">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《注册建造师管理规定》</w:t>
            </w:r>
            <w:r>
              <w:rPr>
                <w:rFonts w:hint="eastAsia" w:ascii="仿宋_GB2312" w:hAnsi="宋体" w:eastAsia="仿宋_GB2312"/>
                <w:b/>
                <w:bCs/>
                <w:color w:val="auto"/>
                <w:kern w:val="0"/>
                <w:sz w:val="13"/>
                <w:szCs w:val="13"/>
                <w:highlight w:val="none"/>
              </w:rPr>
              <w:t>第三十五条</w:t>
            </w:r>
            <w:r>
              <w:rPr>
                <w:rFonts w:hint="eastAsia" w:ascii="仿宋_GB2312" w:hAnsi="宋体" w:eastAsia="仿宋_GB2312"/>
                <w:b/>
                <w:bCs/>
                <w:color w:val="auto"/>
                <w:kern w:val="0"/>
                <w:sz w:val="13"/>
                <w:szCs w:val="13"/>
                <w:highlight w:val="none"/>
                <w:lang w:eastAsia="zh-CN"/>
              </w:rPr>
              <w:t>：</w:t>
            </w:r>
            <w:r>
              <w:rPr>
                <w:rFonts w:hint="eastAsia" w:ascii="仿宋_GB2312" w:hAnsi="宋体" w:eastAsia="仿宋_GB2312"/>
                <w:color w:val="auto"/>
                <w:kern w:val="0"/>
                <w:sz w:val="13"/>
                <w:szCs w:val="13"/>
                <w:highlight w:val="none"/>
              </w:rPr>
              <w:t>违反本规定，未取得注册证书和执业印章，担任大中型建设工程项目施工单位项目负责人，或者以注册建造师的名义从事相关活动的，其所签署的工程文件无效，由县级以上地方人民政府建设主管部门或者其他有关部门给予警告，责令停止违法活动，并可处以1万元以上3万元以下的罚款。</w:t>
            </w:r>
          </w:p>
        </w:tc>
        <w:tc>
          <w:tcPr>
            <w:tcW w:w="823" w:type="dxa"/>
            <w:tcBorders>
              <w:tl2br w:val="nil"/>
              <w:tr2bl w:val="nil"/>
            </w:tcBorders>
            <w:vAlign w:val="center"/>
          </w:tcPr>
          <w:p w14:paraId="0BB63FD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vAlign w:val="center"/>
          </w:tcPr>
          <w:p w14:paraId="6554394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违法所得在1万元以下的。</w:t>
            </w:r>
          </w:p>
        </w:tc>
        <w:tc>
          <w:tcPr>
            <w:tcW w:w="3058" w:type="dxa"/>
            <w:tcBorders>
              <w:tl2br w:val="nil"/>
              <w:tr2bl w:val="nil"/>
            </w:tcBorders>
            <w:vAlign w:val="center"/>
          </w:tcPr>
          <w:p w14:paraId="7137A60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其所签署的工程文件无效，给予警告，责令停止违法活动，可处以1万元以上1.5万元以下的罚款。</w:t>
            </w:r>
          </w:p>
        </w:tc>
      </w:tr>
      <w:tr w14:paraId="1135768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60" w:hRule="atLeast"/>
          <w:jc w:val="center"/>
        </w:trPr>
        <w:tc>
          <w:tcPr>
            <w:tcW w:w="443" w:type="dxa"/>
            <w:gridSpan w:val="2"/>
            <w:vMerge w:val="continue"/>
            <w:tcBorders>
              <w:tl2br w:val="nil"/>
              <w:tr2bl w:val="nil"/>
            </w:tcBorders>
            <w:vAlign w:val="center"/>
          </w:tcPr>
          <w:p w14:paraId="329BB42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4748928C">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4DBEFED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tcBorders>
              <w:tl2br w:val="nil"/>
              <w:tr2bl w:val="nil"/>
            </w:tcBorders>
            <w:vAlign w:val="center"/>
          </w:tcPr>
          <w:p w14:paraId="28C7D25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一般情节</w:t>
            </w:r>
          </w:p>
        </w:tc>
        <w:tc>
          <w:tcPr>
            <w:tcW w:w="3437" w:type="dxa"/>
            <w:gridSpan w:val="2"/>
            <w:tcBorders>
              <w:tl2br w:val="nil"/>
              <w:tr2bl w:val="nil"/>
            </w:tcBorders>
            <w:vAlign w:val="center"/>
          </w:tcPr>
          <w:p w14:paraId="3BFD616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违法所得在1万元以上3万元以下的。</w:t>
            </w:r>
          </w:p>
        </w:tc>
        <w:tc>
          <w:tcPr>
            <w:tcW w:w="3058" w:type="dxa"/>
            <w:tcBorders>
              <w:tl2br w:val="nil"/>
              <w:tr2bl w:val="nil"/>
            </w:tcBorders>
            <w:vAlign w:val="center"/>
          </w:tcPr>
          <w:p w14:paraId="494CDC8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其所签署的工程文件无效，给予警告，责令停止违法活动，处以1.5万元以上2.5万元以下的罚款。</w:t>
            </w:r>
          </w:p>
        </w:tc>
      </w:tr>
      <w:tr w14:paraId="5E4590E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11" w:hRule="atLeast"/>
          <w:jc w:val="center"/>
        </w:trPr>
        <w:tc>
          <w:tcPr>
            <w:tcW w:w="443" w:type="dxa"/>
            <w:gridSpan w:val="2"/>
            <w:vMerge w:val="continue"/>
            <w:tcBorders>
              <w:tl2br w:val="nil"/>
              <w:tr2bl w:val="nil"/>
            </w:tcBorders>
            <w:vAlign w:val="center"/>
          </w:tcPr>
          <w:p w14:paraId="2FF66B4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13B38147">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782770D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tcBorders>
              <w:tl2br w:val="nil"/>
              <w:tr2bl w:val="nil"/>
            </w:tcBorders>
            <w:vAlign w:val="center"/>
          </w:tcPr>
          <w:p w14:paraId="143C311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从重情节</w:t>
            </w:r>
          </w:p>
        </w:tc>
        <w:tc>
          <w:tcPr>
            <w:tcW w:w="3437" w:type="dxa"/>
            <w:gridSpan w:val="2"/>
            <w:tcBorders>
              <w:tl2br w:val="nil"/>
              <w:tr2bl w:val="nil"/>
            </w:tcBorders>
            <w:vAlign w:val="center"/>
          </w:tcPr>
          <w:p w14:paraId="0023351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违法所得在3万元以上的。</w:t>
            </w:r>
          </w:p>
        </w:tc>
        <w:tc>
          <w:tcPr>
            <w:tcW w:w="3058" w:type="dxa"/>
            <w:tcBorders>
              <w:tl2br w:val="nil"/>
              <w:tr2bl w:val="nil"/>
            </w:tcBorders>
            <w:vAlign w:val="center"/>
          </w:tcPr>
          <w:p w14:paraId="3FB95E1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其所签署的工程文件无效，给予警告，责令停止违法活动，处以2.5万元以上3万元以下的罚款。</w:t>
            </w:r>
          </w:p>
        </w:tc>
      </w:tr>
      <w:tr w14:paraId="75F8F6A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24" w:hRule="atLeast"/>
          <w:jc w:val="center"/>
        </w:trPr>
        <w:tc>
          <w:tcPr>
            <w:tcW w:w="443" w:type="dxa"/>
            <w:gridSpan w:val="2"/>
            <w:vMerge w:val="restart"/>
            <w:tcBorders>
              <w:tl2br w:val="nil"/>
              <w:tr2bl w:val="nil"/>
            </w:tcBorders>
            <w:vAlign w:val="center"/>
          </w:tcPr>
          <w:p w14:paraId="2BD7A643">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color w:val="auto"/>
                <w:sz w:val="13"/>
                <w:szCs w:val="13"/>
                <w:highlight w:val="none"/>
              </w:rPr>
            </w:pPr>
            <w:r>
              <w:rPr>
                <w:rFonts w:hint="default" w:ascii="仿宋_GB2312" w:hAnsi="宋体" w:eastAsia="仿宋_GB2312" w:cs="仿宋_GB2312"/>
                <w:i w:val="0"/>
                <w:color w:val="auto"/>
                <w:kern w:val="0"/>
                <w:sz w:val="13"/>
                <w:szCs w:val="13"/>
                <w:highlight w:val="none"/>
                <w:u w:val="none"/>
                <w:lang w:val="en-US" w:eastAsia="zh-CN" w:bidi="ar"/>
              </w:rPr>
              <w:t>4</w:t>
            </w:r>
            <w:r>
              <w:rPr>
                <w:rFonts w:hint="eastAsia" w:ascii="仿宋_GB2312" w:hAnsi="宋体" w:eastAsia="仿宋_GB2312" w:cs="仿宋_GB2312"/>
                <w:i w:val="0"/>
                <w:color w:val="auto"/>
                <w:kern w:val="0"/>
                <w:sz w:val="13"/>
                <w:szCs w:val="13"/>
                <w:highlight w:val="none"/>
                <w:u w:val="none"/>
                <w:lang w:val="en-US" w:eastAsia="zh-CN" w:bidi="ar"/>
              </w:rPr>
              <w:t>1</w:t>
            </w:r>
          </w:p>
        </w:tc>
        <w:tc>
          <w:tcPr>
            <w:tcW w:w="1550" w:type="dxa"/>
            <w:vMerge w:val="restart"/>
            <w:tcBorders>
              <w:tl2br w:val="nil"/>
              <w:tr2bl w:val="nil"/>
            </w:tcBorders>
            <w:vAlign w:val="center"/>
          </w:tcPr>
          <w:p w14:paraId="55192FFE">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未办理变更注册而继续执业</w:t>
            </w:r>
          </w:p>
        </w:tc>
        <w:tc>
          <w:tcPr>
            <w:tcW w:w="4820" w:type="dxa"/>
            <w:vMerge w:val="restart"/>
            <w:tcBorders>
              <w:tl2br w:val="nil"/>
              <w:tr2bl w:val="nil"/>
            </w:tcBorders>
            <w:vAlign w:val="center"/>
          </w:tcPr>
          <w:p w14:paraId="125196BE">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《注册建造师管理规定》</w:t>
            </w:r>
            <w:r>
              <w:rPr>
                <w:rFonts w:hint="eastAsia" w:ascii="仿宋_GB2312" w:hAnsi="宋体" w:eastAsia="仿宋_GB2312"/>
                <w:b/>
                <w:bCs/>
                <w:color w:val="auto"/>
                <w:kern w:val="0"/>
                <w:sz w:val="13"/>
                <w:szCs w:val="13"/>
                <w:highlight w:val="none"/>
              </w:rPr>
              <w:t>第三十六条</w:t>
            </w:r>
            <w:r>
              <w:rPr>
                <w:rFonts w:hint="eastAsia" w:ascii="仿宋_GB2312" w:hAnsi="宋体" w:eastAsia="仿宋_GB2312"/>
                <w:b/>
                <w:bCs/>
                <w:color w:val="auto"/>
                <w:kern w:val="0"/>
                <w:sz w:val="13"/>
                <w:szCs w:val="13"/>
                <w:highlight w:val="none"/>
                <w:lang w:eastAsia="zh-CN"/>
              </w:rPr>
              <w:t>：</w:t>
            </w:r>
            <w:r>
              <w:rPr>
                <w:rFonts w:hint="eastAsia" w:ascii="仿宋_GB2312" w:hAnsi="宋体" w:eastAsia="仿宋_GB2312"/>
                <w:color w:val="auto"/>
                <w:kern w:val="0"/>
                <w:sz w:val="13"/>
                <w:szCs w:val="13"/>
                <w:highlight w:val="none"/>
              </w:rPr>
              <w:t>违反本规定，未办理变更注册而继续执业的，由县级以上地方人民政府建设主管部门或者其他有关部门责令限期改正；逾期不改正的，可处以5000元以下的罚款。</w:t>
            </w:r>
          </w:p>
        </w:tc>
        <w:tc>
          <w:tcPr>
            <w:tcW w:w="823" w:type="dxa"/>
            <w:tcBorders>
              <w:tl2br w:val="nil"/>
              <w:tr2bl w:val="nil"/>
            </w:tcBorders>
            <w:vAlign w:val="center"/>
          </w:tcPr>
          <w:p w14:paraId="66C6EEB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vAlign w:val="center"/>
          </w:tcPr>
          <w:p w14:paraId="405C502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经责令限期改正，逾期15日以内改正的。</w:t>
            </w:r>
          </w:p>
        </w:tc>
        <w:tc>
          <w:tcPr>
            <w:tcW w:w="3058" w:type="dxa"/>
            <w:tcBorders>
              <w:tl2br w:val="nil"/>
              <w:tr2bl w:val="nil"/>
            </w:tcBorders>
            <w:vAlign w:val="center"/>
          </w:tcPr>
          <w:p w14:paraId="70AF908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可处1500元以下的罚款。</w:t>
            </w:r>
          </w:p>
        </w:tc>
      </w:tr>
      <w:tr w14:paraId="045AB69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85" w:hRule="atLeast"/>
          <w:jc w:val="center"/>
        </w:trPr>
        <w:tc>
          <w:tcPr>
            <w:tcW w:w="443" w:type="dxa"/>
            <w:gridSpan w:val="2"/>
            <w:vMerge w:val="continue"/>
            <w:tcBorders>
              <w:tl2br w:val="nil"/>
              <w:tr2bl w:val="nil"/>
            </w:tcBorders>
            <w:vAlign w:val="center"/>
          </w:tcPr>
          <w:p w14:paraId="6D7AC37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3C1D323C">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p>
        </w:tc>
        <w:tc>
          <w:tcPr>
            <w:tcW w:w="4820" w:type="dxa"/>
            <w:vMerge w:val="continue"/>
            <w:tcBorders>
              <w:tl2br w:val="nil"/>
              <w:tr2bl w:val="nil"/>
            </w:tcBorders>
            <w:vAlign w:val="top"/>
          </w:tcPr>
          <w:p w14:paraId="1E798DD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823" w:type="dxa"/>
            <w:tcBorders>
              <w:tl2br w:val="nil"/>
              <w:tr2bl w:val="nil"/>
            </w:tcBorders>
            <w:vAlign w:val="center"/>
          </w:tcPr>
          <w:p w14:paraId="78E0148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一般情节</w:t>
            </w:r>
          </w:p>
        </w:tc>
        <w:tc>
          <w:tcPr>
            <w:tcW w:w="3437" w:type="dxa"/>
            <w:gridSpan w:val="2"/>
            <w:tcBorders>
              <w:tl2br w:val="nil"/>
              <w:tr2bl w:val="nil"/>
            </w:tcBorders>
            <w:vAlign w:val="center"/>
          </w:tcPr>
          <w:p w14:paraId="4FBCA47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经责令限期改正，逾期15日以上30日以内改正的。</w:t>
            </w:r>
          </w:p>
        </w:tc>
        <w:tc>
          <w:tcPr>
            <w:tcW w:w="3058" w:type="dxa"/>
            <w:tcBorders>
              <w:tl2br w:val="nil"/>
              <w:tr2bl w:val="nil"/>
            </w:tcBorders>
            <w:vAlign w:val="center"/>
          </w:tcPr>
          <w:p w14:paraId="1516DDA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可处1500元以上3500元以下的罚款。</w:t>
            </w:r>
          </w:p>
        </w:tc>
      </w:tr>
      <w:tr w14:paraId="661EEEE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15" w:hRule="atLeast"/>
          <w:jc w:val="center"/>
        </w:trPr>
        <w:tc>
          <w:tcPr>
            <w:tcW w:w="443" w:type="dxa"/>
            <w:gridSpan w:val="2"/>
            <w:vMerge w:val="continue"/>
            <w:tcBorders>
              <w:tl2br w:val="nil"/>
              <w:tr2bl w:val="nil"/>
            </w:tcBorders>
            <w:vAlign w:val="center"/>
          </w:tcPr>
          <w:p w14:paraId="6E313B5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2408BBDC">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2B64A06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823" w:type="dxa"/>
            <w:tcBorders>
              <w:tl2br w:val="nil"/>
              <w:tr2bl w:val="nil"/>
            </w:tcBorders>
            <w:vAlign w:val="center"/>
          </w:tcPr>
          <w:p w14:paraId="2B2085A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从重情节</w:t>
            </w:r>
          </w:p>
        </w:tc>
        <w:tc>
          <w:tcPr>
            <w:tcW w:w="3437" w:type="dxa"/>
            <w:gridSpan w:val="2"/>
            <w:tcBorders>
              <w:tl2br w:val="nil"/>
              <w:tr2bl w:val="nil"/>
            </w:tcBorders>
            <w:vAlign w:val="center"/>
          </w:tcPr>
          <w:p w14:paraId="08EA223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经责令限期改正，逾期30日以上未改正的。</w:t>
            </w:r>
          </w:p>
        </w:tc>
        <w:tc>
          <w:tcPr>
            <w:tcW w:w="3058" w:type="dxa"/>
            <w:tcBorders>
              <w:tl2br w:val="nil"/>
              <w:tr2bl w:val="nil"/>
            </w:tcBorders>
            <w:vAlign w:val="center"/>
          </w:tcPr>
          <w:p w14:paraId="4D2F8AC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可处3500元以上5000元以下的罚款。</w:t>
            </w:r>
          </w:p>
        </w:tc>
      </w:tr>
      <w:tr w14:paraId="06E13A3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57" w:hRule="atLeast"/>
          <w:jc w:val="center"/>
        </w:trPr>
        <w:tc>
          <w:tcPr>
            <w:tcW w:w="443" w:type="dxa"/>
            <w:gridSpan w:val="2"/>
            <w:vMerge w:val="restart"/>
            <w:tcBorders>
              <w:tl2br w:val="nil"/>
              <w:tr2bl w:val="nil"/>
            </w:tcBorders>
            <w:vAlign w:val="center"/>
          </w:tcPr>
          <w:p w14:paraId="394BF4A1">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color w:val="auto"/>
                <w:sz w:val="13"/>
                <w:szCs w:val="13"/>
                <w:highlight w:val="none"/>
              </w:rPr>
            </w:pPr>
            <w:r>
              <w:rPr>
                <w:rFonts w:hint="default" w:ascii="仿宋_GB2312" w:hAnsi="宋体" w:eastAsia="仿宋_GB2312" w:cs="仿宋_GB2312"/>
                <w:i w:val="0"/>
                <w:color w:val="auto"/>
                <w:kern w:val="0"/>
                <w:sz w:val="13"/>
                <w:szCs w:val="13"/>
                <w:highlight w:val="none"/>
                <w:u w:val="none"/>
                <w:lang w:val="en-US" w:eastAsia="zh-CN" w:bidi="ar"/>
              </w:rPr>
              <w:t>4</w:t>
            </w:r>
            <w:r>
              <w:rPr>
                <w:rFonts w:hint="eastAsia" w:ascii="仿宋_GB2312" w:hAnsi="宋体" w:eastAsia="仿宋_GB2312" w:cs="仿宋_GB2312"/>
                <w:i w:val="0"/>
                <w:color w:val="auto"/>
                <w:kern w:val="0"/>
                <w:sz w:val="13"/>
                <w:szCs w:val="13"/>
                <w:highlight w:val="none"/>
                <w:u w:val="none"/>
                <w:lang w:val="en-US" w:eastAsia="zh-CN" w:bidi="ar"/>
              </w:rPr>
              <w:t>2</w:t>
            </w:r>
          </w:p>
        </w:tc>
        <w:tc>
          <w:tcPr>
            <w:tcW w:w="1550" w:type="dxa"/>
            <w:vMerge w:val="restart"/>
            <w:tcBorders>
              <w:tl2br w:val="nil"/>
              <w:tr2bl w:val="nil"/>
            </w:tcBorders>
            <w:vAlign w:val="center"/>
          </w:tcPr>
          <w:p w14:paraId="01726A20">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不履行注册建造师义务；在执业过程中，索贿、受贿或者谋取合同约定费用外的其他利益；在执业过程中实施商业贿赂；签署有虚假记载等不合格的文件；允许他人以自己的名义从事执业活动；同时在两个或者两个以上单位受聘或者执业</w:t>
            </w:r>
            <w:r>
              <w:rPr>
                <w:rFonts w:hint="eastAsia" w:ascii="仿宋_GB2312" w:hAnsi="宋体" w:eastAsia="仿宋_GB2312"/>
                <w:color w:val="auto"/>
                <w:kern w:val="0"/>
                <w:sz w:val="13"/>
                <w:szCs w:val="13"/>
                <w:highlight w:val="none"/>
                <w:lang w:eastAsia="zh-CN"/>
              </w:rPr>
              <w:t>；</w:t>
            </w:r>
            <w:r>
              <w:rPr>
                <w:rFonts w:hint="eastAsia" w:ascii="仿宋_GB2312" w:hAnsi="宋体" w:eastAsia="仿宋_GB2312"/>
                <w:color w:val="auto"/>
                <w:kern w:val="0"/>
                <w:sz w:val="13"/>
                <w:szCs w:val="13"/>
                <w:highlight w:val="none"/>
              </w:rPr>
              <w:t>涂改、倒卖、出租、出借或以其他形式非法转让资格证书、注册证书和执业印章</w:t>
            </w:r>
            <w:r>
              <w:rPr>
                <w:rFonts w:hint="eastAsia" w:ascii="仿宋_GB2312" w:hAnsi="宋体" w:eastAsia="仿宋_GB2312"/>
                <w:color w:val="auto"/>
                <w:kern w:val="0"/>
                <w:sz w:val="13"/>
                <w:szCs w:val="13"/>
                <w:highlight w:val="none"/>
                <w:lang w:eastAsia="zh-CN"/>
              </w:rPr>
              <w:t>；</w:t>
            </w:r>
            <w:r>
              <w:rPr>
                <w:rFonts w:hint="eastAsia" w:ascii="仿宋_GB2312" w:hAnsi="宋体" w:eastAsia="仿宋_GB2312"/>
                <w:color w:val="auto"/>
                <w:kern w:val="0"/>
                <w:sz w:val="13"/>
                <w:szCs w:val="13"/>
                <w:highlight w:val="none"/>
              </w:rPr>
              <w:t>超出执业范围和聘用单位业务范围内从事执业活动；法律、法规、规章禁止的其他行为。</w:t>
            </w:r>
          </w:p>
        </w:tc>
        <w:tc>
          <w:tcPr>
            <w:tcW w:w="4820" w:type="dxa"/>
            <w:vMerge w:val="restart"/>
            <w:tcBorders>
              <w:tl2br w:val="nil"/>
              <w:tr2bl w:val="nil"/>
            </w:tcBorders>
            <w:vAlign w:val="center"/>
          </w:tcPr>
          <w:p w14:paraId="3A06625F">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《注册建造师管理规定》</w:t>
            </w:r>
            <w:r>
              <w:rPr>
                <w:rFonts w:hint="eastAsia" w:ascii="仿宋_GB2312" w:hAnsi="宋体" w:eastAsia="仿宋_GB2312"/>
                <w:b/>
                <w:bCs/>
                <w:color w:val="auto"/>
                <w:kern w:val="0"/>
                <w:sz w:val="13"/>
                <w:szCs w:val="13"/>
                <w:highlight w:val="none"/>
              </w:rPr>
              <w:t>第三十七条</w:t>
            </w:r>
            <w:r>
              <w:rPr>
                <w:rFonts w:hint="eastAsia" w:ascii="仿宋_GB2312" w:hAnsi="宋体" w:eastAsia="仿宋_GB2312"/>
                <w:b/>
                <w:bCs/>
                <w:color w:val="auto"/>
                <w:kern w:val="0"/>
                <w:sz w:val="13"/>
                <w:szCs w:val="13"/>
                <w:highlight w:val="none"/>
                <w:lang w:eastAsia="zh-CN"/>
              </w:rPr>
              <w:t>：</w:t>
            </w:r>
            <w:r>
              <w:rPr>
                <w:rFonts w:hint="eastAsia" w:ascii="仿宋_GB2312" w:hAnsi="宋体" w:eastAsia="仿宋_GB2312"/>
                <w:color w:val="auto"/>
                <w:kern w:val="0"/>
                <w:sz w:val="13"/>
                <w:szCs w:val="13"/>
                <w:highlight w:val="none"/>
              </w:rPr>
              <w:t>违反本规定，注册建造师在执业活动中有第二十六条所列行为之一的，由县级以上地方人民政府建设主管部门或者其他有关部门给予警告，责令改正，没有违法所得的，处以1万元以下的罚款；有违法所得的，处以违法所得3倍以下且不超过3万元的罚款。</w:t>
            </w:r>
          </w:p>
          <w:p w14:paraId="76067E14">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tc>
        <w:tc>
          <w:tcPr>
            <w:tcW w:w="823" w:type="dxa"/>
            <w:tcBorders>
              <w:tl2br w:val="nil"/>
              <w:tr2bl w:val="nil"/>
            </w:tcBorders>
            <w:vAlign w:val="center"/>
          </w:tcPr>
          <w:p w14:paraId="7DC2CAD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vAlign w:val="center"/>
          </w:tcPr>
          <w:p w14:paraId="7B4CBD5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没有违法所得，未造成危害后果或造成轻微危害后果的。</w:t>
            </w:r>
          </w:p>
        </w:tc>
        <w:tc>
          <w:tcPr>
            <w:tcW w:w="3058" w:type="dxa"/>
            <w:tcBorders>
              <w:tl2br w:val="nil"/>
              <w:tr2bl w:val="nil"/>
            </w:tcBorders>
            <w:vAlign w:val="center"/>
          </w:tcPr>
          <w:p w14:paraId="4395BA4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给予警告，责令改正，处3千元以下的罚款。</w:t>
            </w:r>
          </w:p>
        </w:tc>
      </w:tr>
      <w:tr w14:paraId="0369565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0" w:hRule="atLeast"/>
          <w:jc w:val="center"/>
        </w:trPr>
        <w:tc>
          <w:tcPr>
            <w:tcW w:w="443" w:type="dxa"/>
            <w:gridSpan w:val="2"/>
            <w:vMerge w:val="continue"/>
            <w:tcBorders>
              <w:tl2br w:val="nil"/>
              <w:tr2bl w:val="nil"/>
            </w:tcBorders>
            <w:vAlign w:val="center"/>
          </w:tcPr>
          <w:p w14:paraId="323A99E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4B83522F">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p>
        </w:tc>
        <w:tc>
          <w:tcPr>
            <w:tcW w:w="4820" w:type="dxa"/>
            <w:vMerge w:val="continue"/>
            <w:tcBorders>
              <w:tl2br w:val="nil"/>
              <w:tr2bl w:val="nil"/>
            </w:tcBorders>
            <w:vAlign w:val="top"/>
          </w:tcPr>
          <w:p w14:paraId="2E87B15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vMerge w:val="restart"/>
            <w:tcBorders>
              <w:tl2br w:val="nil"/>
              <w:tr2bl w:val="nil"/>
            </w:tcBorders>
            <w:vAlign w:val="center"/>
          </w:tcPr>
          <w:p w14:paraId="7802F43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一般情节</w:t>
            </w:r>
          </w:p>
        </w:tc>
        <w:tc>
          <w:tcPr>
            <w:tcW w:w="3437" w:type="dxa"/>
            <w:gridSpan w:val="2"/>
            <w:tcBorders>
              <w:tl2br w:val="nil"/>
              <w:tr2bl w:val="nil"/>
            </w:tcBorders>
            <w:vAlign w:val="center"/>
          </w:tcPr>
          <w:p w14:paraId="2E44BBDC">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（1）违法所得在1万元以下的。</w:t>
            </w:r>
          </w:p>
        </w:tc>
        <w:tc>
          <w:tcPr>
            <w:tcW w:w="3058" w:type="dxa"/>
            <w:tcBorders>
              <w:tl2br w:val="nil"/>
              <w:tr2bl w:val="nil"/>
            </w:tcBorders>
            <w:vAlign w:val="center"/>
          </w:tcPr>
          <w:p w14:paraId="7797ECD0">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给予警告，责令改正，处以违法所得1倍以下且不超过3万元的罚款。</w:t>
            </w:r>
          </w:p>
        </w:tc>
      </w:tr>
      <w:tr w14:paraId="0AED78B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43" w:hRule="atLeast"/>
          <w:jc w:val="center"/>
        </w:trPr>
        <w:tc>
          <w:tcPr>
            <w:tcW w:w="443" w:type="dxa"/>
            <w:gridSpan w:val="2"/>
            <w:vMerge w:val="continue"/>
            <w:tcBorders>
              <w:tl2br w:val="nil"/>
              <w:tr2bl w:val="nil"/>
            </w:tcBorders>
            <w:vAlign w:val="center"/>
          </w:tcPr>
          <w:p w14:paraId="2902302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768E3DEF">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p>
        </w:tc>
        <w:tc>
          <w:tcPr>
            <w:tcW w:w="4820" w:type="dxa"/>
            <w:vMerge w:val="continue"/>
            <w:tcBorders>
              <w:tl2br w:val="nil"/>
              <w:tr2bl w:val="nil"/>
            </w:tcBorders>
            <w:vAlign w:val="top"/>
          </w:tcPr>
          <w:p w14:paraId="438F858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vMerge w:val="continue"/>
            <w:tcBorders>
              <w:tl2br w:val="nil"/>
              <w:tr2bl w:val="nil"/>
            </w:tcBorders>
            <w:vAlign w:val="center"/>
          </w:tcPr>
          <w:p w14:paraId="70D86E3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olor w:val="auto"/>
                <w:kern w:val="0"/>
                <w:sz w:val="13"/>
                <w:szCs w:val="13"/>
                <w:highlight w:val="none"/>
              </w:rPr>
            </w:pPr>
          </w:p>
        </w:tc>
        <w:tc>
          <w:tcPr>
            <w:tcW w:w="3437" w:type="dxa"/>
            <w:gridSpan w:val="2"/>
            <w:tcBorders>
              <w:tl2br w:val="nil"/>
              <w:tr2bl w:val="nil"/>
            </w:tcBorders>
            <w:vAlign w:val="center"/>
          </w:tcPr>
          <w:p w14:paraId="2A01FDF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（2）没有违法所得，造成一般危害后果的。</w:t>
            </w:r>
          </w:p>
        </w:tc>
        <w:tc>
          <w:tcPr>
            <w:tcW w:w="3058" w:type="dxa"/>
            <w:tcBorders>
              <w:tl2br w:val="nil"/>
              <w:tr2bl w:val="nil"/>
            </w:tcBorders>
            <w:vAlign w:val="center"/>
          </w:tcPr>
          <w:p w14:paraId="05BCF3D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给予警告，责令改正，处3千元以上7千元以下的罚款。</w:t>
            </w:r>
          </w:p>
        </w:tc>
      </w:tr>
      <w:tr w14:paraId="3818488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469" w:hRule="atLeast"/>
          <w:jc w:val="center"/>
        </w:trPr>
        <w:tc>
          <w:tcPr>
            <w:tcW w:w="443" w:type="dxa"/>
            <w:gridSpan w:val="2"/>
            <w:vMerge w:val="continue"/>
            <w:tcBorders>
              <w:tl2br w:val="nil"/>
              <w:tr2bl w:val="nil"/>
            </w:tcBorders>
            <w:vAlign w:val="center"/>
          </w:tcPr>
          <w:p w14:paraId="2C2015E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42EF2062">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61F9261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vMerge w:val="restart"/>
            <w:tcBorders>
              <w:tl2br w:val="nil"/>
              <w:tr2bl w:val="nil"/>
            </w:tcBorders>
            <w:vAlign w:val="center"/>
          </w:tcPr>
          <w:p w14:paraId="7D53FE6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从重情节</w:t>
            </w:r>
          </w:p>
        </w:tc>
        <w:tc>
          <w:tcPr>
            <w:tcW w:w="3437" w:type="dxa"/>
            <w:gridSpan w:val="2"/>
            <w:tcBorders>
              <w:tl2br w:val="nil"/>
              <w:tr2bl w:val="nil"/>
            </w:tcBorders>
            <w:vAlign w:val="center"/>
          </w:tcPr>
          <w:p w14:paraId="77E1632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（1）没有违法所得，造成严重危害后果的。</w:t>
            </w:r>
          </w:p>
        </w:tc>
        <w:tc>
          <w:tcPr>
            <w:tcW w:w="3058" w:type="dxa"/>
            <w:tcBorders>
              <w:tl2br w:val="nil"/>
              <w:tr2bl w:val="nil"/>
            </w:tcBorders>
            <w:vAlign w:val="center"/>
          </w:tcPr>
          <w:p w14:paraId="403FEAC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给予警告，责令改正，处7千元以上1万元以下的罚款。</w:t>
            </w:r>
          </w:p>
        </w:tc>
      </w:tr>
      <w:tr w14:paraId="10AB2CE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569" w:hRule="atLeast"/>
          <w:jc w:val="center"/>
        </w:trPr>
        <w:tc>
          <w:tcPr>
            <w:tcW w:w="443" w:type="dxa"/>
            <w:gridSpan w:val="2"/>
            <w:vMerge w:val="continue"/>
            <w:tcBorders>
              <w:tl2br w:val="nil"/>
              <w:tr2bl w:val="nil"/>
            </w:tcBorders>
            <w:vAlign w:val="center"/>
          </w:tcPr>
          <w:p w14:paraId="341288E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0FB4EB3C">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3506AE8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vMerge w:val="continue"/>
            <w:tcBorders>
              <w:tl2br w:val="nil"/>
              <w:tr2bl w:val="nil"/>
            </w:tcBorders>
            <w:vAlign w:val="center"/>
          </w:tcPr>
          <w:p w14:paraId="4725B0B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olor w:val="auto"/>
                <w:kern w:val="0"/>
                <w:sz w:val="13"/>
                <w:szCs w:val="13"/>
                <w:highlight w:val="none"/>
              </w:rPr>
            </w:pPr>
          </w:p>
        </w:tc>
        <w:tc>
          <w:tcPr>
            <w:tcW w:w="3437" w:type="dxa"/>
            <w:gridSpan w:val="2"/>
            <w:tcBorders>
              <w:tl2br w:val="nil"/>
              <w:tr2bl w:val="nil"/>
            </w:tcBorders>
            <w:vAlign w:val="center"/>
          </w:tcPr>
          <w:p w14:paraId="21D72B6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（2）违法所得在1万元以上3万元以下的。</w:t>
            </w:r>
          </w:p>
        </w:tc>
        <w:tc>
          <w:tcPr>
            <w:tcW w:w="3058" w:type="dxa"/>
            <w:tcBorders>
              <w:tl2br w:val="nil"/>
              <w:tr2bl w:val="nil"/>
            </w:tcBorders>
            <w:vAlign w:val="center"/>
          </w:tcPr>
          <w:p w14:paraId="659B40A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给予警告，责令改正，处以违法所得1倍以上2倍以下且不超过3万元的罚款。</w:t>
            </w:r>
          </w:p>
        </w:tc>
      </w:tr>
      <w:tr w14:paraId="2A334C5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818" w:hRule="atLeast"/>
          <w:jc w:val="center"/>
        </w:trPr>
        <w:tc>
          <w:tcPr>
            <w:tcW w:w="443" w:type="dxa"/>
            <w:gridSpan w:val="2"/>
            <w:vMerge w:val="continue"/>
            <w:tcBorders>
              <w:tl2br w:val="nil"/>
              <w:tr2bl w:val="nil"/>
            </w:tcBorders>
            <w:vAlign w:val="center"/>
          </w:tcPr>
          <w:p w14:paraId="201AED7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4F5C2534">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11D53ED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vMerge w:val="continue"/>
            <w:tcBorders>
              <w:tl2br w:val="nil"/>
              <w:tr2bl w:val="nil"/>
            </w:tcBorders>
            <w:vAlign w:val="center"/>
          </w:tcPr>
          <w:p w14:paraId="68AB8A6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olor w:val="auto"/>
                <w:kern w:val="0"/>
                <w:sz w:val="13"/>
                <w:szCs w:val="13"/>
                <w:highlight w:val="none"/>
              </w:rPr>
            </w:pPr>
          </w:p>
        </w:tc>
        <w:tc>
          <w:tcPr>
            <w:tcW w:w="3437" w:type="dxa"/>
            <w:gridSpan w:val="2"/>
            <w:tcBorders>
              <w:tl2br w:val="nil"/>
              <w:tr2bl w:val="nil"/>
            </w:tcBorders>
            <w:vAlign w:val="center"/>
          </w:tcPr>
          <w:p w14:paraId="32D5807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（3）违法所得在3万元以上的。</w:t>
            </w:r>
          </w:p>
        </w:tc>
        <w:tc>
          <w:tcPr>
            <w:tcW w:w="3058" w:type="dxa"/>
            <w:tcBorders>
              <w:tl2br w:val="nil"/>
              <w:tr2bl w:val="nil"/>
            </w:tcBorders>
            <w:vAlign w:val="center"/>
          </w:tcPr>
          <w:p w14:paraId="047FB58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给予警告，处以违法所得2倍以上3倍以下且不超过3万元的罚款。</w:t>
            </w:r>
          </w:p>
        </w:tc>
      </w:tr>
      <w:tr w14:paraId="4B2B3E4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90" w:hRule="atLeast"/>
          <w:jc w:val="center"/>
        </w:trPr>
        <w:tc>
          <w:tcPr>
            <w:tcW w:w="443" w:type="dxa"/>
            <w:gridSpan w:val="2"/>
            <w:vMerge w:val="restart"/>
            <w:tcBorders>
              <w:tl2br w:val="nil"/>
              <w:tr2bl w:val="nil"/>
            </w:tcBorders>
            <w:vAlign w:val="center"/>
          </w:tcPr>
          <w:p w14:paraId="57F23C37">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Times New Roman"/>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43</w:t>
            </w:r>
          </w:p>
        </w:tc>
        <w:tc>
          <w:tcPr>
            <w:tcW w:w="1550" w:type="dxa"/>
            <w:vMerge w:val="restart"/>
            <w:tcBorders>
              <w:tl2br w:val="nil"/>
              <w:tr2bl w:val="nil"/>
            </w:tcBorders>
            <w:vAlign w:val="center"/>
          </w:tcPr>
          <w:p w14:paraId="6D07C92C">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注册建造师或者其聘用单位未按照要求提供注册建造师信用档案信息</w:t>
            </w:r>
          </w:p>
        </w:tc>
        <w:tc>
          <w:tcPr>
            <w:tcW w:w="4820" w:type="dxa"/>
            <w:vMerge w:val="restart"/>
            <w:tcBorders>
              <w:tl2br w:val="nil"/>
              <w:tr2bl w:val="nil"/>
            </w:tcBorders>
            <w:vAlign w:val="center"/>
          </w:tcPr>
          <w:p w14:paraId="09C58929">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《注册建造师管理规定》</w:t>
            </w:r>
            <w:r>
              <w:rPr>
                <w:rFonts w:hint="eastAsia" w:ascii="仿宋_GB2312" w:hAnsi="宋体" w:eastAsia="仿宋_GB2312"/>
                <w:b/>
                <w:bCs/>
                <w:color w:val="auto"/>
                <w:kern w:val="0"/>
                <w:sz w:val="13"/>
                <w:szCs w:val="13"/>
                <w:highlight w:val="none"/>
              </w:rPr>
              <w:t>第三十八条</w:t>
            </w:r>
            <w:r>
              <w:rPr>
                <w:rFonts w:hint="eastAsia" w:ascii="仿宋_GB2312" w:hAnsi="宋体" w:eastAsia="仿宋_GB2312"/>
                <w:b/>
                <w:bCs/>
                <w:color w:val="auto"/>
                <w:kern w:val="0"/>
                <w:sz w:val="13"/>
                <w:szCs w:val="13"/>
                <w:highlight w:val="none"/>
                <w:lang w:eastAsia="zh-CN"/>
              </w:rPr>
              <w:t>：</w:t>
            </w:r>
            <w:r>
              <w:rPr>
                <w:rFonts w:hint="eastAsia" w:ascii="仿宋_GB2312" w:hAnsi="宋体" w:eastAsia="仿宋_GB2312"/>
                <w:color w:val="auto"/>
                <w:kern w:val="0"/>
                <w:sz w:val="13"/>
                <w:szCs w:val="13"/>
                <w:highlight w:val="none"/>
              </w:rPr>
              <w:t>违反本规定，注册建造师或者其聘用单位未按照要求提供注册建造师信用档案信息的，由县级以上地方人民政府建设主管部门或者其他有关部门责令限期改正；逾期未改正的，可处以1000元以上1万元以下的罚款。</w:t>
            </w:r>
          </w:p>
        </w:tc>
        <w:tc>
          <w:tcPr>
            <w:tcW w:w="823" w:type="dxa"/>
            <w:tcBorders>
              <w:tl2br w:val="nil"/>
              <w:tr2bl w:val="nil"/>
            </w:tcBorders>
            <w:vAlign w:val="center"/>
          </w:tcPr>
          <w:p w14:paraId="68BFB0A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vAlign w:val="center"/>
          </w:tcPr>
          <w:p w14:paraId="3192CA3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经责令限期改正，逾期15日以内改正的。</w:t>
            </w:r>
          </w:p>
        </w:tc>
        <w:tc>
          <w:tcPr>
            <w:tcW w:w="3058" w:type="dxa"/>
            <w:tcBorders>
              <w:tl2br w:val="nil"/>
              <w:tr2bl w:val="nil"/>
            </w:tcBorders>
            <w:vAlign w:val="center"/>
          </w:tcPr>
          <w:p w14:paraId="20AD6A5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可处1千元以上4千元以下的罚款。</w:t>
            </w:r>
          </w:p>
        </w:tc>
      </w:tr>
      <w:tr w14:paraId="47434E2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48" w:hRule="atLeast"/>
          <w:jc w:val="center"/>
        </w:trPr>
        <w:tc>
          <w:tcPr>
            <w:tcW w:w="443" w:type="dxa"/>
            <w:gridSpan w:val="2"/>
            <w:vMerge w:val="continue"/>
            <w:tcBorders>
              <w:tl2br w:val="nil"/>
              <w:tr2bl w:val="nil"/>
            </w:tcBorders>
            <w:vAlign w:val="center"/>
          </w:tcPr>
          <w:p w14:paraId="7A17FA1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64D13043">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p>
        </w:tc>
        <w:tc>
          <w:tcPr>
            <w:tcW w:w="4820" w:type="dxa"/>
            <w:vMerge w:val="continue"/>
            <w:tcBorders>
              <w:tl2br w:val="nil"/>
              <w:tr2bl w:val="nil"/>
            </w:tcBorders>
            <w:vAlign w:val="top"/>
          </w:tcPr>
          <w:p w14:paraId="574BC15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tcBorders>
              <w:tl2br w:val="nil"/>
              <w:tr2bl w:val="nil"/>
            </w:tcBorders>
            <w:vAlign w:val="center"/>
          </w:tcPr>
          <w:p w14:paraId="28C4672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一般情节</w:t>
            </w:r>
          </w:p>
        </w:tc>
        <w:tc>
          <w:tcPr>
            <w:tcW w:w="3437" w:type="dxa"/>
            <w:gridSpan w:val="2"/>
            <w:tcBorders>
              <w:tl2br w:val="nil"/>
              <w:tr2bl w:val="nil"/>
            </w:tcBorders>
            <w:vAlign w:val="center"/>
          </w:tcPr>
          <w:p w14:paraId="7109527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经责令限期改正，逾期15日以上30日以内改正的。</w:t>
            </w:r>
          </w:p>
        </w:tc>
        <w:tc>
          <w:tcPr>
            <w:tcW w:w="3058" w:type="dxa"/>
            <w:tcBorders>
              <w:tl2br w:val="nil"/>
              <w:tr2bl w:val="nil"/>
            </w:tcBorders>
            <w:vAlign w:val="center"/>
          </w:tcPr>
          <w:p w14:paraId="21B621A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可处4千元以上7千元以下的罚款。</w:t>
            </w:r>
          </w:p>
        </w:tc>
      </w:tr>
      <w:tr w14:paraId="53B34E3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406" w:hRule="atLeast"/>
          <w:jc w:val="center"/>
        </w:trPr>
        <w:tc>
          <w:tcPr>
            <w:tcW w:w="443" w:type="dxa"/>
            <w:gridSpan w:val="2"/>
            <w:vMerge w:val="continue"/>
            <w:tcBorders>
              <w:tl2br w:val="nil"/>
              <w:tr2bl w:val="nil"/>
            </w:tcBorders>
            <w:vAlign w:val="center"/>
          </w:tcPr>
          <w:p w14:paraId="4BB78CF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5E286A88">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1E1D9E9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tcBorders>
              <w:tl2br w:val="nil"/>
              <w:tr2bl w:val="nil"/>
            </w:tcBorders>
            <w:vAlign w:val="center"/>
          </w:tcPr>
          <w:p w14:paraId="0EA41F0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从重情节</w:t>
            </w:r>
          </w:p>
        </w:tc>
        <w:tc>
          <w:tcPr>
            <w:tcW w:w="3437" w:type="dxa"/>
            <w:gridSpan w:val="2"/>
            <w:tcBorders>
              <w:tl2br w:val="nil"/>
              <w:tr2bl w:val="nil"/>
            </w:tcBorders>
            <w:vAlign w:val="center"/>
          </w:tcPr>
          <w:p w14:paraId="6B82C7D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经责令限期改正，逾期30日以上未改正的。</w:t>
            </w:r>
          </w:p>
        </w:tc>
        <w:tc>
          <w:tcPr>
            <w:tcW w:w="3058" w:type="dxa"/>
            <w:tcBorders>
              <w:tl2br w:val="nil"/>
              <w:tr2bl w:val="nil"/>
            </w:tcBorders>
            <w:vAlign w:val="center"/>
          </w:tcPr>
          <w:p w14:paraId="5E34FFD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可处7千元以上1万元以下的罚款。</w:t>
            </w:r>
          </w:p>
        </w:tc>
      </w:tr>
      <w:tr w14:paraId="6A8C03C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667" w:hRule="atLeast"/>
          <w:jc w:val="center"/>
        </w:trPr>
        <w:tc>
          <w:tcPr>
            <w:tcW w:w="443" w:type="dxa"/>
            <w:gridSpan w:val="2"/>
            <w:vMerge w:val="restart"/>
            <w:tcBorders>
              <w:tl2br w:val="nil"/>
              <w:tr2bl w:val="nil"/>
            </w:tcBorders>
            <w:vAlign w:val="center"/>
          </w:tcPr>
          <w:p w14:paraId="2ACA4B8C">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Times New Roman"/>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44</w:t>
            </w:r>
          </w:p>
        </w:tc>
        <w:tc>
          <w:tcPr>
            <w:tcW w:w="1550" w:type="dxa"/>
            <w:vMerge w:val="restart"/>
            <w:tcBorders>
              <w:tl2br w:val="nil"/>
              <w:tr2bl w:val="nil"/>
            </w:tcBorders>
            <w:vAlign w:val="center"/>
          </w:tcPr>
          <w:p w14:paraId="644F577D">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聘用单位为申请人提供虚假注册材料</w:t>
            </w:r>
          </w:p>
        </w:tc>
        <w:tc>
          <w:tcPr>
            <w:tcW w:w="4820" w:type="dxa"/>
            <w:vMerge w:val="restart"/>
            <w:tcBorders>
              <w:tl2br w:val="nil"/>
              <w:tr2bl w:val="nil"/>
            </w:tcBorders>
            <w:vAlign w:val="center"/>
          </w:tcPr>
          <w:p w14:paraId="4068EF51">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ascii="宋体" w:hAnsi="宋体" w:cs="宋体"/>
                <w:color w:val="auto"/>
                <w:kern w:val="0"/>
                <w:sz w:val="13"/>
                <w:szCs w:val="13"/>
                <w:highlight w:val="none"/>
              </w:rPr>
            </w:pPr>
            <w:r>
              <w:rPr>
                <w:rFonts w:hint="eastAsia" w:ascii="仿宋_GB2312" w:hAnsi="宋体" w:eastAsia="仿宋_GB2312"/>
                <w:color w:val="auto"/>
                <w:kern w:val="0"/>
                <w:sz w:val="13"/>
                <w:szCs w:val="13"/>
                <w:highlight w:val="none"/>
              </w:rPr>
              <w:t>《注册建造师管理规定》</w:t>
            </w:r>
            <w:r>
              <w:rPr>
                <w:rFonts w:hint="eastAsia" w:ascii="仿宋_GB2312" w:hAnsi="宋体" w:eastAsia="仿宋_GB2312"/>
                <w:b/>
                <w:bCs/>
                <w:color w:val="auto"/>
                <w:kern w:val="0"/>
                <w:sz w:val="13"/>
                <w:szCs w:val="13"/>
                <w:highlight w:val="none"/>
              </w:rPr>
              <w:t>第三十九条</w:t>
            </w:r>
            <w:r>
              <w:rPr>
                <w:rFonts w:hint="eastAsia" w:ascii="仿宋_GB2312" w:hAnsi="宋体" w:eastAsia="仿宋_GB2312"/>
                <w:b/>
                <w:bCs/>
                <w:color w:val="auto"/>
                <w:kern w:val="0"/>
                <w:sz w:val="13"/>
                <w:szCs w:val="13"/>
                <w:highlight w:val="none"/>
                <w:lang w:eastAsia="zh-CN"/>
              </w:rPr>
              <w:t>：</w:t>
            </w:r>
            <w:r>
              <w:rPr>
                <w:rFonts w:hint="eastAsia" w:ascii="仿宋_GB2312" w:hAnsi="宋体" w:eastAsia="仿宋_GB2312"/>
                <w:color w:val="auto"/>
                <w:kern w:val="0"/>
                <w:sz w:val="13"/>
                <w:szCs w:val="13"/>
                <w:highlight w:val="none"/>
              </w:rPr>
              <w:t>聘用单位为申请人提供虚假注册材料的，由县级以上地方人民政府建设主管部门或者其他有关部门给予警告，责令限期改正；逾期未改正的，可处以1万元以上3万元以下的罚款。</w:t>
            </w:r>
          </w:p>
        </w:tc>
        <w:tc>
          <w:tcPr>
            <w:tcW w:w="823" w:type="dxa"/>
            <w:tcBorders>
              <w:tl2br w:val="nil"/>
              <w:tr2bl w:val="nil"/>
            </w:tcBorders>
            <w:vAlign w:val="center"/>
          </w:tcPr>
          <w:p w14:paraId="0294019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vAlign w:val="center"/>
          </w:tcPr>
          <w:p w14:paraId="68D4403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聘用单位为1个申请人提供虚假注册材料，给予警告，责令限期改正，逾期未改正的。</w:t>
            </w:r>
          </w:p>
        </w:tc>
        <w:tc>
          <w:tcPr>
            <w:tcW w:w="3058" w:type="dxa"/>
            <w:tcBorders>
              <w:tl2br w:val="nil"/>
              <w:tr2bl w:val="nil"/>
            </w:tcBorders>
            <w:vAlign w:val="center"/>
          </w:tcPr>
          <w:p w14:paraId="4355F06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可处以1万元以上1.5万元以下的罚款。</w:t>
            </w:r>
          </w:p>
        </w:tc>
      </w:tr>
      <w:tr w14:paraId="7AF5CF6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8" w:hRule="atLeast"/>
          <w:jc w:val="center"/>
        </w:trPr>
        <w:tc>
          <w:tcPr>
            <w:tcW w:w="443" w:type="dxa"/>
            <w:gridSpan w:val="2"/>
            <w:vMerge w:val="continue"/>
            <w:tcBorders>
              <w:tl2br w:val="nil"/>
              <w:tr2bl w:val="nil"/>
            </w:tcBorders>
            <w:vAlign w:val="center"/>
          </w:tcPr>
          <w:p w14:paraId="349A9E0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28604468">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p>
        </w:tc>
        <w:tc>
          <w:tcPr>
            <w:tcW w:w="4820" w:type="dxa"/>
            <w:vMerge w:val="continue"/>
            <w:tcBorders>
              <w:tl2br w:val="nil"/>
              <w:tr2bl w:val="nil"/>
            </w:tcBorders>
            <w:vAlign w:val="top"/>
          </w:tcPr>
          <w:p w14:paraId="7866B9C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tcBorders>
              <w:tl2br w:val="nil"/>
              <w:tr2bl w:val="nil"/>
            </w:tcBorders>
            <w:vAlign w:val="center"/>
          </w:tcPr>
          <w:p w14:paraId="5718038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一般情节</w:t>
            </w:r>
          </w:p>
        </w:tc>
        <w:tc>
          <w:tcPr>
            <w:tcW w:w="3437" w:type="dxa"/>
            <w:gridSpan w:val="2"/>
            <w:tcBorders>
              <w:tl2br w:val="nil"/>
              <w:tr2bl w:val="nil"/>
            </w:tcBorders>
            <w:vAlign w:val="center"/>
          </w:tcPr>
          <w:p w14:paraId="1A53379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聘用单位为2个以上5个以下申请人提供虚假注册材料，给予警告，责令限期改正，逾期未改正的。</w:t>
            </w:r>
          </w:p>
        </w:tc>
        <w:tc>
          <w:tcPr>
            <w:tcW w:w="3058" w:type="dxa"/>
            <w:tcBorders>
              <w:tl2br w:val="nil"/>
              <w:tr2bl w:val="nil"/>
            </w:tcBorders>
            <w:vAlign w:val="center"/>
          </w:tcPr>
          <w:p w14:paraId="6B8B623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可处以1.5万元以上2.5万元以下的罚款。</w:t>
            </w:r>
          </w:p>
        </w:tc>
      </w:tr>
      <w:tr w14:paraId="0CBCB8B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76" w:hRule="atLeast"/>
          <w:jc w:val="center"/>
        </w:trPr>
        <w:tc>
          <w:tcPr>
            <w:tcW w:w="443" w:type="dxa"/>
            <w:gridSpan w:val="2"/>
            <w:vMerge w:val="continue"/>
            <w:tcBorders>
              <w:tl2br w:val="nil"/>
              <w:tr2bl w:val="nil"/>
            </w:tcBorders>
            <w:vAlign w:val="center"/>
          </w:tcPr>
          <w:p w14:paraId="124F7ED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5A6DD5C9">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0467AE7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tcBorders>
              <w:tl2br w:val="nil"/>
              <w:tr2bl w:val="nil"/>
            </w:tcBorders>
            <w:vAlign w:val="center"/>
          </w:tcPr>
          <w:p w14:paraId="43579B5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从重情节</w:t>
            </w:r>
          </w:p>
        </w:tc>
        <w:tc>
          <w:tcPr>
            <w:tcW w:w="3437" w:type="dxa"/>
            <w:gridSpan w:val="2"/>
            <w:tcBorders>
              <w:tl2br w:val="nil"/>
              <w:tr2bl w:val="nil"/>
            </w:tcBorders>
            <w:vAlign w:val="center"/>
          </w:tcPr>
          <w:p w14:paraId="0898696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聘用单位为5个以上申请人提供虚假注册材料，给予警告，责令限期改正，逾期未改正的。</w:t>
            </w:r>
          </w:p>
        </w:tc>
        <w:tc>
          <w:tcPr>
            <w:tcW w:w="3058" w:type="dxa"/>
            <w:tcBorders>
              <w:tl2br w:val="nil"/>
              <w:tr2bl w:val="nil"/>
            </w:tcBorders>
            <w:vAlign w:val="center"/>
          </w:tcPr>
          <w:p w14:paraId="07C96ED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可处以2.5万元以上3万元以下的罚款。</w:t>
            </w:r>
          </w:p>
        </w:tc>
      </w:tr>
      <w:tr w14:paraId="385E205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437" w:hRule="atLeast"/>
          <w:jc w:val="center"/>
        </w:trPr>
        <w:tc>
          <w:tcPr>
            <w:tcW w:w="443" w:type="dxa"/>
            <w:gridSpan w:val="2"/>
            <w:vMerge w:val="restart"/>
            <w:tcBorders>
              <w:tl2br w:val="nil"/>
              <w:tr2bl w:val="nil"/>
            </w:tcBorders>
            <w:vAlign w:val="center"/>
          </w:tcPr>
          <w:p w14:paraId="1D830093">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color w:val="auto"/>
                <w:sz w:val="13"/>
                <w:szCs w:val="13"/>
                <w:highlight w:val="none"/>
              </w:rPr>
            </w:pPr>
            <w:r>
              <w:rPr>
                <w:rFonts w:hint="default" w:ascii="仿宋_GB2312" w:hAnsi="宋体" w:eastAsia="仿宋_GB2312" w:cs="仿宋_GB2312"/>
                <w:i w:val="0"/>
                <w:color w:val="auto"/>
                <w:kern w:val="0"/>
                <w:sz w:val="13"/>
                <w:szCs w:val="13"/>
                <w:highlight w:val="none"/>
                <w:u w:val="none"/>
                <w:lang w:val="en-US" w:eastAsia="zh-CN" w:bidi="ar"/>
              </w:rPr>
              <w:t>4</w:t>
            </w:r>
            <w:r>
              <w:rPr>
                <w:rFonts w:hint="eastAsia" w:ascii="仿宋_GB2312" w:hAnsi="宋体" w:eastAsia="仿宋_GB2312" w:cs="仿宋_GB2312"/>
                <w:i w:val="0"/>
                <w:color w:val="auto"/>
                <w:kern w:val="0"/>
                <w:sz w:val="13"/>
                <w:szCs w:val="13"/>
                <w:highlight w:val="none"/>
                <w:u w:val="none"/>
                <w:lang w:val="en-US" w:eastAsia="zh-CN" w:bidi="ar"/>
              </w:rPr>
              <w:t>5</w:t>
            </w:r>
          </w:p>
        </w:tc>
        <w:tc>
          <w:tcPr>
            <w:tcW w:w="1550" w:type="dxa"/>
            <w:vMerge w:val="restart"/>
            <w:tcBorders>
              <w:tl2br w:val="nil"/>
              <w:tr2bl w:val="nil"/>
            </w:tcBorders>
            <w:vAlign w:val="center"/>
          </w:tcPr>
          <w:p w14:paraId="5DDC63EA">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以欺骗、贿赂等不正当手段取得注册证书</w:t>
            </w:r>
          </w:p>
        </w:tc>
        <w:tc>
          <w:tcPr>
            <w:tcW w:w="4820" w:type="dxa"/>
            <w:vMerge w:val="restart"/>
            <w:tcBorders>
              <w:tl2br w:val="nil"/>
              <w:tr2bl w:val="nil"/>
            </w:tcBorders>
            <w:vAlign w:val="center"/>
          </w:tcPr>
          <w:p w14:paraId="1C19A65A">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p w14:paraId="5C8AFD2E">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《注册监理工程师管理规定》</w:t>
            </w:r>
            <w:r>
              <w:rPr>
                <w:rFonts w:hint="eastAsia" w:ascii="仿宋_GB2312" w:hAnsi="宋体" w:eastAsia="仿宋_GB2312"/>
                <w:b/>
                <w:bCs/>
                <w:color w:val="auto"/>
                <w:kern w:val="0"/>
                <w:sz w:val="13"/>
                <w:szCs w:val="13"/>
                <w:highlight w:val="none"/>
              </w:rPr>
              <w:t>第二十八条</w:t>
            </w:r>
            <w:r>
              <w:rPr>
                <w:rFonts w:hint="eastAsia" w:ascii="仿宋_GB2312" w:hAnsi="宋体" w:eastAsia="仿宋_GB2312"/>
                <w:b/>
                <w:bCs/>
                <w:color w:val="auto"/>
                <w:kern w:val="0"/>
                <w:sz w:val="13"/>
                <w:szCs w:val="13"/>
                <w:highlight w:val="none"/>
                <w:lang w:eastAsia="zh-CN"/>
              </w:rPr>
              <w:t>：</w:t>
            </w:r>
            <w:r>
              <w:rPr>
                <w:rFonts w:hint="eastAsia" w:ascii="仿宋_GB2312" w:hAnsi="宋体" w:eastAsia="仿宋_GB2312"/>
                <w:color w:val="auto"/>
                <w:kern w:val="0"/>
                <w:sz w:val="13"/>
                <w:szCs w:val="13"/>
                <w:highlight w:val="none"/>
              </w:rPr>
              <w:t>以欺骗、贿赂等不正当手段取得注册证书的，由国务院建设主管部门撤销其注册，3年内不得再次申请注册，并由县级以上地方人民政府建设主管部门处以罚款，其中没有违法所得的，处以1万元以下罚款，有违法所得的，处以违法所得3倍以下且不超过3万元的罚款；构成犯罪的，依法追究刑事责任。</w:t>
            </w:r>
          </w:p>
        </w:tc>
        <w:tc>
          <w:tcPr>
            <w:tcW w:w="823" w:type="dxa"/>
            <w:tcBorders>
              <w:tl2br w:val="nil"/>
              <w:tr2bl w:val="nil"/>
            </w:tcBorders>
            <w:vAlign w:val="center"/>
          </w:tcPr>
          <w:p w14:paraId="252C2BD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vAlign w:val="center"/>
          </w:tcPr>
          <w:p w14:paraId="5957632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没有违法所得，未造成严重后果的。</w:t>
            </w:r>
          </w:p>
        </w:tc>
        <w:tc>
          <w:tcPr>
            <w:tcW w:w="3058" w:type="dxa"/>
            <w:tcBorders>
              <w:tl2br w:val="nil"/>
              <w:tr2bl w:val="nil"/>
            </w:tcBorders>
            <w:vAlign w:val="center"/>
          </w:tcPr>
          <w:p w14:paraId="6248E64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处3千元以下的罚款。</w:t>
            </w:r>
          </w:p>
        </w:tc>
      </w:tr>
      <w:tr w14:paraId="1A4A1C6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0" w:hRule="atLeast"/>
          <w:jc w:val="center"/>
        </w:trPr>
        <w:tc>
          <w:tcPr>
            <w:tcW w:w="443" w:type="dxa"/>
            <w:gridSpan w:val="2"/>
            <w:vMerge w:val="continue"/>
            <w:tcBorders>
              <w:tl2br w:val="nil"/>
              <w:tr2bl w:val="nil"/>
            </w:tcBorders>
            <w:vAlign w:val="center"/>
          </w:tcPr>
          <w:p w14:paraId="0854F9F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617419E7">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p>
        </w:tc>
        <w:tc>
          <w:tcPr>
            <w:tcW w:w="4820" w:type="dxa"/>
            <w:vMerge w:val="continue"/>
            <w:tcBorders>
              <w:tl2br w:val="nil"/>
              <w:tr2bl w:val="nil"/>
            </w:tcBorders>
            <w:vAlign w:val="top"/>
          </w:tcPr>
          <w:p w14:paraId="035E92C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vMerge w:val="restart"/>
            <w:tcBorders>
              <w:tl2br w:val="nil"/>
              <w:tr2bl w:val="nil"/>
            </w:tcBorders>
            <w:vAlign w:val="center"/>
          </w:tcPr>
          <w:p w14:paraId="606AB74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一般情节</w:t>
            </w:r>
          </w:p>
        </w:tc>
        <w:tc>
          <w:tcPr>
            <w:tcW w:w="3437" w:type="dxa"/>
            <w:gridSpan w:val="2"/>
            <w:tcBorders>
              <w:tl2br w:val="nil"/>
              <w:tr2bl w:val="nil"/>
            </w:tcBorders>
            <w:vAlign w:val="center"/>
          </w:tcPr>
          <w:p w14:paraId="2BA3EA2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（1）没有违法所得，造成一般危害后果的。</w:t>
            </w:r>
          </w:p>
        </w:tc>
        <w:tc>
          <w:tcPr>
            <w:tcW w:w="3058" w:type="dxa"/>
            <w:tcBorders>
              <w:tl2br w:val="nil"/>
              <w:tr2bl w:val="nil"/>
            </w:tcBorders>
            <w:vAlign w:val="center"/>
          </w:tcPr>
          <w:p w14:paraId="31D1DE0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撤销其注册，3年内不得再次申请注册；处3千元以上7千元以下的罚款。</w:t>
            </w:r>
          </w:p>
        </w:tc>
      </w:tr>
      <w:tr w14:paraId="66698FD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0" w:hRule="atLeast"/>
          <w:jc w:val="center"/>
        </w:trPr>
        <w:tc>
          <w:tcPr>
            <w:tcW w:w="443" w:type="dxa"/>
            <w:gridSpan w:val="2"/>
            <w:vMerge w:val="continue"/>
            <w:tcBorders>
              <w:tl2br w:val="nil"/>
              <w:tr2bl w:val="nil"/>
            </w:tcBorders>
            <w:vAlign w:val="center"/>
          </w:tcPr>
          <w:p w14:paraId="4BB2658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6859A100">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p>
        </w:tc>
        <w:tc>
          <w:tcPr>
            <w:tcW w:w="4820" w:type="dxa"/>
            <w:vMerge w:val="continue"/>
            <w:tcBorders>
              <w:tl2br w:val="nil"/>
              <w:tr2bl w:val="nil"/>
            </w:tcBorders>
            <w:vAlign w:val="top"/>
          </w:tcPr>
          <w:p w14:paraId="67D4B4A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vMerge w:val="continue"/>
            <w:tcBorders>
              <w:tl2br w:val="nil"/>
              <w:tr2bl w:val="nil"/>
            </w:tcBorders>
            <w:vAlign w:val="center"/>
          </w:tcPr>
          <w:p w14:paraId="667AE60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olor w:val="auto"/>
                <w:kern w:val="0"/>
                <w:sz w:val="13"/>
                <w:szCs w:val="13"/>
                <w:highlight w:val="none"/>
              </w:rPr>
            </w:pPr>
          </w:p>
        </w:tc>
        <w:tc>
          <w:tcPr>
            <w:tcW w:w="3437" w:type="dxa"/>
            <w:gridSpan w:val="2"/>
            <w:tcBorders>
              <w:tl2br w:val="nil"/>
              <w:tr2bl w:val="nil"/>
            </w:tcBorders>
            <w:vAlign w:val="center"/>
          </w:tcPr>
          <w:p w14:paraId="7BD9630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（2）违法所得在1万元以下的。</w:t>
            </w:r>
          </w:p>
        </w:tc>
        <w:tc>
          <w:tcPr>
            <w:tcW w:w="3058" w:type="dxa"/>
            <w:tcBorders>
              <w:tl2br w:val="nil"/>
              <w:tr2bl w:val="nil"/>
            </w:tcBorders>
            <w:vAlign w:val="center"/>
          </w:tcPr>
          <w:p w14:paraId="31FD36C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撤销其注册，3年内不得再次申请注册；处以违法所得1倍以下且不超过3万元的罚款。</w:t>
            </w:r>
          </w:p>
        </w:tc>
      </w:tr>
      <w:tr w14:paraId="3953709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78" w:hRule="atLeast"/>
          <w:jc w:val="center"/>
        </w:trPr>
        <w:tc>
          <w:tcPr>
            <w:tcW w:w="443" w:type="dxa"/>
            <w:gridSpan w:val="2"/>
            <w:vMerge w:val="continue"/>
            <w:tcBorders>
              <w:tl2br w:val="nil"/>
              <w:tr2bl w:val="nil"/>
            </w:tcBorders>
            <w:vAlign w:val="center"/>
          </w:tcPr>
          <w:p w14:paraId="126E334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1F193563">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2975AEF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vMerge w:val="restart"/>
            <w:tcBorders>
              <w:tl2br w:val="nil"/>
              <w:tr2bl w:val="nil"/>
            </w:tcBorders>
            <w:vAlign w:val="center"/>
          </w:tcPr>
          <w:p w14:paraId="5A5D716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从重情节</w:t>
            </w:r>
          </w:p>
        </w:tc>
        <w:tc>
          <w:tcPr>
            <w:tcW w:w="3437" w:type="dxa"/>
            <w:gridSpan w:val="2"/>
            <w:tcBorders>
              <w:tl2br w:val="nil"/>
              <w:tr2bl w:val="nil"/>
            </w:tcBorders>
            <w:vAlign w:val="center"/>
          </w:tcPr>
          <w:p w14:paraId="01A57C2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（1）没有违法所得，造成严重危害后果的。</w:t>
            </w:r>
          </w:p>
        </w:tc>
        <w:tc>
          <w:tcPr>
            <w:tcW w:w="3058" w:type="dxa"/>
            <w:tcBorders>
              <w:tl2br w:val="nil"/>
              <w:tr2bl w:val="nil"/>
            </w:tcBorders>
            <w:vAlign w:val="center"/>
          </w:tcPr>
          <w:p w14:paraId="3791C8F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撤销其注册，3年内不得再次申请注册；处7千元以上1万元以下的罚款。</w:t>
            </w:r>
          </w:p>
        </w:tc>
      </w:tr>
      <w:tr w14:paraId="5856F69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66" w:hRule="atLeast"/>
          <w:jc w:val="center"/>
        </w:trPr>
        <w:tc>
          <w:tcPr>
            <w:tcW w:w="443" w:type="dxa"/>
            <w:gridSpan w:val="2"/>
            <w:vMerge w:val="continue"/>
            <w:tcBorders>
              <w:tl2br w:val="nil"/>
              <w:tr2bl w:val="nil"/>
            </w:tcBorders>
            <w:vAlign w:val="center"/>
          </w:tcPr>
          <w:p w14:paraId="1A14EBA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54AED62D">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042F3EB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vMerge w:val="continue"/>
            <w:tcBorders>
              <w:tl2br w:val="nil"/>
              <w:tr2bl w:val="nil"/>
            </w:tcBorders>
            <w:vAlign w:val="center"/>
          </w:tcPr>
          <w:p w14:paraId="33AD280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olor w:val="auto"/>
                <w:kern w:val="0"/>
                <w:sz w:val="13"/>
                <w:szCs w:val="13"/>
                <w:highlight w:val="none"/>
              </w:rPr>
            </w:pPr>
          </w:p>
        </w:tc>
        <w:tc>
          <w:tcPr>
            <w:tcW w:w="3437" w:type="dxa"/>
            <w:gridSpan w:val="2"/>
            <w:tcBorders>
              <w:tl2br w:val="nil"/>
              <w:tr2bl w:val="nil"/>
            </w:tcBorders>
            <w:vAlign w:val="center"/>
          </w:tcPr>
          <w:p w14:paraId="688AFAB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（2）违法所得在1万元以上3万元以下的。</w:t>
            </w:r>
          </w:p>
        </w:tc>
        <w:tc>
          <w:tcPr>
            <w:tcW w:w="3058" w:type="dxa"/>
            <w:tcBorders>
              <w:tl2br w:val="nil"/>
              <w:tr2bl w:val="nil"/>
            </w:tcBorders>
            <w:vAlign w:val="center"/>
          </w:tcPr>
          <w:p w14:paraId="5740967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撤销其注册，3年内不得再次申请注册；处以违法所得1倍以上2倍以下且不超过3万元的罚款。</w:t>
            </w:r>
          </w:p>
        </w:tc>
      </w:tr>
      <w:tr w14:paraId="1AE84E4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01" w:hRule="atLeast"/>
          <w:jc w:val="center"/>
        </w:trPr>
        <w:tc>
          <w:tcPr>
            <w:tcW w:w="443" w:type="dxa"/>
            <w:gridSpan w:val="2"/>
            <w:vMerge w:val="continue"/>
            <w:tcBorders>
              <w:tl2br w:val="nil"/>
              <w:tr2bl w:val="nil"/>
            </w:tcBorders>
            <w:vAlign w:val="center"/>
          </w:tcPr>
          <w:p w14:paraId="4DDDD6B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4E45959F">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4AEAF16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vMerge w:val="continue"/>
            <w:tcBorders>
              <w:tl2br w:val="nil"/>
              <w:tr2bl w:val="nil"/>
            </w:tcBorders>
            <w:vAlign w:val="center"/>
          </w:tcPr>
          <w:p w14:paraId="11CA8C2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olor w:val="auto"/>
                <w:kern w:val="0"/>
                <w:sz w:val="13"/>
                <w:szCs w:val="13"/>
                <w:highlight w:val="none"/>
              </w:rPr>
            </w:pPr>
          </w:p>
        </w:tc>
        <w:tc>
          <w:tcPr>
            <w:tcW w:w="3437" w:type="dxa"/>
            <w:gridSpan w:val="2"/>
            <w:tcBorders>
              <w:tl2br w:val="nil"/>
              <w:tr2bl w:val="nil"/>
            </w:tcBorders>
            <w:vAlign w:val="center"/>
          </w:tcPr>
          <w:p w14:paraId="4BF3280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（3）违法所得在3万元以上的。</w:t>
            </w:r>
          </w:p>
        </w:tc>
        <w:tc>
          <w:tcPr>
            <w:tcW w:w="3058" w:type="dxa"/>
            <w:tcBorders>
              <w:tl2br w:val="nil"/>
              <w:tr2bl w:val="nil"/>
            </w:tcBorders>
            <w:vAlign w:val="center"/>
          </w:tcPr>
          <w:p w14:paraId="759A1BC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撤销其注册，3年内不得再次申请注册；处以违法所得2倍以上3倍以下且不超过3万元的罚款。</w:t>
            </w:r>
          </w:p>
        </w:tc>
      </w:tr>
      <w:tr w14:paraId="35765B5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0" w:hRule="atLeast"/>
          <w:jc w:val="center"/>
        </w:trPr>
        <w:tc>
          <w:tcPr>
            <w:tcW w:w="443" w:type="dxa"/>
            <w:gridSpan w:val="2"/>
            <w:vMerge w:val="restart"/>
            <w:tcBorders>
              <w:tl2br w:val="nil"/>
              <w:tr2bl w:val="nil"/>
            </w:tcBorders>
            <w:vAlign w:val="center"/>
          </w:tcPr>
          <w:p w14:paraId="14E0FDE5">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Times New Roman"/>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46</w:t>
            </w:r>
          </w:p>
        </w:tc>
        <w:tc>
          <w:tcPr>
            <w:tcW w:w="1550" w:type="dxa"/>
            <w:vMerge w:val="restart"/>
            <w:tcBorders>
              <w:tl2br w:val="nil"/>
              <w:tr2bl w:val="nil"/>
            </w:tcBorders>
            <w:vAlign w:val="center"/>
          </w:tcPr>
          <w:p w14:paraId="4454E21D">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未经注册，擅自以注册监理工程师的名义从事工程监理及相关业务活动</w:t>
            </w:r>
          </w:p>
        </w:tc>
        <w:tc>
          <w:tcPr>
            <w:tcW w:w="4820" w:type="dxa"/>
            <w:vMerge w:val="restart"/>
            <w:tcBorders>
              <w:tl2br w:val="nil"/>
              <w:tr2bl w:val="nil"/>
            </w:tcBorders>
            <w:vAlign w:val="center"/>
          </w:tcPr>
          <w:p w14:paraId="44F01EFB">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《注册监理工程师管理规定》</w:t>
            </w:r>
            <w:r>
              <w:rPr>
                <w:rFonts w:hint="eastAsia" w:ascii="仿宋_GB2312" w:hAnsi="宋体" w:eastAsia="仿宋_GB2312"/>
                <w:b/>
                <w:bCs/>
                <w:color w:val="auto"/>
                <w:kern w:val="0"/>
                <w:sz w:val="13"/>
                <w:szCs w:val="13"/>
                <w:highlight w:val="none"/>
              </w:rPr>
              <w:t>第二十九条</w:t>
            </w:r>
            <w:r>
              <w:rPr>
                <w:rFonts w:hint="eastAsia" w:ascii="仿宋_GB2312" w:hAnsi="宋体" w:eastAsia="仿宋_GB2312"/>
                <w:b/>
                <w:bCs/>
                <w:color w:val="auto"/>
                <w:kern w:val="0"/>
                <w:sz w:val="13"/>
                <w:szCs w:val="13"/>
                <w:highlight w:val="none"/>
                <w:lang w:eastAsia="zh-CN"/>
              </w:rPr>
              <w:t>：</w:t>
            </w:r>
            <w:r>
              <w:rPr>
                <w:rFonts w:hint="eastAsia" w:ascii="仿宋_GB2312" w:hAnsi="宋体" w:eastAsia="仿宋_GB2312"/>
                <w:color w:val="auto"/>
                <w:kern w:val="0"/>
                <w:sz w:val="13"/>
                <w:szCs w:val="13"/>
                <w:highlight w:val="none"/>
              </w:rPr>
              <w:t>违反本规定，未经注册，擅自以注册监理工程师的名义从事工程监理及相关业务活动的，由县级以上地方人民政府建设主管部门给予警告，责令停止违法行为，处以3万元以下的罚款；造成损失的，依法承担赔偿责任。</w:t>
            </w:r>
          </w:p>
        </w:tc>
        <w:tc>
          <w:tcPr>
            <w:tcW w:w="823" w:type="dxa"/>
            <w:tcBorders>
              <w:tl2br w:val="nil"/>
              <w:tr2bl w:val="nil"/>
            </w:tcBorders>
            <w:vAlign w:val="center"/>
          </w:tcPr>
          <w:p w14:paraId="4CD3A65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vAlign w:val="center"/>
          </w:tcPr>
          <w:p w14:paraId="3CC8304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初次违法，危害后果不重，主动消除或减轻违法行为危害后果的。</w:t>
            </w:r>
          </w:p>
        </w:tc>
        <w:tc>
          <w:tcPr>
            <w:tcW w:w="3058" w:type="dxa"/>
            <w:tcBorders>
              <w:tl2br w:val="nil"/>
              <w:tr2bl w:val="nil"/>
            </w:tcBorders>
            <w:vAlign w:val="center"/>
          </w:tcPr>
          <w:p w14:paraId="438C3EC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给予警告，责令停止违法行为，处以1万元以下的罚款。</w:t>
            </w:r>
          </w:p>
        </w:tc>
      </w:tr>
      <w:tr w14:paraId="6B62299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0" w:hRule="atLeast"/>
          <w:jc w:val="center"/>
        </w:trPr>
        <w:tc>
          <w:tcPr>
            <w:tcW w:w="443" w:type="dxa"/>
            <w:gridSpan w:val="2"/>
            <w:vMerge w:val="continue"/>
            <w:tcBorders>
              <w:tl2br w:val="nil"/>
              <w:tr2bl w:val="nil"/>
            </w:tcBorders>
            <w:vAlign w:val="center"/>
          </w:tcPr>
          <w:p w14:paraId="01D97AD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4D721EE8">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5FE8BF2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tcBorders>
              <w:tl2br w:val="nil"/>
              <w:tr2bl w:val="nil"/>
            </w:tcBorders>
            <w:vAlign w:val="center"/>
          </w:tcPr>
          <w:p w14:paraId="3796ECC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一般情节</w:t>
            </w:r>
          </w:p>
        </w:tc>
        <w:tc>
          <w:tcPr>
            <w:tcW w:w="3437" w:type="dxa"/>
            <w:gridSpan w:val="2"/>
            <w:tcBorders>
              <w:tl2br w:val="nil"/>
              <w:tr2bl w:val="nil"/>
            </w:tcBorders>
            <w:vAlign w:val="center"/>
          </w:tcPr>
          <w:p w14:paraId="51877AA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不具有从轻、</w:t>
            </w:r>
            <w:r>
              <w:rPr>
                <w:rFonts w:hint="eastAsia" w:ascii="仿宋_GB2312" w:hAnsi="宋体" w:eastAsia="仿宋_GB2312"/>
                <w:color w:val="auto"/>
                <w:kern w:val="0"/>
                <w:sz w:val="13"/>
                <w:szCs w:val="13"/>
                <w:highlight w:val="none"/>
                <w:lang w:eastAsia="zh-CN"/>
              </w:rPr>
              <w:t>从重情节</w:t>
            </w:r>
            <w:r>
              <w:rPr>
                <w:rFonts w:hint="eastAsia" w:ascii="仿宋_GB2312" w:hAnsi="宋体" w:eastAsia="仿宋_GB2312"/>
                <w:color w:val="auto"/>
                <w:kern w:val="0"/>
                <w:sz w:val="13"/>
                <w:szCs w:val="13"/>
                <w:highlight w:val="none"/>
              </w:rPr>
              <w:t>的。</w:t>
            </w:r>
          </w:p>
        </w:tc>
        <w:tc>
          <w:tcPr>
            <w:tcW w:w="3058" w:type="dxa"/>
            <w:tcBorders>
              <w:tl2br w:val="nil"/>
              <w:tr2bl w:val="nil"/>
            </w:tcBorders>
            <w:vAlign w:val="center"/>
          </w:tcPr>
          <w:p w14:paraId="417929D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给予警告，责令停止违法行为，处以1万元以上2万元以下的罚款。</w:t>
            </w:r>
          </w:p>
        </w:tc>
      </w:tr>
      <w:tr w14:paraId="09E0628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472" w:hRule="atLeast"/>
          <w:jc w:val="center"/>
        </w:trPr>
        <w:tc>
          <w:tcPr>
            <w:tcW w:w="443" w:type="dxa"/>
            <w:gridSpan w:val="2"/>
            <w:vMerge w:val="continue"/>
            <w:tcBorders>
              <w:tl2br w:val="nil"/>
              <w:tr2bl w:val="nil"/>
            </w:tcBorders>
            <w:vAlign w:val="center"/>
          </w:tcPr>
          <w:p w14:paraId="17F85AC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006FAF6D">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5821B02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tcBorders>
              <w:tl2br w:val="nil"/>
              <w:tr2bl w:val="nil"/>
            </w:tcBorders>
            <w:vAlign w:val="center"/>
          </w:tcPr>
          <w:p w14:paraId="64350A2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从重情节</w:t>
            </w:r>
          </w:p>
        </w:tc>
        <w:tc>
          <w:tcPr>
            <w:tcW w:w="3437" w:type="dxa"/>
            <w:gridSpan w:val="2"/>
            <w:tcBorders>
              <w:tl2br w:val="nil"/>
              <w:tr2bl w:val="nil"/>
            </w:tcBorders>
            <w:vAlign w:val="center"/>
          </w:tcPr>
          <w:p w14:paraId="09CEF11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lang w:val="en-US" w:eastAsia="zh-CN"/>
              </w:rPr>
              <w:t>有下列情形之一的：</w:t>
            </w:r>
            <w:r>
              <w:rPr>
                <w:rFonts w:hint="eastAsia" w:ascii="仿宋_GB2312" w:hAnsi="宋体" w:eastAsia="仿宋_GB2312"/>
                <w:color w:val="auto"/>
                <w:kern w:val="0"/>
                <w:sz w:val="13"/>
                <w:szCs w:val="13"/>
                <w:highlight w:val="none"/>
              </w:rPr>
              <w:t>（1）责令改正，拒不改正的；</w:t>
            </w:r>
          </w:p>
          <w:p w14:paraId="16005F0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（2）曾因该违法行为被依法查处，再次实施该违法行为的；</w:t>
            </w:r>
          </w:p>
          <w:p w14:paraId="185C8BA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（3）严重扰乱工程监理市场秩序的；</w:t>
            </w:r>
          </w:p>
          <w:p w14:paraId="7EC4C90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（4）其他依法应予从重处罚的情形。</w:t>
            </w:r>
          </w:p>
        </w:tc>
        <w:tc>
          <w:tcPr>
            <w:tcW w:w="3058" w:type="dxa"/>
            <w:tcBorders>
              <w:tl2br w:val="nil"/>
              <w:tr2bl w:val="nil"/>
            </w:tcBorders>
            <w:vAlign w:val="center"/>
          </w:tcPr>
          <w:p w14:paraId="62EADFD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给予警告，责令停止违法行为，处以2万元以上3万元以下的罚款。</w:t>
            </w:r>
          </w:p>
        </w:tc>
      </w:tr>
      <w:tr w14:paraId="646F51B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0" w:hRule="atLeast"/>
          <w:jc w:val="center"/>
        </w:trPr>
        <w:tc>
          <w:tcPr>
            <w:tcW w:w="443" w:type="dxa"/>
            <w:gridSpan w:val="2"/>
            <w:vMerge w:val="restart"/>
            <w:tcBorders>
              <w:tl2br w:val="nil"/>
              <w:tr2bl w:val="nil"/>
            </w:tcBorders>
            <w:vAlign w:val="center"/>
          </w:tcPr>
          <w:p w14:paraId="5AD1F291">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color w:val="auto"/>
                <w:sz w:val="13"/>
                <w:szCs w:val="13"/>
                <w:highlight w:val="none"/>
              </w:rPr>
            </w:pPr>
            <w:r>
              <w:rPr>
                <w:rFonts w:hint="default" w:ascii="仿宋_GB2312" w:hAnsi="宋体" w:eastAsia="仿宋_GB2312" w:cs="仿宋_GB2312"/>
                <w:i w:val="0"/>
                <w:color w:val="auto"/>
                <w:kern w:val="0"/>
                <w:sz w:val="13"/>
                <w:szCs w:val="13"/>
                <w:highlight w:val="none"/>
                <w:u w:val="none"/>
                <w:lang w:val="en-US" w:eastAsia="zh-CN" w:bidi="ar"/>
              </w:rPr>
              <w:t>4</w:t>
            </w:r>
            <w:r>
              <w:rPr>
                <w:rFonts w:hint="eastAsia" w:ascii="仿宋_GB2312" w:hAnsi="宋体" w:eastAsia="仿宋_GB2312" w:cs="仿宋_GB2312"/>
                <w:i w:val="0"/>
                <w:color w:val="auto"/>
                <w:kern w:val="0"/>
                <w:sz w:val="13"/>
                <w:szCs w:val="13"/>
                <w:highlight w:val="none"/>
                <w:u w:val="none"/>
                <w:lang w:val="en-US" w:eastAsia="zh-CN" w:bidi="ar"/>
              </w:rPr>
              <w:t>7</w:t>
            </w:r>
          </w:p>
        </w:tc>
        <w:tc>
          <w:tcPr>
            <w:tcW w:w="1550" w:type="dxa"/>
            <w:vMerge w:val="restart"/>
            <w:tcBorders>
              <w:tl2br w:val="nil"/>
              <w:tr2bl w:val="nil"/>
            </w:tcBorders>
            <w:vAlign w:val="center"/>
          </w:tcPr>
          <w:p w14:paraId="2AA10878">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注册监理工程师未办理变更注册仍执业</w:t>
            </w:r>
          </w:p>
        </w:tc>
        <w:tc>
          <w:tcPr>
            <w:tcW w:w="4820" w:type="dxa"/>
            <w:vMerge w:val="restart"/>
            <w:tcBorders>
              <w:tl2br w:val="nil"/>
              <w:tr2bl w:val="nil"/>
            </w:tcBorders>
            <w:vAlign w:val="center"/>
          </w:tcPr>
          <w:p w14:paraId="50E9FBEC">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ascii="仿宋_GB2312" w:eastAsia="仿宋_GB2312"/>
                <w:color w:val="auto"/>
                <w:sz w:val="13"/>
                <w:szCs w:val="13"/>
                <w:highlight w:val="none"/>
              </w:rPr>
            </w:pPr>
            <w:r>
              <w:rPr>
                <w:rFonts w:hint="eastAsia" w:ascii="仿宋_GB2312" w:eastAsia="仿宋_GB2312"/>
                <w:color w:val="auto"/>
                <w:sz w:val="13"/>
                <w:szCs w:val="13"/>
                <w:highlight w:val="none"/>
              </w:rPr>
              <w:t>《</w:t>
            </w:r>
            <w:r>
              <w:rPr>
                <w:rFonts w:hint="eastAsia" w:ascii="仿宋_GB2312" w:hAnsi="宋体" w:eastAsia="仿宋_GB2312"/>
                <w:color w:val="auto"/>
                <w:kern w:val="0"/>
                <w:sz w:val="13"/>
                <w:szCs w:val="13"/>
                <w:highlight w:val="none"/>
              </w:rPr>
              <w:t>注册监理工程师管理规定》</w:t>
            </w:r>
            <w:r>
              <w:rPr>
                <w:rFonts w:hint="eastAsia" w:ascii="仿宋_GB2312" w:hAnsi="宋体" w:eastAsia="仿宋_GB2312"/>
                <w:b/>
                <w:bCs/>
                <w:color w:val="auto"/>
                <w:kern w:val="0"/>
                <w:sz w:val="13"/>
                <w:szCs w:val="13"/>
                <w:highlight w:val="none"/>
              </w:rPr>
              <w:t>第三十条</w:t>
            </w:r>
            <w:r>
              <w:rPr>
                <w:rFonts w:hint="eastAsia" w:ascii="仿宋_GB2312" w:hAnsi="宋体" w:eastAsia="仿宋_GB2312"/>
                <w:b/>
                <w:bCs/>
                <w:color w:val="auto"/>
                <w:kern w:val="0"/>
                <w:sz w:val="13"/>
                <w:szCs w:val="13"/>
                <w:highlight w:val="none"/>
                <w:lang w:eastAsia="zh-CN"/>
              </w:rPr>
              <w:t>：</w:t>
            </w:r>
            <w:r>
              <w:rPr>
                <w:rFonts w:hint="eastAsia" w:ascii="仿宋_GB2312" w:hAnsi="宋体" w:eastAsia="仿宋_GB2312"/>
                <w:color w:val="auto"/>
                <w:kern w:val="0"/>
                <w:sz w:val="13"/>
                <w:szCs w:val="13"/>
                <w:highlight w:val="none"/>
              </w:rPr>
              <w:t>违反本规定，未办理变更注册仍执业的，由县级以上地方人民政府建设主管部门给予警告，责令限期改正，逾期不改的，可处以5000元以下的罚款。</w:t>
            </w:r>
          </w:p>
        </w:tc>
        <w:tc>
          <w:tcPr>
            <w:tcW w:w="823" w:type="dxa"/>
            <w:tcBorders>
              <w:tl2br w:val="nil"/>
              <w:tr2bl w:val="nil"/>
            </w:tcBorders>
            <w:vAlign w:val="center"/>
          </w:tcPr>
          <w:p w14:paraId="7F2EBEA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vAlign w:val="center"/>
          </w:tcPr>
          <w:p w14:paraId="454FC62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初次违法，危害后果不重，主动消除或减轻违法行为危害后果的。</w:t>
            </w:r>
          </w:p>
        </w:tc>
        <w:tc>
          <w:tcPr>
            <w:tcW w:w="3058" w:type="dxa"/>
            <w:tcBorders>
              <w:tl2br w:val="nil"/>
              <w:tr2bl w:val="nil"/>
            </w:tcBorders>
            <w:vAlign w:val="center"/>
          </w:tcPr>
          <w:p w14:paraId="44C147B9">
            <w:pPr>
              <w:pStyle w:val="19"/>
              <w:keepNext w:val="0"/>
              <w:keepLines w:val="0"/>
              <w:pageBreakBefore w:val="0"/>
              <w:kinsoku/>
              <w:overflowPunct/>
              <w:topLinePunct w:val="0"/>
              <w:autoSpaceDE/>
              <w:autoSpaceDN/>
              <w:bidi w:val="0"/>
              <w:adjustRightInd/>
              <w:snapToGrid/>
              <w:spacing w:before="0" w:beforeAutospacing="0" w:after="0" w:afterAutospacing="0" w:line="260" w:lineRule="exact"/>
              <w:ind w:left="0" w:leftChars="0" w:right="0" w:rightChars="0" w:firstLine="130" w:firstLineChars="100"/>
              <w:rPr>
                <w:rFonts w:ascii="仿宋_GB2312" w:eastAsia="仿宋_GB2312" w:cstheme="minorBidi"/>
                <w:color w:val="auto"/>
                <w:sz w:val="13"/>
                <w:szCs w:val="13"/>
                <w:highlight w:val="none"/>
              </w:rPr>
            </w:pPr>
            <w:r>
              <w:rPr>
                <w:rFonts w:hint="eastAsia" w:ascii="仿宋_GB2312" w:eastAsia="仿宋_GB2312" w:cstheme="minorBidi"/>
                <w:color w:val="auto"/>
                <w:sz w:val="13"/>
                <w:szCs w:val="13"/>
                <w:highlight w:val="none"/>
              </w:rPr>
              <w:t>给予警告，责令限期改正，可处1500元以下的罚款。</w:t>
            </w:r>
          </w:p>
        </w:tc>
      </w:tr>
      <w:tr w14:paraId="675A27D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94" w:hRule="atLeast"/>
          <w:jc w:val="center"/>
        </w:trPr>
        <w:tc>
          <w:tcPr>
            <w:tcW w:w="443" w:type="dxa"/>
            <w:gridSpan w:val="2"/>
            <w:vMerge w:val="continue"/>
            <w:tcBorders>
              <w:tl2br w:val="nil"/>
              <w:tr2bl w:val="nil"/>
            </w:tcBorders>
            <w:vAlign w:val="center"/>
          </w:tcPr>
          <w:p w14:paraId="3B8CEAE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28CE244A">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7A3EC21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tcBorders>
              <w:tl2br w:val="nil"/>
              <w:tr2bl w:val="nil"/>
            </w:tcBorders>
            <w:vAlign w:val="center"/>
          </w:tcPr>
          <w:p w14:paraId="050EF3B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一般情节</w:t>
            </w:r>
          </w:p>
        </w:tc>
        <w:tc>
          <w:tcPr>
            <w:tcW w:w="3437" w:type="dxa"/>
            <w:gridSpan w:val="2"/>
            <w:tcBorders>
              <w:tl2br w:val="nil"/>
              <w:tr2bl w:val="nil"/>
            </w:tcBorders>
            <w:vAlign w:val="center"/>
          </w:tcPr>
          <w:p w14:paraId="69E6D89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不具有从轻、</w:t>
            </w:r>
            <w:r>
              <w:rPr>
                <w:rFonts w:hint="eastAsia" w:ascii="仿宋_GB2312" w:hAnsi="宋体" w:eastAsia="仿宋_GB2312"/>
                <w:color w:val="auto"/>
                <w:kern w:val="0"/>
                <w:sz w:val="13"/>
                <w:szCs w:val="13"/>
                <w:highlight w:val="none"/>
                <w:lang w:eastAsia="zh-CN"/>
              </w:rPr>
              <w:t>从重情节</w:t>
            </w:r>
            <w:r>
              <w:rPr>
                <w:rFonts w:hint="eastAsia" w:ascii="仿宋_GB2312" w:hAnsi="宋体" w:eastAsia="仿宋_GB2312"/>
                <w:color w:val="auto"/>
                <w:kern w:val="0"/>
                <w:sz w:val="13"/>
                <w:szCs w:val="13"/>
                <w:highlight w:val="none"/>
              </w:rPr>
              <w:t>的。</w:t>
            </w:r>
          </w:p>
        </w:tc>
        <w:tc>
          <w:tcPr>
            <w:tcW w:w="3058" w:type="dxa"/>
            <w:tcBorders>
              <w:tl2br w:val="nil"/>
              <w:tr2bl w:val="nil"/>
            </w:tcBorders>
            <w:vAlign w:val="center"/>
          </w:tcPr>
          <w:p w14:paraId="7CD5F61E">
            <w:pPr>
              <w:pStyle w:val="19"/>
              <w:keepNext w:val="0"/>
              <w:keepLines w:val="0"/>
              <w:pageBreakBefore w:val="0"/>
              <w:kinsoku/>
              <w:overflowPunct/>
              <w:topLinePunct w:val="0"/>
              <w:autoSpaceDE/>
              <w:autoSpaceDN/>
              <w:bidi w:val="0"/>
              <w:adjustRightInd/>
              <w:snapToGrid/>
              <w:spacing w:before="0" w:beforeAutospacing="0" w:after="0" w:afterAutospacing="0" w:line="260" w:lineRule="exact"/>
              <w:ind w:left="0" w:leftChars="0" w:right="0" w:rightChars="0" w:firstLine="130" w:firstLineChars="100"/>
              <w:rPr>
                <w:rFonts w:ascii="仿宋_GB2312" w:eastAsia="仿宋_GB2312" w:cstheme="minorBidi"/>
                <w:color w:val="auto"/>
                <w:sz w:val="13"/>
                <w:szCs w:val="13"/>
                <w:highlight w:val="none"/>
              </w:rPr>
            </w:pPr>
            <w:r>
              <w:rPr>
                <w:rFonts w:hint="eastAsia" w:ascii="仿宋_GB2312" w:eastAsia="仿宋_GB2312" w:cstheme="minorBidi"/>
                <w:color w:val="auto"/>
                <w:sz w:val="13"/>
                <w:szCs w:val="13"/>
                <w:highlight w:val="none"/>
              </w:rPr>
              <w:t>给予警告，责令限期改正，可处1500元以上3500元以下的罚款。</w:t>
            </w:r>
          </w:p>
        </w:tc>
      </w:tr>
      <w:tr w14:paraId="570855F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472" w:hRule="atLeast"/>
          <w:jc w:val="center"/>
        </w:trPr>
        <w:tc>
          <w:tcPr>
            <w:tcW w:w="443" w:type="dxa"/>
            <w:gridSpan w:val="2"/>
            <w:vMerge w:val="continue"/>
            <w:tcBorders>
              <w:tl2br w:val="nil"/>
              <w:tr2bl w:val="nil"/>
            </w:tcBorders>
            <w:vAlign w:val="center"/>
          </w:tcPr>
          <w:p w14:paraId="11EDACA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0A2BAE92">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p>
        </w:tc>
        <w:tc>
          <w:tcPr>
            <w:tcW w:w="4820" w:type="dxa"/>
            <w:vMerge w:val="continue"/>
            <w:tcBorders>
              <w:tl2br w:val="nil"/>
              <w:tr2bl w:val="nil"/>
            </w:tcBorders>
            <w:vAlign w:val="top"/>
          </w:tcPr>
          <w:p w14:paraId="3B2BE69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tcBorders>
              <w:tl2br w:val="nil"/>
              <w:tr2bl w:val="nil"/>
            </w:tcBorders>
            <w:vAlign w:val="center"/>
          </w:tcPr>
          <w:p w14:paraId="6B2FC88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从重情节</w:t>
            </w:r>
          </w:p>
        </w:tc>
        <w:tc>
          <w:tcPr>
            <w:tcW w:w="3437" w:type="dxa"/>
            <w:gridSpan w:val="2"/>
            <w:tcBorders>
              <w:tl2br w:val="nil"/>
              <w:tr2bl w:val="nil"/>
            </w:tcBorders>
            <w:vAlign w:val="center"/>
          </w:tcPr>
          <w:p w14:paraId="7B585CB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lang w:val="en-US" w:eastAsia="zh-CN"/>
              </w:rPr>
              <w:t>有下列情形之一的：</w:t>
            </w:r>
            <w:r>
              <w:rPr>
                <w:rFonts w:hint="eastAsia" w:ascii="仿宋_GB2312" w:hAnsi="宋体" w:eastAsia="仿宋_GB2312"/>
                <w:color w:val="auto"/>
                <w:kern w:val="0"/>
                <w:sz w:val="13"/>
                <w:szCs w:val="13"/>
                <w:highlight w:val="none"/>
              </w:rPr>
              <w:t>（1）责令改正，拒不改正的；</w:t>
            </w:r>
          </w:p>
          <w:p w14:paraId="5D857DC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（2）曾因该违法行为被依法查处，再次实施该违法行为的；</w:t>
            </w:r>
          </w:p>
          <w:p w14:paraId="7311A18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（3）严重扰乱工程监理市场秩序的；</w:t>
            </w:r>
          </w:p>
          <w:p w14:paraId="4698C64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（4）其他依法应予从重处罚的情形。</w:t>
            </w:r>
          </w:p>
        </w:tc>
        <w:tc>
          <w:tcPr>
            <w:tcW w:w="3058" w:type="dxa"/>
            <w:tcBorders>
              <w:tl2br w:val="nil"/>
              <w:tr2bl w:val="nil"/>
            </w:tcBorders>
            <w:vAlign w:val="center"/>
          </w:tcPr>
          <w:p w14:paraId="63083972">
            <w:pPr>
              <w:pStyle w:val="19"/>
              <w:keepNext w:val="0"/>
              <w:keepLines w:val="0"/>
              <w:pageBreakBefore w:val="0"/>
              <w:kinsoku/>
              <w:overflowPunct/>
              <w:topLinePunct w:val="0"/>
              <w:autoSpaceDE/>
              <w:autoSpaceDN/>
              <w:bidi w:val="0"/>
              <w:adjustRightInd/>
              <w:snapToGrid/>
              <w:spacing w:before="0" w:beforeAutospacing="0" w:after="0" w:afterAutospacing="0" w:line="260" w:lineRule="exact"/>
              <w:ind w:left="0" w:leftChars="0" w:right="0" w:rightChars="0" w:firstLine="130" w:firstLineChars="100"/>
              <w:rPr>
                <w:rFonts w:ascii="仿宋_GB2312" w:eastAsia="仿宋_GB2312" w:cstheme="minorBidi"/>
                <w:color w:val="auto"/>
                <w:sz w:val="13"/>
                <w:szCs w:val="13"/>
                <w:highlight w:val="none"/>
              </w:rPr>
            </w:pPr>
            <w:r>
              <w:rPr>
                <w:rFonts w:hint="eastAsia" w:ascii="仿宋_GB2312" w:eastAsia="仿宋_GB2312" w:cstheme="minorBidi"/>
                <w:color w:val="auto"/>
                <w:sz w:val="13"/>
                <w:szCs w:val="13"/>
                <w:highlight w:val="none"/>
              </w:rPr>
              <w:t>给予警告，责令限期改正，可处3500元以上5000元以下的罚款。</w:t>
            </w:r>
          </w:p>
        </w:tc>
      </w:tr>
      <w:tr w14:paraId="4FEF5B0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508" w:hRule="atLeast"/>
          <w:jc w:val="center"/>
        </w:trPr>
        <w:tc>
          <w:tcPr>
            <w:tcW w:w="443" w:type="dxa"/>
            <w:gridSpan w:val="2"/>
            <w:vMerge w:val="restart"/>
            <w:tcBorders>
              <w:tl2br w:val="nil"/>
              <w:tr2bl w:val="nil"/>
            </w:tcBorders>
            <w:vAlign w:val="center"/>
          </w:tcPr>
          <w:p w14:paraId="38DADF7E">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Times New Roman"/>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48</w:t>
            </w:r>
          </w:p>
        </w:tc>
        <w:tc>
          <w:tcPr>
            <w:tcW w:w="1550" w:type="dxa"/>
            <w:vMerge w:val="restart"/>
            <w:tcBorders>
              <w:tl2br w:val="nil"/>
              <w:tr2bl w:val="nil"/>
            </w:tcBorders>
            <w:vAlign w:val="center"/>
          </w:tcPr>
          <w:p w14:paraId="662AF0EE">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以个人名义承接业务的；涂改、倒卖、出租、出借或者以其他形式非法转让注册证书或者执业印章的</w:t>
            </w:r>
            <w:r>
              <w:rPr>
                <w:rFonts w:hint="eastAsia" w:ascii="仿宋_GB2312" w:hAnsi="宋体" w:eastAsia="仿宋_GB2312"/>
                <w:color w:val="auto"/>
                <w:kern w:val="0"/>
                <w:sz w:val="13"/>
                <w:szCs w:val="13"/>
                <w:highlight w:val="none"/>
                <w:lang w:eastAsia="zh-CN"/>
              </w:rPr>
              <w:t>；</w:t>
            </w:r>
            <w:r>
              <w:rPr>
                <w:rFonts w:hint="eastAsia" w:ascii="仿宋_GB2312" w:hAnsi="宋体" w:eastAsia="仿宋_GB2312"/>
                <w:color w:val="auto"/>
                <w:kern w:val="0"/>
                <w:sz w:val="13"/>
                <w:szCs w:val="13"/>
                <w:highlight w:val="none"/>
              </w:rPr>
              <w:t>泄露执业中应当保守的秘密并造成严重后果的；超出规定执业范围或者聘用单位业务范围从事执业活动的；弄虚作假提供执业活动成果的；同时受聘于两个或者两个以上的单位，从事执业活动的；其它违反法律、法规、规章的行为。</w:t>
            </w:r>
          </w:p>
        </w:tc>
        <w:tc>
          <w:tcPr>
            <w:tcW w:w="4820" w:type="dxa"/>
            <w:vMerge w:val="restart"/>
            <w:tcBorders>
              <w:tl2br w:val="nil"/>
              <w:tr2bl w:val="nil"/>
            </w:tcBorders>
            <w:vAlign w:val="center"/>
          </w:tcPr>
          <w:p w14:paraId="7FEC3965">
            <w:pPr>
              <w:keepNext w:val="0"/>
              <w:keepLines w:val="0"/>
              <w:pageBreakBefore w:val="0"/>
              <w:kinsoku/>
              <w:overflowPunct/>
              <w:topLinePunct w:val="0"/>
              <w:autoSpaceDE/>
              <w:autoSpaceDN/>
              <w:bidi w:val="0"/>
              <w:adjustRightInd/>
              <w:snapToGrid/>
              <w:spacing w:beforeAutospacing="0" w:afterAutospacing="0" w:line="260" w:lineRule="exact"/>
              <w:ind w:left="65" w:leftChars="0" w:right="0" w:rightChars="0" w:hanging="65" w:hangingChars="50"/>
              <w:jc w:val="left"/>
              <w:rPr>
                <w:rFonts w:hint="eastAsia" w:ascii="仿宋_GB2312" w:hAnsi="宋体" w:eastAsia="仿宋_GB2312"/>
                <w:color w:val="auto"/>
                <w:kern w:val="0"/>
                <w:sz w:val="13"/>
                <w:szCs w:val="13"/>
                <w:highlight w:val="none"/>
                <w:lang w:eastAsia="zh-CN"/>
              </w:rPr>
            </w:pPr>
            <w:r>
              <w:rPr>
                <w:rFonts w:hint="eastAsia" w:ascii="仿宋_GB2312" w:eastAsia="仿宋_GB2312"/>
                <w:color w:val="auto"/>
                <w:sz w:val="13"/>
                <w:szCs w:val="13"/>
                <w:highlight w:val="none"/>
              </w:rPr>
              <w:t>《注册监理工程师管理规定》</w:t>
            </w:r>
            <w:r>
              <w:rPr>
                <w:rFonts w:hint="eastAsia" w:ascii="仿宋_GB2312" w:eastAsia="仿宋_GB2312"/>
                <w:b/>
                <w:bCs/>
                <w:color w:val="auto"/>
                <w:sz w:val="13"/>
                <w:szCs w:val="13"/>
                <w:highlight w:val="none"/>
              </w:rPr>
              <w:t>第三十一条</w:t>
            </w:r>
            <w:r>
              <w:rPr>
                <w:rFonts w:hint="eastAsia" w:ascii="仿宋_GB2312" w:eastAsia="仿宋_GB2312"/>
                <w:b/>
                <w:bCs/>
                <w:color w:val="auto"/>
                <w:sz w:val="13"/>
                <w:szCs w:val="13"/>
                <w:highlight w:val="none"/>
                <w:lang w:eastAsia="zh-CN"/>
              </w:rPr>
              <w:t>：</w:t>
            </w:r>
            <w:r>
              <w:rPr>
                <w:rFonts w:hint="eastAsia" w:ascii="仿宋_GB2312" w:hAnsi="宋体" w:eastAsia="仿宋_GB2312"/>
                <w:color w:val="auto"/>
                <w:kern w:val="0"/>
                <w:sz w:val="13"/>
                <w:szCs w:val="13"/>
                <w:highlight w:val="none"/>
              </w:rPr>
              <w:t>注册监理工程师在执业活动中有下列行为之一的，由县级以上地方人民政府建设主管部门给予警告，责令其改正，没有违法所得的，处以1万元以下罚款，有违法所得的，处以违法所得3倍以下且不超过3万元的罚款；造成损失的，依法承担赔偿责任；构成犯罪的，依法追究刑事责任：</w:t>
            </w:r>
          </w:p>
          <w:p w14:paraId="2B6C5CEB">
            <w:pPr>
              <w:keepNext w:val="0"/>
              <w:keepLines w:val="0"/>
              <w:pageBreakBefore w:val="0"/>
              <w:tabs>
                <w:tab w:val="left" w:pos="145"/>
                <w:tab w:val="left" w:pos="286"/>
              </w:tabs>
              <w:kinsoku/>
              <w:overflowPunct/>
              <w:topLinePunct w:val="0"/>
              <w:autoSpaceDE/>
              <w:autoSpaceDN/>
              <w:bidi w:val="0"/>
              <w:adjustRightInd/>
              <w:snapToGrid/>
              <w:spacing w:beforeAutospacing="0" w:afterAutospacing="0" w:line="260" w:lineRule="exact"/>
              <w:ind w:left="0" w:leftChars="0" w:right="0" w:rightChars="0"/>
              <w:jc w:val="left"/>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rPr>
              <w:t>　（一）以个人名义承接业务的；</w:t>
            </w:r>
          </w:p>
          <w:p w14:paraId="4F9B571E">
            <w:pPr>
              <w:keepNext w:val="0"/>
              <w:keepLines w:val="0"/>
              <w:pageBreakBefore w:val="0"/>
              <w:tabs>
                <w:tab w:val="left" w:pos="145"/>
                <w:tab w:val="left" w:pos="286"/>
              </w:tabs>
              <w:kinsoku/>
              <w:overflowPunct/>
              <w:topLinePunct w:val="0"/>
              <w:autoSpaceDE/>
              <w:autoSpaceDN/>
              <w:bidi w:val="0"/>
              <w:adjustRightInd/>
              <w:snapToGrid/>
              <w:spacing w:beforeAutospacing="0" w:afterAutospacing="0" w:line="260" w:lineRule="exact"/>
              <w:ind w:left="0" w:leftChars="0" w:right="0" w:rightChars="0"/>
              <w:jc w:val="left"/>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rPr>
              <w:t>　（二）涂改、倒卖、出租、出借或者以其他形式非法转让注册证书或者执业印章的；</w:t>
            </w:r>
          </w:p>
          <w:p w14:paraId="22EAA604">
            <w:pPr>
              <w:keepNext w:val="0"/>
              <w:keepLines w:val="0"/>
              <w:pageBreakBefore w:val="0"/>
              <w:tabs>
                <w:tab w:val="left" w:pos="145"/>
                <w:tab w:val="left" w:pos="286"/>
              </w:tabs>
              <w:kinsoku/>
              <w:overflowPunct/>
              <w:topLinePunct w:val="0"/>
              <w:autoSpaceDE/>
              <w:autoSpaceDN/>
              <w:bidi w:val="0"/>
              <w:adjustRightInd/>
              <w:snapToGrid/>
              <w:spacing w:beforeAutospacing="0" w:afterAutospacing="0" w:line="260" w:lineRule="exact"/>
              <w:ind w:left="0" w:leftChars="0" w:right="0" w:rightChars="0"/>
              <w:jc w:val="left"/>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rPr>
              <w:t>　（三）泄露执业中应当保守的秘密并造成严重后果的；</w:t>
            </w:r>
          </w:p>
          <w:p w14:paraId="0BEF2F42">
            <w:pPr>
              <w:keepNext w:val="0"/>
              <w:keepLines w:val="0"/>
              <w:pageBreakBefore w:val="0"/>
              <w:tabs>
                <w:tab w:val="left" w:pos="145"/>
                <w:tab w:val="left" w:pos="286"/>
              </w:tabs>
              <w:kinsoku/>
              <w:overflowPunct/>
              <w:topLinePunct w:val="0"/>
              <w:autoSpaceDE/>
              <w:autoSpaceDN/>
              <w:bidi w:val="0"/>
              <w:adjustRightInd/>
              <w:snapToGrid/>
              <w:spacing w:beforeAutospacing="0" w:afterAutospacing="0" w:line="260" w:lineRule="exact"/>
              <w:ind w:left="0" w:leftChars="0" w:right="0" w:rightChars="0"/>
              <w:jc w:val="left"/>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rPr>
              <w:t>　（四）超出规定执业范围或者聘用单位业务范围从事执业活动的；</w:t>
            </w:r>
          </w:p>
          <w:p w14:paraId="15655ACE">
            <w:pPr>
              <w:keepNext w:val="0"/>
              <w:keepLines w:val="0"/>
              <w:pageBreakBefore w:val="0"/>
              <w:tabs>
                <w:tab w:val="left" w:pos="145"/>
                <w:tab w:val="left" w:pos="286"/>
              </w:tabs>
              <w:kinsoku/>
              <w:overflowPunct/>
              <w:topLinePunct w:val="0"/>
              <w:autoSpaceDE/>
              <w:autoSpaceDN/>
              <w:bidi w:val="0"/>
              <w:adjustRightInd/>
              <w:snapToGrid/>
              <w:spacing w:beforeAutospacing="0" w:afterAutospacing="0" w:line="260" w:lineRule="exact"/>
              <w:ind w:left="0" w:leftChars="0" w:right="0" w:rightChars="0"/>
              <w:jc w:val="left"/>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rPr>
              <w:t>　（五）弄虚作假提供执业活动成果的；</w:t>
            </w:r>
          </w:p>
          <w:p w14:paraId="1D5DE222">
            <w:pPr>
              <w:keepNext w:val="0"/>
              <w:keepLines w:val="0"/>
              <w:pageBreakBefore w:val="0"/>
              <w:tabs>
                <w:tab w:val="left" w:pos="145"/>
                <w:tab w:val="left" w:pos="286"/>
              </w:tabs>
              <w:kinsoku/>
              <w:overflowPunct/>
              <w:topLinePunct w:val="0"/>
              <w:autoSpaceDE/>
              <w:autoSpaceDN/>
              <w:bidi w:val="0"/>
              <w:adjustRightInd/>
              <w:snapToGrid/>
              <w:spacing w:beforeAutospacing="0" w:afterAutospacing="0" w:line="260" w:lineRule="exact"/>
              <w:ind w:left="0" w:leftChars="0" w:right="0" w:rightChars="0"/>
              <w:jc w:val="left"/>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rPr>
              <w:t>　（六）同时受聘于两个或者两个以上的单位，从事执业活动的；</w:t>
            </w:r>
          </w:p>
          <w:p w14:paraId="634A0DA7">
            <w:pPr>
              <w:keepNext w:val="0"/>
              <w:keepLines w:val="0"/>
              <w:pageBreakBefore w:val="0"/>
              <w:tabs>
                <w:tab w:val="left" w:pos="145"/>
                <w:tab w:val="left" w:pos="286"/>
              </w:tabs>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　（七）其它违反法律、法规、规章的行为。</w:t>
            </w:r>
          </w:p>
        </w:tc>
        <w:tc>
          <w:tcPr>
            <w:tcW w:w="823" w:type="dxa"/>
            <w:tcBorders>
              <w:tl2br w:val="nil"/>
              <w:tr2bl w:val="nil"/>
            </w:tcBorders>
            <w:vAlign w:val="center"/>
          </w:tcPr>
          <w:p w14:paraId="6A413F3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vAlign w:val="center"/>
          </w:tcPr>
          <w:p w14:paraId="2F2B84A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没有违法所得，未造成危害后果或造成轻微危害后果的。</w:t>
            </w:r>
          </w:p>
        </w:tc>
        <w:tc>
          <w:tcPr>
            <w:tcW w:w="3058" w:type="dxa"/>
            <w:tcBorders>
              <w:tl2br w:val="nil"/>
              <w:tr2bl w:val="nil"/>
            </w:tcBorders>
            <w:vAlign w:val="center"/>
          </w:tcPr>
          <w:p w14:paraId="5545D53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给予警告，责令其改正，处3千元以下的罚款。</w:t>
            </w:r>
          </w:p>
        </w:tc>
      </w:tr>
      <w:tr w14:paraId="3CDA310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427" w:hRule="atLeast"/>
          <w:jc w:val="center"/>
        </w:trPr>
        <w:tc>
          <w:tcPr>
            <w:tcW w:w="443" w:type="dxa"/>
            <w:gridSpan w:val="2"/>
            <w:vMerge w:val="continue"/>
            <w:tcBorders>
              <w:tl2br w:val="nil"/>
              <w:tr2bl w:val="nil"/>
            </w:tcBorders>
            <w:vAlign w:val="center"/>
          </w:tcPr>
          <w:p w14:paraId="7C39D72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1FDC0EF8">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p>
        </w:tc>
        <w:tc>
          <w:tcPr>
            <w:tcW w:w="4820" w:type="dxa"/>
            <w:vMerge w:val="continue"/>
            <w:tcBorders>
              <w:tl2br w:val="nil"/>
              <w:tr2bl w:val="nil"/>
            </w:tcBorders>
            <w:vAlign w:val="top"/>
          </w:tcPr>
          <w:p w14:paraId="114AB22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vMerge w:val="restart"/>
            <w:tcBorders>
              <w:tl2br w:val="nil"/>
              <w:tr2bl w:val="nil"/>
            </w:tcBorders>
            <w:vAlign w:val="center"/>
          </w:tcPr>
          <w:p w14:paraId="223FD54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一般情节</w:t>
            </w:r>
          </w:p>
        </w:tc>
        <w:tc>
          <w:tcPr>
            <w:tcW w:w="3437" w:type="dxa"/>
            <w:gridSpan w:val="2"/>
            <w:tcBorders>
              <w:tl2br w:val="nil"/>
              <w:tr2bl w:val="nil"/>
            </w:tcBorders>
            <w:vAlign w:val="center"/>
          </w:tcPr>
          <w:p w14:paraId="3B06610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（1）没有违法所得，造成一般危害后果的。</w:t>
            </w:r>
          </w:p>
        </w:tc>
        <w:tc>
          <w:tcPr>
            <w:tcW w:w="3058" w:type="dxa"/>
            <w:tcBorders>
              <w:tl2br w:val="nil"/>
              <w:tr2bl w:val="nil"/>
            </w:tcBorders>
            <w:vAlign w:val="center"/>
          </w:tcPr>
          <w:p w14:paraId="0FFD30D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给予警告，责令其改正，处3千元以上7千元以下的罚款。</w:t>
            </w:r>
          </w:p>
        </w:tc>
      </w:tr>
      <w:tr w14:paraId="433BADF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76" w:hRule="atLeast"/>
          <w:jc w:val="center"/>
        </w:trPr>
        <w:tc>
          <w:tcPr>
            <w:tcW w:w="443" w:type="dxa"/>
            <w:gridSpan w:val="2"/>
            <w:vMerge w:val="continue"/>
            <w:tcBorders>
              <w:tl2br w:val="nil"/>
              <w:tr2bl w:val="nil"/>
            </w:tcBorders>
            <w:vAlign w:val="center"/>
          </w:tcPr>
          <w:p w14:paraId="783E6E1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1B07DA4D">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p>
        </w:tc>
        <w:tc>
          <w:tcPr>
            <w:tcW w:w="4820" w:type="dxa"/>
            <w:vMerge w:val="continue"/>
            <w:tcBorders>
              <w:tl2br w:val="nil"/>
              <w:tr2bl w:val="nil"/>
            </w:tcBorders>
            <w:vAlign w:val="top"/>
          </w:tcPr>
          <w:p w14:paraId="6EEF6B2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vMerge w:val="continue"/>
            <w:tcBorders>
              <w:tl2br w:val="nil"/>
              <w:tr2bl w:val="nil"/>
            </w:tcBorders>
            <w:vAlign w:val="center"/>
          </w:tcPr>
          <w:p w14:paraId="40579E1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olor w:val="auto"/>
                <w:kern w:val="0"/>
                <w:sz w:val="13"/>
                <w:szCs w:val="13"/>
                <w:highlight w:val="none"/>
              </w:rPr>
            </w:pPr>
          </w:p>
        </w:tc>
        <w:tc>
          <w:tcPr>
            <w:tcW w:w="3437" w:type="dxa"/>
            <w:gridSpan w:val="2"/>
            <w:tcBorders>
              <w:tl2br w:val="nil"/>
              <w:tr2bl w:val="nil"/>
            </w:tcBorders>
            <w:vAlign w:val="center"/>
          </w:tcPr>
          <w:p w14:paraId="7F0E923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（2）违法所得在1万元以下的。</w:t>
            </w:r>
          </w:p>
        </w:tc>
        <w:tc>
          <w:tcPr>
            <w:tcW w:w="3058" w:type="dxa"/>
            <w:tcBorders>
              <w:tl2br w:val="nil"/>
              <w:tr2bl w:val="nil"/>
            </w:tcBorders>
            <w:vAlign w:val="center"/>
          </w:tcPr>
          <w:p w14:paraId="32E9022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给予警告，责令其改正，处以违法所得1倍以下且不超过3万元的罚款。</w:t>
            </w:r>
          </w:p>
        </w:tc>
      </w:tr>
      <w:tr w14:paraId="471897A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424" w:hRule="atLeast"/>
          <w:jc w:val="center"/>
        </w:trPr>
        <w:tc>
          <w:tcPr>
            <w:tcW w:w="443" w:type="dxa"/>
            <w:gridSpan w:val="2"/>
            <w:vMerge w:val="continue"/>
            <w:tcBorders>
              <w:tl2br w:val="nil"/>
              <w:tr2bl w:val="nil"/>
            </w:tcBorders>
            <w:vAlign w:val="center"/>
          </w:tcPr>
          <w:p w14:paraId="170ED61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078150FA">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66F85EA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vMerge w:val="restart"/>
            <w:tcBorders>
              <w:tl2br w:val="nil"/>
              <w:tr2bl w:val="nil"/>
            </w:tcBorders>
            <w:vAlign w:val="center"/>
          </w:tcPr>
          <w:p w14:paraId="53B3068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从重情节</w:t>
            </w:r>
          </w:p>
        </w:tc>
        <w:tc>
          <w:tcPr>
            <w:tcW w:w="3437" w:type="dxa"/>
            <w:gridSpan w:val="2"/>
            <w:tcBorders>
              <w:tl2br w:val="nil"/>
              <w:tr2bl w:val="nil"/>
            </w:tcBorders>
            <w:vAlign w:val="center"/>
          </w:tcPr>
          <w:p w14:paraId="56734CD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（1）没有违法所得，造成严重危害后果的。</w:t>
            </w:r>
          </w:p>
        </w:tc>
        <w:tc>
          <w:tcPr>
            <w:tcW w:w="3058" w:type="dxa"/>
            <w:tcBorders>
              <w:tl2br w:val="nil"/>
              <w:tr2bl w:val="nil"/>
            </w:tcBorders>
            <w:vAlign w:val="center"/>
          </w:tcPr>
          <w:p w14:paraId="48FAE21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给予警告，责令其改正，处7千元以上1万元以下的罚款。</w:t>
            </w:r>
          </w:p>
        </w:tc>
      </w:tr>
      <w:tr w14:paraId="5979625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481" w:hRule="atLeast"/>
          <w:jc w:val="center"/>
        </w:trPr>
        <w:tc>
          <w:tcPr>
            <w:tcW w:w="443" w:type="dxa"/>
            <w:gridSpan w:val="2"/>
            <w:vMerge w:val="continue"/>
            <w:tcBorders>
              <w:tl2br w:val="nil"/>
              <w:tr2bl w:val="nil"/>
            </w:tcBorders>
            <w:vAlign w:val="center"/>
          </w:tcPr>
          <w:p w14:paraId="17D19E7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4DB95011">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045910E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b/>
                <w:color w:val="auto"/>
                <w:kern w:val="0"/>
                <w:sz w:val="13"/>
                <w:szCs w:val="13"/>
                <w:highlight w:val="none"/>
              </w:rPr>
            </w:pPr>
          </w:p>
        </w:tc>
        <w:tc>
          <w:tcPr>
            <w:tcW w:w="823" w:type="dxa"/>
            <w:vMerge w:val="continue"/>
            <w:tcBorders>
              <w:tl2br w:val="nil"/>
              <w:tr2bl w:val="nil"/>
            </w:tcBorders>
            <w:vAlign w:val="center"/>
          </w:tcPr>
          <w:p w14:paraId="0207B33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olor w:val="auto"/>
                <w:kern w:val="0"/>
                <w:sz w:val="13"/>
                <w:szCs w:val="13"/>
                <w:highlight w:val="none"/>
              </w:rPr>
            </w:pPr>
          </w:p>
        </w:tc>
        <w:tc>
          <w:tcPr>
            <w:tcW w:w="3437" w:type="dxa"/>
            <w:gridSpan w:val="2"/>
            <w:tcBorders>
              <w:tl2br w:val="nil"/>
              <w:tr2bl w:val="nil"/>
            </w:tcBorders>
            <w:vAlign w:val="center"/>
          </w:tcPr>
          <w:p w14:paraId="378C343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（2）违法所得在1万元以上3万元以下的。</w:t>
            </w:r>
          </w:p>
        </w:tc>
        <w:tc>
          <w:tcPr>
            <w:tcW w:w="3058" w:type="dxa"/>
            <w:tcBorders>
              <w:tl2br w:val="nil"/>
              <w:tr2bl w:val="nil"/>
            </w:tcBorders>
            <w:vAlign w:val="center"/>
          </w:tcPr>
          <w:p w14:paraId="548B28D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给予警告，责令其改正，处以违法所得1倍以上2倍以下且不超过3万元的罚款。</w:t>
            </w:r>
          </w:p>
        </w:tc>
      </w:tr>
      <w:tr w14:paraId="26DE40F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443" w:hRule="atLeast"/>
          <w:jc w:val="center"/>
        </w:trPr>
        <w:tc>
          <w:tcPr>
            <w:tcW w:w="443" w:type="dxa"/>
            <w:gridSpan w:val="2"/>
            <w:vMerge w:val="continue"/>
            <w:tcBorders>
              <w:tl2br w:val="nil"/>
              <w:tr2bl w:val="nil"/>
            </w:tcBorders>
            <w:vAlign w:val="center"/>
          </w:tcPr>
          <w:p w14:paraId="0A6A68C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6E25A252">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05E04B1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b/>
                <w:color w:val="auto"/>
                <w:kern w:val="0"/>
                <w:sz w:val="13"/>
                <w:szCs w:val="13"/>
                <w:highlight w:val="none"/>
              </w:rPr>
            </w:pPr>
          </w:p>
        </w:tc>
        <w:tc>
          <w:tcPr>
            <w:tcW w:w="823" w:type="dxa"/>
            <w:vMerge w:val="continue"/>
            <w:tcBorders>
              <w:tl2br w:val="nil"/>
              <w:tr2bl w:val="nil"/>
            </w:tcBorders>
            <w:vAlign w:val="center"/>
          </w:tcPr>
          <w:p w14:paraId="7695A24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olor w:val="auto"/>
                <w:kern w:val="0"/>
                <w:sz w:val="13"/>
                <w:szCs w:val="13"/>
                <w:highlight w:val="none"/>
              </w:rPr>
            </w:pPr>
          </w:p>
        </w:tc>
        <w:tc>
          <w:tcPr>
            <w:tcW w:w="3437" w:type="dxa"/>
            <w:gridSpan w:val="2"/>
            <w:tcBorders>
              <w:tl2br w:val="nil"/>
              <w:tr2bl w:val="nil"/>
            </w:tcBorders>
            <w:vAlign w:val="center"/>
          </w:tcPr>
          <w:p w14:paraId="3979FAF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（3）违法所得在3万元以上的。</w:t>
            </w:r>
          </w:p>
        </w:tc>
        <w:tc>
          <w:tcPr>
            <w:tcW w:w="3058" w:type="dxa"/>
            <w:tcBorders>
              <w:tl2br w:val="nil"/>
              <w:tr2bl w:val="nil"/>
            </w:tcBorders>
            <w:vAlign w:val="center"/>
          </w:tcPr>
          <w:p w14:paraId="3F0C28F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给予警告，责令其改正，处以违法所得2倍以上3倍以下且不超过3万元的罚款。</w:t>
            </w:r>
          </w:p>
        </w:tc>
      </w:tr>
      <w:tr w14:paraId="393F254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0" w:hRule="atLeast"/>
          <w:jc w:val="center"/>
        </w:trPr>
        <w:tc>
          <w:tcPr>
            <w:tcW w:w="443" w:type="dxa"/>
            <w:gridSpan w:val="2"/>
            <w:vMerge w:val="restart"/>
            <w:tcBorders>
              <w:tl2br w:val="nil"/>
              <w:tr2bl w:val="nil"/>
            </w:tcBorders>
            <w:vAlign w:val="center"/>
          </w:tcPr>
          <w:p w14:paraId="5D60100A">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Times New Roman"/>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49</w:t>
            </w:r>
          </w:p>
        </w:tc>
        <w:tc>
          <w:tcPr>
            <w:tcW w:w="1550" w:type="dxa"/>
            <w:vMerge w:val="restart"/>
            <w:tcBorders>
              <w:tl2br w:val="nil"/>
              <w:tr2bl w:val="nil"/>
            </w:tcBorders>
            <w:vAlign w:val="center"/>
          </w:tcPr>
          <w:p w14:paraId="2B980F6B">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p w14:paraId="36FF9D61">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以欺骗、贿赂等不正当手段取得注册证书</w:t>
            </w:r>
          </w:p>
        </w:tc>
        <w:tc>
          <w:tcPr>
            <w:tcW w:w="4820" w:type="dxa"/>
            <w:vMerge w:val="restart"/>
            <w:tcBorders>
              <w:tl2br w:val="nil"/>
              <w:tr2bl w:val="nil"/>
            </w:tcBorders>
            <w:vAlign w:val="center"/>
          </w:tcPr>
          <w:p w14:paraId="3FAB846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宋体" w:hAnsi="宋体" w:cs="宋体"/>
                <w:bCs/>
                <w:color w:val="auto"/>
                <w:kern w:val="0"/>
                <w:sz w:val="13"/>
                <w:szCs w:val="13"/>
                <w:highlight w:val="none"/>
              </w:rPr>
            </w:pPr>
            <w:r>
              <w:rPr>
                <w:rFonts w:hint="eastAsia" w:ascii="仿宋_GB2312" w:hAnsi="宋体" w:eastAsia="仿宋_GB2312"/>
                <w:color w:val="auto"/>
                <w:kern w:val="0"/>
                <w:sz w:val="13"/>
                <w:szCs w:val="13"/>
                <w:highlight w:val="none"/>
              </w:rPr>
              <w:t>《勘察设计注册工程师管理规定》</w:t>
            </w:r>
            <w:r>
              <w:rPr>
                <w:rFonts w:hint="eastAsia" w:ascii="仿宋_GB2312" w:hAnsi="宋体" w:eastAsia="仿宋_GB2312"/>
                <w:b/>
                <w:bCs/>
                <w:color w:val="auto"/>
                <w:kern w:val="0"/>
                <w:sz w:val="13"/>
                <w:szCs w:val="13"/>
                <w:highlight w:val="none"/>
              </w:rPr>
              <w:t>第二十九条</w:t>
            </w:r>
            <w:r>
              <w:rPr>
                <w:rFonts w:hint="eastAsia" w:ascii="仿宋_GB2312" w:hAnsi="宋体" w:eastAsia="仿宋_GB2312"/>
                <w:b/>
                <w:bCs/>
                <w:color w:val="auto"/>
                <w:kern w:val="0"/>
                <w:sz w:val="13"/>
                <w:szCs w:val="13"/>
                <w:highlight w:val="none"/>
                <w:lang w:eastAsia="zh-CN"/>
              </w:rPr>
              <w:t>：</w:t>
            </w:r>
            <w:r>
              <w:rPr>
                <w:rFonts w:hint="eastAsia" w:ascii="仿宋_GB2312" w:hAnsi="宋体" w:eastAsia="仿宋_GB2312"/>
                <w:color w:val="auto"/>
                <w:kern w:val="0"/>
                <w:sz w:val="13"/>
                <w:szCs w:val="13"/>
                <w:highlight w:val="none"/>
              </w:rPr>
              <w:t>以欺骗、贿赂等不正当手段取得注册证书的，由负责审批的部门撤销其注册，3年内不得再次申请注册；并由县级以上人民政府建设主管部门或者有关部门处以罚款，其中没有违法所得的，处以1万元以下的罚款；有违法所得的，处以违法所得3倍以上但不超过3万元的罚款；构成犯罪的，依法追究刑事责任</w:t>
            </w:r>
          </w:p>
        </w:tc>
        <w:tc>
          <w:tcPr>
            <w:tcW w:w="823" w:type="dxa"/>
            <w:tcBorders>
              <w:tl2br w:val="nil"/>
              <w:tr2bl w:val="nil"/>
            </w:tcBorders>
            <w:vAlign w:val="center"/>
          </w:tcPr>
          <w:p w14:paraId="3F5A18D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vAlign w:val="center"/>
          </w:tcPr>
          <w:p w14:paraId="6DB0E49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没有违法所得，未造成危害后果或造成轻微危害后果的。</w:t>
            </w:r>
          </w:p>
        </w:tc>
        <w:tc>
          <w:tcPr>
            <w:tcW w:w="3058" w:type="dxa"/>
            <w:tcBorders>
              <w:tl2br w:val="nil"/>
              <w:tr2bl w:val="nil"/>
            </w:tcBorders>
            <w:vAlign w:val="center"/>
          </w:tcPr>
          <w:p w14:paraId="29AD1CB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由负责审批的部门撤销其注册，3年内不得再次申请注册；处3千元以下的罚款。</w:t>
            </w:r>
          </w:p>
        </w:tc>
      </w:tr>
      <w:tr w14:paraId="6CBB248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0" w:hRule="atLeast"/>
          <w:jc w:val="center"/>
        </w:trPr>
        <w:tc>
          <w:tcPr>
            <w:tcW w:w="443" w:type="dxa"/>
            <w:gridSpan w:val="2"/>
            <w:vMerge w:val="continue"/>
            <w:tcBorders>
              <w:tl2br w:val="nil"/>
              <w:tr2bl w:val="nil"/>
            </w:tcBorders>
            <w:vAlign w:val="center"/>
          </w:tcPr>
          <w:p w14:paraId="6FC98EF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2458D536">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p>
        </w:tc>
        <w:tc>
          <w:tcPr>
            <w:tcW w:w="4820" w:type="dxa"/>
            <w:vMerge w:val="continue"/>
            <w:tcBorders>
              <w:tl2br w:val="nil"/>
              <w:tr2bl w:val="nil"/>
            </w:tcBorders>
            <w:vAlign w:val="top"/>
          </w:tcPr>
          <w:p w14:paraId="18C3B96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vMerge w:val="restart"/>
            <w:tcBorders>
              <w:tl2br w:val="nil"/>
              <w:tr2bl w:val="nil"/>
            </w:tcBorders>
            <w:vAlign w:val="center"/>
          </w:tcPr>
          <w:p w14:paraId="66120A8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一般情节</w:t>
            </w:r>
          </w:p>
        </w:tc>
        <w:tc>
          <w:tcPr>
            <w:tcW w:w="3437" w:type="dxa"/>
            <w:gridSpan w:val="2"/>
            <w:tcBorders>
              <w:tl2br w:val="nil"/>
              <w:tr2bl w:val="nil"/>
            </w:tcBorders>
            <w:vAlign w:val="center"/>
          </w:tcPr>
          <w:p w14:paraId="6B4EF9F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（1）没有违法所得，造成一般危害后果的。</w:t>
            </w:r>
          </w:p>
        </w:tc>
        <w:tc>
          <w:tcPr>
            <w:tcW w:w="3058" w:type="dxa"/>
            <w:tcBorders>
              <w:tl2br w:val="nil"/>
              <w:tr2bl w:val="nil"/>
            </w:tcBorders>
            <w:vAlign w:val="center"/>
          </w:tcPr>
          <w:p w14:paraId="67F7310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由负责审批的部门撤销其注册，3年内不得再次申请注册；处3千元以上7千元以下的罚款。。</w:t>
            </w:r>
          </w:p>
        </w:tc>
      </w:tr>
      <w:tr w14:paraId="39F4FF7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0" w:hRule="atLeast"/>
          <w:jc w:val="center"/>
        </w:trPr>
        <w:tc>
          <w:tcPr>
            <w:tcW w:w="443" w:type="dxa"/>
            <w:gridSpan w:val="2"/>
            <w:vMerge w:val="continue"/>
            <w:tcBorders>
              <w:tl2br w:val="nil"/>
              <w:tr2bl w:val="nil"/>
            </w:tcBorders>
            <w:vAlign w:val="center"/>
          </w:tcPr>
          <w:p w14:paraId="1B6F6E5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3469D7C1">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p>
        </w:tc>
        <w:tc>
          <w:tcPr>
            <w:tcW w:w="4820" w:type="dxa"/>
            <w:vMerge w:val="continue"/>
            <w:tcBorders>
              <w:tl2br w:val="nil"/>
              <w:tr2bl w:val="nil"/>
            </w:tcBorders>
            <w:vAlign w:val="top"/>
          </w:tcPr>
          <w:p w14:paraId="7BAD98B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vMerge w:val="continue"/>
            <w:tcBorders>
              <w:tl2br w:val="nil"/>
              <w:tr2bl w:val="nil"/>
            </w:tcBorders>
            <w:vAlign w:val="center"/>
          </w:tcPr>
          <w:p w14:paraId="378EC8F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olor w:val="auto"/>
                <w:kern w:val="0"/>
                <w:sz w:val="13"/>
                <w:szCs w:val="13"/>
                <w:highlight w:val="none"/>
              </w:rPr>
            </w:pPr>
          </w:p>
        </w:tc>
        <w:tc>
          <w:tcPr>
            <w:tcW w:w="3437" w:type="dxa"/>
            <w:gridSpan w:val="2"/>
            <w:tcBorders>
              <w:tl2br w:val="nil"/>
              <w:tr2bl w:val="nil"/>
            </w:tcBorders>
            <w:vAlign w:val="center"/>
          </w:tcPr>
          <w:p w14:paraId="3B9F7E3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rPr>
              <w:t>（2）违法所得在1万元以下的</w:t>
            </w:r>
            <w:r>
              <w:rPr>
                <w:rFonts w:hint="eastAsia" w:ascii="仿宋_GB2312" w:hAnsi="宋体" w:eastAsia="仿宋_GB2312"/>
                <w:color w:val="auto"/>
                <w:kern w:val="0"/>
                <w:sz w:val="13"/>
                <w:szCs w:val="13"/>
                <w:highlight w:val="none"/>
                <w:lang w:eastAsia="zh-CN"/>
              </w:rPr>
              <w:t>。</w:t>
            </w:r>
          </w:p>
        </w:tc>
        <w:tc>
          <w:tcPr>
            <w:tcW w:w="3058" w:type="dxa"/>
            <w:tcBorders>
              <w:tl2br w:val="nil"/>
              <w:tr2bl w:val="nil"/>
            </w:tcBorders>
            <w:vAlign w:val="center"/>
          </w:tcPr>
          <w:p w14:paraId="1B3A610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由负责审批的部门撤销其注册，3年内不得再次申请注册；处以违法所得3倍以上3.5倍以下但不超过3万元的罚款</w:t>
            </w:r>
          </w:p>
        </w:tc>
      </w:tr>
      <w:tr w14:paraId="1C582AB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0" w:hRule="atLeast"/>
          <w:jc w:val="center"/>
        </w:trPr>
        <w:tc>
          <w:tcPr>
            <w:tcW w:w="443" w:type="dxa"/>
            <w:gridSpan w:val="2"/>
            <w:vMerge w:val="continue"/>
            <w:tcBorders>
              <w:tl2br w:val="nil"/>
              <w:tr2bl w:val="nil"/>
            </w:tcBorders>
            <w:vAlign w:val="center"/>
          </w:tcPr>
          <w:p w14:paraId="22C33E6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38CF2E04">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71E5DA1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vMerge w:val="restart"/>
            <w:tcBorders>
              <w:tl2br w:val="nil"/>
              <w:tr2bl w:val="nil"/>
            </w:tcBorders>
            <w:vAlign w:val="center"/>
          </w:tcPr>
          <w:p w14:paraId="3826A78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从重情节</w:t>
            </w:r>
          </w:p>
        </w:tc>
        <w:tc>
          <w:tcPr>
            <w:tcW w:w="3437" w:type="dxa"/>
            <w:gridSpan w:val="2"/>
            <w:tcBorders>
              <w:tl2br w:val="nil"/>
              <w:tr2bl w:val="nil"/>
            </w:tcBorders>
            <w:vAlign w:val="center"/>
          </w:tcPr>
          <w:p w14:paraId="614351B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（1）违法所得在1万元以上3万元以下的。</w:t>
            </w:r>
          </w:p>
        </w:tc>
        <w:tc>
          <w:tcPr>
            <w:tcW w:w="3058" w:type="dxa"/>
            <w:tcBorders>
              <w:tl2br w:val="nil"/>
              <w:tr2bl w:val="nil"/>
            </w:tcBorders>
            <w:vAlign w:val="center"/>
          </w:tcPr>
          <w:p w14:paraId="18EC85A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由负责审批的部门撤销其注册，3年内不得再次申请注册；处以违法所得3.5倍以上4倍以下但不超过3万元的罚款。</w:t>
            </w:r>
          </w:p>
        </w:tc>
      </w:tr>
      <w:tr w14:paraId="611BA29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74" w:hRule="atLeast"/>
          <w:jc w:val="center"/>
        </w:trPr>
        <w:tc>
          <w:tcPr>
            <w:tcW w:w="443" w:type="dxa"/>
            <w:gridSpan w:val="2"/>
            <w:vMerge w:val="continue"/>
            <w:tcBorders>
              <w:tl2br w:val="nil"/>
              <w:tr2bl w:val="nil"/>
            </w:tcBorders>
            <w:vAlign w:val="center"/>
          </w:tcPr>
          <w:p w14:paraId="502250C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252B849D">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7B56495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b/>
                <w:color w:val="auto"/>
                <w:kern w:val="0"/>
                <w:sz w:val="13"/>
                <w:szCs w:val="13"/>
                <w:highlight w:val="none"/>
              </w:rPr>
            </w:pPr>
          </w:p>
        </w:tc>
        <w:tc>
          <w:tcPr>
            <w:tcW w:w="823" w:type="dxa"/>
            <w:vMerge w:val="continue"/>
            <w:tcBorders>
              <w:tl2br w:val="nil"/>
              <w:tr2bl w:val="nil"/>
            </w:tcBorders>
            <w:vAlign w:val="center"/>
          </w:tcPr>
          <w:p w14:paraId="6C9F711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olor w:val="auto"/>
                <w:kern w:val="0"/>
                <w:sz w:val="13"/>
                <w:szCs w:val="13"/>
                <w:highlight w:val="none"/>
              </w:rPr>
            </w:pPr>
          </w:p>
        </w:tc>
        <w:tc>
          <w:tcPr>
            <w:tcW w:w="3437" w:type="dxa"/>
            <w:gridSpan w:val="2"/>
            <w:tcBorders>
              <w:tl2br w:val="nil"/>
              <w:tr2bl w:val="nil"/>
            </w:tcBorders>
            <w:vAlign w:val="center"/>
          </w:tcPr>
          <w:p w14:paraId="7589234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（2）没有违法所得，造成严重危害后果的。</w:t>
            </w:r>
          </w:p>
        </w:tc>
        <w:tc>
          <w:tcPr>
            <w:tcW w:w="3058" w:type="dxa"/>
            <w:tcBorders>
              <w:tl2br w:val="nil"/>
              <w:tr2bl w:val="nil"/>
            </w:tcBorders>
            <w:vAlign w:val="center"/>
          </w:tcPr>
          <w:p w14:paraId="38381F8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由负责审批的部门撤销其注册，3年内不得再次申请注册；处7千元以上1万元以下的罚款。</w:t>
            </w:r>
          </w:p>
        </w:tc>
      </w:tr>
      <w:tr w14:paraId="421B14D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48" w:hRule="atLeast"/>
          <w:jc w:val="center"/>
        </w:trPr>
        <w:tc>
          <w:tcPr>
            <w:tcW w:w="443" w:type="dxa"/>
            <w:gridSpan w:val="2"/>
            <w:vMerge w:val="continue"/>
            <w:tcBorders>
              <w:tl2br w:val="nil"/>
              <w:tr2bl w:val="nil"/>
            </w:tcBorders>
            <w:vAlign w:val="center"/>
          </w:tcPr>
          <w:p w14:paraId="15F8B74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6497D28E">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37BE445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b/>
                <w:color w:val="auto"/>
                <w:kern w:val="0"/>
                <w:sz w:val="13"/>
                <w:szCs w:val="13"/>
                <w:highlight w:val="none"/>
              </w:rPr>
            </w:pPr>
          </w:p>
        </w:tc>
        <w:tc>
          <w:tcPr>
            <w:tcW w:w="823" w:type="dxa"/>
            <w:vMerge w:val="continue"/>
            <w:tcBorders>
              <w:tl2br w:val="nil"/>
              <w:tr2bl w:val="nil"/>
            </w:tcBorders>
            <w:vAlign w:val="center"/>
          </w:tcPr>
          <w:p w14:paraId="7D3C758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olor w:val="auto"/>
                <w:kern w:val="0"/>
                <w:sz w:val="13"/>
                <w:szCs w:val="13"/>
                <w:highlight w:val="none"/>
              </w:rPr>
            </w:pPr>
          </w:p>
        </w:tc>
        <w:tc>
          <w:tcPr>
            <w:tcW w:w="3437" w:type="dxa"/>
            <w:gridSpan w:val="2"/>
            <w:tcBorders>
              <w:tl2br w:val="nil"/>
              <w:tr2bl w:val="nil"/>
            </w:tcBorders>
            <w:vAlign w:val="center"/>
          </w:tcPr>
          <w:p w14:paraId="58C9C45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（3）违法所得在3万元以上的。</w:t>
            </w:r>
          </w:p>
        </w:tc>
        <w:tc>
          <w:tcPr>
            <w:tcW w:w="3058" w:type="dxa"/>
            <w:tcBorders>
              <w:tl2br w:val="nil"/>
              <w:tr2bl w:val="nil"/>
            </w:tcBorders>
            <w:vAlign w:val="center"/>
          </w:tcPr>
          <w:p w14:paraId="7E179CA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由负责审批的部门撤销其注册，3年内不得再次申请注册；处以违法所得4倍以上但不超过3万元的罚款。</w:t>
            </w:r>
          </w:p>
        </w:tc>
      </w:tr>
      <w:tr w14:paraId="5A40774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84" w:hRule="atLeast"/>
          <w:jc w:val="center"/>
        </w:trPr>
        <w:tc>
          <w:tcPr>
            <w:tcW w:w="443" w:type="dxa"/>
            <w:gridSpan w:val="2"/>
            <w:vMerge w:val="restart"/>
            <w:tcBorders>
              <w:tl2br w:val="nil"/>
              <w:tr2bl w:val="nil"/>
            </w:tcBorders>
            <w:vAlign w:val="center"/>
          </w:tcPr>
          <w:p w14:paraId="52C2ABAE">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Times New Roman"/>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50</w:t>
            </w:r>
          </w:p>
        </w:tc>
        <w:tc>
          <w:tcPr>
            <w:tcW w:w="1550" w:type="dxa"/>
            <w:vMerge w:val="restart"/>
            <w:tcBorders>
              <w:tl2br w:val="nil"/>
              <w:tr2bl w:val="nil"/>
            </w:tcBorders>
            <w:vAlign w:val="center"/>
          </w:tcPr>
          <w:p w14:paraId="2C94EA21">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rPr>
              <w:t>（一）以个人名义承接业务的；</w:t>
            </w:r>
          </w:p>
          <w:p w14:paraId="07BAC5B1">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rPr>
              <w:t>（二）涂改、出租、出借或者以形式非法转让注册证书或者执业印章的；</w:t>
            </w:r>
          </w:p>
          <w:p w14:paraId="2A3B3912">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rPr>
              <w:t>（三）泄露执业中应当保守的秘密并造成严重后果的；</w:t>
            </w:r>
          </w:p>
          <w:p w14:paraId="53F43643">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rPr>
              <w:t>（四）超出本专业规定范围或者聘用单位业务范围从事执业活动的；</w:t>
            </w:r>
          </w:p>
          <w:p w14:paraId="6BB782F0">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rPr>
              <w:t>（五）弄虚作假提供执业活动成果的；</w:t>
            </w:r>
          </w:p>
          <w:p w14:paraId="1460FFFC">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（六）其它违反法律、法规、规章的行为。</w:t>
            </w:r>
          </w:p>
        </w:tc>
        <w:tc>
          <w:tcPr>
            <w:tcW w:w="4820" w:type="dxa"/>
            <w:vMerge w:val="restart"/>
            <w:tcBorders>
              <w:tl2br w:val="nil"/>
              <w:tr2bl w:val="nil"/>
            </w:tcBorders>
            <w:vAlign w:val="center"/>
          </w:tcPr>
          <w:p w14:paraId="4F1BB727">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rPr>
              <w:t>《勘察设计注册工程师管理规定》</w:t>
            </w:r>
            <w:r>
              <w:rPr>
                <w:rFonts w:hint="eastAsia" w:ascii="仿宋_GB2312" w:hAnsi="宋体" w:eastAsia="仿宋_GB2312"/>
                <w:b/>
                <w:bCs/>
                <w:color w:val="auto"/>
                <w:kern w:val="0"/>
                <w:sz w:val="13"/>
                <w:szCs w:val="13"/>
                <w:highlight w:val="none"/>
              </w:rPr>
              <w:t>第三十条</w:t>
            </w:r>
            <w:r>
              <w:rPr>
                <w:rFonts w:hint="eastAsia" w:ascii="仿宋_GB2312" w:hAnsi="宋体" w:eastAsia="仿宋_GB2312"/>
                <w:b/>
                <w:bCs/>
                <w:color w:val="auto"/>
                <w:kern w:val="0"/>
                <w:sz w:val="13"/>
                <w:szCs w:val="13"/>
                <w:highlight w:val="none"/>
                <w:lang w:eastAsia="zh-CN"/>
              </w:rPr>
              <w:t>：</w:t>
            </w:r>
            <w:r>
              <w:rPr>
                <w:rFonts w:hint="eastAsia" w:ascii="仿宋_GB2312" w:hAnsi="宋体" w:eastAsia="仿宋_GB2312"/>
                <w:color w:val="auto"/>
                <w:kern w:val="0"/>
                <w:sz w:val="13"/>
                <w:szCs w:val="13"/>
                <w:highlight w:val="none"/>
              </w:rPr>
              <w:t>注册工程师在执业活动中有下列行为之一的，由县级以上人民政府建设主管部门或者有关部门予以警告，责令其改正，没有违法所得的，处以1万元以下的罚款；有违法所得的，处以违法所得3倍以下且不超过3万元的罚款；造成损失的，应当承担赔偿责任；构成犯罪的，依法追究刑事责任</w:t>
            </w:r>
          </w:p>
          <w:p w14:paraId="6E8034AD">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rPr>
              <w:t>（一）以个人名义承接业务的；</w:t>
            </w:r>
          </w:p>
          <w:p w14:paraId="1CCC982F">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rPr>
              <w:t>（二）涂改、出租、出借或者以形式非法转让注册证书或者执业印章的；</w:t>
            </w:r>
          </w:p>
          <w:p w14:paraId="1ECED0BE">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rPr>
              <w:t>（三）泄露执业中应当保守的秘密并造成严重后果的；</w:t>
            </w:r>
          </w:p>
          <w:p w14:paraId="00CCB070">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rPr>
              <w:t>（四）超出本专业规定范围或者聘用单位业务范围从事执业活动的；</w:t>
            </w:r>
          </w:p>
          <w:p w14:paraId="0834C415">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rPr>
              <w:t>（五）弄虚作假提供执业活动成果的；</w:t>
            </w:r>
          </w:p>
          <w:p w14:paraId="7C24F12C">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（六）其它违反法律、法规、规章的行为。</w:t>
            </w:r>
          </w:p>
          <w:p w14:paraId="42FD393D">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ascii="宋体" w:hAnsi="宋体" w:cs="宋体"/>
                <w:bCs/>
                <w:color w:val="auto"/>
                <w:kern w:val="0"/>
                <w:sz w:val="13"/>
                <w:szCs w:val="13"/>
                <w:highlight w:val="none"/>
              </w:rPr>
            </w:pPr>
          </w:p>
        </w:tc>
        <w:tc>
          <w:tcPr>
            <w:tcW w:w="823" w:type="dxa"/>
            <w:tcBorders>
              <w:tl2br w:val="nil"/>
              <w:tr2bl w:val="nil"/>
            </w:tcBorders>
            <w:vAlign w:val="center"/>
          </w:tcPr>
          <w:p w14:paraId="7E0180A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vAlign w:val="center"/>
          </w:tcPr>
          <w:p w14:paraId="5438B28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没有违法所得，未造成危害后果或造成轻微危害后果的。</w:t>
            </w:r>
          </w:p>
        </w:tc>
        <w:tc>
          <w:tcPr>
            <w:tcW w:w="3058" w:type="dxa"/>
            <w:tcBorders>
              <w:tl2br w:val="nil"/>
              <w:tr2bl w:val="nil"/>
            </w:tcBorders>
            <w:vAlign w:val="center"/>
          </w:tcPr>
          <w:p w14:paraId="765EDAC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予以警告，责令其改正，处3千元以下的罚款。</w:t>
            </w:r>
          </w:p>
        </w:tc>
      </w:tr>
      <w:tr w14:paraId="18CDFA6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0" w:hRule="atLeast"/>
          <w:jc w:val="center"/>
        </w:trPr>
        <w:tc>
          <w:tcPr>
            <w:tcW w:w="443" w:type="dxa"/>
            <w:gridSpan w:val="2"/>
            <w:vMerge w:val="continue"/>
            <w:tcBorders>
              <w:tl2br w:val="nil"/>
              <w:tr2bl w:val="nil"/>
            </w:tcBorders>
            <w:vAlign w:val="center"/>
          </w:tcPr>
          <w:p w14:paraId="0E4D965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319622DA">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p>
        </w:tc>
        <w:tc>
          <w:tcPr>
            <w:tcW w:w="4820" w:type="dxa"/>
            <w:vMerge w:val="continue"/>
            <w:tcBorders>
              <w:tl2br w:val="nil"/>
              <w:tr2bl w:val="nil"/>
            </w:tcBorders>
            <w:vAlign w:val="top"/>
          </w:tcPr>
          <w:p w14:paraId="43634F4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vMerge w:val="restart"/>
            <w:tcBorders>
              <w:tl2br w:val="nil"/>
              <w:tr2bl w:val="nil"/>
            </w:tcBorders>
            <w:vAlign w:val="center"/>
          </w:tcPr>
          <w:p w14:paraId="314371A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一般情节</w:t>
            </w:r>
          </w:p>
        </w:tc>
        <w:tc>
          <w:tcPr>
            <w:tcW w:w="3437" w:type="dxa"/>
            <w:gridSpan w:val="2"/>
            <w:tcBorders>
              <w:tl2br w:val="nil"/>
              <w:tr2bl w:val="nil"/>
            </w:tcBorders>
            <w:vAlign w:val="center"/>
          </w:tcPr>
          <w:p w14:paraId="3190858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（1）没有违法所得，造成一般危害后果的。</w:t>
            </w:r>
          </w:p>
        </w:tc>
        <w:tc>
          <w:tcPr>
            <w:tcW w:w="3058" w:type="dxa"/>
            <w:tcBorders>
              <w:tl2br w:val="nil"/>
              <w:tr2bl w:val="nil"/>
            </w:tcBorders>
            <w:vAlign w:val="center"/>
          </w:tcPr>
          <w:p w14:paraId="4E54CB5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予以警告；责令其改正，处3千元以上7千元以下的罚款。</w:t>
            </w:r>
          </w:p>
        </w:tc>
      </w:tr>
      <w:tr w14:paraId="49FD738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0" w:hRule="atLeast"/>
          <w:jc w:val="center"/>
        </w:trPr>
        <w:tc>
          <w:tcPr>
            <w:tcW w:w="443" w:type="dxa"/>
            <w:gridSpan w:val="2"/>
            <w:vMerge w:val="continue"/>
            <w:tcBorders>
              <w:tl2br w:val="nil"/>
              <w:tr2bl w:val="nil"/>
            </w:tcBorders>
            <w:vAlign w:val="center"/>
          </w:tcPr>
          <w:p w14:paraId="4F5C3D2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7E341301">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p>
        </w:tc>
        <w:tc>
          <w:tcPr>
            <w:tcW w:w="4820" w:type="dxa"/>
            <w:vMerge w:val="continue"/>
            <w:tcBorders>
              <w:tl2br w:val="nil"/>
              <w:tr2bl w:val="nil"/>
            </w:tcBorders>
            <w:vAlign w:val="top"/>
          </w:tcPr>
          <w:p w14:paraId="209E759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vMerge w:val="continue"/>
            <w:tcBorders>
              <w:tl2br w:val="nil"/>
              <w:tr2bl w:val="nil"/>
            </w:tcBorders>
            <w:vAlign w:val="center"/>
          </w:tcPr>
          <w:p w14:paraId="64D04BE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olor w:val="auto"/>
                <w:kern w:val="0"/>
                <w:sz w:val="13"/>
                <w:szCs w:val="13"/>
                <w:highlight w:val="none"/>
              </w:rPr>
            </w:pPr>
          </w:p>
        </w:tc>
        <w:tc>
          <w:tcPr>
            <w:tcW w:w="3437" w:type="dxa"/>
            <w:gridSpan w:val="2"/>
            <w:tcBorders>
              <w:tl2br w:val="nil"/>
              <w:tr2bl w:val="nil"/>
            </w:tcBorders>
            <w:vAlign w:val="center"/>
          </w:tcPr>
          <w:p w14:paraId="4C66ACE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（2）违法所得在1万元以下的。</w:t>
            </w:r>
          </w:p>
        </w:tc>
        <w:tc>
          <w:tcPr>
            <w:tcW w:w="3058" w:type="dxa"/>
            <w:tcBorders>
              <w:tl2br w:val="nil"/>
              <w:tr2bl w:val="nil"/>
            </w:tcBorders>
            <w:vAlign w:val="center"/>
          </w:tcPr>
          <w:p w14:paraId="4C1084E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予以警告，责令其改正，处以违法所得3倍以上3.5倍以下但不超过3万元的罚款。</w:t>
            </w:r>
          </w:p>
        </w:tc>
      </w:tr>
      <w:tr w14:paraId="28DA457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510" w:hRule="atLeast"/>
          <w:jc w:val="center"/>
        </w:trPr>
        <w:tc>
          <w:tcPr>
            <w:tcW w:w="443" w:type="dxa"/>
            <w:gridSpan w:val="2"/>
            <w:vMerge w:val="continue"/>
            <w:tcBorders>
              <w:tl2br w:val="nil"/>
              <w:tr2bl w:val="nil"/>
            </w:tcBorders>
            <w:vAlign w:val="center"/>
          </w:tcPr>
          <w:p w14:paraId="38821EE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5CDE76EA">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1DFE4DC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vMerge w:val="restart"/>
            <w:tcBorders>
              <w:tl2br w:val="nil"/>
              <w:tr2bl w:val="nil"/>
            </w:tcBorders>
            <w:vAlign w:val="center"/>
          </w:tcPr>
          <w:p w14:paraId="312A238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从重情节</w:t>
            </w:r>
          </w:p>
        </w:tc>
        <w:tc>
          <w:tcPr>
            <w:tcW w:w="3437" w:type="dxa"/>
            <w:gridSpan w:val="2"/>
            <w:tcBorders>
              <w:tl2br w:val="nil"/>
              <w:tr2bl w:val="nil"/>
            </w:tcBorders>
            <w:vAlign w:val="center"/>
          </w:tcPr>
          <w:p w14:paraId="0C52BE6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（1）违法所得在1万元以上3万元以下的。</w:t>
            </w:r>
          </w:p>
        </w:tc>
        <w:tc>
          <w:tcPr>
            <w:tcW w:w="3058" w:type="dxa"/>
            <w:tcBorders>
              <w:tl2br w:val="nil"/>
              <w:tr2bl w:val="nil"/>
            </w:tcBorders>
            <w:vAlign w:val="center"/>
          </w:tcPr>
          <w:p w14:paraId="31EBD13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予以警告，责令其改正，处以违法所得3.5倍以上4倍以下但不超过3万元的罚款。</w:t>
            </w:r>
          </w:p>
        </w:tc>
      </w:tr>
      <w:tr w14:paraId="43A1992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426" w:hRule="atLeast"/>
          <w:jc w:val="center"/>
        </w:trPr>
        <w:tc>
          <w:tcPr>
            <w:tcW w:w="443" w:type="dxa"/>
            <w:gridSpan w:val="2"/>
            <w:vMerge w:val="continue"/>
            <w:tcBorders>
              <w:tl2br w:val="nil"/>
              <w:tr2bl w:val="nil"/>
            </w:tcBorders>
            <w:vAlign w:val="center"/>
          </w:tcPr>
          <w:p w14:paraId="16D07B6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2C1BACB5">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25701FF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vMerge w:val="continue"/>
            <w:tcBorders>
              <w:tl2br w:val="nil"/>
              <w:tr2bl w:val="nil"/>
            </w:tcBorders>
            <w:vAlign w:val="center"/>
          </w:tcPr>
          <w:p w14:paraId="39522D1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3437" w:type="dxa"/>
            <w:gridSpan w:val="2"/>
            <w:tcBorders>
              <w:tl2br w:val="nil"/>
              <w:tr2bl w:val="nil"/>
            </w:tcBorders>
            <w:vAlign w:val="center"/>
          </w:tcPr>
          <w:p w14:paraId="537D842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（2）没有违法所得，造成严重危害后果的。</w:t>
            </w:r>
          </w:p>
        </w:tc>
        <w:tc>
          <w:tcPr>
            <w:tcW w:w="3058" w:type="dxa"/>
            <w:tcBorders>
              <w:tl2br w:val="nil"/>
              <w:tr2bl w:val="nil"/>
            </w:tcBorders>
            <w:vAlign w:val="center"/>
          </w:tcPr>
          <w:p w14:paraId="2F5A938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予以警告，责令其改正，处7千元以上1万元以下的罚款。</w:t>
            </w:r>
          </w:p>
        </w:tc>
      </w:tr>
      <w:tr w14:paraId="669F6F5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40" w:hRule="atLeast"/>
          <w:jc w:val="center"/>
        </w:trPr>
        <w:tc>
          <w:tcPr>
            <w:tcW w:w="443" w:type="dxa"/>
            <w:gridSpan w:val="2"/>
            <w:vMerge w:val="continue"/>
            <w:tcBorders>
              <w:tl2br w:val="nil"/>
              <w:tr2bl w:val="nil"/>
            </w:tcBorders>
            <w:vAlign w:val="center"/>
          </w:tcPr>
          <w:p w14:paraId="6A07EAC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3BF60E91">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3B57467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vMerge w:val="continue"/>
            <w:tcBorders>
              <w:tl2br w:val="nil"/>
              <w:tr2bl w:val="nil"/>
            </w:tcBorders>
            <w:vAlign w:val="center"/>
          </w:tcPr>
          <w:p w14:paraId="2C3A2B0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3437" w:type="dxa"/>
            <w:gridSpan w:val="2"/>
            <w:tcBorders>
              <w:tl2br w:val="nil"/>
              <w:tr2bl w:val="nil"/>
            </w:tcBorders>
            <w:vAlign w:val="center"/>
          </w:tcPr>
          <w:p w14:paraId="1B11F73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（3）违法所得在3万元以上的。</w:t>
            </w:r>
          </w:p>
        </w:tc>
        <w:tc>
          <w:tcPr>
            <w:tcW w:w="3058" w:type="dxa"/>
            <w:tcBorders>
              <w:tl2br w:val="nil"/>
              <w:tr2bl w:val="nil"/>
            </w:tcBorders>
            <w:vAlign w:val="center"/>
          </w:tcPr>
          <w:p w14:paraId="676A137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予以警告，处以违法所得4倍以上但不超过3万元的罚款。</w:t>
            </w:r>
          </w:p>
        </w:tc>
      </w:tr>
      <w:tr w14:paraId="5ED7AA4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448" w:hRule="atLeast"/>
          <w:jc w:val="center"/>
        </w:trPr>
        <w:tc>
          <w:tcPr>
            <w:tcW w:w="443" w:type="dxa"/>
            <w:gridSpan w:val="2"/>
            <w:vMerge w:val="restart"/>
            <w:tcBorders>
              <w:tl2br w:val="nil"/>
              <w:tr2bl w:val="nil"/>
            </w:tcBorders>
            <w:vAlign w:val="center"/>
          </w:tcPr>
          <w:p w14:paraId="6B3FBC67">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Times New Roman"/>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51</w:t>
            </w:r>
          </w:p>
        </w:tc>
        <w:tc>
          <w:tcPr>
            <w:tcW w:w="1550" w:type="dxa"/>
            <w:vMerge w:val="restart"/>
            <w:tcBorders>
              <w:tl2br w:val="nil"/>
              <w:tr2bl w:val="nil"/>
            </w:tcBorders>
            <w:vAlign w:val="center"/>
          </w:tcPr>
          <w:p w14:paraId="6F8E656B">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恶意拖欠分包企业工程款或者劳务人员工资</w:t>
            </w:r>
          </w:p>
        </w:tc>
        <w:tc>
          <w:tcPr>
            <w:tcW w:w="4820" w:type="dxa"/>
            <w:vMerge w:val="restart"/>
            <w:tcBorders>
              <w:tl2br w:val="nil"/>
              <w:tr2bl w:val="nil"/>
            </w:tcBorders>
            <w:vAlign w:val="center"/>
          </w:tcPr>
          <w:p w14:paraId="371E9F94">
            <w:pPr>
              <w:keepNext w:val="0"/>
              <w:keepLines w:val="0"/>
              <w:pageBreakBefore w:val="0"/>
              <w:kinsoku/>
              <w:overflowPunct/>
              <w:topLinePunct w:val="0"/>
              <w:autoSpaceDE/>
              <w:autoSpaceDN/>
              <w:bidi w:val="0"/>
              <w:adjustRightInd/>
              <w:snapToGrid/>
              <w:spacing w:beforeAutospacing="0" w:afterAutospacing="0" w:line="260" w:lineRule="exact"/>
              <w:ind w:left="65" w:leftChars="0" w:right="0" w:rightChars="0" w:hanging="65" w:hangingChars="5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《建筑业企业资质管理规定》</w:t>
            </w:r>
            <w:r>
              <w:rPr>
                <w:rFonts w:hint="eastAsia" w:ascii="仿宋_GB2312" w:hAnsi="宋体" w:eastAsia="仿宋_GB2312"/>
                <w:b/>
                <w:bCs/>
                <w:color w:val="auto"/>
                <w:kern w:val="0"/>
                <w:sz w:val="13"/>
                <w:szCs w:val="13"/>
                <w:highlight w:val="none"/>
              </w:rPr>
              <w:t>第三十七条</w:t>
            </w:r>
            <w:r>
              <w:rPr>
                <w:rFonts w:hint="eastAsia" w:ascii="仿宋_GB2312" w:hAnsi="宋体" w:eastAsia="仿宋_GB2312"/>
                <w:b/>
                <w:bCs/>
                <w:color w:val="auto"/>
                <w:kern w:val="0"/>
                <w:sz w:val="13"/>
                <w:szCs w:val="13"/>
                <w:highlight w:val="none"/>
                <w:lang w:eastAsia="zh-CN"/>
              </w:rPr>
              <w:t>：</w:t>
            </w:r>
            <w:r>
              <w:rPr>
                <w:rFonts w:hint="eastAsia" w:ascii="仿宋_GB2312" w:hAnsi="宋体" w:eastAsia="仿宋_GB2312"/>
                <w:color w:val="auto"/>
                <w:kern w:val="0"/>
                <w:sz w:val="13"/>
                <w:szCs w:val="13"/>
                <w:highlight w:val="none"/>
              </w:rPr>
              <w:t>企业有本规定第二十三条行为之一，《中华人民共和国建筑法》、《建设工程质量管理条例》和其他有关法律、法规对处罚机关和处罚方式有规定的，依照法律、法规的规定执行；法律、法规未作规定的，由县级以上地方人民政府住房城乡建设主管部门或者其他有关部门给予警告，责令改正，并处1万元以上3万元以下的罚款。</w:t>
            </w:r>
          </w:p>
          <w:p w14:paraId="1F2A0FAA">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p w14:paraId="353640AE">
            <w:pPr>
              <w:keepNext w:val="0"/>
              <w:keepLines w:val="0"/>
              <w:pageBreakBefore w:val="0"/>
              <w:kinsoku/>
              <w:overflowPunct/>
              <w:topLinePunct w:val="0"/>
              <w:autoSpaceDE/>
              <w:autoSpaceDN/>
              <w:bidi w:val="0"/>
              <w:adjustRightInd/>
              <w:snapToGrid/>
              <w:spacing w:beforeAutospacing="0" w:afterAutospacing="0" w:line="260" w:lineRule="exact"/>
              <w:ind w:left="65" w:leftChars="0" w:right="0" w:rightChars="0" w:hanging="65" w:hangingChars="5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《建筑业企业资质管理规定》</w:t>
            </w:r>
            <w:r>
              <w:rPr>
                <w:rFonts w:hint="eastAsia" w:ascii="仿宋_GB2312" w:hAnsi="宋体" w:eastAsia="仿宋_GB2312"/>
                <w:b/>
                <w:bCs/>
                <w:color w:val="auto"/>
                <w:kern w:val="0"/>
                <w:sz w:val="13"/>
                <w:szCs w:val="13"/>
                <w:highlight w:val="none"/>
              </w:rPr>
              <w:t>第二十三条</w:t>
            </w:r>
            <w:r>
              <w:rPr>
                <w:rFonts w:hint="eastAsia" w:ascii="仿宋_GB2312" w:hAnsi="宋体" w:eastAsia="仿宋_GB2312"/>
                <w:b/>
                <w:bCs/>
                <w:color w:val="auto"/>
                <w:kern w:val="0"/>
                <w:sz w:val="13"/>
                <w:szCs w:val="13"/>
                <w:highlight w:val="none"/>
                <w:lang w:eastAsia="zh-CN"/>
              </w:rPr>
              <w:t>：</w:t>
            </w:r>
            <w:r>
              <w:rPr>
                <w:rFonts w:hint="eastAsia" w:ascii="仿宋_GB2312" w:hAnsi="宋体" w:eastAsia="仿宋_GB2312"/>
                <w:color w:val="auto"/>
                <w:kern w:val="0"/>
                <w:sz w:val="13"/>
                <w:szCs w:val="13"/>
                <w:highlight w:val="none"/>
              </w:rPr>
              <w:t>企业申请建筑业企业资质升级、资质增项，在申请之日起前一年至资质许可决定作出前，有下列情形之一的，资质许可机关不予批准其建筑业企业资质升级申请和增项申请：</w:t>
            </w:r>
          </w:p>
          <w:p w14:paraId="49508170">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（六）恶意拖欠分包企业工程款或者劳务人员工资的；</w:t>
            </w:r>
          </w:p>
        </w:tc>
        <w:tc>
          <w:tcPr>
            <w:tcW w:w="823" w:type="dxa"/>
            <w:tcBorders>
              <w:tl2br w:val="nil"/>
              <w:tr2bl w:val="nil"/>
            </w:tcBorders>
            <w:vAlign w:val="center"/>
          </w:tcPr>
          <w:p w14:paraId="493B305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vAlign w:val="center"/>
          </w:tcPr>
          <w:p w14:paraId="31F1309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初次违法，危害后果较轻的。</w:t>
            </w:r>
          </w:p>
        </w:tc>
        <w:tc>
          <w:tcPr>
            <w:tcW w:w="3058" w:type="dxa"/>
            <w:tcBorders>
              <w:tl2br w:val="nil"/>
              <w:tr2bl w:val="nil"/>
            </w:tcBorders>
            <w:vAlign w:val="center"/>
          </w:tcPr>
          <w:p w14:paraId="2EF1C9A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给予警告，责令改正，处1万元以上1.5万元以下的罚款。</w:t>
            </w:r>
          </w:p>
        </w:tc>
      </w:tr>
      <w:tr w14:paraId="2365B68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90" w:hRule="atLeast"/>
          <w:jc w:val="center"/>
        </w:trPr>
        <w:tc>
          <w:tcPr>
            <w:tcW w:w="443" w:type="dxa"/>
            <w:gridSpan w:val="2"/>
            <w:vMerge w:val="continue"/>
            <w:tcBorders>
              <w:tl2br w:val="nil"/>
              <w:tr2bl w:val="nil"/>
            </w:tcBorders>
            <w:vAlign w:val="center"/>
          </w:tcPr>
          <w:p w14:paraId="24C8237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475C7692">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1D7E111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823" w:type="dxa"/>
            <w:tcBorders>
              <w:tl2br w:val="nil"/>
              <w:tr2bl w:val="nil"/>
            </w:tcBorders>
            <w:vAlign w:val="center"/>
          </w:tcPr>
          <w:p w14:paraId="2CC4096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一般情节</w:t>
            </w:r>
          </w:p>
        </w:tc>
        <w:tc>
          <w:tcPr>
            <w:tcW w:w="3437" w:type="dxa"/>
            <w:gridSpan w:val="2"/>
            <w:tcBorders>
              <w:tl2br w:val="nil"/>
              <w:tr2bl w:val="nil"/>
            </w:tcBorders>
            <w:vAlign w:val="center"/>
          </w:tcPr>
          <w:p w14:paraId="056347D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不具有从轻、</w:t>
            </w:r>
            <w:r>
              <w:rPr>
                <w:rFonts w:hint="eastAsia" w:ascii="仿宋_GB2312" w:hAnsi="宋体" w:eastAsia="仿宋_GB2312"/>
                <w:color w:val="auto"/>
                <w:kern w:val="0"/>
                <w:sz w:val="13"/>
                <w:szCs w:val="13"/>
                <w:highlight w:val="none"/>
                <w:lang w:eastAsia="zh-CN"/>
              </w:rPr>
              <w:t>从重情节</w:t>
            </w:r>
            <w:r>
              <w:rPr>
                <w:rFonts w:hint="eastAsia" w:ascii="仿宋_GB2312" w:hAnsi="宋体" w:eastAsia="仿宋_GB2312"/>
                <w:color w:val="auto"/>
                <w:kern w:val="0"/>
                <w:sz w:val="13"/>
                <w:szCs w:val="13"/>
                <w:highlight w:val="none"/>
              </w:rPr>
              <w:t>的。</w:t>
            </w:r>
          </w:p>
        </w:tc>
        <w:tc>
          <w:tcPr>
            <w:tcW w:w="3058" w:type="dxa"/>
            <w:tcBorders>
              <w:tl2br w:val="nil"/>
              <w:tr2bl w:val="nil"/>
            </w:tcBorders>
            <w:vAlign w:val="center"/>
          </w:tcPr>
          <w:p w14:paraId="22CBD6D0">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给予警告，责令改正，处1.5万元以上2万元以下的罚款。</w:t>
            </w:r>
          </w:p>
        </w:tc>
      </w:tr>
      <w:tr w14:paraId="4657A8C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00" w:hRule="atLeast"/>
          <w:jc w:val="center"/>
        </w:trPr>
        <w:tc>
          <w:tcPr>
            <w:tcW w:w="443" w:type="dxa"/>
            <w:gridSpan w:val="2"/>
            <w:vMerge w:val="continue"/>
            <w:tcBorders>
              <w:tl2br w:val="nil"/>
              <w:tr2bl w:val="nil"/>
            </w:tcBorders>
            <w:vAlign w:val="center"/>
          </w:tcPr>
          <w:p w14:paraId="460B15C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1BCCE713">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527C2A6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823" w:type="dxa"/>
            <w:tcBorders>
              <w:tl2br w:val="nil"/>
              <w:tr2bl w:val="nil"/>
            </w:tcBorders>
            <w:vAlign w:val="center"/>
          </w:tcPr>
          <w:p w14:paraId="794D4EF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从重情节</w:t>
            </w:r>
          </w:p>
        </w:tc>
        <w:tc>
          <w:tcPr>
            <w:tcW w:w="3437" w:type="dxa"/>
            <w:gridSpan w:val="2"/>
            <w:tcBorders>
              <w:tl2br w:val="nil"/>
              <w:tr2bl w:val="nil"/>
            </w:tcBorders>
            <w:vAlign w:val="center"/>
          </w:tcPr>
          <w:p w14:paraId="113D85E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多次实施同类违法行为的</w:t>
            </w:r>
            <w:r>
              <w:rPr>
                <w:rFonts w:hint="eastAsia" w:ascii="仿宋_GB2312" w:hAnsi="宋体" w:eastAsia="仿宋_GB2312"/>
                <w:color w:val="auto"/>
                <w:kern w:val="0"/>
                <w:sz w:val="13"/>
                <w:szCs w:val="13"/>
                <w:highlight w:val="none"/>
                <w:lang w:eastAsia="zh-CN"/>
              </w:rPr>
              <w:t>，</w:t>
            </w:r>
            <w:r>
              <w:rPr>
                <w:rFonts w:hint="eastAsia" w:ascii="仿宋_GB2312" w:hAnsi="宋体" w:eastAsia="仿宋_GB2312"/>
                <w:color w:val="auto"/>
                <w:kern w:val="0"/>
                <w:sz w:val="13"/>
                <w:szCs w:val="13"/>
                <w:highlight w:val="none"/>
                <w:lang w:val="en-US" w:eastAsia="zh-CN"/>
              </w:rPr>
              <w:t>或</w:t>
            </w:r>
            <w:r>
              <w:rPr>
                <w:rFonts w:hint="eastAsia" w:ascii="仿宋_GB2312" w:hAnsi="宋体" w:eastAsia="仿宋_GB2312"/>
                <w:color w:val="auto"/>
                <w:kern w:val="0"/>
                <w:sz w:val="13"/>
                <w:szCs w:val="13"/>
                <w:highlight w:val="none"/>
              </w:rPr>
              <w:t>足以影响建设市场秩序和社会稳定的。</w:t>
            </w:r>
          </w:p>
        </w:tc>
        <w:tc>
          <w:tcPr>
            <w:tcW w:w="3058" w:type="dxa"/>
            <w:tcBorders>
              <w:tl2br w:val="nil"/>
              <w:tr2bl w:val="nil"/>
            </w:tcBorders>
            <w:vAlign w:val="center"/>
          </w:tcPr>
          <w:p w14:paraId="2802991A">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给予警告，责令改正，处2万元以上3万元以下的罚款。</w:t>
            </w:r>
          </w:p>
        </w:tc>
      </w:tr>
      <w:tr w14:paraId="2CEBA35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555" w:hRule="atLeast"/>
          <w:jc w:val="center"/>
        </w:trPr>
        <w:tc>
          <w:tcPr>
            <w:tcW w:w="443" w:type="dxa"/>
            <w:gridSpan w:val="2"/>
            <w:vMerge w:val="restart"/>
            <w:tcBorders>
              <w:tl2br w:val="nil"/>
              <w:tr2bl w:val="nil"/>
            </w:tcBorders>
            <w:vAlign w:val="center"/>
          </w:tcPr>
          <w:p w14:paraId="49615ACD">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Times New Roman"/>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52</w:t>
            </w:r>
          </w:p>
        </w:tc>
        <w:tc>
          <w:tcPr>
            <w:tcW w:w="1550" w:type="dxa"/>
            <w:vMerge w:val="restart"/>
            <w:tcBorders>
              <w:tl2br w:val="nil"/>
              <w:tr2bl w:val="nil"/>
            </w:tcBorders>
            <w:vAlign w:val="center"/>
          </w:tcPr>
          <w:p w14:paraId="0E305E1D">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伪造、变造、倒卖、出租、出借或者以其他形式非法转让建筑业企业资质证书</w:t>
            </w:r>
          </w:p>
        </w:tc>
        <w:tc>
          <w:tcPr>
            <w:tcW w:w="4820" w:type="dxa"/>
            <w:vMerge w:val="restart"/>
            <w:tcBorders>
              <w:tl2br w:val="nil"/>
              <w:tr2bl w:val="nil"/>
            </w:tcBorders>
            <w:vAlign w:val="center"/>
          </w:tcPr>
          <w:p w14:paraId="0FFE9E8F">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《建筑业企业资质管理规定》</w:t>
            </w:r>
            <w:r>
              <w:rPr>
                <w:rFonts w:hint="eastAsia" w:ascii="仿宋_GB2312" w:hAnsi="宋体" w:eastAsia="仿宋_GB2312"/>
                <w:b/>
                <w:bCs/>
                <w:color w:val="auto"/>
                <w:kern w:val="0"/>
                <w:sz w:val="13"/>
                <w:szCs w:val="13"/>
                <w:highlight w:val="none"/>
              </w:rPr>
              <w:t>第三十七条</w:t>
            </w:r>
            <w:r>
              <w:rPr>
                <w:rFonts w:hint="eastAsia" w:ascii="仿宋_GB2312" w:hAnsi="宋体" w:eastAsia="仿宋_GB2312"/>
                <w:b/>
                <w:bCs/>
                <w:color w:val="auto"/>
                <w:kern w:val="0"/>
                <w:sz w:val="13"/>
                <w:szCs w:val="13"/>
                <w:highlight w:val="none"/>
                <w:lang w:eastAsia="zh-CN"/>
              </w:rPr>
              <w:t>：</w:t>
            </w:r>
            <w:r>
              <w:rPr>
                <w:rFonts w:hint="eastAsia" w:ascii="仿宋_GB2312" w:hAnsi="宋体" w:eastAsia="仿宋_GB2312"/>
                <w:color w:val="auto"/>
                <w:kern w:val="0"/>
                <w:sz w:val="13"/>
                <w:szCs w:val="13"/>
                <w:highlight w:val="none"/>
              </w:rPr>
              <w:t>企业有本规定第二十三条行为之一，《中华人民共和国建筑法》、《建设工程质量管理条例》和其他有关法律、法规对处罚机关和处罚方式有规定的，依照法律、法规的规定执行；法律、法规未作规定的，由县级以上地方人民政府住房城乡建设主管部门或者其他有关部门给予警告，责令改正，并处1万元以上3万元以下的罚款。</w:t>
            </w:r>
          </w:p>
          <w:p w14:paraId="50EBF657">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《建筑业企业资质管理规定》</w:t>
            </w:r>
            <w:r>
              <w:rPr>
                <w:rFonts w:hint="eastAsia" w:ascii="仿宋_GB2312" w:hAnsi="宋体" w:eastAsia="仿宋_GB2312"/>
                <w:b/>
                <w:bCs/>
                <w:color w:val="auto"/>
                <w:kern w:val="0"/>
                <w:sz w:val="13"/>
                <w:szCs w:val="13"/>
                <w:highlight w:val="none"/>
              </w:rPr>
              <w:t>第二十三条</w:t>
            </w:r>
            <w:r>
              <w:rPr>
                <w:rFonts w:hint="eastAsia" w:ascii="仿宋_GB2312" w:hAnsi="宋体" w:eastAsia="仿宋_GB2312"/>
                <w:b/>
                <w:bCs/>
                <w:color w:val="auto"/>
                <w:kern w:val="0"/>
                <w:sz w:val="13"/>
                <w:szCs w:val="13"/>
                <w:highlight w:val="none"/>
                <w:lang w:eastAsia="zh-CN"/>
              </w:rPr>
              <w:t>：</w:t>
            </w:r>
            <w:r>
              <w:rPr>
                <w:rFonts w:hint="eastAsia" w:ascii="仿宋_GB2312" w:hAnsi="宋体" w:eastAsia="仿宋_GB2312"/>
                <w:color w:val="auto"/>
                <w:kern w:val="0"/>
                <w:sz w:val="13"/>
                <w:szCs w:val="13"/>
                <w:highlight w:val="none"/>
              </w:rPr>
              <w:t>企业申请建筑业企业资质升级、资质增项，在申请之日起前一年至资质许可决定作出前，有下列情形之一的，资质许可机关不予批准其建筑业企业资质升级申请和增项申请：</w:t>
            </w:r>
          </w:p>
          <w:p w14:paraId="113179CD">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95" w:firstLineChars="15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（十）伪造、变造、倒卖、出租、出借或者以其他形式非法转让建筑业企业资质证书的；</w:t>
            </w:r>
          </w:p>
        </w:tc>
        <w:tc>
          <w:tcPr>
            <w:tcW w:w="823" w:type="dxa"/>
            <w:tcBorders>
              <w:tl2br w:val="nil"/>
              <w:tr2bl w:val="nil"/>
            </w:tcBorders>
            <w:vAlign w:val="center"/>
          </w:tcPr>
          <w:p w14:paraId="6197B0F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vAlign w:val="center"/>
          </w:tcPr>
          <w:p w14:paraId="706E747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初次违法，危害后果较轻的。</w:t>
            </w:r>
          </w:p>
        </w:tc>
        <w:tc>
          <w:tcPr>
            <w:tcW w:w="3058" w:type="dxa"/>
            <w:tcBorders>
              <w:tl2br w:val="nil"/>
              <w:tr2bl w:val="nil"/>
            </w:tcBorders>
            <w:vAlign w:val="center"/>
          </w:tcPr>
          <w:p w14:paraId="6851F84B">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给予警告，责令改正，处1万元以上1.5万元以下的罚款。</w:t>
            </w:r>
          </w:p>
        </w:tc>
      </w:tr>
      <w:tr w14:paraId="716FB13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506" w:hRule="atLeast"/>
          <w:jc w:val="center"/>
        </w:trPr>
        <w:tc>
          <w:tcPr>
            <w:tcW w:w="443" w:type="dxa"/>
            <w:gridSpan w:val="2"/>
            <w:vMerge w:val="continue"/>
            <w:tcBorders>
              <w:tl2br w:val="nil"/>
              <w:tr2bl w:val="nil"/>
            </w:tcBorders>
            <w:vAlign w:val="center"/>
          </w:tcPr>
          <w:p w14:paraId="5408E60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1E228608">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6AAB3EB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823" w:type="dxa"/>
            <w:tcBorders>
              <w:tl2br w:val="nil"/>
              <w:tr2bl w:val="nil"/>
            </w:tcBorders>
            <w:vAlign w:val="center"/>
          </w:tcPr>
          <w:p w14:paraId="36DF8A3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一般情节</w:t>
            </w:r>
          </w:p>
        </w:tc>
        <w:tc>
          <w:tcPr>
            <w:tcW w:w="3437" w:type="dxa"/>
            <w:gridSpan w:val="2"/>
            <w:tcBorders>
              <w:tl2br w:val="nil"/>
              <w:tr2bl w:val="nil"/>
            </w:tcBorders>
            <w:vAlign w:val="center"/>
          </w:tcPr>
          <w:p w14:paraId="55B0387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不具有从轻、</w:t>
            </w:r>
            <w:r>
              <w:rPr>
                <w:rFonts w:hint="eastAsia" w:ascii="仿宋_GB2312" w:hAnsi="宋体" w:eastAsia="仿宋_GB2312"/>
                <w:color w:val="auto"/>
                <w:kern w:val="0"/>
                <w:sz w:val="13"/>
                <w:szCs w:val="13"/>
                <w:highlight w:val="none"/>
                <w:lang w:eastAsia="zh-CN"/>
              </w:rPr>
              <w:t>从重情节</w:t>
            </w:r>
            <w:r>
              <w:rPr>
                <w:rFonts w:hint="eastAsia" w:ascii="仿宋_GB2312" w:hAnsi="宋体" w:eastAsia="仿宋_GB2312"/>
                <w:color w:val="auto"/>
                <w:kern w:val="0"/>
                <w:sz w:val="13"/>
                <w:szCs w:val="13"/>
                <w:highlight w:val="none"/>
              </w:rPr>
              <w:t>的。</w:t>
            </w:r>
          </w:p>
        </w:tc>
        <w:tc>
          <w:tcPr>
            <w:tcW w:w="3058" w:type="dxa"/>
            <w:tcBorders>
              <w:tl2br w:val="nil"/>
              <w:tr2bl w:val="nil"/>
            </w:tcBorders>
            <w:vAlign w:val="center"/>
          </w:tcPr>
          <w:p w14:paraId="1224AE48">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给予警告，责令改正，处1.5万元以上2万元以下的罚款。</w:t>
            </w:r>
          </w:p>
        </w:tc>
      </w:tr>
      <w:tr w14:paraId="2345EA3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0" w:hRule="atLeast"/>
          <w:jc w:val="center"/>
        </w:trPr>
        <w:tc>
          <w:tcPr>
            <w:tcW w:w="443" w:type="dxa"/>
            <w:gridSpan w:val="2"/>
            <w:vMerge w:val="continue"/>
            <w:tcBorders>
              <w:tl2br w:val="nil"/>
              <w:tr2bl w:val="nil"/>
            </w:tcBorders>
            <w:vAlign w:val="center"/>
          </w:tcPr>
          <w:p w14:paraId="19BF22D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12F7EC9D">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0EB7E45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823" w:type="dxa"/>
            <w:tcBorders>
              <w:tl2br w:val="nil"/>
              <w:tr2bl w:val="nil"/>
            </w:tcBorders>
            <w:vAlign w:val="center"/>
          </w:tcPr>
          <w:p w14:paraId="0A8D4C9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从重情节</w:t>
            </w:r>
          </w:p>
        </w:tc>
        <w:tc>
          <w:tcPr>
            <w:tcW w:w="3437" w:type="dxa"/>
            <w:gridSpan w:val="2"/>
            <w:tcBorders>
              <w:tl2br w:val="nil"/>
              <w:tr2bl w:val="nil"/>
            </w:tcBorders>
            <w:vAlign w:val="center"/>
          </w:tcPr>
          <w:p w14:paraId="652B34F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多次实施同类违法行为的</w:t>
            </w:r>
            <w:r>
              <w:rPr>
                <w:rFonts w:hint="eastAsia" w:ascii="仿宋_GB2312" w:hAnsi="宋体" w:eastAsia="仿宋_GB2312"/>
                <w:color w:val="auto"/>
                <w:kern w:val="0"/>
                <w:sz w:val="13"/>
                <w:szCs w:val="13"/>
                <w:highlight w:val="none"/>
                <w:lang w:eastAsia="zh-CN"/>
              </w:rPr>
              <w:t>，</w:t>
            </w:r>
            <w:r>
              <w:rPr>
                <w:rFonts w:hint="eastAsia" w:ascii="仿宋_GB2312" w:hAnsi="宋体" w:eastAsia="仿宋_GB2312"/>
                <w:color w:val="auto"/>
                <w:kern w:val="0"/>
                <w:sz w:val="13"/>
                <w:szCs w:val="13"/>
                <w:highlight w:val="none"/>
                <w:lang w:val="en-US" w:eastAsia="zh-CN"/>
              </w:rPr>
              <w:t>或</w:t>
            </w:r>
            <w:r>
              <w:rPr>
                <w:rFonts w:hint="eastAsia" w:ascii="仿宋_GB2312" w:hAnsi="宋体" w:eastAsia="仿宋_GB2312"/>
                <w:color w:val="auto"/>
                <w:kern w:val="0"/>
                <w:sz w:val="13"/>
                <w:szCs w:val="13"/>
                <w:highlight w:val="none"/>
              </w:rPr>
              <w:t>足以影响建设市场秩序和社会稳定的。</w:t>
            </w:r>
          </w:p>
        </w:tc>
        <w:tc>
          <w:tcPr>
            <w:tcW w:w="3058" w:type="dxa"/>
            <w:tcBorders>
              <w:tl2br w:val="nil"/>
              <w:tr2bl w:val="nil"/>
            </w:tcBorders>
            <w:vAlign w:val="center"/>
          </w:tcPr>
          <w:p w14:paraId="56FF1BB5">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给予警告；责令改正，处2万元以上3万元以下的罚款。</w:t>
            </w:r>
          </w:p>
        </w:tc>
      </w:tr>
      <w:tr w14:paraId="358197E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89" w:hRule="atLeast"/>
          <w:jc w:val="center"/>
        </w:trPr>
        <w:tc>
          <w:tcPr>
            <w:tcW w:w="443" w:type="dxa"/>
            <w:gridSpan w:val="2"/>
            <w:vMerge w:val="restart"/>
            <w:tcBorders>
              <w:tl2br w:val="nil"/>
              <w:tr2bl w:val="nil"/>
            </w:tcBorders>
            <w:vAlign w:val="center"/>
          </w:tcPr>
          <w:p w14:paraId="2F9E9274">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Times New Roman"/>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53</w:t>
            </w:r>
          </w:p>
        </w:tc>
        <w:tc>
          <w:tcPr>
            <w:tcW w:w="1550" w:type="dxa"/>
            <w:vMerge w:val="restart"/>
            <w:tcBorders>
              <w:tl2br w:val="nil"/>
              <w:tr2bl w:val="nil"/>
            </w:tcBorders>
            <w:vAlign w:val="center"/>
          </w:tcPr>
          <w:p w14:paraId="164BE721">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p w14:paraId="1F7A38F7">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发生过较大以上质量安全事故或者发生过两起以上一般质量安全事故</w:t>
            </w:r>
          </w:p>
        </w:tc>
        <w:tc>
          <w:tcPr>
            <w:tcW w:w="4820" w:type="dxa"/>
            <w:vMerge w:val="restart"/>
            <w:tcBorders>
              <w:tl2br w:val="nil"/>
              <w:tr2bl w:val="nil"/>
            </w:tcBorders>
            <w:vAlign w:val="center"/>
          </w:tcPr>
          <w:p w14:paraId="6236C8D9">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《建筑业企业资质管理规定》</w:t>
            </w:r>
            <w:r>
              <w:rPr>
                <w:rFonts w:hint="eastAsia" w:ascii="仿宋_GB2312" w:hAnsi="宋体" w:eastAsia="仿宋_GB2312"/>
                <w:b/>
                <w:bCs/>
                <w:color w:val="auto"/>
                <w:kern w:val="0"/>
                <w:sz w:val="13"/>
                <w:szCs w:val="13"/>
                <w:highlight w:val="none"/>
              </w:rPr>
              <w:t>第三十七条</w:t>
            </w:r>
            <w:r>
              <w:rPr>
                <w:rFonts w:hint="eastAsia" w:ascii="仿宋_GB2312" w:hAnsi="宋体" w:eastAsia="仿宋_GB2312"/>
                <w:b/>
                <w:bCs/>
                <w:color w:val="auto"/>
                <w:kern w:val="0"/>
                <w:sz w:val="13"/>
                <w:szCs w:val="13"/>
                <w:highlight w:val="none"/>
                <w:lang w:eastAsia="zh-CN"/>
              </w:rPr>
              <w:t>：</w:t>
            </w:r>
            <w:r>
              <w:rPr>
                <w:rFonts w:hint="eastAsia" w:ascii="仿宋_GB2312" w:hAnsi="宋体" w:eastAsia="仿宋_GB2312"/>
                <w:color w:val="auto"/>
                <w:kern w:val="0"/>
                <w:sz w:val="13"/>
                <w:szCs w:val="13"/>
                <w:highlight w:val="none"/>
              </w:rPr>
              <w:t>企业有本规定第二十三条行为之一，《中华人民共和国建筑法》、《建设工程质量管理条例》和其他有关法律、法规对处罚机关和处罚方式有规定的，依照法律、法规的规定执行；法律、法规未作规定的，由县级以上地方人民政府住房城乡建设主管部门或者其他有关部门给予警告，责令改正，并处1万元以上3万元以下的罚款。</w:t>
            </w:r>
          </w:p>
          <w:p w14:paraId="524C64F1">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《建筑业企业资质管理规定》</w:t>
            </w:r>
            <w:r>
              <w:rPr>
                <w:rFonts w:hint="eastAsia" w:ascii="仿宋_GB2312" w:hAnsi="宋体" w:eastAsia="仿宋_GB2312"/>
                <w:b/>
                <w:bCs/>
                <w:color w:val="auto"/>
                <w:kern w:val="0"/>
                <w:sz w:val="13"/>
                <w:szCs w:val="13"/>
                <w:highlight w:val="none"/>
              </w:rPr>
              <w:t>第二十三条</w:t>
            </w:r>
            <w:r>
              <w:rPr>
                <w:rFonts w:hint="eastAsia" w:ascii="仿宋_GB2312" w:hAnsi="宋体" w:eastAsia="仿宋_GB2312"/>
                <w:b/>
                <w:bCs/>
                <w:color w:val="auto"/>
                <w:kern w:val="0"/>
                <w:sz w:val="13"/>
                <w:szCs w:val="13"/>
                <w:highlight w:val="none"/>
                <w:lang w:eastAsia="zh-CN"/>
              </w:rPr>
              <w:t>：</w:t>
            </w:r>
            <w:r>
              <w:rPr>
                <w:rFonts w:hint="eastAsia" w:ascii="仿宋_GB2312" w:hAnsi="宋体" w:eastAsia="仿宋_GB2312"/>
                <w:color w:val="auto"/>
                <w:kern w:val="0"/>
                <w:sz w:val="13"/>
                <w:szCs w:val="13"/>
                <w:highlight w:val="none"/>
              </w:rPr>
              <w:t>企业申请建筑业企业资质升级、资质增项，在申请之日起前一年至资质许可决定作出前，有下列情形之一的，资质许可机关不予批准其建筑业企业资质升级申请和增项申请：</w:t>
            </w:r>
          </w:p>
          <w:p w14:paraId="32DB12DD">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95" w:firstLineChars="15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（十一）发生过较大以上质量安全事故或者发生过两起以上一般质量安全事故的；</w:t>
            </w:r>
          </w:p>
        </w:tc>
        <w:tc>
          <w:tcPr>
            <w:tcW w:w="823" w:type="dxa"/>
            <w:tcBorders>
              <w:tl2br w:val="nil"/>
              <w:tr2bl w:val="nil"/>
            </w:tcBorders>
            <w:vAlign w:val="center"/>
          </w:tcPr>
          <w:p w14:paraId="01D505D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vAlign w:val="center"/>
          </w:tcPr>
          <w:p w14:paraId="5161935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发生过两起一般质量安全事故的。</w:t>
            </w:r>
          </w:p>
        </w:tc>
        <w:tc>
          <w:tcPr>
            <w:tcW w:w="3058" w:type="dxa"/>
            <w:tcBorders>
              <w:tl2br w:val="nil"/>
              <w:tr2bl w:val="nil"/>
            </w:tcBorders>
            <w:vAlign w:val="center"/>
          </w:tcPr>
          <w:p w14:paraId="7266410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给予警告，责令改正，处1万元</w:t>
            </w:r>
            <w:r>
              <w:rPr>
                <w:rFonts w:hint="eastAsia" w:ascii="仿宋_GB2312" w:hAnsi="宋体" w:eastAsia="仿宋_GB2312"/>
                <w:color w:val="auto"/>
                <w:kern w:val="0"/>
                <w:sz w:val="13"/>
                <w:szCs w:val="13"/>
                <w:highlight w:val="none"/>
                <w:lang w:val="en-US" w:eastAsia="zh-CN"/>
              </w:rPr>
              <w:t>以下</w:t>
            </w:r>
            <w:r>
              <w:rPr>
                <w:rFonts w:hint="eastAsia" w:ascii="仿宋_GB2312" w:hAnsi="宋体" w:eastAsia="仿宋_GB2312"/>
                <w:color w:val="auto"/>
                <w:kern w:val="0"/>
                <w:sz w:val="13"/>
                <w:szCs w:val="13"/>
                <w:highlight w:val="none"/>
              </w:rPr>
              <w:t>的罚款。</w:t>
            </w:r>
          </w:p>
        </w:tc>
      </w:tr>
      <w:tr w14:paraId="38A47D6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715" w:hRule="atLeast"/>
          <w:jc w:val="center"/>
        </w:trPr>
        <w:tc>
          <w:tcPr>
            <w:tcW w:w="443" w:type="dxa"/>
            <w:gridSpan w:val="2"/>
            <w:vMerge w:val="continue"/>
            <w:tcBorders>
              <w:tl2br w:val="nil"/>
              <w:tr2bl w:val="nil"/>
            </w:tcBorders>
            <w:vAlign w:val="center"/>
          </w:tcPr>
          <w:p w14:paraId="024D250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01B57B2C">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29033BBA">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tc>
        <w:tc>
          <w:tcPr>
            <w:tcW w:w="823" w:type="dxa"/>
            <w:tcBorders>
              <w:tl2br w:val="nil"/>
              <w:tr2bl w:val="nil"/>
            </w:tcBorders>
            <w:vAlign w:val="center"/>
          </w:tcPr>
          <w:p w14:paraId="7A8DE3C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一般情节</w:t>
            </w:r>
          </w:p>
          <w:p w14:paraId="7D314536">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center"/>
              <w:rPr>
                <w:rFonts w:ascii="黑体" w:hAnsi="黑体" w:eastAsia="黑体" w:cs="黑体"/>
                <w:color w:val="auto"/>
                <w:kern w:val="0"/>
                <w:sz w:val="13"/>
                <w:szCs w:val="13"/>
                <w:highlight w:val="none"/>
              </w:rPr>
            </w:pPr>
          </w:p>
        </w:tc>
        <w:tc>
          <w:tcPr>
            <w:tcW w:w="3437" w:type="dxa"/>
            <w:gridSpan w:val="2"/>
            <w:tcBorders>
              <w:tl2br w:val="nil"/>
              <w:tr2bl w:val="nil"/>
            </w:tcBorders>
            <w:vAlign w:val="center"/>
          </w:tcPr>
          <w:p w14:paraId="1418DD4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发生过三起一般质量安全事故的。</w:t>
            </w:r>
          </w:p>
          <w:p w14:paraId="32AFFD4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p>
        </w:tc>
        <w:tc>
          <w:tcPr>
            <w:tcW w:w="3058" w:type="dxa"/>
            <w:tcBorders>
              <w:tl2br w:val="nil"/>
              <w:tr2bl w:val="nil"/>
            </w:tcBorders>
            <w:vAlign w:val="center"/>
          </w:tcPr>
          <w:p w14:paraId="220BA72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给予警告，责令改正，处1万元以上2万元以下的罚款。</w:t>
            </w:r>
          </w:p>
        </w:tc>
      </w:tr>
      <w:tr w14:paraId="13BC54A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00" w:hRule="atLeast"/>
          <w:jc w:val="center"/>
        </w:trPr>
        <w:tc>
          <w:tcPr>
            <w:tcW w:w="443" w:type="dxa"/>
            <w:gridSpan w:val="2"/>
            <w:vMerge w:val="continue"/>
            <w:tcBorders>
              <w:tl2br w:val="nil"/>
              <w:tr2bl w:val="nil"/>
            </w:tcBorders>
            <w:vAlign w:val="center"/>
          </w:tcPr>
          <w:p w14:paraId="081C920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1755E220">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533D787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tcBorders>
              <w:tl2br w:val="nil"/>
              <w:tr2bl w:val="nil"/>
            </w:tcBorders>
            <w:vAlign w:val="center"/>
          </w:tcPr>
          <w:p w14:paraId="474744A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从重情节</w:t>
            </w:r>
          </w:p>
        </w:tc>
        <w:tc>
          <w:tcPr>
            <w:tcW w:w="3437" w:type="dxa"/>
            <w:gridSpan w:val="2"/>
            <w:tcBorders>
              <w:tl2br w:val="nil"/>
              <w:tr2bl w:val="nil"/>
            </w:tcBorders>
            <w:vAlign w:val="center"/>
          </w:tcPr>
          <w:p w14:paraId="3CB212B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发生过三起以上一般质量安全事故或较大以上质量安全事故的。</w:t>
            </w:r>
          </w:p>
        </w:tc>
        <w:tc>
          <w:tcPr>
            <w:tcW w:w="3058" w:type="dxa"/>
            <w:tcBorders>
              <w:tl2br w:val="nil"/>
              <w:tr2bl w:val="nil"/>
            </w:tcBorders>
            <w:vAlign w:val="center"/>
          </w:tcPr>
          <w:p w14:paraId="619C533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给予警告，责令改正，处2万元以上3万元以下的罚款。</w:t>
            </w:r>
          </w:p>
        </w:tc>
      </w:tr>
      <w:tr w14:paraId="020CB28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513" w:hRule="atLeast"/>
          <w:jc w:val="center"/>
        </w:trPr>
        <w:tc>
          <w:tcPr>
            <w:tcW w:w="443" w:type="dxa"/>
            <w:gridSpan w:val="2"/>
            <w:vMerge w:val="restart"/>
            <w:tcBorders>
              <w:tl2br w:val="nil"/>
              <w:tr2bl w:val="nil"/>
            </w:tcBorders>
            <w:vAlign w:val="center"/>
          </w:tcPr>
          <w:p w14:paraId="47B752EC">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Times New Roman"/>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54</w:t>
            </w:r>
          </w:p>
        </w:tc>
        <w:tc>
          <w:tcPr>
            <w:tcW w:w="1550" w:type="dxa"/>
            <w:vMerge w:val="restart"/>
            <w:tcBorders>
              <w:tl2br w:val="nil"/>
              <w:tr2bl w:val="nil"/>
            </w:tcBorders>
            <w:vAlign w:val="center"/>
          </w:tcPr>
          <w:p w14:paraId="55327429">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p>
          <w:p w14:paraId="0538A3B6">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p>
          <w:p w14:paraId="2AEA5EDE">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企业申请建筑业企业资质升级、资质增项，在申请之日起前一年至资质许可决定作出前有其它违反法律、法规的行为</w:t>
            </w:r>
          </w:p>
        </w:tc>
        <w:tc>
          <w:tcPr>
            <w:tcW w:w="4820" w:type="dxa"/>
            <w:vMerge w:val="restart"/>
            <w:tcBorders>
              <w:tl2br w:val="nil"/>
              <w:tr2bl w:val="nil"/>
            </w:tcBorders>
            <w:vAlign w:val="center"/>
          </w:tcPr>
          <w:p w14:paraId="66C4B7FB">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p w14:paraId="19493F4A">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《建筑业企业资质管理规定》</w:t>
            </w:r>
            <w:r>
              <w:rPr>
                <w:rFonts w:hint="eastAsia" w:ascii="仿宋_GB2312" w:hAnsi="宋体" w:eastAsia="仿宋_GB2312"/>
                <w:b/>
                <w:bCs/>
                <w:color w:val="auto"/>
                <w:kern w:val="0"/>
                <w:sz w:val="13"/>
                <w:szCs w:val="13"/>
                <w:highlight w:val="none"/>
              </w:rPr>
              <w:t>第三十七条</w:t>
            </w:r>
            <w:r>
              <w:rPr>
                <w:rFonts w:hint="eastAsia" w:ascii="仿宋_GB2312" w:hAnsi="宋体" w:eastAsia="仿宋_GB2312"/>
                <w:b/>
                <w:bCs/>
                <w:color w:val="auto"/>
                <w:kern w:val="0"/>
                <w:sz w:val="13"/>
                <w:szCs w:val="13"/>
                <w:highlight w:val="none"/>
                <w:lang w:eastAsia="zh-CN"/>
              </w:rPr>
              <w:t>：</w:t>
            </w:r>
            <w:r>
              <w:rPr>
                <w:rFonts w:hint="eastAsia" w:ascii="仿宋_GB2312" w:hAnsi="宋体" w:eastAsia="仿宋_GB2312"/>
                <w:color w:val="auto"/>
                <w:kern w:val="0"/>
                <w:sz w:val="13"/>
                <w:szCs w:val="13"/>
                <w:highlight w:val="none"/>
              </w:rPr>
              <w:t>企业有本规定第二十三条行为之一，《中华人民共和国建筑法》、《建设工程质量管理条例》和其他有关法律、法规对处罚机关和处罚方式有规定的，依照法律、法规的规定执行；法律、法规未作规定的，由县级以上地方人民政府住房城乡建设主管部门或者其他有关部门给予警告，责令改正，并处1万元以上3万元以下的罚款。</w:t>
            </w:r>
          </w:p>
          <w:p w14:paraId="3EC820A9">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《建筑业企业资质管理规定》</w:t>
            </w:r>
            <w:r>
              <w:rPr>
                <w:rFonts w:hint="eastAsia" w:ascii="仿宋_GB2312" w:hAnsi="宋体" w:eastAsia="仿宋_GB2312"/>
                <w:b/>
                <w:bCs/>
                <w:color w:val="auto"/>
                <w:kern w:val="0"/>
                <w:sz w:val="13"/>
                <w:szCs w:val="13"/>
                <w:highlight w:val="none"/>
              </w:rPr>
              <w:t>第二十三条</w:t>
            </w:r>
            <w:r>
              <w:rPr>
                <w:rFonts w:hint="eastAsia" w:ascii="仿宋_GB2312" w:hAnsi="宋体" w:eastAsia="仿宋_GB2312"/>
                <w:b/>
                <w:bCs/>
                <w:color w:val="auto"/>
                <w:kern w:val="0"/>
                <w:sz w:val="13"/>
                <w:szCs w:val="13"/>
                <w:highlight w:val="none"/>
                <w:lang w:eastAsia="zh-CN"/>
              </w:rPr>
              <w:t>：</w:t>
            </w:r>
            <w:r>
              <w:rPr>
                <w:rFonts w:hint="eastAsia" w:ascii="仿宋_GB2312" w:hAnsi="宋体" w:eastAsia="仿宋_GB2312"/>
                <w:color w:val="auto"/>
                <w:kern w:val="0"/>
                <w:sz w:val="13"/>
                <w:szCs w:val="13"/>
                <w:highlight w:val="none"/>
              </w:rPr>
              <w:t>企业申请建筑业企业资质升级、资质增项，在申请之日起前一年至资质许可决定作出前，有下列情形之一的，资质许可机关不予批准其建筑业企业资质升级申请和增项申请：</w:t>
            </w:r>
          </w:p>
          <w:p w14:paraId="651699AE">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95" w:firstLineChars="15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（十二）其它违反法律、法规的行为。</w:t>
            </w:r>
          </w:p>
        </w:tc>
        <w:tc>
          <w:tcPr>
            <w:tcW w:w="823" w:type="dxa"/>
            <w:tcBorders>
              <w:tl2br w:val="nil"/>
              <w:tr2bl w:val="nil"/>
            </w:tcBorders>
            <w:vAlign w:val="center"/>
          </w:tcPr>
          <w:p w14:paraId="523E381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vAlign w:val="center"/>
          </w:tcPr>
          <w:p w14:paraId="07E4202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初次违法，危害后果轻微，主动消除或减轻违法行为危害后果的。</w:t>
            </w:r>
          </w:p>
        </w:tc>
        <w:tc>
          <w:tcPr>
            <w:tcW w:w="3058" w:type="dxa"/>
            <w:tcBorders>
              <w:tl2br w:val="nil"/>
              <w:tr2bl w:val="nil"/>
            </w:tcBorders>
            <w:vAlign w:val="center"/>
          </w:tcPr>
          <w:p w14:paraId="48F0945D">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给予警告，责令改正，处1万元的罚款。</w:t>
            </w:r>
          </w:p>
        </w:tc>
      </w:tr>
      <w:tr w14:paraId="16C9F10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680" w:hRule="atLeast"/>
          <w:jc w:val="center"/>
        </w:trPr>
        <w:tc>
          <w:tcPr>
            <w:tcW w:w="443" w:type="dxa"/>
            <w:gridSpan w:val="2"/>
            <w:vMerge w:val="continue"/>
            <w:tcBorders>
              <w:tl2br w:val="nil"/>
              <w:tr2bl w:val="nil"/>
            </w:tcBorders>
            <w:vAlign w:val="center"/>
          </w:tcPr>
          <w:p w14:paraId="4EF6C4A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3CF9BB63">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68F6C35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tcBorders>
              <w:tl2br w:val="nil"/>
              <w:tr2bl w:val="nil"/>
            </w:tcBorders>
            <w:vAlign w:val="center"/>
          </w:tcPr>
          <w:p w14:paraId="3DA97E1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一般情节</w:t>
            </w:r>
          </w:p>
        </w:tc>
        <w:tc>
          <w:tcPr>
            <w:tcW w:w="3437" w:type="dxa"/>
            <w:gridSpan w:val="2"/>
            <w:tcBorders>
              <w:tl2br w:val="nil"/>
              <w:tr2bl w:val="nil"/>
            </w:tcBorders>
            <w:vAlign w:val="center"/>
          </w:tcPr>
          <w:p w14:paraId="3811EAF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不具有从轻、</w:t>
            </w:r>
            <w:r>
              <w:rPr>
                <w:rFonts w:hint="eastAsia" w:ascii="仿宋_GB2312" w:hAnsi="宋体" w:eastAsia="仿宋_GB2312"/>
                <w:color w:val="auto"/>
                <w:kern w:val="0"/>
                <w:sz w:val="13"/>
                <w:szCs w:val="13"/>
                <w:highlight w:val="none"/>
                <w:lang w:eastAsia="zh-CN"/>
              </w:rPr>
              <w:t>从重情节</w:t>
            </w:r>
            <w:r>
              <w:rPr>
                <w:rFonts w:hint="eastAsia" w:ascii="仿宋_GB2312" w:hAnsi="宋体" w:eastAsia="仿宋_GB2312"/>
                <w:color w:val="auto"/>
                <w:kern w:val="0"/>
                <w:sz w:val="13"/>
                <w:szCs w:val="13"/>
                <w:highlight w:val="none"/>
              </w:rPr>
              <w:t>的。</w:t>
            </w:r>
          </w:p>
        </w:tc>
        <w:tc>
          <w:tcPr>
            <w:tcW w:w="3058" w:type="dxa"/>
            <w:tcBorders>
              <w:tl2br w:val="nil"/>
              <w:tr2bl w:val="nil"/>
            </w:tcBorders>
            <w:vAlign w:val="center"/>
          </w:tcPr>
          <w:p w14:paraId="70EE92F2">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给予警告，责令改正，处1万元以上2万元以下的罚款。</w:t>
            </w:r>
          </w:p>
        </w:tc>
      </w:tr>
      <w:tr w14:paraId="2BCED86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010" w:hRule="atLeast"/>
          <w:jc w:val="center"/>
        </w:trPr>
        <w:tc>
          <w:tcPr>
            <w:tcW w:w="443" w:type="dxa"/>
            <w:gridSpan w:val="2"/>
            <w:vMerge w:val="continue"/>
            <w:tcBorders>
              <w:tl2br w:val="nil"/>
              <w:tr2bl w:val="nil"/>
            </w:tcBorders>
            <w:vAlign w:val="center"/>
          </w:tcPr>
          <w:p w14:paraId="703AC3F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4EC2AF54">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759D527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tcBorders>
              <w:tl2br w:val="nil"/>
              <w:tr2bl w:val="nil"/>
            </w:tcBorders>
            <w:vAlign w:val="center"/>
          </w:tcPr>
          <w:p w14:paraId="719C8B2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从重情节</w:t>
            </w:r>
          </w:p>
        </w:tc>
        <w:tc>
          <w:tcPr>
            <w:tcW w:w="3437" w:type="dxa"/>
            <w:gridSpan w:val="2"/>
            <w:tcBorders>
              <w:tl2br w:val="nil"/>
              <w:tr2bl w:val="nil"/>
            </w:tcBorders>
            <w:vAlign w:val="center"/>
          </w:tcPr>
          <w:p w14:paraId="5689971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lang w:val="en-US" w:eastAsia="zh-CN"/>
              </w:rPr>
              <w:t>有下列情形之一的：</w:t>
            </w:r>
            <w:r>
              <w:rPr>
                <w:rFonts w:hint="eastAsia" w:ascii="仿宋_GB2312" w:hAnsi="宋体" w:eastAsia="仿宋_GB2312"/>
                <w:color w:val="auto"/>
                <w:kern w:val="0"/>
                <w:sz w:val="13"/>
                <w:szCs w:val="13"/>
                <w:highlight w:val="none"/>
              </w:rPr>
              <w:t>（1）经责令改正后，逾期未改正的；</w:t>
            </w:r>
          </w:p>
          <w:p w14:paraId="6271154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（2）曾因该违法行为被依法查处，再次实施该违法行为的；</w:t>
            </w:r>
          </w:p>
          <w:p w14:paraId="4B9D64B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（3）造成工程质量事故的；</w:t>
            </w:r>
          </w:p>
          <w:p w14:paraId="5810825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（4）经有关部门确认，存在商业贿赂情形的；</w:t>
            </w:r>
          </w:p>
          <w:p w14:paraId="725531B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（5）其他依法应予从重处罚的情形。</w:t>
            </w:r>
          </w:p>
        </w:tc>
        <w:tc>
          <w:tcPr>
            <w:tcW w:w="3058" w:type="dxa"/>
            <w:tcBorders>
              <w:tl2br w:val="nil"/>
              <w:tr2bl w:val="nil"/>
            </w:tcBorders>
            <w:vAlign w:val="center"/>
          </w:tcPr>
          <w:p w14:paraId="57A56243">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给予警告，责令改正，处2万元以上3万元以下的罚款。</w:t>
            </w:r>
          </w:p>
        </w:tc>
      </w:tr>
      <w:tr w14:paraId="55079D7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90" w:hRule="atLeast"/>
          <w:jc w:val="center"/>
        </w:trPr>
        <w:tc>
          <w:tcPr>
            <w:tcW w:w="443" w:type="dxa"/>
            <w:gridSpan w:val="2"/>
            <w:vMerge w:val="restart"/>
            <w:tcBorders>
              <w:tl2br w:val="nil"/>
              <w:tr2bl w:val="nil"/>
            </w:tcBorders>
            <w:vAlign w:val="center"/>
          </w:tcPr>
          <w:p w14:paraId="4CEA17CC">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Times New Roman"/>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55</w:t>
            </w:r>
          </w:p>
        </w:tc>
        <w:tc>
          <w:tcPr>
            <w:tcW w:w="1550" w:type="dxa"/>
            <w:vMerge w:val="restart"/>
            <w:tcBorders>
              <w:tl2br w:val="nil"/>
              <w:tr2bl w:val="nil"/>
            </w:tcBorders>
            <w:vAlign w:val="center"/>
          </w:tcPr>
          <w:p w14:paraId="7E7A4E62">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lang w:val="en-US" w:eastAsia="zh-CN"/>
              </w:rPr>
            </w:pPr>
            <w:r>
              <w:rPr>
                <w:rFonts w:hint="eastAsia" w:ascii="仿宋_GB2312" w:hAnsi="宋体" w:eastAsia="仿宋_GB2312"/>
                <w:color w:val="auto"/>
                <w:kern w:val="0"/>
                <w:sz w:val="13"/>
                <w:szCs w:val="13"/>
                <w:highlight w:val="none"/>
              </w:rPr>
              <w:t>企业未按照本规定及时办理建筑业企业资质证书变更手续，责令限期办理且逾期不办理</w:t>
            </w:r>
          </w:p>
        </w:tc>
        <w:tc>
          <w:tcPr>
            <w:tcW w:w="4820" w:type="dxa"/>
            <w:vMerge w:val="restart"/>
            <w:tcBorders>
              <w:tl2br w:val="nil"/>
              <w:tr2bl w:val="nil"/>
            </w:tcBorders>
            <w:vAlign w:val="center"/>
          </w:tcPr>
          <w:p w14:paraId="6090CD13">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《建筑业企业资质管理规定》</w:t>
            </w:r>
            <w:r>
              <w:rPr>
                <w:rFonts w:hint="eastAsia" w:ascii="仿宋_GB2312" w:hAnsi="宋体" w:eastAsia="仿宋_GB2312"/>
                <w:b/>
                <w:bCs/>
                <w:color w:val="auto"/>
                <w:kern w:val="0"/>
                <w:sz w:val="13"/>
                <w:szCs w:val="13"/>
                <w:highlight w:val="none"/>
              </w:rPr>
              <w:t>第三十八条</w:t>
            </w:r>
            <w:r>
              <w:rPr>
                <w:rFonts w:hint="eastAsia" w:ascii="仿宋_GB2312" w:hAnsi="宋体" w:eastAsia="仿宋_GB2312"/>
                <w:b/>
                <w:bCs/>
                <w:color w:val="auto"/>
                <w:kern w:val="0"/>
                <w:sz w:val="13"/>
                <w:szCs w:val="13"/>
                <w:highlight w:val="none"/>
                <w:lang w:eastAsia="zh-CN"/>
              </w:rPr>
              <w:t>：</w:t>
            </w:r>
            <w:r>
              <w:rPr>
                <w:rFonts w:hint="eastAsia" w:ascii="仿宋_GB2312" w:hAnsi="宋体" w:eastAsia="仿宋_GB2312"/>
                <w:color w:val="auto"/>
                <w:kern w:val="0"/>
                <w:sz w:val="13"/>
                <w:szCs w:val="13"/>
                <w:highlight w:val="none"/>
              </w:rPr>
              <w:t>企业未按照本规定及时办理建筑业企业资质证书变更手续的，由县级以上地方人民政府住房城乡建设主管部门责令限期办理；逾期不办理的，可处以1000元以上1万元以下的罚款。</w:t>
            </w:r>
          </w:p>
        </w:tc>
        <w:tc>
          <w:tcPr>
            <w:tcW w:w="823" w:type="dxa"/>
            <w:tcBorders>
              <w:tl2br w:val="nil"/>
              <w:tr2bl w:val="nil"/>
            </w:tcBorders>
            <w:vAlign w:val="center"/>
          </w:tcPr>
          <w:p w14:paraId="7492035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vAlign w:val="center"/>
          </w:tcPr>
          <w:p w14:paraId="790BF26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初次违法，危害后果轻微，主动消除或减轻违法行为危害后果的。</w:t>
            </w:r>
          </w:p>
        </w:tc>
        <w:tc>
          <w:tcPr>
            <w:tcW w:w="3058" w:type="dxa"/>
            <w:tcBorders>
              <w:tl2br w:val="nil"/>
              <w:tr2bl w:val="nil"/>
            </w:tcBorders>
            <w:vAlign w:val="center"/>
          </w:tcPr>
          <w:p w14:paraId="78D1C9E5">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处以1千元以上4千元以下的罚款。</w:t>
            </w:r>
          </w:p>
        </w:tc>
      </w:tr>
      <w:tr w14:paraId="35419F5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90" w:hRule="atLeast"/>
          <w:jc w:val="center"/>
        </w:trPr>
        <w:tc>
          <w:tcPr>
            <w:tcW w:w="443" w:type="dxa"/>
            <w:gridSpan w:val="2"/>
            <w:vMerge w:val="continue"/>
            <w:tcBorders>
              <w:tl2br w:val="nil"/>
              <w:tr2bl w:val="nil"/>
            </w:tcBorders>
            <w:vAlign w:val="center"/>
          </w:tcPr>
          <w:p w14:paraId="262BE61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2EA6AB40">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0F7E10B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823" w:type="dxa"/>
            <w:tcBorders>
              <w:tl2br w:val="nil"/>
              <w:tr2bl w:val="nil"/>
            </w:tcBorders>
            <w:vAlign w:val="center"/>
          </w:tcPr>
          <w:p w14:paraId="7D9DC42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一般情节</w:t>
            </w:r>
          </w:p>
        </w:tc>
        <w:tc>
          <w:tcPr>
            <w:tcW w:w="3437" w:type="dxa"/>
            <w:gridSpan w:val="2"/>
            <w:tcBorders>
              <w:tl2br w:val="nil"/>
              <w:tr2bl w:val="nil"/>
            </w:tcBorders>
            <w:vAlign w:val="center"/>
          </w:tcPr>
          <w:p w14:paraId="7E0A3AB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不具有从轻、</w:t>
            </w:r>
            <w:r>
              <w:rPr>
                <w:rFonts w:hint="eastAsia" w:ascii="仿宋_GB2312" w:hAnsi="宋体" w:eastAsia="仿宋_GB2312"/>
                <w:color w:val="auto"/>
                <w:kern w:val="0"/>
                <w:sz w:val="13"/>
                <w:szCs w:val="13"/>
                <w:highlight w:val="none"/>
                <w:lang w:eastAsia="zh-CN"/>
              </w:rPr>
              <w:t>从重情节</w:t>
            </w:r>
            <w:r>
              <w:rPr>
                <w:rFonts w:hint="eastAsia" w:ascii="仿宋_GB2312" w:hAnsi="宋体" w:eastAsia="仿宋_GB2312"/>
                <w:color w:val="auto"/>
                <w:kern w:val="0"/>
                <w:sz w:val="13"/>
                <w:szCs w:val="13"/>
                <w:highlight w:val="none"/>
              </w:rPr>
              <w:t>的。</w:t>
            </w:r>
          </w:p>
        </w:tc>
        <w:tc>
          <w:tcPr>
            <w:tcW w:w="3058" w:type="dxa"/>
            <w:tcBorders>
              <w:tl2br w:val="nil"/>
              <w:tr2bl w:val="nil"/>
            </w:tcBorders>
            <w:vAlign w:val="center"/>
          </w:tcPr>
          <w:p w14:paraId="75975E6B">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处以4千元以上7千元以下的罚款。</w:t>
            </w:r>
          </w:p>
        </w:tc>
      </w:tr>
      <w:tr w14:paraId="6F8A04A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629" w:hRule="atLeast"/>
          <w:jc w:val="center"/>
        </w:trPr>
        <w:tc>
          <w:tcPr>
            <w:tcW w:w="443" w:type="dxa"/>
            <w:gridSpan w:val="2"/>
            <w:vMerge w:val="continue"/>
            <w:tcBorders>
              <w:tl2br w:val="nil"/>
              <w:tr2bl w:val="nil"/>
            </w:tcBorders>
            <w:vAlign w:val="center"/>
          </w:tcPr>
          <w:p w14:paraId="2911408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03AD58D1">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10144D3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823" w:type="dxa"/>
            <w:tcBorders>
              <w:tl2br w:val="nil"/>
              <w:tr2bl w:val="nil"/>
            </w:tcBorders>
            <w:vAlign w:val="center"/>
          </w:tcPr>
          <w:p w14:paraId="6D758BB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从重情节</w:t>
            </w:r>
          </w:p>
        </w:tc>
        <w:tc>
          <w:tcPr>
            <w:tcW w:w="3437" w:type="dxa"/>
            <w:gridSpan w:val="2"/>
            <w:tcBorders>
              <w:tl2br w:val="nil"/>
              <w:tr2bl w:val="nil"/>
            </w:tcBorders>
            <w:vAlign w:val="center"/>
          </w:tcPr>
          <w:p w14:paraId="4805A01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lang w:val="en-US" w:eastAsia="zh-CN"/>
              </w:rPr>
              <w:t>有下列情形之一的：</w:t>
            </w:r>
            <w:r>
              <w:rPr>
                <w:rFonts w:hint="eastAsia" w:ascii="仿宋_GB2312" w:hAnsi="宋体" w:eastAsia="仿宋_GB2312"/>
                <w:color w:val="auto"/>
                <w:kern w:val="0"/>
                <w:sz w:val="13"/>
                <w:szCs w:val="13"/>
                <w:highlight w:val="none"/>
              </w:rPr>
              <w:t>（1）经责令改正后，逾期未改正的；</w:t>
            </w:r>
          </w:p>
          <w:p w14:paraId="19D5922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（2）曾因该违法行为被依法查处，再次实施该违法行为的；</w:t>
            </w:r>
          </w:p>
          <w:p w14:paraId="574C505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（3）造成工程质量事故的；</w:t>
            </w:r>
          </w:p>
          <w:p w14:paraId="0236D56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（4）经有关部门确认，存在商业贿赂情形的；</w:t>
            </w:r>
          </w:p>
          <w:p w14:paraId="290A75A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（5）其他依法应予从重处罚的情形。</w:t>
            </w:r>
          </w:p>
        </w:tc>
        <w:tc>
          <w:tcPr>
            <w:tcW w:w="3058" w:type="dxa"/>
            <w:tcBorders>
              <w:tl2br w:val="nil"/>
              <w:tr2bl w:val="nil"/>
            </w:tcBorders>
            <w:vAlign w:val="center"/>
          </w:tcPr>
          <w:p w14:paraId="766E1020">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处以7千元以上1万元以下的罚款。</w:t>
            </w:r>
          </w:p>
        </w:tc>
      </w:tr>
      <w:tr w14:paraId="4D40D9D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0" w:hRule="atLeast"/>
          <w:jc w:val="center"/>
        </w:trPr>
        <w:tc>
          <w:tcPr>
            <w:tcW w:w="443" w:type="dxa"/>
            <w:gridSpan w:val="2"/>
            <w:vMerge w:val="restart"/>
            <w:tcBorders>
              <w:tl2br w:val="nil"/>
              <w:tr2bl w:val="nil"/>
            </w:tcBorders>
            <w:vAlign w:val="center"/>
          </w:tcPr>
          <w:p w14:paraId="58390145">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Times New Roman"/>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56</w:t>
            </w:r>
          </w:p>
        </w:tc>
        <w:tc>
          <w:tcPr>
            <w:tcW w:w="1550" w:type="dxa"/>
            <w:vMerge w:val="restart"/>
            <w:tcBorders>
              <w:tl2br w:val="nil"/>
              <w:tr2bl w:val="nil"/>
            </w:tcBorders>
            <w:vAlign w:val="center"/>
          </w:tcPr>
          <w:p w14:paraId="4267B97B">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lang w:val="en-US" w:eastAsia="zh-CN"/>
              </w:rPr>
            </w:pPr>
            <w:r>
              <w:rPr>
                <w:rFonts w:hint="eastAsia" w:ascii="仿宋_GB2312" w:hAnsi="宋体" w:eastAsia="仿宋_GB2312"/>
                <w:color w:val="auto"/>
                <w:kern w:val="0"/>
                <w:sz w:val="13"/>
                <w:szCs w:val="13"/>
                <w:highlight w:val="none"/>
              </w:rPr>
              <w:t>企业在接受监督检查时，不如实提供有关材料，或者拒绝、阻碍监督检查</w:t>
            </w:r>
          </w:p>
        </w:tc>
        <w:tc>
          <w:tcPr>
            <w:tcW w:w="4820" w:type="dxa"/>
            <w:vMerge w:val="restart"/>
            <w:tcBorders>
              <w:tl2br w:val="nil"/>
              <w:tr2bl w:val="nil"/>
            </w:tcBorders>
            <w:vAlign w:val="center"/>
          </w:tcPr>
          <w:p w14:paraId="04C0EBAD">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《建筑业企业资质管理规定》</w:t>
            </w:r>
            <w:r>
              <w:rPr>
                <w:rFonts w:hint="eastAsia" w:ascii="仿宋_GB2312" w:hAnsi="宋体" w:eastAsia="仿宋_GB2312"/>
                <w:b/>
                <w:bCs/>
                <w:color w:val="auto"/>
                <w:kern w:val="0"/>
                <w:sz w:val="13"/>
                <w:szCs w:val="13"/>
                <w:highlight w:val="none"/>
              </w:rPr>
              <w:t>第三十九条</w:t>
            </w:r>
            <w:r>
              <w:rPr>
                <w:rFonts w:hint="eastAsia" w:ascii="仿宋_GB2312" w:hAnsi="宋体" w:eastAsia="仿宋_GB2312"/>
                <w:b/>
                <w:bCs/>
                <w:color w:val="auto"/>
                <w:kern w:val="0"/>
                <w:sz w:val="13"/>
                <w:szCs w:val="13"/>
                <w:highlight w:val="none"/>
                <w:lang w:eastAsia="zh-CN"/>
              </w:rPr>
              <w:t>：</w:t>
            </w:r>
            <w:r>
              <w:rPr>
                <w:rFonts w:hint="eastAsia" w:ascii="仿宋_GB2312" w:hAnsi="宋体" w:eastAsia="仿宋_GB2312"/>
                <w:color w:val="auto"/>
                <w:kern w:val="0"/>
                <w:sz w:val="13"/>
                <w:szCs w:val="13"/>
                <w:highlight w:val="none"/>
              </w:rPr>
              <w:t>企业在接受监督检查时，不如实提供有关材料，或者拒绝、阻碍监督检查的，由县级以上地方人民政府住房城乡建设主管部门责令限期改正，并可以处3万元以下罚款。</w:t>
            </w:r>
          </w:p>
        </w:tc>
        <w:tc>
          <w:tcPr>
            <w:tcW w:w="823" w:type="dxa"/>
            <w:tcBorders>
              <w:tl2br w:val="nil"/>
              <w:tr2bl w:val="nil"/>
            </w:tcBorders>
            <w:vAlign w:val="center"/>
          </w:tcPr>
          <w:p w14:paraId="2DC5775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vAlign w:val="center"/>
          </w:tcPr>
          <w:p w14:paraId="4406738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初次违法，危害后果轻微，主动消除或减轻违法行为危害后果的。</w:t>
            </w:r>
          </w:p>
        </w:tc>
        <w:tc>
          <w:tcPr>
            <w:tcW w:w="3058" w:type="dxa"/>
            <w:tcBorders>
              <w:tl2br w:val="nil"/>
              <w:tr2bl w:val="nil"/>
            </w:tcBorders>
            <w:vAlign w:val="center"/>
          </w:tcPr>
          <w:p w14:paraId="451EB5E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责令限期改正，可以处1万元以下罚款。</w:t>
            </w:r>
          </w:p>
        </w:tc>
      </w:tr>
      <w:tr w14:paraId="0D827AE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90" w:hRule="atLeast"/>
          <w:jc w:val="center"/>
        </w:trPr>
        <w:tc>
          <w:tcPr>
            <w:tcW w:w="443" w:type="dxa"/>
            <w:gridSpan w:val="2"/>
            <w:vMerge w:val="continue"/>
            <w:tcBorders>
              <w:tl2br w:val="nil"/>
              <w:tr2bl w:val="nil"/>
            </w:tcBorders>
            <w:vAlign w:val="center"/>
          </w:tcPr>
          <w:p w14:paraId="5D0498A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508B6F1B">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2A5D278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823" w:type="dxa"/>
            <w:tcBorders>
              <w:tl2br w:val="nil"/>
              <w:tr2bl w:val="nil"/>
            </w:tcBorders>
            <w:vAlign w:val="center"/>
          </w:tcPr>
          <w:p w14:paraId="6C03657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一般情节</w:t>
            </w:r>
          </w:p>
        </w:tc>
        <w:tc>
          <w:tcPr>
            <w:tcW w:w="3437" w:type="dxa"/>
            <w:gridSpan w:val="2"/>
            <w:tcBorders>
              <w:tl2br w:val="nil"/>
              <w:tr2bl w:val="nil"/>
            </w:tcBorders>
            <w:vAlign w:val="center"/>
          </w:tcPr>
          <w:p w14:paraId="5DE76AB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不具有从轻、</w:t>
            </w:r>
            <w:r>
              <w:rPr>
                <w:rFonts w:hint="eastAsia" w:ascii="仿宋_GB2312" w:hAnsi="宋体" w:eastAsia="仿宋_GB2312"/>
                <w:color w:val="auto"/>
                <w:kern w:val="0"/>
                <w:sz w:val="13"/>
                <w:szCs w:val="13"/>
                <w:highlight w:val="none"/>
                <w:lang w:eastAsia="zh-CN"/>
              </w:rPr>
              <w:t>从重情节</w:t>
            </w:r>
            <w:r>
              <w:rPr>
                <w:rFonts w:hint="eastAsia" w:ascii="仿宋_GB2312" w:hAnsi="宋体" w:eastAsia="仿宋_GB2312"/>
                <w:color w:val="auto"/>
                <w:kern w:val="0"/>
                <w:sz w:val="13"/>
                <w:szCs w:val="13"/>
                <w:highlight w:val="none"/>
              </w:rPr>
              <w:t>的。</w:t>
            </w:r>
          </w:p>
        </w:tc>
        <w:tc>
          <w:tcPr>
            <w:tcW w:w="3058" w:type="dxa"/>
            <w:tcBorders>
              <w:tl2br w:val="nil"/>
              <w:tr2bl w:val="nil"/>
            </w:tcBorders>
            <w:vAlign w:val="center"/>
          </w:tcPr>
          <w:p w14:paraId="1AF3E36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责令限期改正，可以处1万以上2万元以下罚款。</w:t>
            </w:r>
          </w:p>
        </w:tc>
      </w:tr>
      <w:tr w14:paraId="538AFDD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707" w:hRule="atLeast"/>
          <w:jc w:val="center"/>
        </w:trPr>
        <w:tc>
          <w:tcPr>
            <w:tcW w:w="443" w:type="dxa"/>
            <w:gridSpan w:val="2"/>
            <w:vMerge w:val="continue"/>
            <w:tcBorders>
              <w:tl2br w:val="nil"/>
              <w:tr2bl w:val="nil"/>
            </w:tcBorders>
            <w:vAlign w:val="center"/>
          </w:tcPr>
          <w:p w14:paraId="4F5EBBB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26D9DB88">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4A0B5B2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823" w:type="dxa"/>
            <w:tcBorders>
              <w:tl2br w:val="nil"/>
              <w:tr2bl w:val="nil"/>
            </w:tcBorders>
            <w:vAlign w:val="center"/>
          </w:tcPr>
          <w:p w14:paraId="3E72590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从重情节</w:t>
            </w:r>
          </w:p>
        </w:tc>
        <w:tc>
          <w:tcPr>
            <w:tcW w:w="3437" w:type="dxa"/>
            <w:gridSpan w:val="2"/>
            <w:tcBorders>
              <w:tl2br w:val="nil"/>
              <w:tr2bl w:val="nil"/>
            </w:tcBorders>
            <w:vAlign w:val="center"/>
          </w:tcPr>
          <w:p w14:paraId="128472E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lang w:val="en-US" w:eastAsia="zh-CN"/>
              </w:rPr>
              <w:t>有下列情形之一的：</w:t>
            </w:r>
            <w:r>
              <w:rPr>
                <w:rFonts w:hint="eastAsia" w:ascii="仿宋_GB2312" w:hAnsi="宋体" w:eastAsia="仿宋_GB2312"/>
                <w:color w:val="auto"/>
                <w:kern w:val="0"/>
                <w:sz w:val="13"/>
                <w:szCs w:val="13"/>
                <w:highlight w:val="none"/>
              </w:rPr>
              <w:t>（1）经责令改正后，逾期未改正的；</w:t>
            </w:r>
          </w:p>
          <w:p w14:paraId="58A90C1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（2）曾因该违法行为被依法查处，再次实施该违法行为的；</w:t>
            </w:r>
          </w:p>
          <w:p w14:paraId="19CAFFD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（3）造成工程质量事故的；</w:t>
            </w:r>
          </w:p>
          <w:p w14:paraId="6D23838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（4）经有关部门确认，存在商业贿赂情形的；</w:t>
            </w:r>
          </w:p>
          <w:p w14:paraId="50F55D6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（5）其他依法应予从重处罚的情形。</w:t>
            </w:r>
          </w:p>
          <w:p w14:paraId="7286DF7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p>
        </w:tc>
        <w:tc>
          <w:tcPr>
            <w:tcW w:w="3058" w:type="dxa"/>
            <w:tcBorders>
              <w:tl2br w:val="nil"/>
              <w:tr2bl w:val="nil"/>
            </w:tcBorders>
            <w:vAlign w:val="center"/>
          </w:tcPr>
          <w:p w14:paraId="6A382015">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责令限期改正，可以处2万以上3万元以下罚款。</w:t>
            </w:r>
          </w:p>
        </w:tc>
      </w:tr>
      <w:tr w14:paraId="038FE54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90" w:hRule="atLeast"/>
          <w:jc w:val="center"/>
        </w:trPr>
        <w:tc>
          <w:tcPr>
            <w:tcW w:w="443" w:type="dxa"/>
            <w:gridSpan w:val="2"/>
            <w:vMerge w:val="restart"/>
            <w:tcBorders>
              <w:tl2br w:val="nil"/>
              <w:tr2bl w:val="nil"/>
            </w:tcBorders>
            <w:vAlign w:val="center"/>
          </w:tcPr>
          <w:p w14:paraId="7EDE8C29">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Times New Roman"/>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57</w:t>
            </w:r>
          </w:p>
        </w:tc>
        <w:tc>
          <w:tcPr>
            <w:tcW w:w="1550" w:type="dxa"/>
            <w:vMerge w:val="restart"/>
            <w:tcBorders>
              <w:tl2br w:val="nil"/>
              <w:tr2bl w:val="nil"/>
            </w:tcBorders>
            <w:vAlign w:val="center"/>
          </w:tcPr>
          <w:p w14:paraId="23640B31">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企业未按照本规定要求提供企业信用档案信息，责令限期改正且逾期未改正</w:t>
            </w:r>
          </w:p>
        </w:tc>
        <w:tc>
          <w:tcPr>
            <w:tcW w:w="4820" w:type="dxa"/>
            <w:vMerge w:val="restart"/>
            <w:tcBorders>
              <w:tl2br w:val="nil"/>
              <w:tr2bl w:val="nil"/>
            </w:tcBorders>
            <w:vAlign w:val="center"/>
          </w:tcPr>
          <w:p w14:paraId="7B6CDF50">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《建筑业企业资质管理规定》</w:t>
            </w:r>
            <w:r>
              <w:rPr>
                <w:rFonts w:hint="eastAsia" w:ascii="仿宋_GB2312" w:hAnsi="宋体" w:eastAsia="仿宋_GB2312"/>
                <w:b/>
                <w:bCs/>
                <w:color w:val="auto"/>
                <w:kern w:val="0"/>
                <w:sz w:val="13"/>
                <w:szCs w:val="13"/>
                <w:highlight w:val="none"/>
              </w:rPr>
              <w:t>第四十条</w:t>
            </w:r>
            <w:r>
              <w:rPr>
                <w:rFonts w:hint="eastAsia" w:ascii="仿宋_GB2312" w:hAnsi="宋体" w:eastAsia="仿宋_GB2312"/>
                <w:b/>
                <w:bCs/>
                <w:color w:val="auto"/>
                <w:kern w:val="0"/>
                <w:sz w:val="13"/>
                <w:szCs w:val="13"/>
                <w:highlight w:val="none"/>
                <w:lang w:eastAsia="zh-CN"/>
              </w:rPr>
              <w:t>：</w:t>
            </w:r>
            <w:r>
              <w:rPr>
                <w:rFonts w:hint="eastAsia" w:ascii="仿宋_GB2312" w:hAnsi="宋体" w:eastAsia="仿宋_GB2312"/>
                <w:color w:val="auto"/>
                <w:kern w:val="0"/>
                <w:sz w:val="13"/>
                <w:szCs w:val="13"/>
                <w:highlight w:val="none"/>
              </w:rPr>
              <w:t>企业未按照本规定要求提供企业信用档案信息的，由县级以上地方人民政府住房城乡建设主管部门或者其他有关部门给予警告，责令限期改正；逾期未改正的，可处以1000元以上1万元以下的罚款。</w:t>
            </w:r>
          </w:p>
        </w:tc>
        <w:tc>
          <w:tcPr>
            <w:tcW w:w="823" w:type="dxa"/>
            <w:tcBorders>
              <w:tl2br w:val="nil"/>
              <w:tr2bl w:val="nil"/>
            </w:tcBorders>
            <w:vAlign w:val="center"/>
          </w:tcPr>
          <w:p w14:paraId="566BD0B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vAlign w:val="center"/>
          </w:tcPr>
          <w:p w14:paraId="30F08C3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初次违法，危害后果较轻的。</w:t>
            </w:r>
          </w:p>
        </w:tc>
        <w:tc>
          <w:tcPr>
            <w:tcW w:w="3058" w:type="dxa"/>
            <w:tcBorders>
              <w:tl2br w:val="nil"/>
              <w:tr2bl w:val="nil"/>
            </w:tcBorders>
            <w:vAlign w:val="center"/>
          </w:tcPr>
          <w:p w14:paraId="3E03278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处以1千元以上4千元以下的罚款。</w:t>
            </w:r>
          </w:p>
        </w:tc>
      </w:tr>
      <w:tr w14:paraId="3192314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90" w:hRule="atLeast"/>
          <w:jc w:val="center"/>
        </w:trPr>
        <w:tc>
          <w:tcPr>
            <w:tcW w:w="443" w:type="dxa"/>
            <w:gridSpan w:val="2"/>
            <w:vMerge w:val="continue"/>
            <w:tcBorders>
              <w:tl2br w:val="nil"/>
              <w:tr2bl w:val="nil"/>
            </w:tcBorders>
            <w:vAlign w:val="center"/>
          </w:tcPr>
          <w:p w14:paraId="41BD5AA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47D4680F">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7E8E0B4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tcBorders>
              <w:tl2br w:val="nil"/>
              <w:tr2bl w:val="nil"/>
            </w:tcBorders>
            <w:vAlign w:val="center"/>
          </w:tcPr>
          <w:p w14:paraId="6E86D2B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一般情节</w:t>
            </w:r>
          </w:p>
        </w:tc>
        <w:tc>
          <w:tcPr>
            <w:tcW w:w="3437" w:type="dxa"/>
            <w:gridSpan w:val="2"/>
            <w:tcBorders>
              <w:tl2br w:val="nil"/>
              <w:tr2bl w:val="nil"/>
            </w:tcBorders>
            <w:vAlign w:val="center"/>
          </w:tcPr>
          <w:p w14:paraId="275DE35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不具有从轻、</w:t>
            </w:r>
            <w:r>
              <w:rPr>
                <w:rFonts w:hint="eastAsia" w:ascii="仿宋_GB2312" w:hAnsi="宋体" w:eastAsia="仿宋_GB2312"/>
                <w:color w:val="auto"/>
                <w:kern w:val="0"/>
                <w:sz w:val="13"/>
                <w:szCs w:val="13"/>
                <w:highlight w:val="none"/>
                <w:lang w:eastAsia="zh-CN"/>
              </w:rPr>
              <w:t>从重情节</w:t>
            </w:r>
            <w:r>
              <w:rPr>
                <w:rFonts w:hint="eastAsia" w:ascii="仿宋_GB2312" w:hAnsi="宋体" w:eastAsia="仿宋_GB2312"/>
                <w:color w:val="auto"/>
                <w:kern w:val="0"/>
                <w:sz w:val="13"/>
                <w:szCs w:val="13"/>
                <w:highlight w:val="none"/>
              </w:rPr>
              <w:t>的</w:t>
            </w:r>
          </w:p>
        </w:tc>
        <w:tc>
          <w:tcPr>
            <w:tcW w:w="3058" w:type="dxa"/>
            <w:tcBorders>
              <w:tl2br w:val="nil"/>
              <w:tr2bl w:val="nil"/>
            </w:tcBorders>
            <w:vAlign w:val="center"/>
          </w:tcPr>
          <w:p w14:paraId="15AC0CA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处以4千元以上7千元以下的罚款。</w:t>
            </w:r>
          </w:p>
        </w:tc>
      </w:tr>
      <w:tr w14:paraId="72B6DD7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0" w:hRule="atLeast"/>
          <w:jc w:val="center"/>
        </w:trPr>
        <w:tc>
          <w:tcPr>
            <w:tcW w:w="443" w:type="dxa"/>
            <w:gridSpan w:val="2"/>
            <w:vMerge w:val="continue"/>
            <w:tcBorders>
              <w:tl2br w:val="nil"/>
              <w:tr2bl w:val="nil"/>
            </w:tcBorders>
            <w:vAlign w:val="center"/>
          </w:tcPr>
          <w:p w14:paraId="48BD1E4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1E575BB2">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156355E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tcBorders>
              <w:tl2br w:val="nil"/>
              <w:tr2bl w:val="nil"/>
            </w:tcBorders>
            <w:vAlign w:val="center"/>
          </w:tcPr>
          <w:p w14:paraId="3C7DA42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从重情节</w:t>
            </w:r>
          </w:p>
        </w:tc>
        <w:tc>
          <w:tcPr>
            <w:tcW w:w="3437" w:type="dxa"/>
            <w:gridSpan w:val="2"/>
            <w:tcBorders>
              <w:tl2br w:val="nil"/>
              <w:tr2bl w:val="nil"/>
            </w:tcBorders>
            <w:vAlign w:val="center"/>
          </w:tcPr>
          <w:p w14:paraId="02A7761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多次实施同类违法行为的</w:t>
            </w:r>
            <w:r>
              <w:rPr>
                <w:rFonts w:hint="eastAsia" w:ascii="仿宋_GB2312" w:hAnsi="宋体" w:eastAsia="仿宋_GB2312"/>
                <w:color w:val="auto"/>
                <w:kern w:val="0"/>
                <w:sz w:val="13"/>
                <w:szCs w:val="13"/>
                <w:highlight w:val="none"/>
                <w:lang w:eastAsia="zh-CN"/>
              </w:rPr>
              <w:t>，</w:t>
            </w:r>
            <w:r>
              <w:rPr>
                <w:rFonts w:hint="eastAsia" w:ascii="仿宋_GB2312" w:hAnsi="宋体" w:eastAsia="仿宋_GB2312"/>
                <w:color w:val="auto"/>
                <w:kern w:val="0"/>
                <w:sz w:val="13"/>
                <w:szCs w:val="13"/>
                <w:highlight w:val="none"/>
                <w:lang w:val="en-US" w:eastAsia="zh-CN"/>
              </w:rPr>
              <w:t>或</w:t>
            </w:r>
            <w:r>
              <w:rPr>
                <w:rFonts w:hint="eastAsia" w:ascii="仿宋_GB2312" w:hAnsi="宋体" w:eastAsia="仿宋_GB2312"/>
                <w:color w:val="auto"/>
                <w:kern w:val="0"/>
                <w:sz w:val="13"/>
                <w:szCs w:val="13"/>
                <w:highlight w:val="none"/>
              </w:rPr>
              <w:t>足以影响建设市场秩序和社会稳定的；</w:t>
            </w:r>
          </w:p>
        </w:tc>
        <w:tc>
          <w:tcPr>
            <w:tcW w:w="3058" w:type="dxa"/>
            <w:tcBorders>
              <w:tl2br w:val="nil"/>
              <w:tr2bl w:val="nil"/>
            </w:tcBorders>
            <w:vAlign w:val="center"/>
          </w:tcPr>
          <w:p w14:paraId="0C21A18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处以7千元以上1万元以下的罚款。</w:t>
            </w:r>
          </w:p>
        </w:tc>
      </w:tr>
      <w:tr w14:paraId="7546AE4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47" w:hRule="atLeast"/>
          <w:jc w:val="center"/>
        </w:trPr>
        <w:tc>
          <w:tcPr>
            <w:tcW w:w="443" w:type="dxa"/>
            <w:gridSpan w:val="2"/>
            <w:vMerge w:val="restart"/>
            <w:tcBorders>
              <w:tl2br w:val="nil"/>
              <w:tr2bl w:val="nil"/>
            </w:tcBorders>
            <w:vAlign w:val="center"/>
          </w:tcPr>
          <w:p w14:paraId="6C7DD9DF">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Times New Roman"/>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58</w:t>
            </w:r>
          </w:p>
        </w:tc>
        <w:tc>
          <w:tcPr>
            <w:tcW w:w="1550" w:type="dxa"/>
            <w:vMerge w:val="restart"/>
            <w:tcBorders>
              <w:tl2br w:val="nil"/>
              <w:tr2bl w:val="nil"/>
            </w:tcBorders>
            <w:vAlign w:val="center"/>
          </w:tcPr>
          <w:p w14:paraId="021601FC">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工程监理企业以欺骗贿赂等不正当手段取得工程监理企业资质证书</w:t>
            </w:r>
          </w:p>
        </w:tc>
        <w:tc>
          <w:tcPr>
            <w:tcW w:w="4820" w:type="dxa"/>
            <w:vMerge w:val="restart"/>
            <w:tcBorders>
              <w:tl2br w:val="nil"/>
              <w:tr2bl w:val="nil"/>
            </w:tcBorders>
            <w:vAlign w:val="center"/>
          </w:tcPr>
          <w:p w14:paraId="71E7FEB2">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《工程监理企业资质管理规定》</w:t>
            </w:r>
            <w:r>
              <w:rPr>
                <w:rFonts w:hint="eastAsia" w:ascii="仿宋_GB2312" w:hAnsi="宋体" w:eastAsia="仿宋_GB2312"/>
                <w:b/>
                <w:bCs/>
                <w:color w:val="auto"/>
                <w:kern w:val="0"/>
                <w:sz w:val="13"/>
                <w:szCs w:val="13"/>
                <w:highlight w:val="none"/>
              </w:rPr>
              <w:t>第二十八条</w:t>
            </w:r>
            <w:r>
              <w:rPr>
                <w:rFonts w:hint="eastAsia" w:ascii="仿宋_GB2312" w:hAnsi="宋体" w:eastAsia="仿宋_GB2312"/>
                <w:b/>
                <w:bCs/>
                <w:color w:val="auto"/>
                <w:kern w:val="0"/>
                <w:sz w:val="13"/>
                <w:szCs w:val="13"/>
                <w:highlight w:val="none"/>
                <w:lang w:eastAsia="zh-CN"/>
              </w:rPr>
              <w:t>：</w:t>
            </w:r>
            <w:r>
              <w:rPr>
                <w:rFonts w:hint="eastAsia" w:ascii="仿宋_GB2312" w:hAnsi="宋体" w:eastAsia="仿宋_GB2312"/>
                <w:color w:val="auto"/>
                <w:kern w:val="0"/>
                <w:sz w:val="13"/>
                <w:szCs w:val="13"/>
                <w:highlight w:val="none"/>
              </w:rPr>
              <w:t>以欺骗、贿赂等不正当手段取得工程监理企业资质证书的，由县级以上地方人民政府建设主管部门或有关部门给予警告，并处1万元以上2万元以下罚款，申请人3年内不得再次申请工程监理企业资质。</w:t>
            </w:r>
          </w:p>
        </w:tc>
        <w:tc>
          <w:tcPr>
            <w:tcW w:w="823" w:type="dxa"/>
            <w:tcBorders>
              <w:tl2br w:val="nil"/>
              <w:tr2bl w:val="nil"/>
            </w:tcBorders>
            <w:vAlign w:val="center"/>
          </w:tcPr>
          <w:p w14:paraId="5A7C960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vAlign w:val="center"/>
          </w:tcPr>
          <w:p w14:paraId="1A89D81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取得资质证书但尚未承接业务。</w:t>
            </w:r>
          </w:p>
        </w:tc>
        <w:tc>
          <w:tcPr>
            <w:tcW w:w="3058" w:type="dxa"/>
            <w:tcBorders>
              <w:tl2br w:val="nil"/>
              <w:tr2bl w:val="nil"/>
            </w:tcBorders>
            <w:vAlign w:val="center"/>
          </w:tcPr>
          <w:p w14:paraId="25D8D98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给予警告，并处1万元罚款，申请人3年内不得再次申请工程监理企业资质。</w:t>
            </w:r>
          </w:p>
        </w:tc>
      </w:tr>
      <w:tr w14:paraId="4988415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80" w:hRule="atLeast"/>
          <w:jc w:val="center"/>
        </w:trPr>
        <w:tc>
          <w:tcPr>
            <w:tcW w:w="443" w:type="dxa"/>
            <w:gridSpan w:val="2"/>
            <w:vMerge w:val="continue"/>
            <w:tcBorders>
              <w:tl2br w:val="nil"/>
              <w:tr2bl w:val="nil"/>
            </w:tcBorders>
            <w:vAlign w:val="center"/>
          </w:tcPr>
          <w:p w14:paraId="2E86B08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216EBF0D">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0C6DF70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tcBorders>
              <w:tl2br w:val="nil"/>
              <w:tr2bl w:val="nil"/>
            </w:tcBorders>
            <w:vAlign w:val="center"/>
          </w:tcPr>
          <w:p w14:paraId="51981C1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一般情节</w:t>
            </w:r>
          </w:p>
        </w:tc>
        <w:tc>
          <w:tcPr>
            <w:tcW w:w="3437" w:type="dxa"/>
            <w:gridSpan w:val="2"/>
            <w:tcBorders>
              <w:tl2br w:val="nil"/>
              <w:tr2bl w:val="nil"/>
            </w:tcBorders>
            <w:vAlign w:val="center"/>
          </w:tcPr>
          <w:p w14:paraId="22F8517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取得资质证书且已经承接业务。</w:t>
            </w:r>
          </w:p>
        </w:tc>
        <w:tc>
          <w:tcPr>
            <w:tcW w:w="3058" w:type="dxa"/>
            <w:tcBorders>
              <w:tl2br w:val="nil"/>
              <w:tr2bl w:val="nil"/>
            </w:tcBorders>
            <w:vAlign w:val="center"/>
          </w:tcPr>
          <w:p w14:paraId="41FC6D0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给予警告，并处1-1.5万元罚款，申请人3年内不得再次申请工程监理企业资质。</w:t>
            </w:r>
          </w:p>
        </w:tc>
      </w:tr>
      <w:tr w14:paraId="40A5B33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0" w:hRule="atLeast"/>
          <w:jc w:val="center"/>
        </w:trPr>
        <w:tc>
          <w:tcPr>
            <w:tcW w:w="443" w:type="dxa"/>
            <w:gridSpan w:val="2"/>
            <w:vMerge w:val="continue"/>
            <w:tcBorders>
              <w:tl2br w:val="nil"/>
              <w:tr2bl w:val="nil"/>
            </w:tcBorders>
            <w:vAlign w:val="center"/>
          </w:tcPr>
          <w:p w14:paraId="653C9ED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79C9E7A0">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1205AF6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tcBorders>
              <w:tl2br w:val="nil"/>
              <w:tr2bl w:val="nil"/>
            </w:tcBorders>
            <w:vAlign w:val="center"/>
          </w:tcPr>
          <w:p w14:paraId="65A83EA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从重情节</w:t>
            </w:r>
          </w:p>
        </w:tc>
        <w:tc>
          <w:tcPr>
            <w:tcW w:w="3437" w:type="dxa"/>
            <w:gridSpan w:val="2"/>
            <w:tcBorders>
              <w:tl2br w:val="nil"/>
              <w:tr2bl w:val="nil"/>
            </w:tcBorders>
            <w:vAlign w:val="center"/>
          </w:tcPr>
          <w:p w14:paraId="76A867A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取得资质证书已承接业务，且造成较严重的后果或事故的。</w:t>
            </w:r>
          </w:p>
        </w:tc>
        <w:tc>
          <w:tcPr>
            <w:tcW w:w="3058" w:type="dxa"/>
            <w:tcBorders>
              <w:tl2br w:val="nil"/>
              <w:tr2bl w:val="nil"/>
            </w:tcBorders>
            <w:vAlign w:val="center"/>
          </w:tcPr>
          <w:p w14:paraId="6318534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给予警告，并处1.5-2万元罚款，申请人3年内不得再次申请工程监理企业资质。</w:t>
            </w:r>
          </w:p>
        </w:tc>
      </w:tr>
      <w:tr w14:paraId="4DFEFB6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0" w:hRule="atLeast"/>
          <w:jc w:val="center"/>
        </w:trPr>
        <w:tc>
          <w:tcPr>
            <w:tcW w:w="443" w:type="dxa"/>
            <w:gridSpan w:val="2"/>
            <w:vMerge w:val="restart"/>
            <w:tcBorders>
              <w:tl2br w:val="nil"/>
              <w:tr2bl w:val="nil"/>
            </w:tcBorders>
            <w:vAlign w:val="center"/>
          </w:tcPr>
          <w:p w14:paraId="1E670AE4">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Times New Roman"/>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59</w:t>
            </w:r>
          </w:p>
        </w:tc>
        <w:tc>
          <w:tcPr>
            <w:tcW w:w="1550" w:type="dxa"/>
            <w:vMerge w:val="restart"/>
            <w:tcBorders>
              <w:tl2br w:val="nil"/>
              <w:tr2bl w:val="nil"/>
            </w:tcBorders>
            <w:vAlign w:val="center"/>
          </w:tcPr>
          <w:p w14:paraId="46322166">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工程监理企业在监理过程中实施商业贿赂</w:t>
            </w:r>
          </w:p>
        </w:tc>
        <w:tc>
          <w:tcPr>
            <w:tcW w:w="4820" w:type="dxa"/>
            <w:vMerge w:val="restart"/>
            <w:tcBorders>
              <w:tl2br w:val="nil"/>
              <w:tr2bl w:val="nil"/>
            </w:tcBorders>
            <w:vAlign w:val="center"/>
          </w:tcPr>
          <w:p w14:paraId="347847C4">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《工程监理企业资质管理规定》</w:t>
            </w:r>
            <w:r>
              <w:rPr>
                <w:rFonts w:hint="eastAsia" w:ascii="仿宋_GB2312" w:hAnsi="宋体" w:eastAsia="仿宋_GB2312"/>
                <w:b/>
                <w:bCs/>
                <w:color w:val="auto"/>
                <w:kern w:val="0"/>
                <w:sz w:val="13"/>
                <w:szCs w:val="13"/>
                <w:highlight w:val="none"/>
              </w:rPr>
              <w:t>第二十九条</w:t>
            </w:r>
            <w:r>
              <w:rPr>
                <w:rFonts w:hint="eastAsia" w:ascii="仿宋_GB2312" w:hAnsi="宋体" w:eastAsia="仿宋_GB2312"/>
                <w:b/>
                <w:bCs/>
                <w:color w:val="auto"/>
                <w:kern w:val="0"/>
                <w:sz w:val="13"/>
                <w:szCs w:val="13"/>
                <w:highlight w:val="none"/>
                <w:lang w:eastAsia="zh-CN"/>
              </w:rPr>
              <w:t>：</w:t>
            </w:r>
            <w:r>
              <w:rPr>
                <w:rFonts w:hint="eastAsia" w:ascii="仿宋_GB2312" w:hAnsi="宋体" w:eastAsia="仿宋_GB2312"/>
                <w:color w:val="auto"/>
                <w:kern w:val="0"/>
                <w:sz w:val="13"/>
                <w:szCs w:val="13"/>
                <w:highlight w:val="none"/>
              </w:rPr>
              <w:t>工程监理企业有本规定第十六条第七项、第八项行为之一的，由县级以上地方人民政府建设主管部门或者有关部门予以警告，责令其改正，并处1万元以上3万元以下的罚款；造成损失的，依法承担赔偿责任；构成犯罪的，依法追究刑事责任。</w:t>
            </w:r>
          </w:p>
          <w:p w14:paraId="2A981C9B">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rPr>
              <w:t>《工程监理企业资质管理规定》</w:t>
            </w:r>
            <w:r>
              <w:rPr>
                <w:rFonts w:hint="eastAsia" w:ascii="仿宋_GB2312" w:hAnsi="宋体" w:eastAsia="仿宋_GB2312"/>
                <w:b/>
                <w:bCs/>
                <w:color w:val="auto"/>
                <w:kern w:val="0"/>
                <w:sz w:val="13"/>
                <w:szCs w:val="13"/>
                <w:highlight w:val="none"/>
              </w:rPr>
              <w:t>第十六条</w:t>
            </w:r>
            <w:r>
              <w:rPr>
                <w:rFonts w:hint="eastAsia" w:ascii="仿宋_GB2312" w:hAnsi="宋体" w:eastAsia="仿宋_GB2312"/>
                <w:b/>
                <w:bCs/>
                <w:color w:val="auto"/>
                <w:kern w:val="0"/>
                <w:sz w:val="13"/>
                <w:szCs w:val="13"/>
                <w:highlight w:val="none"/>
                <w:lang w:eastAsia="zh-CN"/>
              </w:rPr>
              <w:t>：</w:t>
            </w:r>
            <w:r>
              <w:rPr>
                <w:rFonts w:hint="eastAsia" w:ascii="仿宋_GB2312" w:hAnsi="宋体" w:eastAsia="仿宋_GB2312"/>
                <w:color w:val="auto"/>
                <w:kern w:val="0"/>
                <w:sz w:val="13"/>
                <w:szCs w:val="13"/>
                <w:highlight w:val="none"/>
              </w:rPr>
              <w:t>工程监理企业不得有下列行为：</w:t>
            </w:r>
          </w:p>
          <w:p w14:paraId="71E4CF71">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（七）在监理过程中实施商业贿赂；</w:t>
            </w:r>
          </w:p>
        </w:tc>
        <w:tc>
          <w:tcPr>
            <w:tcW w:w="823" w:type="dxa"/>
            <w:tcBorders>
              <w:tl2br w:val="nil"/>
              <w:tr2bl w:val="nil"/>
            </w:tcBorders>
            <w:vAlign w:val="center"/>
          </w:tcPr>
          <w:p w14:paraId="5750CD7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vAlign w:val="center"/>
          </w:tcPr>
          <w:p w14:paraId="6F0B74A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贿赂金额1万元以下的。</w:t>
            </w:r>
          </w:p>
        </w:tc>
        <w:tc>
          <w:tcPr>
            <w:tcW w:w="3058" w:type="dxa"/>
            <w:tcBorders>
              <w:tl2br w:val="nil"/>
              <w:tr2bl w:val="nil"/>
            </w:tcBorders>
            <w:vAlign w:val="center"/>
          </w:tcPr>
          <w:p w14:paraId="0890F84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给予警告，责令其改正，处1万元以上1.5万元以下的罚款。</w:t>
            </w:r>
          </w:p>
        </w:tc>
      </w:tr>
      <w:tr w14:paraId="054CD0A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58" w:hRule="atLeast"/>
          <w:jc w:val="center"/>
        </w:trPr>
        <w:tc>
          <w:tcPr>
            <w:tcW w:w="443" w:type="dxa"/>
            <w:gridSpan w:val="2"/>
            <w:vMerge w:val="continue"/>
            <w:tcBorders>
              <w:tl2br w:val="nil"/>
              <w:tr2bl w:val="nil"/>
            </w:tcBorders>
            <w:vAlign w:val="center"/>
          </w:tcPr>
          <w:p w14:paraId="49C37BA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2484B4DF">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7D20E1D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tcBorders>
              <w:tl2br w:val="nil"/>
              <w:tr2bl w:val="nil"/>
            </w:tcBorders>
            <w:vAlign w:val="center"/>
          </w:tcPr>
          <w:p w14:paraId="14BA082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一般情节</w:t>
            </w:r>
          </w:p>
        </w:tc>
        <w:tc>
          <w:tcPr>
            <w:tcW w:w="3437" w:type="dxa"/>
            <w:gridSpan w:val="2"/>
            <w:tcBorders>
              <w:tl2br w:val="nil"/>
              <w:tr2bl w:val="nil"/>
            </w:tcBorders>
            <w:vAlign w:val="center"/>
          </w:tcPr>
          <w:p w14:paraId="3A44444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贿赂金额1万元以上5万元以下的。</w:t>
            </w:r>
          </w:p>
        </w:tc>
        <w:tc>
          <w:tcPr>
            <w:tcW w:w="3058" w:type="dxa"/>
            <w:tcBorders>
              <w:tl2br w:val="nil"/>
              <w:tr2bl w:val="nil"/>
            </w:tcBorders>
            <w:vAlign w:val="center"/>
          </w:tcPr>
          <w:p w14:paraId="043BC7C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给予警告，责令其改正，处1.5万元以上2万元以下的罚款。</w:t>
            </w:r>
          </w:p>
        </w:tc>
      </w:tr>
      <w:tr w14:paraId="3517E31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90" w:hRule="atLeast"/>
          <w:jc w:val="center"/>
        </w:trPr>
        <w:tc>
          <w:tcPr>
            <w:tcW w:w="443" w:type="dxa"/>
            <w:gridSpan w:val="2"/>
            <w:vMerge w:val="continue"/>
            <w:tcBorders>
              <w:tl2br w:val="nil"/>
              <w:tr2bl w:val="nil"/>
            </w:tcBorders>
            <w:vAlign w:val="center"/>
          </w:tcPr>
          <w:p w14:paraId="6EB641C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52120A0D">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462DF1F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tcBorders>
              <w:tl2br w:val="nil"/>
              <w:tr2bl w:val="nil"/>
            </w:tcBorders>
            <w:vAlign w:val="center"/>
          </w:tcPr>
          <w:p w14:paraId="49B6C73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从重情节</w:t>
            </w:r>
          </w:p>
        </w:tc>
        <w:tc>
          <w:tcPr>
            <w:tcW w:w="3437" w:type="dxa"/>
            <w:gridSpan w:val="2"/>
            <w:tcBorders>
              <w:tl2br w:val="nil"/>
              <w:tr2bl w:val="nil"/>
            </w:tcBorders>
            <w:vAlign w:val="center"/>
          </w:tcPr>
          <w:p w14:paraId="5FB3249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贿赂金额5万元以上的。</w:t>
            </w:r>
          </w:p>
        </w:tc>
        <w:tc>
          <w:tcPr>
            <w:tcW w:w="3058" w:type="dxa"/>
            <w:tcBorders>
              <w:tl2br w:val="nil"/>
              <w:tr2bl w:val="nil"/>
            </w:tcBorders>
            <w:vAlign w:val="center"/>
          </w:tcPr>
          <w:p w14:paraId="4D2FFEA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给予警告，责令其改正，处2万元以上3万元以下的罚款。</w:t>
            </w:r>
          </w:p>
        </w:tc>
      </w:tr>
      <w:tr w14:paraId="5F2F4EB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04" w:hRule="atLeast"/>
          <w:jc w:val="center"/>
        </w:trPr>
        <w:tc>
          <w:tcPr>
            <w:tcW w:w="443" w:type="dxa"/>
            <w:gridSpan w:val="2"/>
            <w:vMerge w:val="restart"/>
            <w:tcBorders>
              <w:tl2br w:val="nil"/>
              <w:tr2bl w:val="nil"/>
            </w:tcBorders>
            <w:vAlign w:val="center"/>
          </w:tcPr>
          <w:p w14:paraId="691599E9">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Times New Roman"/>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60</w:t>
            </w:r>
          </w:p>
        </w:tc>
        <w:tc>
          <w:tcPr>
            <w:tcW w:w="1550" w:type="dxa"/>
            <w:vMerge w:val="restart"/>
            <w:tcBorders>
              <w:tl2br w:val="nil"/>
              <w:tr2bl w:val="nil"/>
            </w:tcBorders>
            <w:vAlign w:val="center"/>
          </w:tcPr>
          <w:p w14:paraId="7FD288E3">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工程监理企业涂改、伪造、出借、转让工程监理企业资质证书</w:t>
            </w:r>
          </w:p>
        </w:tc>
        <w:tc>
          <w:tcPr>
            <w:tcW w:w="4820" w:type="dxa"/>
            <w:vMerge w:val="restart"/>
            <w:tcBorders>
              <w:tl2br w:val="nil"/>
              <w:tr2bl w:val="nil"/>
            </w:tcBorders>
            <w:vAlign w:val="center"/>
          </w:tcPr>
          <w:p w14:paraId="0D5AA345">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《工程监理企业资质管理规定》</w:t>
            </w:r>
            <w:r>
              <w:rPr>
                <w:rFonts w:hint="eastAsia" w:ascii="仿宋_GB2312" w:hAnsi="宋体" w:eastAsia="仿宋_GB2312"/>
                <w:b/>
                <w:bCs/>
                <w:color w:val="auto"/>
                <w:kern w:val="0"/>
                <w:sz w:val="13"/>
                <w:szCs w:val="13"/>
                <w:highlight w:val="none"/>
              </w:rPr>
              <w:t>第二十九条</w:t>
            </w:r>
            <w:r>
              <w:rPr>
                <w:rFonts w:hint="eastAsia" w:ascii="仿宋_GB2312" w:hAnsi="宋体" w:eastAsia="仿宋_GB2312"/>
                <w:b/>
                <w:bCs/>
                <w:color w:val="auto"/>
                <w:kern w:val="0"/>
                <w:sz w:val="13"/>
                <w:szCs w:val="13"/>
                <w:highlight w:val="none"/>
                <w:lang w:eastAsia="zh-CN"/>
              </w:rPr>
              <w:t>：</w:t>
            </w:r>
            <w:r>
              <w:rPr>
                <w:rFonts w:hint="eastAsia" w:ascii="仿宋_GB2312" w:hAnsi="宋体" w:eastAsia="仿宋_GB2312"/>
                <w:color w:val="auto"/>
                <w:kern w:val="0"/>
                <w:sz w:val="13"/>
                <w:szCs w:val="13"/>
                <w:highlight w:val="none"/>
              </w:rPr>
              <w:t>工程监理企业有本规定第十六条第七项、第八项行为之一的，由县级以上地方人民政府建设主管部门或者有关部门予以警告，责令其改正，并处1万元以上3万元以下的罚款；造成损失的，依法承担赔偿责任；构成犯罪的，依法追究刑事责任。</w:t>
            </w:r>
          </w:p>
          <w:p w14:paraId="5B559490">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p w14:paraId="184FB2B2">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rPr>
              <w:t>《工程监理企业资质管理规定》</w:t>
            </w:r>
            <w:r>
              <w:rPr>
                <w:rFonts w:hint="eastAsia" w:ascii="仿宋_GB2312" w:hAnsi="宋体" w:eastAsia="仿宋_GB2312"/>
                <w:b/>
                <w:bCs/>
                <w:color w:val="auto"/>
                <w:kern w:val="0"/>
                <w:sz w:val="13"/>
                <w:szCs w:val="13"/>
                <w:highlight w:val="none"/>
              </w:rPr>
              <w:t>第十六条</w:t>
            </w:r>
            <w:r>
              <w:rPr>
                <w:rFonts w:hint="eastAsia" w:ascii="仿宋_GB2312" w:hAnsi="宋体" w:eastAsia="仿宋_GB2312"/>
                <w:b/>
                <w:bCs/>
                <w:color w:val="auto"/>
                <w:kern w:val="0"/>
                <w:sz w:val="13"/>
                <w:szCs w:val="13"/>
                <w:highlight w:val="none"/>
                <w:lang w:eastAsia="zh-CN"/>
              </w:rPr>
              <w:t>：</w:t>
            </w:r>
            <w:r>
              <w:rPr>
                <w:rFonts w:hint="eastAsia" w:ascii="仿宋_GB2312" w:hAnsi="宋体" w:eastAsia="仿宋_GB2312"/>
                <w:color w:val="auto"/>
                <w:kern w:val="0"/>
                <w:sz w:val="13"/>
                <w:szCs w:val="13"/>
                <w:highlight w:val="none"/>
              </w:rPr>
              <w:t>工程监理企业不得有下列行为：</w:t>
            </w:r>
          </w:p>
          <w:p w14:paraId="12FFF435">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（八）涂改、伪造、出借、转让工程监理企业资质证书；</w:t>
            </w:r>
          </w:p>
        </w:tc>
        <w:tc>
          <w:tcPr>
            <w:tcW w:w="823" w:type="dxa"/>
            <w:tcBorders>
              <w:tl2br w:val="nil"/>
              <w:tr2bl w:val="nil"/>
            </w:tcBorders>
            <w:vAlign w:val="center"/>
          </w:tcPr>
          <w:p w14:paraId="661F815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vAlign w:val="center"/>
          </w:tcPr>
          <w:p w14:paraId="1B6BEBB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初次违法，危害后果轻微，主动消除或减轻违法行为危害后果的。</w:t>
            </w:r>
          </w:p>
        </w:tc>
        <w:tc>
          <w:tcPr>
            <w:tcW w:w="3058" w:type="dxa"/>
            <w:tcBorders>
              <w:tl2br w:val="nil"/>
              <w:tr2bl w:val="nil"/>
            </w:tcBorders>
            <w:vAlign w:val="center"/>
          </w:tcPr>
          <w:p w14:paraId="18788B1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给予警告；处1万元以上1.5万元以下的罚款。</w:t>
            </w:r>
          </w:p>
        </w:tc>
      </w:tr>
      <w:tr w14:paraId="2EFD12B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75" w:hRule="atLeast"/>
          <w:jc w:val="center"/>
        </w:trPr>
        <w:tc>
          <w:tcPr>
            <w:tcW w:w="443" w:type="dxa"/>
            <w:gridSpan w:val="2"/>
            <w:vMerge w:val="continue"/>
            <w:tcBorders>
              <w:tl2br w:val="nil"/>
              <w:tr2bl w:val="nil"/>
            </w:tcBorders>
            <w:vAlign w:val="center"/>
          </w:tcPr>
          <w:p w14:paraId="392F027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3346AF44">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554036E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tcBorders>
              <w:tl2br w:val="nil"/>
              <w:tr2bl w:val="nil"/>
            </w:tcBorders>
            <w:vAlign w:val="center"/>
          </w:tcPr>
          <w:p w14:paraId="46B51A4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一般情节</w:t>
            </w:r>
          </w:p>
        </w:tc>
        <w:tc>
          <w:tcPr>
            <w:tcW w:w="3437" w:type="dxa"/>
            <w:gridSpan w:val="2"/>
            <w:tcBorders>
              <w:tl2br w:val="nil"/>
              <w:tr2bl w:val="nil"/>
            </w:tcBorders>
            <w:vAlign w:val="center"/>
          </w:tcPr>
          <w:p w14:paraId="5718587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不具有从轻、</w:t>
            </w:r>
            <w:r>
              <w:rPr>
                <w:rFonts w:hint="eastAsia" w:ascii="仿宋_GB2312" w:hAnsi="宋体" w:eastAsia="仿宋_GB2312"/>
                <w:color w:val="auto"/>
                <w:kern w:val="0"/>
                <w:sz w:val="13"/>
                <w:szCs w:val="13"/>
                <w:highlight w:val="none"/>
                <w:lang w:eastAsia="zh-CN"/>
              </w:rPr>
              <w:t>从重情节</w:t>
            </w:r>
            <w:r>
              <w:rPr>
                <w:rFonts w:hint="eastAsia" w:ascii="仿宋_GB2312" w:hAnsi="宋体" w:eastAsia="仿宋_GB2312"/>
                <w:color w:val="auto"/>
                <w:kern w:val="0"/>
                <w:sz w:val="13"/>
                <w:szCs w:val="13"/>
                <w:highlight w:val="none"/>
              </w:rPr>
              <w:t>的。</w:t>
            </w:r>
          </w:p>
        </w:tc>
        <w:tc>
          <w:tcPr>
            <w:tcW w:w="3058" w:type="dxa"/>
            <w:tcBorders>
              <w:tl2br w:val="nil"/>
              <w:tr2bl w:val="nil"/>
            </w:tcBorders>
            <w:vAlign w:val="center"/>
          </w:tcPr>
          <w:p w14:paraId="71CF17E6">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给予警告；处1.5万元以上2万元以下的罚款。</w:t>
            </w:r>
          </w:p>
        </w:tc>
      </w:tr>
      <w:tr w14:paraId="47C6A54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472" w:hRule="atLeast"/>
          <w:jc w:val="center"/>
        </w:trPr>
        <w:tc>
          <w:tcPr>
            <w:tcW w:w="443" w:type="dxa"/>
            <w:gridSpan w:val="2"/>
            <w:vMerge w:val="continue"/>
            <w:tcBorders>
              <w:tl2br w:val="nil"/>
              <w:tr2bl w:val="nil"/>
            </w:tcBorders>
            <w:vAlign w:val="center"/>
          </w:tcPr>
          <w:p w14:paraId="61D8510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4D06DD96">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7A098D0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tcBorders>
              <w:tl2br w:val="nil"/>
              <w:tr2bl w:val="nil"/>
            </w:tcBorders>
            <w:vAlign w:val="center"/>
          </w:tcPr>
          <w:p w14:paraId="69BC9ED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从重情节</w:t>
            </w:r>
          </w:p>
        </w:tc>
        <w:tc>
          <w:tcPr>
            <w:tcW w:w="3437" w:type="dxa"/>
            <w:gridSpan w:val="2"/>
            <w:tcBorders>
              <w:tl2br w:val="nil"/>
              <w:tr2bl w:val="nil"/>
            </w:tcBorders>
            <w:vAlign w:val="center"/>
          </w:tcPr>
          <w:p w14:paraId="3A481BB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0" w:firstLineChars="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lang w:val="en-US" w:eastAsia="zh-CN"/>
              </w:rPr>
              <w:t>有下列情形之一的：</w:t>
            </w:r>
            <w:r>
              <w:rPr>
                <w:rFonts w:hint="eastAsia" w:ascii="仿宋_GB2312" w:hAnsi="宋体" w:eastAsia="仿宋_GB2312"/>
                <w:color w:val="auto"/>
                <w:kern w:val="0"/>
                <w:sz w:val="13"/>
                <w:szCs w:val="13"/>
                <w:highlight w:val="none"/>
              </w:rPr>
              <w:t>（1）经责令改正后，逾期未改正的；</w:t>
            </w:r>
          </w:p>
          <w:p w14:paraId="7D5A838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（2）曾因该违法行为被依法查处，再次实施该违法行为的；</w:t>
            </w:r>
          </w:p>
          <w:p w14:paraId="1774635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（3）造成工程质量事故的；</w:t>
            </w:r>
          </w:p>
          <w:p w14:paraId="436BDC8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（4）其他依法应予从重处罚的情形。</w:t>
            </w:r>
          </w:p>
        </w:tc>
        <w:tc>
          <w:tcPr>
            <w:tcW w:w="3058" w:type="dxa"/>
            <w:tcBorders>
              <w:tl2br w:val="nil"/>
              <w:tr2bl w:val="nil"/>
            </w:tcBorders>
            <w:vAlign w:val="center"/>
          </w:tcPr>
          <w:p w14:paraId="45EE4547">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给予警告；处2万元以上3万元以下的罚款。</w:t>
            </w:r>
          </w:p>
        </w:tc>
      </w:tr>
      <w:tr w14:paraId="64402AF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27" w:hRule="atLeast"/>
          <w:jc w:val="center"/>
        </w:trPr>
        <w:tc>
          <w:tcPr>
            <w:tcW w:w="443" w:type="dxa"/>
            <w:gridSpan w:val="2"/>
            <w:vMerge w:val="restart"/>
            <w:tcBorders>
              <w:tl2br w:val="nil"/>
              <w:tr2bl w:val="nil"/>
            </w:tcBorders>
            <w:vAlign w:val="center"/>
          </w:tcPr>
          <w:p w14:paraId="69C1BE2E">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Times New Roman"/>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61</w:t>
            </w:r>
          </w:p>
        </w:tc>
        <w:tc>
          <w:tcPr>
            <w:tcW w:w="1550" w:type="dxa"/>
            <w:vMerge w:val="restart"/>
            <w:tcBorders>
              <w:tl2br w:val="nil"/>
              <w:tr2bl w:val="nil"/>
            </w:tcBorders>
            <w:vAlign w:val="center"/>
          </w:tcPr>
          <w:p w14:paraId="54078E1A">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工程监理企业不及时办理资质证书变更手续且逾期不办理</w:t>
            </w:r>
          </w:p>
        </w:tc>
        <w:tc>
          <w:tcPr>
            <w:tcW w:w="4820" w:type="dxa"/>
            <w:vMerge w:val="restart"/>
            <w:tcBorders>
              <w:tl2br w:val="nil"/>
              <w:tr2bl w:val="nil"/>
            </w:tcBorders>
            <w:vAlign w:val="center"/>
          </w:tcPr>
          <w:p w14:paraId="62A21468">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《工程监理企业资质管理规定》</w:t>
            </w:r>
            <w:r>
              <w:rPr>
                <w:rFonts w:hint="eastAsia" w:ascii="仿宋_GB2312" w:hAnsi="宋体" w:eastAsia="仿宋_GB2312"/>
                <w:b/>
                <w:bCs/>
                <w:color w:val="auto"/>
                <w:kern w:val="0"/>
                <w:sz w:val="13"/>
                <w:szCs w:val="13"/>
                <w:highlight w:val="none"/>
              </w:rPr>
              <w:t>第三十条</w:t>
            </w:r>
            <w:r>
              <w:rPr>
                <w:rFonts w:hint="eastAsia" w:ascii="仿宋_GB2312" w:hAnsi="宋体" w:eastAsia="仿宋_GB2312"/>
                <w:b/>
                <w:bCs/>
                <w:color w:val="auto"/>
                <w:kern w:val="0"/>
                <w:sz w:val="13"/>
                <w:szCs w:val="13"/>
                <w:highlight w:val="none"/>
                <w:lang w:eastAsia="zh-CN"/>
              </w:rPr>
              <w:t>：</w:t>
            </w:r>
            <w:r>
              <w:rPr>
                <w:rFonts w:hint="eastAsia" w:ascii="仿宋_GB2312" w:hAnsi="宋体" w:eastAsia="仿宋_GB2312"/>
                <w:color w:val="auto"/>
                <w:kern w:val="0"/>
                <w:sz w:val="13"/>
                <w:szCs w:val="13"/>
                <w:highlight w:val="none"/>
              </w:rPr>
              <w:t>违反本规定，工程监理企业不及时办理资质证书变更手续的，由资质许可机关责令限期办理；逾期不办理的，可处1千元以上1万元以下罚款。</w:t>
            </w:r>
          </w:p>
        </w:tc>
        <w:tc>
          <w:tcPr>
            <w:tcW w:w="823" w:type="dxa"/>
            <w:tcBorders>
              <w:tl2br w:val="nil"/>
              <w:tr2bl w:val="nil"/>
            </w:tcBorders>
            <w:vAlign w:val="center"/>
          </w:tcPr>
          <w:p w14:paraId="57171BA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vAlign w:val="center"/>
          </w:tcPr>
          <w:p w14:paraId="57B158B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逾期15日以内改正的。</w:t>
            </w:r>
          </w:p>
        </w:tc>
        <w:tc>
          <w:tcPr>
            <w:tcW w:w="3058" w:type="dxa"/>
            <w:tcBorders>
              <w:tl2br w:val="nil"/>
              <w:tr2bl w:val="nil"/>
            </w:tcBorders>
            <w:vAlign w:val="center"/>
          </w:tcPr>
          <w:p w14:paraId="19DCD49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可处1千元以上4千元以下的罚款。</w:t>
            </w:r>
          </w:p>
        </w:tc>
      </w:tr>
      <w:tr w14:paraId="2E097FE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56" w:hRule="atLeast"/>
          <w:jc w:val="center"/>
        </w:trPr>
        <w:tc>
          <w:tcPr>
            <w:tcW w:w="443" w:type="dxa"/>
            <w:gridSpan w:val="2"/>
            <w:vMerge w:val="continue"/>
            <w:tcBorders>
              <w:tl2br w:val="nil"/>
              <w:tr2bl w:val="nil"/>
            </w:tcBorders>
            <w:vAlign w:val="center"/>
          </w:tcPr>
          <w:p w14:paraId="071E056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2F124C36">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27C2F5C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tcBorders>
              <w:tl2br w:val="nil"/>
              <w:tr2bl w:val="nil"/>
            </w:tcBorders>
            <w:vAlign w:val="center"/>
          </w:tcPr>
          <w:p w14:paraId="7ED2368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一般情节</w:t>
            </w:r>
          </w:p>
        </w:tc>
        <w:tc>
          <w:tcPr>
            <w:tcW w:w="3437" w:type="dxa"/>
            <w:gridSpan w:val="2"/>
            <w:tcBorders>
              <w:tl2br w:val="nil"/>
              <w:tr2bl w:val="nil"/>
            </w:tcBorders>
            <w:vAlign w:val="center"/>
          </w:tcPr>
          <w:p w14:paraId="79B217F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逾期15日以上30日以内改正的。</w:t>
            </w:r>
          </w:p>
        </w:tc>
        <w:tc>
          <w:tcPr>
            <w:tcW w:w="3058" w:type="dxa"/>
            <w:tcBorders>
              <w:tl2br w:val="nil"/>
              <w:tr2bl w:val="nil"/>
            </w:tcBorders>
            <w:vAlign w:val="center"/>
          </w:tcPr>
          <w:p w14:paraId="1824FB3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处4千元以上7千元以下的罚款。</w:t>
            </w:r>
          </w:p>
        </w:tc>
      </w:tr>
      <w:tr w14:paraId="0ADDC94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42" w:hRule="atLeast"/>
          <w:jc w:val="center"/>
        </w:trPr>
        <w:tc>
          <w:tcPr>
            <w:tcW w:w="443" w:type="dxa"/>
            <w:gridSpan w:val="2"/>
            <w:vMerge w:val="continue"/>
            <w:tcBorders>
              <w:tl2br w:val="nil"/>
              <w:tr2bl w:val="nil"/>
            </w:tcBorders>
            <w:vAlign w:val="center"/>
          </w:tcPr>
          <w:p w14:paraId="1AD592A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73974F7B">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653A225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tcBorders>
              <w:tl2br w:val="nil"/>
              <w:tr2bl w:val="nil"/>
            </w:tcBorders>
            <w:vAlign w:val="center"/>
          </w:tcPr>
          <w:p w14:paraId="4126124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从重情节</w:t>
            </w:r>
          </w:p>
        </w:tc>
        <w:tc>
          <w:tcPr>
            <w:tcW w:w="3437" w:type="dxa"/>
            <w:gridSpan w:val="2"/>
            <w:tcBorders>
              <w:tl2br w:val="nil"/>
              <w:tr2bl w:val="nil"/>
            </w:tcBorders>
            <w:vAlign w:val="center"/>
          </w:tcPr>
          <w:p w14:paraId="30077F2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逾期30日以上未改正的</w:t>
            </w:r>
          </w:p>
        </w:tc>
        <w:tc>
          <w:tcPr>
            <w:tcW w:w="3058" w:type="dxa"/>
            <w:tcBorders>
              <w:tl2br w:val="nil"/>
              <w:tr2bl w:val="nil"/>
            </w:tcBorders>
            <w:vAlign w:val="center"/>
          </w:tcPr>
          <w:p w14:paraId="648DF10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处7千元以上1万元以下的罚款。</w:t>
            </w:r>
          </w:p>
        </w:tc>
      </w:tr>
      <w:tr w14:paraId="6AF8592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90" w:hRule="atLeast"/>
          <w:jc w:val="center"/>
        </w:trPr>
        <w:tc>
          <w:tcPr>
            <w:tcW w:w="443" w:type="dxa"/>
            <w:gridSpan w:val="2"/>
            <w:vMerge w:val="restart"/>
            <w:tcBorders>
              <w:tl2br w:val="nil"/>
              <w:tr2bl w:val="nil"/>
            </w:tcBorders>
            <w:vAlign w:val="center"/>
          </w:tcPr>
          <w:p w14:paraId="0EF0BD6A">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Times New Roman"/>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62</w:t>
            </w:r>
          </w:p>
        </w:tc>
        <w:tc>
          <w:tcPr>
            <w:tcW w:w="1550" w:type="dxa"/>
            <w:vMerge w:val="restart"/>
            <w:tcBorders>
              <w:tl2br w:val="nil"/>
              <w:tr2bl w:val="nil"/>
            </w:tcBorders>
            <w:vAlign w:val="center"/>
          </w:tcPr>
          <w:p w14:paraId="78609893">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工程监理企业未按照本规定要求提供工程监理企业信用档案信息且逾期不办理</w:t>
            </w:r>
          </w:p>
        </w:tc>
        <w:tc>
          <w:tcPr>
            <w:tcW w:w="4820" w:type="dxa"/>
            <w:vMerge w:val="restart"/>
            <w:tcBorders>
              <w:tl2br w:val="nil"/>
              <w:tr2bl w:val="nil"/>
            </w:tcBorders>
            <w:vAlign w:val="center"/>
          </w:tcPr>
          <w:p w14:paraId="7192C7E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《工程监理企业资质管理规定》</w:t>
            </w:r>
            <w:r>
              <w:rPr>
                <w:rFonts w:hint="eastAsia" w:ascii="仿宋_GB2312" w:hAnsi="宋体" w:eastAsia="仿宋_GB2312"/>
                <w:b/>
                <w:bCs/>
                <w:color w:val="auto"/>
                <w:kern w:val="0"/>
                <w:sz w:val="13"/>
                <w:szCs w:val="13"/>
                <w:highlight w:val="none"/>
              </w:rPr>
              <w:t>第三十一条</w:t>
            </w:r>
            <w:r>
              <w:rPr>
                <w:rFonts w:hint="eastAsia" w:ascii="仿宋_GB2312" w:hAnsi="宋体" w:eastAsia="仿宋_GB2312"/>
                <w:b/>
                <w:bCs/>
                <w:color w:val="auto"/>
                <w:kern w:val="0"/>
                <w:sz w:val="13"/>
                <w:szCs w:val="13"/>
                <w:highlight w:val="none"/>
                <w:lang w:eastAsia="zh-CN"/>
              </w:rPr>
              <w:t>：</w:t>
            </w:r>
            <w:r>
              <w:rPr>
                <w:rFonts w:hint="eastAsia" w:ascii="仿宋_GB2312" w:hAnsi="宋体" w:eastAsia="仿宋_GB2312"/>
                <w:color w:val="auto"/>
                <w:kern w:val="0"/>
                <w:sz w:val="13"/>
                <w:szCs w:val="13"/>
                <w:highlight w:val="none"/>
              </w:rPr>
              <w:t>工程监理企业未按照本规定要求提供工程监理企业信用档案信息的，由县级以上地方人民政府建设主管部门予以警告，责令限期改正；逾期未改正的，可处以1千元以上1万元以下的罚款。</w:t>
            </w:r>
          </w:p>
        </w:tc>
        <w:tc>
          <w:tcPr>
            <w:tcW w:w="823" w:type="dxa"/>
            <w:tcBorders>
              <w:tl2br w:val="nil"/>
              <w:tr2bl w:val="nil"/>
            </w:tcBorders>
            <w:vAlign w:val="center"/>
          </w:tcPr>
          <w:p w14:paraId="47BB77D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vAlign w:val="center"/>
          </w:tcPr>
          <w:p w14:paraId="034EDE4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逾期15日以内改正的。</w:t>
            </w:r>
          </w:p>
        </w:tc>
        <w:tc>
          <w:tcPr>
            <w:tcW w:w="3058" w:type="dxa"/>
            <w:tcBorders>
              <w:tl2br w:val="nil"/>
              <w:tr2bl w:val="nil"/>
            </w:tcBorders>
            <w:vAlign w:val="center"/>
          </w:tcPr>
          <w:p w14:paraId="0AB2E03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可处1千元以上4千元以下的罚款。</w:t>
            </w:r>
          </w:p>
        </w:tc>
      </w:tr>
      <w:tr w14:paraId="7E1DB0A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90" w:hRule="atLeast"/>
          <w:jc w:val="center"/>
        </w:trPr>
        <w:tc>
          <w:tcPr>
            <w:tcW w:w="443" w:type="dxa"/>
            <w:gridSpan w:val="2"/>
            <w:vMerge w:val="continue"/>
            <w:tcBorders>
              <w:tl2br w:val="nil"/>
              <w:tr2bl w:val="nil"/>
            </w:tcBorders>
            <w:vAlign w:val="center"/>
          </w:tcPr>
          <w:p w14:paraId="0FA1D31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6848EBB6">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7784FDE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tcBorders>
              <w:tl2br w:val="nil"/>
              <w:tr2bl w:val="nil"/>
            </w:tcBorders>
            <w:vAlign w:val="center"/>
          </w:tcPr>
          <w:p w14:paraId="0E20F99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一般情节</w:t>
            </w:r>
          </w:p>
        </w:tc>
        <w:tc>
          <w:tcPr>
            <w:tcW w:w="3437" w:type="dxa"/>
            <w:gridSpan w:val="2"/>
            <w:tcBorders>
              <w:tl2br w:val="nil"/>
              <w:tr2bl w:val="nil"/>
            </w:tcBorders>
            <w:vAlign w:val="center"/>
          </w:tcPr>
          <w:p w14:paraId="51473C4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逾期15日以上30日以内改正的。</w:t>
            </w:r>
          </w:p>
        </w:tc>
        <w:tc>
          <w:tcPr>
            <w:tcW w:w="3058" w:type="dxa"/>
            <w:tcBorders>
              <w:tl2br w:val="nil"/>
              <w:tr2bl w:val="nil"/>
            </w:tcBorders>
            <w:vAlign w:val="center"/>
          </w:tcPr>
          <w:p w14:paraId="6319C0F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处4千元以上7千元以下的罚款。</w:t>
            </w:r>
          </w:p>
        </w:tc>
      </w:tr>
      <w:tr w14:paraId="4624CFF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57" w:hRule="atLeast"/>
          <w:jc w:val="center"/>
        </w:trPr>
        <w:tc>
          <w:tcPr>
            <w:tcW w:w="443" w:type="dxa"/>
            <w:gridSpan w:val="2"/>
            <w:vMerge w:val="continue"/>
            <w:tcBorders>
              <w:tl2br w:val="nil"/>
              <w:tr2bl w:val="nil"/>
            </w:tcBorders>
            <w:vAlign w:val="center"/>
          </w:tcPr>
          <w:p w14:paraId="2904A16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7B7D51D9">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72434A1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tcBorders>
              <w:tl2br w:val="nil"/>
              <w:tr2bl w:val="nil"/>
            </w:tcBorders>
            <w:vAlign w:val="center"/>
          </w:tcPr>
          <w:p w14:paraId="1072305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从重情节</w:t>
            </w:r>
          </w:p>
        </w:tc>
        <w:tc>
          <w:tcPr>
            <w:tcW w:w="3437" w:type="dxa"/>
            <w:gridSpan w:val="2"/>
            <w:tcBorders>
              <w:tl2br w:val="nil"/>
              <w:tr2bl w:val="nil"/>
            </w:tcBorders>
            <w:vAlign w:val="center"/>
          </w:tcPr>
          <w:p w14:paraId="347E77D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逾期30日以上未改正的。</w:t>
            </w:r>
          </w:p>
        </w:tc>
        <w:tc>
          <w:tcPr>
            <w:tcW w:w="3058" w:type="dxa"/>
            <w:tcBorders>
              <w:tl2br w:val="nil"/>
              <w:tr2bl w:val="nil"/>
            </w:tcBorders>
            <w:vAlign w:val="center"/>
          </w:tcPr>
          <w:p w14:paraId="2C4ECAF3">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处7千元以上1万元以下的罚款。</w:t>
            </w:r>
          </w:p>
        </w:tc>
      </w:tr>
      <w:tr w14:paraId="594F561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42" w:hRule="atLeast"/>
          <w:jc w:val="center"/>
        </w:trPr>
        <w:tc>
          <w:tcPr>
            <w:tcW w:w="443" w:type="dxa"/>
            <w:gridSpan w:val="2"/>
            <w:vMerge w:val="restart"/>
            <w:tcBorders>
              <w:tl2br w:val="nil"/>
              <w:tr2bl w:val="nil"/>
            </w:tcBorders>
            <w:vAlign w:val="center"/>
          </w:tcPr>
          <w:p w14:paraId="223E7BF6">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Times New Roman"/>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63</w:t>
            </w:r>
          </w:p>
        </w:tc>
        <w:tc>
          <w:tcPr>
            <w:tcW w:w="1550" w:type="dxa"/>
            <w:vMerge w:val="restart"/>
            <w:tcBorders>
              <w:tl2br w:val="nil"/>
              <w:tr2bl w:val="nil"/>
            </w:tcBorders>
            <w:vAlign w:val="center"/>
          </w:tcPr>
          <w:p w14:paraId="2703A8F1">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企业不及时办理资质证书变更手续且逾期不办理</w:t>
            </w:r>
          </w:p>
        </w:tc>
        <w:tc>
          <w:tcPr>
            <w:tcW w:w="4820" w:type="dxa"/>
            <w:vMerge w:val="restart"/>
            <w:tcBorders>
              <w:tl2br w:val="nil"/>
              <w:tr2bl w:val="nil"/>
            </w:tcBorders>
            <w:vAlign w:val="center"/>
          </w:tcPr>
          <w:p w14:paraId="6B0FD7E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《建设工程勘察设计资质管理规定》</w:t>
            </w:r>
            <w:r>
              <w:rPr>
                <w:rFonts w:hint="eastAsia" w:ascii="仿宋_GB2312" w:eastAsia="仿宋_GB2312"/>
                <w:b/>
                <w:bCs w:val="0"/>
                <w:color w:val="auto"/>
                <w:kern w:val="0"/>
                <w:sz w:val="13"/>
                <w:szCs w:val="13"/>
                <w:highlight w:val="none"/>
              </w:rPr>
              <w:t>第三十</w:t>
            </w:r>
            <w:r>
              <w:rPr>
                <w:rFonts w:hint="eastAsia" w:ascii="仿宋_GB2312" w:eastAsia="仿宋_GB2312"/>
                <w:b/>
                <w:bCs w:val="0"/>
                <w:color w:val="auto"/>
                <w:kern w:val="0"/>
                <w:sz w:val="13"/>
                <w:szCs w:val="13"/>
                <w:highlight w:val="none"/>
                <w:lang w:val="en-US" w:eastAsia="zh-CN"/>
              </w:rPr>
              <w:t>二</w:t>
            </w:r>
            <w:r>
              <w:rPr>
                <w:rFonts w:hint="eastAsia" w:ascii="仿宋_GB2312" w:eastAsia="仿宋_GB2312"/>
                <w:b/>
                <w:bCs w:val="0"/>
                <w:color w:val="auto"/>
                <w:kern w:val="0"/>
                <w:sz w:val="13"/>
                <w:szCs w:val="13"/>
                <w:highlight w:val="none"/>
              </w:rPr>
              <w:t>条</w:t>
            </w:r>
            <w:r>
              <w:rPr>
                <w:rFonts w:hint="eastAsia" w:ascii="仿宋_GB2312" w:eastAsia="仿宋_GB2312"/>
                <w:b/>
                <w:bCs w:val="0"/>
                <w:color w:val="auto"/>
                <w:kern w:val="0"/>
                <w:sz w:val="13"/>
                <w:szCs w:val="13"/>
                <w:highlight w:val="none"/>
                <w:lang w:eastAsia="zh-CN"/>
              </w:rPr>
              <w:t>：</w:t>
            </w:r>
            <w:r>
              <w:rPr>
                <w:rFonts w:hint="eastAsia" w:ascii="仿宋_GB2312" w:hAnsi="宋体" w:eastAsia="仿宋_GB2312"/>
                <w:color w:val="auto"/>
                <w:kern w:val="0"/>
                <w:sz w:val="13"/>
                <w:szCs w:val="13"/>
                <w:highlight w:val="none"/>
              </w:rPr>
              <w:t>企业不及时办理资质证书变更手续的，由资质许可机关责令限期办理；逾期不办理的，可处以1000元以上1万元以下的罚款。</w:t>
            </w:r>
          </w:p>
        </w:tc>
        <w:tc>
          <w:tcPr>
            <w:tcW w:w="823" w:type="dxa"/>
            <w:tcBorders>
              <w:tl2br w:val="nil"/>
              <w:tr2bl w:val="nil"/>
            </w:tcBorders>
            <w:vAlign w:val="center"/>
          </w:tcPr>
          <w:p w14:paraId="52C775B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vAlign w:val="center"/>
          </w:tcPr>
          <w:p w14:paraId="62D1AF6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逾期15日以内改正的。</w:t>
            </w:r>
          </w:p>
        </w:tc>
        <w:tc>
          <w:tcPr>
            <w:tcW w:w="3058" w:type="dxa"/>
            <w:tcBorders>
              <w:tl2br w:val="nil"/>
              <w:tr2bl w:val="nil"/>
            </w:tcBorders>
            <w:vAlign w:val="center"/>
          </w:tcPr>
          <w:p w14:paraId="4C6823D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可处1千元以上4千元以下的罚款。</w:t>
            </w:r>
          </w:p>
        </w:tc>
      </w:tr>
      <w:tr w14:paraId="49B4E79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97" w:hRule="atLeast"/>
          <w:jc w:val="center"/>
        </w:trPr>
        <w:tc>
          <w:tcPr>
            <w:tcW w:w="443" w:type="dxa"/>
            <w:gridSpan w:val="2"/>
            <w:vMerge w:val="continue"/>
            <w:tcBorders>
              <w:tl2br w:val="nil"/>
              <w:tr2bl w:val="nil"/>
            </w:tcBorders>
            <w:vAlign w:val="center"/>
          </w:tcPr>
          <w:p w14:paraId="1F2E29C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6A051D9E">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p>
        </w:tc>
        <w:tc>
          <w:tcPr>
            <w:tcW w:w="4820" w:type="dxa"/>
            <w:vMerge w:val="continue"/>
            <w:tcBorders>
              <w:tl2br w:val="nil"/>
              <w:tr2bl w:val="nil"/>
            </w:tcBorders>
            <w:vAlign w:val="top"/>
          </w:tcPr>
          <w:p w14:paraId="68D1AE6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tcBorders>
              <w:tl2br w:val="nil"/>
              <w:tr2bl w:val="nil"/>
            </w:tcBorders>
            <w:vAlign w:val="center"/>
          </w:tcPr>
          <w:p w14:paraId="06E62F6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一般情节</w:t>
            </w:r>
          </w:p>
        </w:tc>
        <w:tc>
          <w:tcPr>
            <w:tcW w:w="3437" w:type="dxa"/>
            <w:gridSpan w:val="2"/>
            <w:tcBorders>
              <w:tl2br w:val="nil"/>
              <w:tr2bl w:val="nil"/>
            </w:tcBorders>
            <w:vAlign w:val="center"/>
          </w:tcPr>
          <w:p w14:paraId="438CB38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逾期15日以上30日以内改正的。</w:t>
            </w:r>
          </w:p>
        </w:tc>
        <w:tc>
          <w:tcPr>
            <w:tcW w:w="3058" w:type="dxa"/>
            <w:tcBorders>
              <w:tl2br w:val="nil"/>
              <w:tr2bl w:val="nil"/>
            </w:tcBorders>
            <w:vAlign w:val="center"/>
          </w:tcPr>
          <w:p w14:paraId="3214828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处4千元以上7千元以下的罚款。</w:t>
            </w:r>
          </w:p>
        </w:tc>
      </w:tr>
      <w:tr w14:paraId="2273DA5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56" w:hRule="atLeast"/>
          <w:jc w:val="center"/>
        </w:trPr>
        <w:tc>
          <w:tcPr>
            <w:tcW w:w="443" w:type="dxa"/>
            <w:gridSpan w:val="2"/>
            <w:vMerge w:val="continue"/>
            <w:tcBorders>
              <w:tl2br w:val="nil"/>
              <w:tr2bl w:val="nil"/>
            </w:tcBorders>
            <w:vAlign w:val="center"/>
          </w:tcPr>
          <w:p w14:paraId="46DBBDF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2A38F836">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271E18A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tcBorders>
              <w:tl2br w:val="nil"/>
              <w:tr2bl w:val="nil"/>
            </w:tcBorders>
            <w:vAlign w:val="center"/>
          </w:tcPr>
          <w:p w14:paraId="70C57CA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从重情节</w:t>
            </w:r>
          </w:p>
        </w:tc>
        <w:tc>
          <w:tcPr>
            <w:tcW w:w="3437" w:type="dxa"/>
            <w:gridSpan w:val="2"/>
            <w:tcBorders>
              <w:tl2br w:val="nil"/>
              <w:tr2bl w:val="nil"/>
            </w:tcBorders>
            <w:vAlign w:val="center"/>
          </w:tcPr>
          <w:p w14:paraId="0781CE2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逾期30日以上未改正的。</w:t>
            </w:r>
          </w:p>
        </w:tc>
        <w:tc>
          <w:tcPr>
            <w:tcW w:w="3058" w:type="dxa"/>
            <w:tcBorders>
              <w:tl2br w:val="nil"/>
              <w:tr2bl w:val="nil"/>
            </w:tcBorders>
            <w:vAlign w:val="center"/>
          </w:tcPr>
          <w:p w14:paraId="022A1AB4">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处7千元以上1万元以下的罚款。</w:t>
            </w:r>
          </w:p>
        </w:tc>
      </w:tr>
      <w:tr w14:paraId="2C3EF88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82" w:hRule="atLeast"/>
          <w:jc w:val="center"/>
        </w:trPr>
        <w:tc>
          <w:tcPr>
            <w:tcW w:w="443" w:type="dxa"/>
            <w:gridSpan w:val="2"/>
            <w:vMerge w:val="restart"/>
            <w:tcBorders>
              <w:tl2br w:val="nil"/>
              <w:tr2bl w:val="nil"/>
            </w:tcBorders>
            <w:vAlign w:val="center"/>
          </w:tcPr>
          <w:p w14:paraId="2DED0266">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Times New Roman"/>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64</w:t>
            </w:r>
          </w:p>
        </w:tc>
        <w:tc>
          <w:tcPr>
            <w:tcW w:w="1550" w:type="dxa"/>
            <w:vMerge w:val="restart"/>
            <w:tcBorders>
              <w:tl2br w:val="nil"/>
              <w:tr2bl w:val="nil"/>
            </w:tcBorders>
            <w:vAlign w:val="center"/>
          </w:tcPr>
          <w:p w14:paraId="79366929">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lang w:val="en-US" w:eastAsia="zh-CN"/>
              </w:rPr>
            </w:pPr>
            <w:r>
              <w:rPr>
                <w:rFonts w:hint="eastAsia" w:ascii="仿宋_GB2312" w:hAnsi="宋体" w:eastAsia="仿宋_GB2312"/>
                <w:color w:val="auto"/>
                <w:kern w:val="0"/>
                <w:sz w:val="13"/>
                <w:szCs w:val="13"/>
                <w:highlight w:val="none"/>
              </w:rPr>
              <w:t>企业未按照规定提供信用档案信息，给予警告，责令限期改正</w:t>
            </w:r>
          </w:p>
        </w:tc>
        <w:tc>
          <w:tcPr>
            <w:tcW w:w="4820" w:type="dxa"/>
            <w:vMerge w:val="restart"/>
            <w:tcBorders>
              <w:tl2br w:val="nil"/>
              <w:tr2bl w:val="nil"/>
            </w:tcBorders>
            <w:vAlign w:val="center"/>
          </w:tcPr>
          <w:p w14:paraId="55CA84C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eastAsia="仿宋_GB2312"/>
                <w:bCs/>
                <w:color w:val="auto"/>
                <w:kern w:val="0"/>
                <w:sz w:val="13"/>
                <w:szCs w:val="13"/>
                <w:highlight w:val="none"/>
              </w:rPr>
            </w:pPr>
            <w:r>
              <w:rPr>
                <w:rFonts w:hint="eastAsia" w:ascii="仿宋_GB2312" w:eastAsia="仿宋_GB2312"/>
                <w:bCs/>
                <w:color w:val="auto"/>
                <w:kern w:val="0"/>
                <w:sz w:val="13"/>
                <w:szCs w:val="13"/>
                <w:highlight w:val="none"/>
              </w:rPr>
              <w:t>《建设工程勘察设计资质管理规定》</w:t>
            </w:r>
            <w:r>
              <w:rPr>
                <w:rFonts w:hint="eastAsia" w:ascii="仿宋_GB2312" w:eastAsia="仿宋_GB2312"/>
                <w:b/>
                <w:bCs w:val="0"/>
                <w:color w:val="auto"/>
                <w:kern w:val="0"/>
                <w:sz w:val="13"/>
                <w:szCs w:val="13"/>
                <w:highlight w:val="none"/>
              </w:rPr>
              <w:t>第三十</w:t>
            </w:r>
            <w:r>
              <w:rPr>
                <w:rFonts w:hint="eastAsia" w:ascii="仿宋_GB2312" w:eastAsia="仿宋_GB2312"/>
                <w:b/>
                <w:bCs w:val="0"/>
                <w:color w:val="auto"/>
                <w:kern w:val="0"/>
                <w:sz w:val="13"/>
                <w:szCs w:val="13"/>
                <w:highlight w:val="none"/>
                <w:lang w:val="en-US" w:eastAsia="zh-CN"/>
              </w:rPr>
              <w:t>三</w:t>
            </w:r>
            <w:r>
              <w:rPr>
                <w:rFonts w:hint="eastAsia" w:ascii="仿宋_GB2312" w:eastAsia="仿宋_GB2312"/>
                <w:b/>
                <w:bCs w:val="0"/>
                <w:color w:val="auto"/>
                <w:kern w:val="0"/>
                <w:sz w:val="13"/>
                <w:szCs w:val="13"/>
                <w:highlight w:val="none"/>
              </w:rPr>
              <w:t>条</w:t>
            </w:r>
            <w:r>
              <w:rPr>
                <w:rFonts w:hint="eastAsia" w:ascii="仿宋_GB2312" w:eastAsia="仿宋_GB2312"/>
                <w:b/>
                <w:bCs w:val="0"/>
                <w:color w:val="auto"/>
                <w:kern w:val="0"/>
                <w:sz w:val="13"/>
                <w:szCs w:val="13"/>
                <w:highlight w:val="none"/>
                <w:lang w:eastAsia="zh-CN"/>
              </w:rPr>
              <w:t>：</w:t>
            </w:r>
            <w:r>
              <w:rPr>
                <w:rFonts w:hint="eastAsia" w:ascii="仿宋_GB2312" w:hAnsi="宋体" w:eastAsia="仿宋_GB2312"/>
                <w:color w:val="auto"/>
                <w:kern w:val="0"/>
                <w:sz w:val="13"/>
                <w:szCs w:val="13"/>
                <w:highlight w:val="none"/>
              </w:rPr>
              <w:t>企业未按照规定提供信用档案信息的，由县级以上地方人民政府建设主管部门给予警告，责令限期改正；逾期未改正的，可处以1000元以上1万元以下的罚款。</w:t>
            </w:r>
          </w:p>
        </w:tc>
        <w:tc>
          <w:tcPr>
            <w:tcW w:w="823" w:type="dxa"/>
            <w:tcBorders>
              <w:tl2br w:val="nil"/>
              <w:tr2bl w:val="nil"/>
            </w:tcBorders>
            <w:vAlign w:val="center"/>
          </w:tcPr>
          <w:p w14:paraId="240E4A8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vAlign w:val="center"/>
          </w:tcPr>
          <w:p w14:paraId="110E236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逾期15日以内改正的。</w:t>
            </w:r>
          </w:p>
        </w:tc>
        <w:tc>
          <w:tcPr>
            <w:tcW w:w="3058" w:type="dxa"/>
            <w:tcBorders>
              <w:tl2br w:val="nil"/>
              <w:tr2bl w:val="nil"/>
            </w:tcBorders>
            <w:vAlign w:val="center"/>
          </w:tcPr>
          <w:p w14:paraId="297C12D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可处1千元以上4千元以下的罚款。</w:t>
            </w:r>
          </w:p>
        </w:tc>
      </w:tr>
      <w:tr w14:paraId="3102753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20" w:hRule="atLeast"/>
          <w:jc w:val="center"/>
        </w:trPr>
        <w:tc>
          <w:tcPr>
            <w:tcW w:w="443" w:type="dxa"/>
            <w:gridSpan w:val="2"/>
            <w:vMerge w:val="continue"/>
            <w:tcBorders>
              <w:tl2br w:val="nil"/>
              <w:tr2bl w:val="nil"/>
            </w:tcBorders>
            <w:vAlign w:val="center"/>
          </w:tcPr>
          <w:p w14:paraId="13437A0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3560EB9B">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6104449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tcBorders>
              <w:tl2br w:val="nil"/>
              <w:tr2bl w:val="nil"/>
            </w:tcBorders>
            <w:vAlign w:val="center"/>
          </w:tcPr>
          <w:p w14:paraId="3417C9B4">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一般情节</w:t>
            </w:r>
          </w:p>
        </w:tc>
        <w:tc>
          <w:tcPr>
            <w:tcW w:w="3437" w:type="dxa"/>
            <w:gridSpan w:val="2"/>
            <w:tcBorders>
              <w:tl2br w:val="nil"/>
              <w:tr2bl w:val="nil"/>
            </w:tcBorders>
            <w:vAlign w:val="center"/>
          </w:tcPr>
          <w:p w14:paraId="1141762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逾期15日以上30日以内改正的。</w:t>
            </w:r>
          </w:p>
        </w:tc>
        <w:tc>
          <w:tcPr>
            <w:tcW w:w="3058" w:type="dxa"/>
            <w:tcBorders>
              <w:tl2br w:val="nil"/>
              <w:tr2bl w:val="nil"/>
            </w:tcBorders>
            <w:vAlign w:val="center"/>
          </w:tcPr>
          <w:p w14:paraId="261D80D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处4千元以上7千元以下的罚款。</w:t>
            </w:r>
          </w:p>
        </w:tc>
      </w:tr>
      <w:tr w14:paraId="770289A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42" w:hRule="atLeast"/>
          <w:jc w:val="center"/>
        </w:trPr>
        <w:tc>
          <w:tcPr>
            <w:tcW w:w="443" w:type="dxa"/>
            <w:gridSpan w:val="2"/>
            <w:vMerge w:val="continue"/>
            <w:tcBorders>
              <w:tl2br w:val="nil"/>
              <w:tr2bl w:val="nil"/>
            </w:tcBorders>
            <w:vAlign w:val="center"/>
          </w:tcPr>
          <w:p w14:paraId="7B414E7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71459982">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p>
        </w:tc>
        <w:tc>
          <w:tcPr>
            <w:tcW w:w="4820" w:type="dxa"/>
            <w:vMerge w:val="continue"/>
            <w:tcBorders>
              <w:tl2br w:val="nil"/>
              <w:tr2bl w:val="nil"/>
            </w:tcBorders>
            <w:vAlign w:val="top"/>
          </w:tcPr>
          <w:p w14:paraId="08059BD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tcBorders>
              <w:tl2br w:val="nil"/>
              <w:tr2bl w:val="nil"/>
            </w:tcBorders>
            <w:vAlign w:val="center"/>
          </w:tcPr>
          <w:p w14:paraId="62265D1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从重情节</w:t>
            </w:r>
          </w:p>
        </w:tc>
        <w:tc>
          <w:tcPr>
            <w:tcW w:w="3437" w:type="dxa"/>
            <w:gridSpan w:val="2"/>
            <w:tcBorders>
              <w:tl2br w:val="nil"/>
              <w:tr2bl w:val="nil"/>
            </w:tcBorders>
            <w:vAlign w:val="center"/>
          </w:tcPr>
          <w:p w14:paraId="738506F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逾期30日以上未改正的。</w:t>
            </w:r>
          </w:p>
        </w:tc>
        <w:tc>
          <w:tcPr>
            <w:tcW w:w="3058" w:type="dxa"/>
            <w:tcBorders>
              <w:tl2br w:val="nil"/>
              <w:tr2bl w:val="nil"/>
            </w:tcBorders>
            <w:vAlign w:val="center"/>
          </w:tcPr>
          <w:p w14:paraId="5C31C15B">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处7千元以上1万元以下的罚款。</w:t>
            </w:r>
          </w:p>
        </w:tc>
      </w:tr>
      <w:tr w14:paraId="3C186B5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65" w:hRule="atLeast"/>
          <w:jc w:val="center"/>
        </w:trPr>
        <w:tc>
          <w:tcPr>
            <w:tcW w:w="443" w:type="dxa"/>
            <w:gridSpan w:val="2"/>
            <w:vMerge w:val="restart"/>
            <w:tcBorders>
              <w:tl2br w:val="nil"/>
              <w:tr2bl w:val="nil"/>
            </w:tcBorders>
            <w:vAlign w:val="center"/>
          </w:tcPr>
          <w:p w14:paraId="19A08318">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Times New Roman"/>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65</w:t>
            </w:r>
          </w:p>
        </w:tc>
        <w:tc>
          <w:tcPr>
            <w:tcW w:w="1550" w:type="dxa"/>
            <w:vMerge w:val="restart"/>
            <w:tcBorders>
              <w:tl2br w:val="nil"/>
              <w:tr2bl w:val="nil"/>
            </w:tcBorders>
            <w:vAlign w:val="center"/>
          </w:tcPr>
          <w:p w14:paraId="0C03B96D">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lang w:val="en-US" w:eastAsia="zh-CN"/>
              </w:rPr>
            </w:pPr>
            <w:r>
              <w:rPr>
                <w:rFonts w:ascii="仿宋_GB2312" w:hAnsi="宋体" w:eastAsia="仿宋_GB2312"/>
                <w:color w:val="auto"/>
                <w:kern w:val="0"/>
                <w:sz w:val="13"/>
                <w:szCs w:val="13"/>
                <w:highlight w:val="none"/>
              </w:rPr>
              <w:t>勘察设计企业涂改、倒卖、出租、出借或者以其他形式非法转让资质证书</w:t>
            </w:r>
          </w:p>
        </w:tc>
        <w:tc>
          <w:tcPr>
            <w:tcW w:w="4820" w:type="dxa"/>
            <w:vMerge w:val="restart"/>
            <w:tcBorders>
              <w:tl2br w:val="nil"/>
              <w:tr2bl w:val="nil"/>
            </w:tcBorders>
            <w:vAlign w:val="center"/>
          </w:tcPr>
          <w:p w14:paraId="4986D0E6">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r>
              <w:rPr>
                <w:rFonts w:hint="eastAsia" w:ascii="仿宋_GB2312" w:eastAsia="仿宋_GB2312"/>
                <w:bCs/>
                <w:color w:val="auto"/>
                <w:kern w:val="0"/>
                <w:sz w:val="13"/>
                <w:szCs w:val="13"/>
                <w:highlight w:val="none"/>
              </w:rPr>
              <w:t>《建设工程勘察设计资质管理规定》</w:t>
            </w:r>
            <w:r>
              <w:rPr>
                <w:rFonts w:hint="eastAsia" w:ascii="仿宋_GB2312" w:eastAsia="仿宋_GB2312"/>
                <w:b/>
                <w:bCs w:val="0"/>
                <w:color w:val="auto"/>
                <w:kern w:val="0"/>
                <w:sz w:val="13"/>
                <w:szCs w:val="13"/>
                <w:highlight w:val="none"/>
              </w:rPr>
              <w:t>第三十</w:t>
            </w:r>
            <w:r>
              <w:rPr>
                <w:rFonts w:hint="eastAsia" w:ascii="仿宋_GB2312" w:eastAsia="仿宋_GB2312"/>
                <w:b/>
                <w:bCs w:val="0"/>
                <w:color w:val="auto"/>
                <w:kern w:val="0"/>
                <w:sz w:val="13"/>
                <w:szCs w:val="13"/>
                <w:highlight w:val="none"/>
                <w:lang w:val="en-US" w:eastAsia="zh-CN"/>
              </w:rPr>
              <w:t>四</w:t>
            </w:r>
            <w:r>
              <w:rPr>
                <w:rFonts w:hint="eastAsia" w:ascii="仿宋_GB2312" w:eastAsia="仿宋_GB2312"/>
                <w:b/>
                <w:bCs w:val="0"/>
                <w:color w:val="auto"/>
                <w:kern w:val="0"/>
                <w:sz w:val="13"/>
                <w:szCs w:val="13"/>
                <w:highlight w:val="none"/>
              </w:rPr>
              <w:t>条</w:t>
            </w:r>
            <w:r>
              <w:rPr>
                <w:rFonts w:hint="eastAsia" w:ascii="仿宋_GB2312" w:eastAsia="仿宋_GB2312"/>
                <w:b/>
                <w:bCs w:val="0"/>
                <w:color w:val="auto"/>
                <w:kern w:val="0"/>
                <w:sz w:val="13"/>
                <w:szCs w:val="13"/>
                <w:highlight w:val="none"/>
                <w:lang w:eastAsia="zh-CN"/>
              </w:rPr>
              <w:t>：</w:t>
            </w:r>
            <w:r>
              <w:rPr>
                <w:rFonts w:hint="eastAsia" w:ascii="仿宋_GB2312" w:hAnsi="宋体" w:eastAsia="仿宋_GB2312"/>
                <w:color w:val="auto"/>
                <w:kern w:val="0"/>
                <w:sz w:val="13"/>
                <w:szCs w:val="13"/>
                <w:highlight w:val="none"/>
              </w:rPr>
              <w:t>涂改、倒卖、出租、出借或者以其他形式非法转让资质证书的，由县级以上地方人民政府建设主管部门或者有关部门给予警告，责令改正，并处以1万元以上3万元以下的罚款；造成损失的，依法承担赔偿责任；构成犯罪的，依法追究刑事责任。</w:t>
            </w:r>
          </w:p>
        </w:tc>
        <w:tc>
          <w:tcPr>
            <w:tcW w:w="823" w:type="dxa"/>
            <w:tcBorders>
              <w:tl2br w:val="nil"/>
              <w:tr2bl w:val="nil"/>
            </w:tcBorders>
            <w:vAlign w:val="center"/>
          </w:tcPr>
          <w:p w14:paraId="4722216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vAlign w:val="center"/>
          </w:tcPr>
          <w:p w14:paraId="1419B09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逾期15日以内改正的。</w:t>
            </w:r>
          </w:p>
        </w:tc>
        <w:tc>
          <w:tcPr>
            <w:tcW w:w="3058" w:type="dxa"/>
            <w:tcBorders>
              <w:tl2br w:val="nil"/>
              <w:tr2bl w:val="nil"/>
            </w:tcBorders>
            <w:vAlign w:val="center"/>
          </w:tcPr>
          <w:p w14:paraId="4BB5AF4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给予警告，责令改正，处1万元以上2万元以下罚款。</w:t>
            </w:r>
          </w:p>
        </w:tc>
      </w:tr>
      <w:tr w14:paraId="62C21FC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63" w:hRule="atLeast"/>
          <w:jc w:val="center"/>
        </w:trPr>
        <w:tc>
          <w:tcPr>
            <w:tcW w:w="443" w:type="dxa"/>
            <w:gridSpan w:val="2"/>
            <w:vMerge w:val="continue"/>
            <w:tcBorders>
              <w:tl2br w:val="nil"/>
              <w:tr2bl w:val="nil"/>
            </w:tcBorders>
            <w:vAlign w:val="center"/>
          </w:tcPr>
          <w:p w14:paraId="26278C2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26B67C81">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7A4616D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tcBorders>
              <w:tl2br w:val="nil"/>
              <w:tr2bl w:val="nil"/>
            </w:tcBorders>
            <w:vAlign w:val="center"/>
          </w:tcPr>
          <w:p w14:paraId="605348E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一般情节</w:t>
            </w:r>
          </w:p>
        </w:tc>
        <w:tc>
          <w:tcPr>
            <w:tcW w:w="3437" w:type="dxa"/>
            <w:gridSpan w:val="2"/>
            <w:tcBorders>
              <w:tl2br w:val="nil"/>
              <w:tr2bl w:val="nil"/>
            </w:tcBorders>
            <w:vAlign w:val="center"/>
          </w:tcPr>
          <w:p w14:paraId="77BDA99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逾期15日以上30日以内改正的。</w:t>
            </w:r>
          </w:p>
        </w:tc>
        <w:tc>
          <w:tcPr>
            <w:tcW w:w="3058" w:type="dxa"/>
            <w:tcBorders>
              <w:tl2br w:val="nil"/>
              <w:tr2bl w:val="nil"/>
            </w:tcBorders>
            <w:vAlign w:val="center"/>
          </w:tcPr>
          <w:p w14:paraId="3D49BE5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给予警告，责令改正，处2万元以上3万元以下的罚款。</w:t>
            </w:r>
          </w:p>
        </w:tc>
      </w:tr>
      <w:tr w14:paraId="04E0047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98" w:hRule="atLeast"/>
          <w:jc w:val="center"/>
        </w:trPr>
        <w:tc>
          <w:tcPr>
            <w:tcW w:w="443" w:type="dxa"/>
            <w:gridSpan w:val="2"/>
            <w:vMerge w:val="continue"/>
            <w:tcBorders>
              <w:tl2br w:val="nil"/>
              <w:tr2bl w:val="nil"/>
            </w:tcBorders>
            <w:vAlign w:val="center"/>
          </w:tcPr>
          <w:p w14:paraId="2461F87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505DA29E">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p>
        </w:tc>
        <w:tc>
          <w:tcPr>
            <w:tcW w:w="4820" w:type="dxa"/>
            <w:vMerge w:val="continue"/>
            <w:tcBorders>
              <w:tl2br w:val="nil"/>
              <w:tr2bl w:val="nil"/>
            </w:tcBorders>
            <w:vAlign w:val="top"/>
          </w:tcPr>
          <w:p w14:paraId="7EB6154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tcBorders>
              <w:tl2br w:val="nil"/>
              <w:tr2bl w:val="nil"/>
            </w:tcBorders>
            <w:vAlign w:val="center"/>
          </w:tcPr>
          <w:p w14:paraId="5B8BA09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从重情节</w:t>
            </w:r>
          </w:p>
        </w:tc>
        <w:tc>
          <w:tcPr>
            <w:tcW w:w="3437" w:type="dxa"/>
            <w:gridSpan w:val="2"/>
            <w:tcBorders>
              <w:tl2br w:val="nil"/>
              <w:tr2bl w:val="nil"/>
            </w:tcBorders>
            <w:vAlign w:val="center"/>
          </w:tcPr>
          <w:p w14:paraId="0AF67DE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限期内未改正，逾期30日以上未改正的。</w:t>
            </w:r>
          </w:p>
        </w:tc>
        <w:tc>
          <w:tcPr>
            <w:tcW w:w="3058" w:type="dxa"/>
            <w:tcBorders>
              <w:tl2br w:val="nil"/>
              <w:tr2bl w:val="nil"/>
            </w:tcBorders>
            <w:vAlign w:val="center"/>
          </w:tcPr>
          <w:p w14:paraId="729AFDD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给予警告，责令改正，处3万元的罚款。</w:t>
            </w:r>
          </w:p>
        </w:tc>
      </w:tr>
      <w:tr w14:paraId="4CC6382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438" w:hRule="atLeast"/>
          <w:jc w:val="center"/>
        </w:trPr>
        <w:tc>
          <w:tcPr>
            <w:tcW w:w="443" w:type="dxa"/>
            <w:gridSpan w:val="2"/>
            <w:vMerge w:val="restart"/>
            <w:tcBorders>
              <w:tl2br w:val="nil"/>
              <w:tr2bl w:val="nil"/>
            </w:tcBorders>
            <w:vAlign w:val="center"/>
          </w:tcPr>
          <w:p w14:paraId="5C68928C">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Times New Roman"/>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66</w:t>
            </w:r>
          </w:p>
        </w:tc>
        <w:tc>
          <w:tcPr>
            <w:tcW w:w="1550" w:type="dxa"/>
            <w:vMerge w:val="restart"/>
            <w:tcBorders>
              <w:tl2br w:val="nil"/>
              <w:tr2bl w:val="nil"/>
            </w:tcBorders>
            <w:vAlign w:val="center"/>
          </w:tcPr>
          <w:p w14:paraId="03251CF6">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p w14:paraId="0B31EAFD">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lang w:val="en-US" w:eastAsia="zh-CN"/>
              </w:rPr>
            </w:pPr>
            <w:r>
              <w:rPr>
                <w:rFonts w:hint="eastAsia" w:ascii="仿宋_GB2312" w:hAnsi="宋体" w:eastAsia="仿宋_GB2312"/>
                <w:color w:val="auto"/>
                <w:kern w:val="0"/>
                <w:sz w:val="13"/>
                <w:szCs w:val="13"/>
                <w:highlight w:val="none"/>
              </w:rPr>
              <w:t>“安管人员”涂改、倒卖、出租、出借或者以其他形式非法转让安全生产考核合格证书</w:t>
            </w:r>
          </w:p>
        </w:tc>
        <w:tc>
          <w:tcPr>
            <w:tcW w:w="4820" w:type="dxa"/>
            <w:vMerge w:val="restart"/>
            <w:tcBorders>
              <w:tl2br w:val="nil"/>
              <w:tr2bl w:val="nil"/>
            </w:tcBorders>
            <w:vAlign w:val="center"/>
          </w:tcPr>
          <w:p w14:paraId="5BA2529D">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《建筑施工企业主要负责人、项目负责人和专职安全生产管理人员安全生产管理规定》</w:t>
            </w:r>
            <w:r>
              <w:rPr>
                <w:rFonts w:hint="eastAsia" w:ascii="仿宋_GB2312" w:hAnsi="宋体" w:eastAsia="仿宋_GB2312"/>
                <w:b/>
                <w:bCs/>
                <w:color w:val="auto"/>
                <w:kern w:val="0"/>
                <w:sz w:val="13"/>
                <w:szCs w:val="13"/>
                <w:highlight w:val="none"/>
              </w:rPr>
              <w:t>第二十八条</w:t>
            </w:r>
            <w:r>
              <w:rPr>
                <w:rFonts w:hint="eastAsia" w:ascii="仿宋_GB2312" w:hAnsi="宋体" w:eastAsia="仿宋_GB2312"/>
                <w:b/>
                <w:bCs/>
                <w:color w:val="auto"/>
                <w:kern w:val="0"/>
                <w:sz w:val="13"/>
                <w:szCs w:val="13"/>
                <w:highlight w:val="none"/>
                <w:lang w:eastAsia="zh-CN"/>
              </w:rPr>
              <w:t>：</w:t>
            </w:r>
            <w:r>
              <w:rPr>
                <w:rFonts w:hint="eastAsia" w:ascii="仿宋_GB2312" w:hAnsi="宋体" w:eastAsia="仿宋_GB2312"/>
                <w:color w:val="auto"/>
                <w:kern w:val="0"/>
                <w:sz w:val="13"/>
                <w:szCs w:val="13"/>
                <w:highlight w:val="none"/>
              </w:rPr>
              <w:t>“安管人员”涂改、倒卖、出租、出借或者以其他形式非法转让安全生产考核合格证书的，由县级以上地方人民政府住房城乡建设主管部门给予警告，并处1000元以上5000元以下的罚款。</w:t>
            </w:r>
          </w:p>
          <w:p w14:paraId="70A98F6A">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p w14:paraId="0B50F8FA">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p>
        </w:tc>
        <w:tc>
          <w:tcPr>
            <w:tcW w:w="823" w:type="dxa"/>
            <w:tcBorders>
              <w:tl2br w:val="nil"/>
              <w:tr2bl w:val="nil"/>
            </w:tcBorders>
            <w:vAlign w:val="center"/>
          </w:tcPr>
          <w:p w14:paraId="546BF3E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vAlign w:val="center"/>
          </w:tcPr>
          <w:p w14:paraId="2C2A8DB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初次违法，危害后果轻微，主动消除或减轻违法行为危害后果的。</w:t>
            </w:r>
          </w:p>
        </w:tc>
        <w:tc>
          <w:tcPr>
            <w:tcW w:w="3058" w:type="dxa"/>
            <w:tcBorders>
              <w:tl2br w:val="nil"/>
              <w:tr2bl w:val="nil"/>
            </w:tcBorders>
            <w:vAlign w:val="center"/>
          </w:tcPr>
          <w:p w14:paraId="06F2C4D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给予警告，处1千元以上2千元以下的罚款。</w:t>
            </w:r>
          </w:p>
        </w:tc>
      </w:tr>
      <w:tr w14:paraId="4B0924C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642" w:hRule="atLeast"/>
          <w:jc w:val="center"/>
        </w:trPr>
        <w:tc>
          <w:tcPr>
            <w:tcW w:w="443" w:type="dxa"/>
            <w:gridSpan w:val="2"/>
            <w:vMerge w:val="continue"/>
            <w:tcBorders>
              <w:tl2br w:val="nil"/>
              <w:tr2bl w:val="nil"/>
            </w:tcBorders>
            <w:vAlign w:val="center"/>
          </w:tcPr>
          <w:p w14:paraId="6DCB25E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1F9D7BEF">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018FD2B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tcBorders>
              <w:tl2br w:val="nil"/>
              <w:tr2bl w:val="nil"/>
            </w:tcBorders>
            <w:vAlign w:val="center"/>
          </w:tcPr>
          <w:p w14:paraId="5859716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一般情节</w:t>
            </w:r>
          </w:p>
        </w:tc>
        <w:tc>
          <w:tcPr>
            <w:tcW w:w="3437" w:type="dxa"/>
            <w:gridSpan w:val="2"/>
            <w:tcBorders>
              <w:tl2br w:val="nil"/>
              <w:tr2bl w:val="nil"/>
            </w:tcBorders>
            <w:vAlign w:val="center"/>
          </w:tcPr>
          <w:p w14:paraId="40E16C3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不具有从轻、</w:t>
            </w:r>
            <w:r>
              <w:rPr>
                <w:rFonts w:hint="eastAsia" w:ascii="仿宋_GB2312" w:hAnsi="宋体" w:eastAsia="仿宋_GB2312"/>
                <w:color w:val="auto"/>
                <w:kern w:val="0"/>
                <w:sz w:val="13"/>
                <w:szCs w:val="13"/>
                <w:highlight w:val="none"/>
                <w:lang w:eastAsia="zh-CN"/>
              </w:rPr>
              <w:t>从重情节</w:t>
            </w:r>
            <w:r>
              <w:rPr>
                <w:rFonts w:hint="eastAsia" w:ascii="仿宋_GB2312" w:hAnsi="宋体" w:eastAsia="仿宋_GB2312"/>
                <w:color w:val="auto"/>
                <w:kern w:val="0"/>
                <w:sz w:val="13"/>
                <w:szCs w:val="13"/>
                <w:highlight w:val="none"/>
              </w:rPr>
              <w:t>的。</w:t>
            </w:r>
          </w:p>
        </w:tc>
        <w:tc>
          <w:tcPr>
            <w:tcW w:w="3058" w:type="dxa"/>
            <w:tcBorders>
              <w:tl2br w:val="nil"/>
              <w:tr2bl w:val="nil"/>
            </w:tcBorders>
            <w:vAlign w:val="center"/>
          </w:tcPr>
          <w:p w14:paraId="2B38DE2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给予警告，处2千元以上4千元以下的罚款。</w:t>
            </w:r>
          </w:p>
        </w:tc>
      </w:tr>
      <w:tr w14:paraId="6A13C30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94" w:hRule="atLeast"/>
          <w:jc w:val="center"/>
        </w:trPr>
        <w:tc>
          <w:tcPr>
            <w:tcW w:w="443" w:type="dxa"/>
            <w:gridSpan w:val="2"/>
            <w:vMerge w:val="continue"/>
            <w:tcBorders>
              <w:tl2br w:val="nil"/>
              <w:tr2bl w:val="nil"/>
            </w:tcBorders>
            <w:vAlign w:val="center"/>
          </w:tcPr>
          <w:p w14:paraId="16C7BE0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5A357A91">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4D025A0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tcBorders>
              <w:tl2br w:val="nil"/>
              <w:tr2bl w:val="nil"/>
            </w:tcBorders>
            <w:vAlign w:val="center"/>
          </w:tcPr>
          <w:p w14:paraId="57DF089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从重情节</w:t>
            </w:r>
          </w:p>
        </w:tc>
        <w:tc>
          <w:tcPr>
            <w:tcW w:w="3437" w:type="dxa"/>
            <w:gridSpan w:val="2"/>
            <w:tcBorders>
              <w:tl2br w:val="nil"/>
              <w:tr2bl w:val="nil"/>
            </w:tcBorders>
            <w:vAlign w:val="center"/>
          </w:tcPr>
          <w:p w14:paraId="00E568E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0" w:firstLineChars="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lang w:val="en-US" w:eastAsia="zh-CN"/>
              </w:rPr>
              <w:t>有下列情形之一的：</w:t>
            </w:r>
            <w:r>
              <w:rPr>
                <w:rFonts w:hint="eastAsia" w:ascii="仿宋_GB2312" w:hAnsi="宋体" w:eastAsia="仿宋_GB2312"/>
                <w:color w:val="auto"/>
                <w:kern w:val="0"/>
                <w:sz w:val="13"/>
                <w:szCs w:val="13"/>
                <w:highlight w:val="none"/>
              </w:rPr>
              <w:t>（1）曾因该违法行为被依法查处，再次实施该违法行为的；</w:t>
            </w:r>
          </w:p>
          <w:p w14:paraId="5F88BEA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（2）造成工程质量事故的；</w:t>
            </w:r>
          </w:p>
          <w:p w14:paraId="01571AF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（3）其他依法应予从重处罚的情形。</w:t>
            </w:r>
          </w:p>
        </w:tc>
        <w:tc>
          <w:tcPr>
            <w:tcW w:w="3058" w:type="dxa"/>
            <w:tcBorders>
              <w:tl2br w:val="nil"/>
              <w:tr2bl w:val="nil"/>
            </w:tcBorders>
            <w:vAlign w:val="center"/>
          </w:tcPr>
          <w:p w14:paraId="3F3D054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给予警告，处4千元以上5千元以下的罚款。</w:t>
            </w:r>
          </w:p>
        </w:tc>
      </w:tr>
      <w:tr w14:paraId="2C43050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87" w:hRule="atLeast"/>
          <w:jc w:val="center"/>
        </w:trPr>
        <w:tc>
          <w:tcPr>
            <w:tcW w:w="443" w:type="dxa"/>
            <w:gridSpan w:val="2"/>
            <w:vMerge w:val="restart"/>
            <w:tcBorders>
              <w:tl2br w:val="nil"/>
              <w:tr2bl w:val="nil"/>
            </w:tcBorders>
            <w:vAlign w:val="center"/>
          </w:tcPr>
          <w:p w14:paraId="1D8193CC">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Times New Roman"/>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67</w:t>
            </w:r>
          </w:p>
        </w:tc>
        <w:tc>
          <w:tcPr>
            <w:tcW w:w="1550" w:type="dxa"/>
            <w:vMerge w:val="restart"/>
            <w:tcBorders>
              <w:tl2br w:val="nil"/>
              <w:tr2bl w:val="nil"/>
            </w:tcBorders>
            <w:vAlign w:val="center"/>
          </w:tcPr>
          <w:p w14:paraId="107414AE">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未按规定开展“安管人员”安全生产教育培训考核，或者未按规定如实将考核情况记入安全生产教育培训档案</w:t>
            </w:r>
          </w:p>
        </w:tc>
        <w:tc>
          <w:tcPr>
            <w:tcW w:w="4820" w:type="dxa"/>
            <w:vMerge w:val="restart"/>
            <w:tcBorders>
              <w:tl2br w:val="nil"/>
              <w:tr2bl w:val="nil"/>
            </w:tcBorders>
            <w:vAlign w:val="center"/>
          </w:tcPr>
          <w:p w14:paraId="0618C207">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《建筑施工企业主要负责人、项目负责人和专职安全生产管理人员安全生产管理规定》</w:t>
            </w:r>
            <w:r>
              <w:rPr>
                <w:rFonts w:hint="eastAsia" w:ascii="仿宋_GB2312" w:hAnsi="宋体" w:eastAsia="仿宋_GB2312"/>
                <w:b/>
                <w:bCs/>
                <w:color w:val="auto"/>
                <w:kern w:val="0"/>
                <w:sz w:val="13"/>
                <w:szCs w:val="13"/>
                <w:highlight w:val="none"/>
              </w:rPr>
              <w:t>第二十九条</w:t>
            </w:r>
            <w:r>
              <w:rPr>
                <w:rFonts w:hint="eastAsia" w:ascii="仿宋_GB2312" w:hAnsi="宋体" w:eastAsia="仿宋_GB2312"/>
                <w:b/>
                <w:bCs/>
                <w:color w:val="auto"/>
                <w:kern w:val="0"/>
                <w:sz w:val="13"/>
                <w:szCs w:val="13"/>
                <w:highlight w:val="none"/>
                <w:lang w:eastAsia="zh-CN"/>
              </w:rPr>
              <w:t>：</w:t>
            </w:r>
            <w:r>
              <w:rPr>
                <w:rFonts w:hint="eastAsia" w:ascii="仿宋_GB2312" w:hAnsi="宋体" w:eastAsia="仿宋_GB2312"/>
                <w:color w:val="auto"/>
                <w:kern w:val="0"/>
                <w:sz w:val="13"/>
                <w:szCs w:val="13"/>
                <w:highlight w:val="none"/>
              </w:rPr>
              <w:t>建筑施工企业未按规定开展“安管人员”安全生产教育培训考核，或者未按规定如实将考核情况记入安全生产教育培训档案的，由县级以上地方人民政府住房城乡建设主管部门责令限期改正，并处2万元以下的罚款。</w:t>
            </w:r>
          </w:p>
        </w:tc>
        <w:tc>
          <w:tcPr>
            <w:tcW w:w="823" w:type="dxa"/>
            <w:tcBorders>
              <w:tl2br w:val="nil"/>
              <w:tr2bl w:val="nil"/>
            </w:tcBorders>
            <w:vAlign w:val="center"/>
          </w:tcPr>
          <w:p w14:paraId="6A9445F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vAlign w:val="center"/>
          </w:tcPr>
          <w:p w14:paraId="2707E17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初次违法，危害后果轻微，主动消除或减轻违法行为危害后果的。</w:t>
            </w:r>
          </w:p>
        </w:tc>
        <w:tc>
          <w:tcPr>
            <w:tcW w:w="3058" w:type="dxa"/>
            <w:tcBorders>
              <w:tl2br w:val="nil"/>
              <w:tr2bl w:val="nil"/>
            </w:tcBorders>
            <w:vAlign w:val="center"/>
          </w:tcPr>
          <w:p w14:paraId="12797A6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责令限期改正，处1万元以下的罚款。</w:t>
            </w:r>
          </w:p>
        </w:tc>
      </w:tr>
      <w:tr w14:paraId="4828718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50" w:hRule="atLeast"/>
          <w:jc w:val="center"/>
        </w:trPr>
        <w:tc>
          <w:tcPr>
            <w:tcW w:w="443" w:type="dxa"/>
            <w:gridSpan w:val="2"/>
            <w:vMerge w:val="continue"/>
            <w:tcBorders>
              <w:tl2br w:val="nil"/>
              <w:tr2bl w:val="nil"/>
            </w:tcBorders>
            <w:vAlign w:val="center"/>
          </w:tcPr>
          <w:p w14:paraId="1770654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2A9D1A8E">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4ABE7FA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823" w:type="dxa"/>
            <w:tcBorders>
              <w:tl2br w:val="nil"/>
              <w:tr2bl w:val="nil"/>
            </w:tcBorders>
            <w:vAlign w:val="center"/>
          </w:tcPr>
          <w:p w14:paraId="0140CAF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一般情节</w:t>
            </w:r>
          </w:p>
        </w:tc>
        <w:tc>
          <w:tcPr>
            <w:tcW w:w="3437" w:type="dxa"/>
            <w:gridSpan w:val="2"/>
            <w:tcBorders>
              <w:tl2br w:val="nil"/>
              <w:tr2bl w:val="nil"/>
            </w:tcBorders>
            <w:vAlign w:val="center"/>
          </w:tcPr>
          <w:p w14:paraId="0B3CC9C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不具有从轻、</w:t>
            </w:r>
            <w:r>
              <w:rPr>
                <w:rFonts w:hint="eastAsia" w:ascii="仿宋_GB2312" w:hAnsi="宋体" w:eastAsia="仿宋_GB2312"/>
                <w:color w:val="auto"/>
                <w:kern w:val="0"/>
                <w:sz w:val="13"/>
                <w:szCs w:val="13"/>
                <w:highlight w:val="none"/>
                <w:lang w:eastAsia="zh-CN"/>
              </w:rPr>
              <w:t>从重情节</w:t>
            </w:r>
            <w:r>
              <w:rPr>
                <w:rFonts w:hint="eastAsia" w:ascii="仿宋_GB2312" w:hAnsi="宋体" w:eastAsia="仿宋_GB2312"/>
                <w:color w:val="auto"/>
                <w:kern w:val="0"/>
                <w:sz w:val="13"/>
                <w:szCs w:val="13"/>
                <w:highlight w:val="none"/>
              </w:rPr>
              <w:t>的。</w:t>
            </w:r>
          </w:p>
        </w:tc>
        <w:tc>
          <w:tcPr>
            <w:tcW w:w="3058" w:type="dxa"/>
            <w:tcBorders>
              <w:tl2br w:val="nil"/>
              <w:tr2bl w:val="nil"/>
            </w:tcBorders>
            <w:vAlign w:val="center"/>
          </w:tcPr>
          <w:p w14:paraId="4F6FD68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责令限期改正，处1万元以上2万元以下的罚款。</w:t>
            </w:r>
          </w:p>
        </w:tc>
      </w:tr>
      <w:tr w14:paraId="73121FA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472" w:hRule="atLeast"/>
          <w:jc w:val="center"/>
        </w:trPr>
        <w:tc>
          <w:tcPr>
            <w:tcW w:w="443" w:type="dxa"/>
            <w:gridSpan w:val="2"/>
            <w:vMerge w:val="continue"/>
            <w:tcBorders>
              <w:tl2br w:val="nil"/>
              <w:tr2bl w:val="nil"/>
            </w:tcBorders>
            <w:vAlign w:val="center"/>
          </w:tcPr>
          <w:p w14:paraId="5AAA10C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51452C79">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6E949FC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823" w:type="dxa"/>
            <w:tcBorders>
              <w:tl2br w:val="nil"/>
              <w:tr2bl w:val="nil"/>
            </w:tcBorders>
            <w:vAlign w:val="center"/>
          </w:tcPr>
          <w:p w14:paraId="5C19B08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从重情节</w:t>
            </w:r>
          </w:p>
        </w:tc>
        <w:tc>
          <w:tcPr>
            <w:tcW w:w="3437" w:type="dxa"/>
            <w:gridSpan w:val="2"/>
            <w:tcBorders>
              <w:tl2br w:val="nil"/>
              <w:tr2bl w:val="nil"/>
            </w:tcBorders>
            <w:vAlign w:val="center"/>
          </w:tcPr>
          <w:p w14:paraId="5620721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0" w:firstLineChars="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lang w:val="en-US" w:eastAsia="zh-CN"/>
              </w:rPr>
              <w:t>有下列情形之一的：</w:t>
            </w:r>
            <w:r>
              <w:rPr>
                <w:rFonts w:hint="eastAsia" w:ascii="仿宋_GB2312" w:hAnsi="宋体" w:eastAsia="仿宋_GB2312"/>
                <w:color w:val="auto"/>
                <w:kern w:val="0"/>
                <w:sz w:val="13"/>
                <w:szCs w:val="13"/>
                <w:highlight w:val="none"/>
              </w:rPr>
              <w:t>（1）经责令改正后，逾期未改正的；</w:t>
            </w:r>
          </w:p>
          <w:p w14:paraId="69545F6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（2）曾因该违法行为被依法查处，再次实施该违法行为的；</w:t>
            </w:r>
          </w:p>
          <w:p w14:paraId="5F066BB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（3）造成工程质量事故的；</w:t>
            </w:r>
          </w:p>
          <w:p w14:paraId="3B010AB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（4）其他依法应予从重处罚的情形。</w:t>
            </w:r>
          </w:p>
        </w:tc>
        <w:tc>
          <w:tcPr>
            <w:tcW w:w="3058" w:type="dxa"/>
            <w:tcBorders>
              <w:tl2br w:val="nil"/>
              <w:tr2bl w:val="nil"/>
            </w:tcBorders>
            <w:vAlign w:val="center"/>
          </w:tcPr>
          <w:p w14:paraId="43C2EA34">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责令限期改正，处2万元的罚款。</w:t>
            </w:r>
          </w:p>
        </w:tc>
      </w:tr>
      <w:tr w14:paraId="329B402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98" w:hRule="atLeast"/>
          <w:jc w:val="center"/>
        </w:trPr>
        <w:tc>
          <w:tcPr>
            <w:tcW w:w="443" w:type="dxa"/>
            <w:gridSpan w:val="2"/>
            <w:vMerge w:val="restart"/>
            <w:tcBorders>
              <w:tl2br w:val="nil"/>
              <w:tr2bl w:val="nil"/>
            </w:tcBorders>
            <w:vAlign w:val="center"/>
          </w:tcPr>
          <w:p w14:paraId="7B15F3EE">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Times New Roman"/>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68</w:t>
            </w:r>
          </w:p>
        </w:tc>
        <w:tc>
          <w:tcPr>
            <w:tcW w:w="1550" w:type="dxa"/>
            <w:vMerge w:val="restart"/>
            <w:tcBorders>
              <w:tl2br w:val="nil"/>
              <w:tr2bl w:val="nil"/>
            </w:tcBorders>
            <w:vAlign w:val="center"/>
          </w:tcPr>
          <w:p w14:paraId="29269A51">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lang w:val="en-US" w:eastAsia="zh-CN"/>
              </w:rPr>
            </w:pPr>
            <w:r>
              <w:rPr>
                <w:rFonts w:hint="eastAsia" w:ascii="仿宋_GB2312" w:hAnsi="宋体" w:eastAsia="仿宋_GB2312"/>
                <w:color w:val="auto"/>
                <w:kern w:val="0"/>
                <w:sz w:val="13"/>
                <w:szCs w:val="13"/>
                <w:highlight w:val="none"/>
              </w:rPr>
              <w:t>未按规定设立安全生产管理机构且逾期未改正</w:t>
            </w:r>
            <w:r>
              <w:rPr>
                <w:rFonts w:hint="eastAsia" w:ascii="仿宋_GB2312" w:hAnsi="宋体" w:eastAsia="仿宋_GB2312"/>
                <w:color w:val="auto"/>
                <w:kern w:val="0"/>
                <w:sz w:val="13"/>
                <w:szCs w:val="13"/>
                <w:highlight w:val="none"/>
                <w:lang w:eastAsia="zh-CN"/>
              </w:rPr>
              <w:t>；</w:t>
            </w:r>
            <w:r>
              <w:rPr>
                <w:rFonts w:hint="eastAsia" w:ascii="仿宋_GB2312" w:hAnsi="宋体" w:eastAsia="仿宋_GB2312"/>
                <w:color w:val="auto"/>
                <w:kern w:val="0"/>
                <w:sz w:val="13"/>
                <w:szCs w:val="13"/>
                <w:highlight w:val="none"/>
              </w:rPr>
              <w:t>未按规定配备专职安全生产管理人员且逾期未改正</w:t>
            </w:r>
            <w:r>
              <w:rPr>
                <w:rFonts w:hint="eastAsia" w:ascii="仿宋_GB2312" w:hAnsi="宋体" w:eastAsia="仿宋_GB2312"/>
                <w:color w:val="auto"/>
                <w:kern w:val="0"/>
                <w:sz w:val="13"/>
                <w:szCs w:val="13"/>
                <w:highlight w:val="none"/>
                <w:lang w:eastAsia="zh-CN"/>
              </w:rPr>
              <w:t>；</w:t>
            </w:r>
            <w:r>
              <w:rPr>
                <w:rFonts w:hint="eastAsia" w:ascii="仿宋_GB2312" w:hAnsi="宋体" w:eastAsia="仿宋_GB2312"/>
                <w:color w:val="auto"/>
                <w:kern w:val="0"/>
                <w:sz w:val="13"/>
                <w:szCs w:val="13"/>
                <w:highlight w:val="none"/>
              </w:rPr>
              <w:t>危险性较大的分部分项工程施工时未安排专职安全生产管理人员现场监督</w:t>
            </w:r>
            <w:r>
              <w:rPr>
                <w:rFonts w:hint="eastAsia" w:ascii="仿宋_GB2312" w:hAnsi="宋体" w:eastAsia="仿宋_GB2312"/>
                <w:color w:val="auto"/>
                <w:kern w:val="0"/>
                <w:sz w:val="13"/>
                <w:szCs w:val="13"/>
                <w:highlight w:val="none"/>
                <w:lang w:eastAsia="zh-CN"/>
              </w:rPr>
              <w:t>；</w:t>
            </w:r>
            <w:r>
              <w:rPr>
                <w:rFonts w:hint="eastAsia" w:ascii="仿宋_GB2312" w:hAnsi="宋体" w:eastAsia="仿宋_GB2312"/>
                <w:color w:val="auto"/>
                <w:kern w:val="0"/>
                <w:sz w:val="13"/>
                <w:szCs w:val="13"/>
                <w:highlight w:val="none"/>
              </w:rPr>
              <w:t>“安管人员”未取得安全生产考核合格证书</w:t>
            </w:r>
          </w:p>
        </w:tc>
        <w:tc>
          <w:tcPr>
            <w:tcW w:w="4820" w:type="dxa"/>
            <w:vMerge w:val="restart"/>
            <w:tcBorders>
              <w:tl2br w:val="nil"/>
              <w:tr2bl w:val="nil"/>
            </w:tcBorders>
            <w:vAlign w:val="center"/>
          </w:tcPr>
          <w:p w14:paraId="2014496C">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《建筑施工企业主要负责人、项目负责人和专职安全生产管理人员安全生产管理规定》</w:t>
            </w:r>
            <w:r>
              <w:rPr>
                <w:rFonts w:hint="eastAsia" w:ascii="仿宋_GB2312" w:hAnsi="宋体" w:eastAsia="仿宋_GB2312"/>
                <w:b/>
                <w:bCs/>
                <w:color w:val="auto"/>
                <w:kern w:val="0"/>
                <w:sz w:val="13"/>
                <w:szCs w:val="13"/>
                <w:highlight w:val="none"/>
              </w:rPr>
              <w:t>第三十条</w:t>
            </w:r>
            <w:r>
              <w:rPr>
                <w:rFonts w:hint="eastAsia" w:ascii="仿宋_GB2312" w:hAnsi="宋体" w:eastAsia="仿宋_GB2312"/>
                <w:b/>
                <w:bCs/>
                <w:color w:val="auto"/>
                <w:kern w:val="0"/>
                <w:sz w:val="13"/>
                <w:szCs w:val="13"/>
                <w:highlight w:val="none"/>
                <w:lang w:eastAsia="zh-CN"/>
              </w:rPr>
              <w:t>：</w:t>
            </w:r>
            <w:r>
              <w:rPr>
                <w:rFonts w:hint="eastAsia" w:ascii="仿宋_GB2312" w:hAnsi="宋体" w:eastAsia="仿宋_GB2312"/>
                <w:color w:val="auto"/>
                <w:kern w:val="0"/>
                <w:sz w:val="13"/>
                <w:szCs w:val="13"/>
                <w:highlight w:val="none"/>
              </w:rPr>
              <w:t>建筑施工企业有下列行为之一的，由县级以上人民政府住房城乡建设主管部门责令限期改正；逾期未改正的，责令停业整顿，并处2万元以下的罚款；导致不具备《安全生产许可证条例》规定的安全生产条件的，应当依法暂扣或者吊销安全生产许可证：</w:t>
            </w:r>
          </w:p>
          <w:p w14:paraId="22AE663C">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(一)未按规定设立安全生产管理机构的;</w:t>
            </w:r>
          </w:p>
          <w:p w14:paraId="2E3F5FE3">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(二)未按规定配备专职安全生产管理人员的;</w:t>
            </w:r>
          </w:p>
          <w:p w14:paraId="2B085189">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(三)危险性较大的分部分项工程施工时未安排专职安全生产管理人员现场监督的;</w:t>
            </w:r>
          </w:p>
          <w:p w14:paraId="4F42799A">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(四)“安管人员”未取得安全生产考核合格证书的。</w:t>
            </w:r>
          </w:p>
          <w:p w14:paraId="358D75D8">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p>
        </w:tc>
        <w:tc>
          <w:tcPr>
            <w:tcW w:w="823" w:type="dxa"/>
            <w:tcBorders>
              <w:tl2br w:val="nil"/>
              <w:tr2bl w:val="nil"/>
            </w:tcBorders>
            <w:vAlign w:val="center"/>
          </w:tcPr>
          <w:p w14:paraId="7EA7C555">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vAlign w:val="center"/>
          </w:tcPr>
          <w:p w14:paraId="7F374C2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初次违法，危害后果较轻的，主动消除或减轻违法行为危害后果的。</w:t>
            </w:r>
          </w:p>
        </w:tc>
        <w:tc>
          <w:tcPr>
            <w:tcW w:w="3058" w:type="dxa"/>
            <w:tcBorders>
              <w:tl2br w:val="nil"/>
              <w:tr2bl w:val="nil"/>
            </w:tcBorders>
            <w:vAlign w:val="center"/>
          </w:tcPr>
          <w:p w14:paraId="0771CC8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rPr>
              <w:t>责令停业整顿，直至改正违法行为；处1万元以下的罚款</w:t>
            </w:r>
            <w:r>
              <w:rPr>
                <w:rFonts w:hint="eastAsia" w:ascii="仿宋_GB2312" w:hAnsi="宋体" w:eastAsia="仿宋_GB2312"/>
                <w:color w:val="auto"/>
                <w:kern w:val="0"/>
                <w:sz w:val="13"/>
                <w:szCs w:val="13"/>
                <w:highlight w:val="none"/>
                <w:lang w:eastAsia="zh-CN"/>
              </w:rPr>
              <w:t>。</w:t>
            </w:r>
          </w:p>
        </w:tc>
      </w:tr>
      <w:tr w14:paraId="1C29C8C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501" w:hRule="atLeast"/>
          <w:jc w:val="center"/>
        </w:trPr>
        <w:tc>
          <w:tcPr>
            <w:tcW w:w="443" w:type="dxa"/>
            <w:gridSpan w:val="2"/>
            <w:vMerge w:val="continue"/>
            <w:tcBorders>
              <w:tl2br w:val="nil"/>
              <w:tr2bl w:val="nil"/>
            </w:tcBorders>
            <w:vAlign w:val="center"/>
          </w:tcPr>
          <w:p w14:paraId="6F4B0B2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704D639D">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6A8D04EB">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tc>
        <w:tc>
          <w:tcPr>
            <w:tcW w:w="823" w:type="dxa"/>
            <w:tcBorders>
              <w:tl2br w:val="nil"/>
              <w:tr2bl w:val="nil"/>
            </w:tcBorders>
            <w:vAlign w:val="center"/>
          </w:tcPr>
          <w:p w14:paraId="6BE8F097">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一般情节</w:t>
            </w:r>
          </w:p>
        </w:tc>
        <w:tc>
          <w:tcPr>
            <w:tcW w:w="3437" w:type="dxa"/>
            <w:gridSpan w:val="2"/>
            <w:tcBorders>
              <w:tl2br w:val="nil"/>
              <w:tr2bl w:val="nil"/>
            </w:tcBorders>
            <w:vAlign w:val="center"/>
          </w:tcPr>
          <w:p w14:paraId="5CE3CD3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不具有从轻、</w:t>
            </w:r>
            <w:r>
              <w:rPr>
                <w:rFonts w:hint="eastAsia" w:ascii="仿宋_GB2312" w:hAnsi="宋体" w:eastAsia="仿宋_GB2312"/>
                <w:color w:val="auto"/>
                <w:kern w:val="0"/>
                <w:sz w:val="13"/>
                <w:szCs w:val="13"/>
                <w:highlight w:val="none"/>
                <w:lang w:eastAsia="zh-CN"/>
              </w:rPr>
              <w:t>从重情节</w:t>
            </w:r>
            <w:r>
              <w:rPr>
                <w:rFonts w:hint="eastAsia" w:ascii="仿宋_GB2312" w:hAnsi="宋体" w:eastAsia="仿宋_GB2312"/>
                <w:color w:val="auto"/>
                <w:kern w:val="0"/>
                <w:sz w:val="13"/>
                <w:szCs w:val="13"/>
                <w:highlight w:val="none"/>
              </w:rPr>
              <w:t>的。</w:t>
            </w:r>
          </w:p>
        </w:tc>
        <w:tc>
          <w:tcPr>
            <w:tcW w:w="3058" w:type="dxa"/>
            <w:tcBorders>
              <w:tl2br w:val="nil"/>
              <w:tr2bl w:val="nil"/>
            </w:tcBorders>
            <w:vAlign w:val="center"/>
          </w:tcPr>
          <w:p w14:paraId="1722CDB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责令停业整顿，直至改正违法行为；处1万元以上2万元以下的罚款；导致不具备《安全生产许可证条例》规定的安全生产条件的，应当依法暂扣或者吊销安全生产许可证。</w:t>
            </w:r>
          </w:p>
        </w:tc>
      </w:tr>
      <w:tr w14:paraId="22CB4FB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8" w:hRule="atLeast"/>
          <w:jc w:val="center"/>
        </w:trPr>
        <w:tc>
          <w:tcPr>
            <w:tcW w:w="443" w:type="dxa"/>
            <w:gridSpan w:val="2"/>
            <w:vMerge w:val="continue"/>
            <w:tcBorders>
              <w:tl2br w:val="nil"/>
              <w:tr2bl w:val="nil"/>
            </w:tcBorders>
            <w:vAlign w:val="center"/>
          </w:tcPr>
          <w:p w14:paraId="56EA56B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074EB160">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p>
        </w:tc>
        <w:tc>
          <w:tcPr>
            <w:tcW w:w="4820" w:type="dxa"/>
            <w:vMerge w:val="continue"/>
            <w:tcBorders>
              <w:tl2br w:val="nil"/>
              <w:tr2bl w:val="nil"/>
            </w:tcBorders>
            <w:vAlign w:val="top"/>
          </w:tcPr>
          <w:p w14:paraId="02493BF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tcBorders>
              <w:tl2br w:val="nil"/>
              <w:tr2bl w:val="nil"/>
            </w:tcBorders>
            <w:vAlign w:val="center"/>
          </w:tcPr>
          <w:p w14:paraId="00B459E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从重情节</w:t>
            </w:r>
          </w:p>
        </w:tc>
        <w:tc>
          <w:tcPr>
            <w:tcW w:w="3437" w:type="dxa"/>
            <w:gridSpan w:val="2"/>
            <w:tcBorders>
              <w:tl2br w:val="nil"/>
              <w:tr2bl w:val="nil"/>
            </w:tcBorders>
            <w:vAlign w:val="center"/>
          </w:tcPr>
          <w:p w14:paraId="68DE830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多次实施同类违法行为的</w:t>
            </w:r>
            <w:r>
              <w:rPr>
                <w:rFonts w:hint="eastAsia" w:ascii="仿宋_GB2312" w:hAnsi="宋体" w:eastAsia="仿宋_GB2312"/>
                <w:color w:val="auto"/>
                <w:kern w:val="0"/>
                <w:sz w:val="13"/>
                <w:szCs w:val="13"/>
                <w:highlight w:val="none"/>
                <w:lang w:eastAsia="zh-CN"/>
              </w:rPr>
              <w:t>，</w:t>
            </w:r>
            <w:r>
              <w:rPr>
                <w:rFonts w:hint="eastAsia" w:ascii="仿宋_GB2312" w:hAnsi="宋体" w:eastAsia="仿宋_GB2312"/>
                <w:color w:val="auto"/>
                <w:kern w:val="0"/>
                <w:sz w:val="13"/>
                <w:szCs w:val="13"/>
                <w:highlight w:val="none"/>
                <w:lang w:val="en-US" w:eastAsia="zh-CN"/>
              </w:rPr>
              <w:t>或</w:t>
            </w:r>
            <w:r>
              <w:rPr>
                <w:rFonts w:hint="eastAsia" w:ascii="仿宋_GB2312" w:hAnsi="宋体" w:eastAsia="仿宋_GB2312"/>
                <w:color w:val="auto"/>
                <w:kern w:val="0"/>
                <w:sz w:val="13"/>
                <w:szCs w:val="13"/>
                <w:highlight w:val="none"/>
              </w:rPr>
              <w:t>造成质量安全事故或其他严重后果的。</w:t>
            </w:r>
          </w:p>
        </w:tc>
        <w:tc>
          <w:tcPr>
            <w:tcW w:w="3058" w:type="dxa"/>
            <w:tcBorders>
              <w:tl2br w:val="nil"/>
              <w:tr2bl w:val="nil"/>
            </w:tcBorders>
            <w:vAlign w:val="center"/>
          </w:tcPr>
          <w:p w14:paraId="5B2B0CC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责令停业整顿，直至改正违法行为；处2万元的罚款；导致不具备《安全生产许可证条例》规定的安全生产条件的，应当依法暂扣或者吊销安全生产许可证。</w:t>
            </w:r>
          </w:p>
        </w:tc>
      </w:tr>
      <w:tr w14:paraId="04F4401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8" w:hRule="atLeast"/>
          <w:jc w:val="center"/>
        </w:trPr>
        <w:tc>
          <w:tcPr>
            <w:tcW w:w="443" w:type="dxa"/>
            <w:gridSpan w:val="2"/>
            <w:vMerge w:val="restart"/>
            <w:tcBorders>
              <w:tl2br w:val="nil"/>
              <w:tr2bl w:val="nil"/>
            </w:tcBorders>
            <w:vAlign w:val="center"/>
          </w:tcPr>
          <w:p w14:paraId="24685181">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Times New Roman"/>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69</w:t>
            </w:r>
          </w:p>
        </w:tc>
        <w:tc>
          <w:tcPr>
            <w:tcW w:w="1550" w:type="dxa"/>
            <w:vMerge w:val="restart"/>
            <w:tcBorders>
              <w:tl2br w:val="nil"/>
              <w:tr2bl w:val="nil"/>
            </w:tcBorders>
            <w:vAlign w:val="center"/>
          </w:tcPr>
          <w:p w14:paraId="63E340E8">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lang w:val="en-US" w:eastAsia="zh-CN"/>
              </w:rPr>
            </w:pPr>
            <w:r>
              <w:rPr>
                <w:rFonts w:hint="eastAsia" w:ascii="仿宋_GB2312" w:hAnsi="宋体" w:eastAsia="仿宋_GB2312"/>
                <w:color w:val="auto"/>
                <w:kern w:val="0"/>
                <w:sz w:val="13"/>
                <w:szCs w:val="13"/>
                <w:highlight w:val="none"/>
              </w:rPr>
              <w:t>“安管人员”未按规定办理证书变更</w:t>
            </w:r>
          </w:p>
        </w:tc>
        <w:tc>
          <w:tcPr>
            <w:tcW w:w="4820" w:type="dxa"/>
            <w:vMerge w:val="restart"/>
            <w:tcBorders>
              <w:tl2br w:val="nil"/>
              <w:tr2bl w:val="nil"/>
            </w:tcBorders>
            <w:vAlign w:val="center"/>
          </w:tcPr>
          <w:p w14:paraId="68BE5A6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《建筑施工企业主要负责人、项目负责人和专职安全生产管理人员安全生产管理规定》</w:t>
            </w:r>
            <w:r>
              <w:rPr>
                <w:rFonts w:hint="eastAsia" w:ascii="仿宋_GB2312" w:hAnsi="宋体" w:eastAsia="仿宋_GB2312"/>
                <w:b/>
                <w:bCs/>
                <w:color w:val="auto"/>
                <w:kern w:val="0"/>
                <w:sz w:val="13"/>
                <w:szCs w:val="13"/>
                <w:highlight w:val="none"/>
              </w:rPr>
              <w:t>第三十一条</w:t>
            </w:r>
            <w:r>
              <w:rPr>
                <w:rFonts w:hint="eastAsia" w:ascii="仿宋_GB2312" w:hAnsi="宋体" w:eastAsia="仿宋_GB2312"/>
                <w:b/>
                <w:bCs/>
                <w:color w:val="auto"/>
                <w:kern w:val="0"/>
                <w:sz w:val="13"/>
                <w:szCs w:val="13"/>
                <w:highlight w:val="none"/>
                <w:lang w:eastAsia="zh-CN"/>
              </w:rPr>
              <w:t>：</w:t>
            </w:r>
            <w:r>
              <w:rPr>
                <w:rFonts w:hint="eastAsia" w:ascii="仿宋_GB2312" w:hAnsi="宋体" w:eastAsia="仿宋_GB2312"/>
                <w:color w:val="auto"/>
                <w:kern w:val="0"/>
                <w:sz w:val="13"/>
                <w:szCs w:val="13"/>
                <w:highlight w:val="none"/>
              </w:rPr>
              <w:t>“安管人员”未按规定办理证书变更的，由县级以上地方人民政府住房城乡建设主管部门责令限期改正，并处1000元以上5000元以下的罚款。</w:t>
            </w:r>
          </w:p>
        </w:tc>
        <w:tc>
          <w:tcPr>
            <w:tcW w:w="823" w:type="dxa"/>
            <w:tcBorders>
              <w:tl2br w:val="nil"/>
              <w:tr2bl w:val="nil"/>
            </w:tcBorders>
            <w:vAlign w:val="center"/>
          </w:tcPr>
          <w:p w14:paraId="30D7DE5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vAlign w:val="center"/>
          </w:tcPr>
          <w:p w14:paraId="489D42A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逾期15日以内改正的。</w:t>
            </w:r>
          </w:p>
        </w:tc>
        <w:tc>
          <w:tcPr>
            <w:tcW w:w="3058" w:type="dxa"/>
            <w:tcBorders>
              <w:tl2br w:val="nil"/>
              <w:tr2bl w:val="nil"/>
            </w:tcBorders>
            <w:vAlign w:val="center"/>
          </w:tcPr>
          <w:p w14:paraId="5ADB820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责令限期改正，可处1千元以上2千元以下的罚款。</w:t>
            </w:r>
          </w:p>
        </w:tc>
      </w:tr>
      <w:tr w14:paraId="5C5E4F8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8" w:hRule="atLeast"/>
          <w:jc w:val="center"/>
        </w:trPr>
        <w:tc>
          <w:tcPr>
            <w:tcW w:w="443" w:type="dxa"/>
            <w:gridSpan w:val="2"/>
            <w:vMerge w:val="continue"/>
            <w:tcBorders>
              <w:tl2br w:val="nil"/>
              <w:tr2bl w:val="nil"/>
            </w:tcBorders>
            <w:vAlign w:val="center"/>
          </w:tcPr>
          <w:p w14:paraId="3E33C41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6691E4C4">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p>
        </w:tc>
        <w:tc>
          <w:tcPr>
            <w:tcW w:w="4820" w:type="dxa"/>
            <w:vMerge w:val="continue"/>
            <w:tcBorders>
              <w:tl2br w:val="nil"/>
              <w:tr2bl w:val="nil"/>
            </w:tcBorders>
            <w:vAlign w:val="top"/>
          </w:tcPr>
          <w:p w14:paraId="0F6212F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tcBorders>
              <w:tl2br w:val="nil"/>
              <w:tr2bl w:val="nil"/>
            </w:tcBorders>
            <w:vAlign w:val="center"/>
          </w:tcPr>
          <w:p w14:paraId="5C07E0D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一般情节</w:t>
            </w:r>
          </w:p>
        </w:tc>
        <w:tc>
          <w:tcPr>
            <w:tcW w:w="3437" w:type="dxa"/>
            <w:gridSpan w:val="2"/>
            <w:tcBorders>
              <w:tl2br w:val="nil"/>
              <w:tr2bl w:val="nil"/>
            </w:tcBorders>
            <w:vAlign w:val="center"/>
          </w:tcPr>
          <w:p w14:paraId="5099222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逾期15日以上30日以内改正的。</w:t>
            </w:r>
          </w:p>
        </w:tc>
        <w:tc>
          <w:tcPr>
            <w:tcW w:w="3058" w:type="dxa"/>
            <w:tcBorders>
              <w:tl2br w:val="nil"/>
              <w:tr2bl w:val="nil"/>
            </w:tcBorders>
            <w:vAlign w:val="center"/>
          </w:tcPr>
          <w:p w14:paraId="1DE41FD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责令限期改正，处2千元以上4千元以下的罚款。</w:t>
            </w:r>
          </w:p>
        </w:tc>
      </w:tr>
      <w:tr w14:paraId="33A5A2D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8" w:hRule="atLeast"/>
          <w:jc w:val="center"/>
        </w:trPr>
        <w:tc>
          <w:tcPr>
            <w:tcW w:w="443" w:type="dxa"/>
            <w:gridSpan w:val="2"/>
            <w:vMerge w:val="continue"/>
            <w:tcBorders>
              <w:tl2br w:val="nil"/>
              <w:tr2bl w:val="nil"/>
            </w:tcBorders>
            <w:vAlign w:val="center"/>
          </w:tcPr>
          <w:p w14:paraId="65D8304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195F73DB">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3010D5C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tcBorders>
              <w:tl2br w:val="nil"/>
              <w:tr2bl w:val="nil"/>
            </w:tcBorders>
            <w:vAlign w:val="center"/>
          </w:tcPr>
          <w:p w14:paraId="6E17BBB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从重情节</w:t>
            </w:r>
          </w:p>
        </w:tc>
        <w:tc>
          <w:tcPr>
            <w:tcW w:w="3437" w:type="dxa"/>
            <w:gridSpan w:val="2"/>
            <w:tcBorders>
              <w:tl2br w:val="nil"/>
              <w:tr2bl w:val="nil"/>
            </w:tcBorders>
            <w:vAlign w:val="center"/>
          </w:tcPr>
          <w:p w14:paraId="21041BC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逾期30日以上未改正的。</w:t>
            </w:r>
          </w:p>
        </w:tc>
        <w:tc>
          <w:tcPr>
            <w:tcW w:w="3058" w:type="dxa"/>
            <w:tcBorders>
              <w:tl2br w:val="nil"/>
              <w:tr2bl w:val="nil"/>
            </w:tcBorders>
            <w:vAlign w:val="center"/>
          </w:tcPr>
          <w:p w14:paraId="73F7A53B">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责令限期改正，处4千元以上5千元以下的罚款。</w:t>
            </w:r>
          </w:p>
        </w:tc>
      </w:tr>
      <w:tr w14:paraId="44B3922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8" w:hRule="atLeast"/>
          <w:jc w:val="center"/>
        </w:trPr>
        <w:tc>
          <w:tcPr>
            <w:tcW w:w="443" w:type="dxa"/>
            <w:gridSpan w:val="2"/>
            <w:vMerge w:val="restart"/>
            <w:tcBorders>
              <w:tl2br w:val="nil"/>
              <w:tr2bl w:val="nil"/>
            </w:tcBorders>
            <w:vAlign w:val="center"/>
          </w:tcPr>
          <w:p w14:paraId="0480B1AA">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Times New Roman"/>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70</w:t>
            </w:r>
          </w:p>
        </w:tc>
        <w:tc>
          <w:tcPr>
            <w:tcW w:w="1550" w:type="dxa"/>
            <w:vMerge w:val="restart"/>
            <w:tcBorders>
              <w:tl2br w:val="nil"/>
              <w:tr2bl w:val="nil"/>
            </w:tcBorders>
            <w:vAlign w:val="center"/>
          </w:tcPr>
          <w:p w14:paraId="3D989C83">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lang w:val="en-US" w:eastAsia="zh-CN"/>
              </w:rPr>
            </w:pPr>
            <w:r>
              <w:rPr>
                <w:rFonts w:hint="eastAsia" w:ascii="仿宋_GB2312" w:hAnsi="宋体" w:eastAsia="仿宋_GB2312"/>
                <w:color w:val="auto"/>
                <w:kern w:val="0"/>
                <w:sz w:val="13"/>
                <w:szCs w:val="13"/>
                <w:highlight w:val="none"/>
              </w:rPr>
              <w:t>主要负责人、项目负责人未按规定履行安全生产管理职责，逾期未改正</w:t>
            </w:r>
          </w:p>
        </w:tc>
        <w:tc>
          <w:tcPr>
            <w:tcW w:w="4820" w:type="dxa"/>
            <w:vMerge w:val="restart"/>
            <w:tcBorders>
              <w:tl2br w:val="nil"/>
              <w:tr2bl w:val="nil"/>
            </w:tcBorders>
            <w:vAlign w:val="center"/>
          </w:tcPr>
          <w:p w14:paraId="35E04DD9">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《建筑施工企业主要负责人、项目负责人和专职安全生产管理人员安全生产管理规定》</w:t>
            </w:r>
            <w:r>
              <w:rPr>
                <w:rFonts w:hint="eastAsia" w:ascii="仿宋_GB2312" w:hAnsi="宋体" w:eastAsia="仿宋_GB2312"/>
                <w:b/>
                <w:bCs/>
                <w:color w:val="auto"/>
                <w:kern w:val="0"/>
                <w:sz w:val="13"/>
                <w:szCs w:val="13"/>
                <w:highlight w:val="none"/>
              </w:rPr>
              <w:t>第三十二条</w:t>
            </w:r>
            <w:r>
              <w:rPr>
                <w:rFonts w:hint="eastAsia" w:ascii="仿宋_GB2312" w:hAnsi="宋体" w:eastAsia="仿宋_GB2312"/>
                <w:b/>
                <w:bCs/>
                <w:color w:val="auto"/>
                <w:kern w:val="0"/>
                <w:sz w:val="13"/>
                <w:szCs w:val="13"/>
                <w:highlight w:val="none"/>
                <w:lang w:eastAsia="zh-CN"/>
              </w:rPr>
              <w:t>：</w:t>
            </w:r>
            <w:r>
              <w:rPr>
                <w:rFonts w:hint="eastAsia" w:ascii="仿宋_GB2312" w:hAnsi="宋体" w:eastAsia="仿宋_GB2312"/>
                <w:color w:val="auto"/>
                <w:kern w:val="0"/>
                <w:sz w:val="13"/>
                <w:szCs w:val="13"/>
                <w:highlight w:val="none"/>
              </w:rPr>
              <w:t>主要负责人、项目负责人未按规定履行安全生产管理职责的，由县级以上人民政府住房城乡建设主管部门责令限期改正；逾期未改正的，责令建筑施工企业停业整顿；造成生产安全事故或者其他严重后果的，按照《生产安全事故报告和调查处理条例》的有关规定，依法暂扣或者吊销安全生产考核合格证书；构成犯罪的，依法追究刑事责任。</w:t>
            </w:r>
          </w:p>
          <w:p w14:paraId="0EEDFB9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主要负责人、项目负责人有前款违法行为，尚不够刑事处罚的，处2万元以上20万元以下的罚款或者按照管理权限给予撤职处分；自刑罚执行完毕或者受处分之日起，5年内不得担任建筑施工企业的主要负责人、项目负责人。</w:t>
            </w:r>
          </w:p>
          <w:p w14:paraId="1D7F9EC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431" w:firstLineChars="0"/>
              <w:jc w:val="left"/>
              <w:rPr>
                <w:rFonts w:ascii="仿宋_GB2312" w:hAnsi="宋体" w:eastAsia="仿宋_GB2312"/>
                <w:color w:val="auto"/>
                <w:kern w:val="0"/>
                <w:sz w:val="13"/>
                <w:szCs w:val="13"/>
                <w:highlight w:val="none"/>
              </w:rPr>
            </w:pPr>
          </w:p>
        </w:tc>
        <w:tc>
          <w:tcPr>
            <w:tcW w:w="823" w:type="dxa"/>
            <w:tcBorders>
              <w:tl2br w:val="nil"/>
              <w:tr2bl w:val="nil"/>
            </w:tcBorders>
            <w:vAlign w:val="center"/>
          </w:tcPr>
          <w:p w14:paraId="0097D62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vAlign w:val="center"/>
          </w:tcPr>
          <w:p w14:paraId="412A707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初次违法，危害后果轻微，主动消除或减轻违法行为危害后果的。</w:t>
            </w:r>
          </w:p>
        </w:tc>
        <w:tc>
          <w:tcPr>
            <w:tcW w:w="3058" w:type="dxa"/>
            <w:tcBorders>
              <w:tl2br w:val="nil"/>
              <w:tr2bl w:val="nil"/>
            </w:tcBorders>
            <w:vAlign w:val="center"/>
          </w:tcPr>
          <w:p w14:paraId="7883BC0C">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责令停业整顿，直至改正违法行为；处2万元以上</w:t>
            </w:r>
            <w:r>
              <w:rPr>
                <w:rFonts w:hint="eastAsia" w:ascii="仿宋_GB2312" w:hAnsi="宋体" w:eastAsia="仿宋_GB2312"/>
                <w:color w:val="auto"/>
                <w:kern w:val="0"/>
                <w:sz w:val="13"/>
                <w:szCs w:val="13"/>
                <w:highlight w:val="none"/>
                <w:lang w:val="en-US" w:eastAsia="zh-CN"/>
              </w:rPr>
              <w:t>5</w:t>
            </w:r>
            <w:r>
              <w:rPr>
                <w:rFonts w:hint="eastAsia" w:ascii="仿宋_GB2312" w:hAnsi="宋体" w:eastAsia="仿宋_GB2312"/>
                <w:color w:val="auto"/>
                <w:kern w:val="0"/>
                <w:sz w:val="13"/>
                <w:szCs w:val="13"/>
                <w:highlight w:val="none"/>
              </w:rPr>
              <w:t>万元以下的罚款。</w:t>
            </w:r>
          </w:p>
        </w:tc>
      </w:tr>
      <w:tr w14:paraId="7939222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8" w:hRule="atLeast"/>
          <w:jc w:val="center"/>
        </w:trPr>
        <w:tc>
          <w:tcPr>
            <w:tcW w:w="443" w:type="dxa"/>
            <w:gridSpan w:val="2"/>
            <w:vMerge w:val="continue"/>
            <w:tcBorders>
              <w:tl2br w:val="nil"/>
              <w:tr2bl w:val="nil"/>
            </w:tcBorders>
            <w:vAlign w:val="center"/>
          </w:tcPr>
          <w:p w14:paraId="3BD392A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345E240C">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p>
        </w:tc>
        <w:tc>
          <w:tcPr>
            <w:tcW w:w="4820" w:type="dxa"/>
            <w:vMerge w:val="continue"/>
            <w:tcBorders>
              <w:tl2br w:val="nil"/>
              <w:tr2bl w:val="nil"/>
            </w:tcBorders>
            <w:vAlign w:val="top"/>
          </w:tcPr>
          <w:p w14:paraId="6DECE3C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tcBorders>
              <w:tl2br w:val="nil"/>
              <w:tr2bl w:val="nil"/>
            </w:tcBorders>
            <w:vAlign w:val="center"/>
          </w:tcPr>
          <w:p w14:paraId="120D0CA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一般情节</w:t>
            </w:r>
          </w:p>
        </w:tc>
        <w:tc>
          <w:tcPr>
            <w:tcW w:w="3437" w:type="dxa"/>
            <w:gridSpan w:val="2"/>
            <w:tcBorders>
              <w:tl2br w:val="nil"/>
              <w:tr2bl w:val="nil"/>
            </w:tcBorders>
            <w:vAlign w:val="center"/>
          </w:tcPr>
          <w:p w14:paraId="4237E11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不具有从轻、</w:t>
            </w:r>
            <w:r>
              <w:rPr>
                <w:rFonts w:hint="eastAsia" w:ascii="仿宋_GB2312" w:hAnsi="宋体" w:eastAsia="仿宋_GB2312"/>
                <w:color w:val="auto"/>
                <w:kern w:val="0"/>
                <w:sz w:val="13"/>
                <w:szCs w:val="13"/>
                <w:highlight w:val="none"/>
                <w:lang w:eastAsia="zh-CN"/>
              </w:rPr>
              <w:t>从重情节</w:t>
            </w:r>
            <w:r>
              <w:rPr>
                <w:rFonts w:hint="eastAsia" w:ascii="仿宋_GB2312" w:hAnsi="宋体" w:eastAsia="仿宋_GB2312"/>
                <w:color w:val="auto"/>
                <w:kern w:val="0"/>
                <w:sz w:val="13"/>
                <w:szCs w:val="13"/>
                <w:highlight w:val="none"/>
              </w:rPr>
              <w:t>的。</w:t>
            </w:r>
          </w:p>
        </w:tc>
        <w:tc>
          <w:tcPr>
            <w:tcW w:w="3058" w:type="dxa"/>
            <w:tcBorders>
              <w:tl2br w:val="nil"/>
              <w:tr2bl w:val="nil"/>
            </w:tcBorders>
            <w:vAlign w:val="center"/>
          </w:tcPr>
          <w:p w14:paraId="59C1C018">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责令停业整顿，直至改正违法行为；处</w:t>
            </w:r>
            <w:r>
              <w:rPr>
                <w:rFonts w:hint="eastAsia" w:ascii="仿宋_GB2312" w:hAnsi="宋体" w:eastAsia="仿宋_GB2312"/>
                <w:color w:val="auto"/>
                <w:kern w:val="0"/>
                <w:sz w:val="13"/>
                <w:szCs w:val="13"/>
                <w:highlight w:val="none"/>
                <w:lang w:val="en-US" w:eastAsia="zh-CN"/>
              </w:rPr>
              <w:t>5</w:t>
            </w:r>
            <w:r>
              <w:rPr>
                <w:rFonts w:hint="eastAsia" w:ascii="仿宋_GB2312" w:hAnsi="宋体" w:eastAsia="仿宋_GB2312"/>
                <w:color w:val="auto"/>
                <w:kern w:val="0"/>
                <w:sz w:val="13"/>
                <w:szCs w:val="13"/>
                <w:highlight w:val="none"/>
              </w:rPr>
              <w:t>万元以上</w:t>
            </w:r>
            <w:r>
              <w:rPr>
                <w:rFonts w:hint="eastAsia" w:ascii="仿宋_GB2312" w:hAnsi="宋体" w:eastAsia="仿宋_GB2312"/>
                <w:color w:val="auto"/>
                <w:kern w:val="0"/>
                <w:sz w:val="13"/>
                <w:szCs w:val="13"/>
                <w:highlight w:val="none"/>
                <w:lang w:val="en-US" w:eastAsia="zh-CN"/>
              </w:rPr>
              <w:t>12</w:t>
            </w:r>
            <w:r>
              <w:rPr>
                <w:rFonts w:hint="eastAsia" w:ascii="仿宋_GB2312" w:hAnsi="宋体" w:eastAsia="仿宋_GB2312"/>
                <w:color w:val="auto"/>
                <w:kern w:val="0"/>
                <w:sz w:val="13"/>
                <w:szCs w:val="13"/>
                <w:highlight w:val="none"/>
              </w:rPr>
              <w:t>万元以下的罚款。</w:t>
            </w:r>
          </w:p>
        </w:tc>
      </w:tr>
      <w:tr w14:paraId="5E0E686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8" w:hRule="atLeast"/>
          <w:jc w:val="center"/>
        </w:trPr>
        <w:tc>
          <w:tcPr>
            <w:tcW w:w="443" w:type="dxa"/>
            <w:gridSpan w:val="2"/>
            <w:vMerge w:val="continue"/>
            <w:tcBorders>
              <w:tl2br w:val="nil"/>
              <w:tr2bl w:val="nil"/>
            </w:tcBorders>
            <w:vAlign w:val="center"/>
          </w:tcPr>
          <w:p w14:paraId="658407A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0357C122">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p>
        </w:tc>
        <w:tc>
          <w:tcPr>
            <w:tcW w:w="4820" w:type="dxa"/>
            <w:vMerge w:val="continue"/>
            <w:tcBorders>
              <w:tl2br w:val="nil"/>
              <w:tr2bl w:val="nil"/>
            </w:tcBorders>
            <w:vAlign w:val="top"/>
          </w:tcPr>
          <w:p w14:paraId="0FB3277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tcBorders>
              <w:tl2br w:val="nil"/>
              <w:tr2bl w:val="nil"/>
            </w:tcBorders>
            <w:vAlign w:val="center"/>
          </w:tcPr>
          <w:p w14:paraId="6D0C8F1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从重情节</w:t>
            </w:r>
          </w:p>
        </w:tc>
        <w:tc>
          <w:tcPr>
            <w:tcW w:w="3437" w:type="dxa"/>
            <w:gridSpan w:val="2"/>
            <w:tcBorders>
              <w:tl2br w:val="nil"/>
              <w:tr2bl w:val="nil"/>
            </w:tcBorders>
            <w:vAlign w:val="center"/>
          </w:tcPr>
          <w:p w14:paraId="755EAB6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0" w:firstLineChars="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lang w:val="en-US" w:eastAsia="zh-CN"/>
              </w:rPr>
              <w:t>有下列情形之一的：</w:t>
            </w:r>
            <w:r>
              <w:rPr>
                <w:rFonts w:hint="eastAsia" w:ascii="仿宋_GB2312" w:hAnsi="宋体" w:eastAsia="仿宋_GB2312"/>
                <w:color w:val="auto"/>
                <w:kern w:val="0"/>
                <w:sz w:val="13"/>
                <w:szCs w:val="13"/>
                <w:highlight w:val="none"/>
              </w:rPr>
              <w:t>（1）经责令改正后，逾期未改正的；</w:t>
            </w:r>
          </w:p>
          <w:p w14:paraId="2C23602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（2）曾因该违法行为被依法查处，再次实施该违法行为的；</w:t>
            </w:r>
          </w:p>
          <w:p w14:paraId="7F0391D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（3）造成工程质量事故的；</w:t>
            </w:r>
          </w:p>
          <w:p w14:paraId="55BBA29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（4）经有关部门确认，存在商业贿赂情形的；</w:t>
            </w:r>
          </w:p>
          <w:p w14:paraId="2BA234B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（5）其他依法应予从重处罚的情形。</w:t>
            </w:r>
          </w:p>
        </w:tc>
        <w:tc>
          <w:tcPr>
            <w:tcW w:w="3058" w:type="dxa"/>
            <w:tcBorders>
              <w:tl2br w:val="nil"/>
              <w:tr2bl w:val="nil"/>
            </w:tcBorders>
            <w:vAlign w:val="center"/>
          </w:tcPr>
          <w:p w14:paraId="126A5D60">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责令停业整顿，直至改正违法行为；造成生产安全事故或者其他严重后果的，按照《生产安全事故报告和调查处理条例》的有关规定，依法暂扣或者吊销安全生产考核合格证书，处1</w:t>
            </w:r>
            <w:r>
              <w:rPr>
                <w:rFonts w:hint="eastAsia" w:ascii="仿宋_GB2312" w:hAnsi="宋体" w:eastAsia="仿宋_GB2312"/>
                <w:color w:val="auto"/>
                <w:kern w:val="0"/>
                <w:sz w:val="13"/>
                <w:szCs w:val="13"/>
                <w:highlight w:val="none"/>
                <w:lang w:val="en-US" w:eastAsia="zh-CN"/>
              </w:rPr>
              <w:t>2</w:t>
            </w:r>
            <w:r>
              <w:rPr>
                <w:rFonts w:hint="eastAsia" w:ascii="仿宋_GB2312" w:hAnsi="宋体" w:eastAsia="仿宋_GB2312"/>
                <w:color w:val="auto"/>
                <w:kern w:val="0"/>
                <w:sz w:val="13"/>
                <w:szCs w:val="13"/>
                <w:highlight w:val="none"/>
              </w:rPr>
              <w:t>万元以上20万元以下的罚款；被追究刑事责任的，自刑罚执行完毕或者受处分之日起，5年内不得担任任何施工单位的主要负责人、项目负责人。</w:t>
            </w:r>
          </w:p>
        </w:tc>
      </w:tr>
      <w:tr w14:paraId="4FA46B8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55" w:hRule="atLeast"/>
          <w:jc w:val="center"/>
        </w:trPr>
        <w:tc>
          <w:tcPr>
            <w:tcW w:w="443" w:type="dxa"/>
            <w:gridSpan w:val="2"/>
            <w:vMerge w:val="restart"/>
            <w:tcBorders>
              <w:tl2br w:val="nil"/>
              <w:tr2bl w:val="nil"/>
            </w:tcBorders>
            <w:vAlign w:val="center"/>
          </w:tcPr>
          <w:p w14:paraId="73980D8E">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Times New Roman"/>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71</w:t>
            </w:r>
          </w:p>
        </w:tc>
        <w:tc>
          <w:tcPr>
            <w:tcW w:w="1550" w:type="dxa"/>
            <w:vMerge w:val="restart"/>
            <w:tcBorders>
              <w:tl2br w:val="nil"/>
              <w:tr2bl w:val="nil"/>
            </w:tcBorders>
            <w:vAlign w:val="center"/>
          </w:tcPr>
          <w:p w14:paraId="57688F91">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lang w:val="en-US" w:eastAsia="zh-CN"/>
              </w:rPr>
            </w:pPr>
            <w:r>
              <w:rPr>
                <w:rFonts w:hint="eastAsia" w:ascii="仿宋_GB2312" w:hAnsi="宋体" w:eastAsia="仿宋_GB2312"/>
                <w:color w:val="auto"/>
                <w:kern w:val="0"/>
                <w:sz w:val="13"/>
                <w:szCs w:val="13"/>
                <w:highlight w:val="none"/>
              </w:rPr>
              <w:t>专职安全生产管理人员未按规定履行安全生产管理职责</w:t>
            </w:r>
          </w:p>
        </w:tc>
        <w:tc>
          <w:tcPr>
            <w:tcW w:w="4820" w:type="dxa"/>
            <w:vMerge w:val="restart"/>
            <w:tcBorders>
              <w:tl2br w:val="nil"/>
              <w:tr2bl w:val="nil"/>
            </w:tcBorders>
          </w:tcPr>
          <w:p w14:paraId="6CC3F050">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p w14:paraId="05A4003A">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p w14:paraId="0D385F2F">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p w14:paraId="1F026D7E">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p w14:paraId="1781D006">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《建筑施工企业主要负责人、项目负责人和专职安全生产管理人员安全生产管理规定》</w:t>
            </w:r>
            <w:r>
              <w:rPr>
                <w:rFonts w:hint="eastAsia" w:ascii="仿宋_GB2312" w:hAnsi="宋体" w:eastAsia="仿宋_GB2312"/>
                <w:b/>
                <w:bCs/>
                <w:color w:val="auto"/>
                <w:kern w:val="0"/>
                <w:sz w:val="13"/>
                <w:szCs w:val="13"/>
                <w:highlight w:val="none"/>
              </w:rPr>
              <w:t>第三十三条</w:t>
            </w:r>
            <w:r>
              <w:rPr>
                <w:rFonts w:hint="eastAsia" w:ascii="仿宋_GB2312" w:hAnsi="宋体" w:eastAsia="仿宋_GB2312"/>
                <w:b/>
                <w:bCs/>
                <w:color w:val="auto"/>
                <w:kern w:val="0"/>
                <w:sz w:val="13"/>
                <w:szCs w:val="13"/>
                <w:highlight w:val="none"/>
                <w:lang w:eastAsia="zh-CN"/>
              </w:rPr>
              <w:t>：</w:t>
            </w:r>
            <w:r>
              <w:rPr>
                <w:rFonts w:hint="eastAsia" w:ascii="仿宋_GB2312" w:hAnsi="宋体" w:eastAsia="仿宋_GB2312"/>
                <w:color w:val="auto"/>
                <w:kern w:val="0"/>
                <w:sz w:val="13"/>
                <w:szCs w:val="13"/>
                <w:highlight w:val="none"/>
              </w:rPr>
              <w:t>专职安全生产管理人员未按规定履行安全生产管理职责的，由县级以上地方人民政府住房城乡建设主管部门责令限期改正，并处1000元以上5000元以下的罚款；造成生产安全事故或者其他严重后果的，按照《生产安全事故报告和调查处理条例》的有关规定，依法暂扣或者吊销安全生产考核合格证书；构成犯罪的，依法追究刑事责任。</w:t>
            </w:r>
          </w:p>
        </w:tc>
        <w:tc>
          <w:tcPr>
            <w:tcW w:w="823" w:type="dxa"/>
            <w:tcBorders>
              <w:tl2br w:val="nil"/>
              <w:tr2bl w:val="nil"/>
            </w:tcBorders>
            <w:vAlign w:val="center"/>
          </w:tcPr>
          <w:p w14:paraId="5594566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vAlign w:val="center"/>
          </w:tcPr>
          <w:p w14:paraId="7B78B52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初次违法，危害后果轻微，主动消除或减轻违法行为危害后果的。</w:t>
            </w:r>
          </w:p>
        </w:tc>
        <w:tc>
          <w:tcPr>
            <w:tcW w:w="3058" w:type="dxa"/>
            <w:tcBorders>
              <w:tl2br w:val="nil"/>
              <w:tr2bl w:val="nil"/>
            </w:tcBorders>
            <w:vAlign w:val="center"/>
          </w:tcPr>
          <w:p w14:paraId="704A399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责令限期改正，处1千元以上2千元以下的罚款。</w:t>
            </w:r>
          </w:p>
        </w:tc>
      </w:tr>
      <w:tr w14:paraId="61E7895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27" w:hRule="atLeast"/>
          <w:jc w:val="center"/>
        </w:trPr>
        <w:tc>
          <w:tcPr>
            <w:tcW w:w="443" w:type="dxa"/>
            <w:gridSpan w:val="2"/>
            <w:vMerge w:val="continue"/>
            <w:tcBorders>
              <w:tl2br w:val="nil"/>
              <w:tr2bl w:val="nil"/>
            </w:tcBorders>
            <w:vAlign w:val="center"/>
          </w:tcPr>
          <w:p w14:paraId="2B624EF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1550" w:type="dxa"/>
            <w:vMerge w:val="continue"/>
            <w:tcBorders>
              <w:tl2br w:val="nil"/>
              <w:tr2bl w:val="nil"/>
            </w:tcBorders>
            <w:vAlign w:val="center"/>
          </w:tcPr>
          <w:p w14:paraId="51063CBE">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p>
        </w:tc>
        <w:tc>
          <w:tcPr>
            <w:tcW w:w="4820" w:type="dxa"/>
            <w:vMerge w:val="continue"/>
            <w:tcBorders>
              <w:tl2br w:val="nil"/>
              <w:tr2bl w:val="nil"/>
            </w:tcBorders>
          </w:tcPr>
          <w:p w14:paraId="33924283">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tc>
        <w:tc>
          <w:tcPr>
            <w:tcW w:w="823" w:type="dxa"/>
            <w:tcBorders>
              <w:tl2br w:val="nil"/>
              <w:tr2bl w:val="nil"/>
            </w:tcBorders>
            <w:vAlign w:val="center"/>
          </w:tcPr>
          <w:p w14:paraId="1541305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一般情节</w:t>
            </w:r>
          </w:p>
        </w:tc>
        <w:tc>
          <w:tcPr>
            <w:tcW w:w="3437" w:type="dxa"/>
            <w:gridSpan w:val="2"/>
            <w:tcBorders>
              <w:tl2br w:val="nil"/>
              <w:tr2bl w:val="nil"/>
            </w:tcBorders>
            <w:vAlign w:val="center"/>
          </w:tcPr>
          <w:p w14:paraId="0417EEA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不具有从轻、</w:t>
            </w:r>
            <w:r>
              <w:rPr>
                <w:rFonts w:hint="eastAsia" w:ascii="仿宋_GB2312" w:hAnsi="宋体" w:eastAsia="仿宋_GB2312"/>
                <w:color w:val="auto"/>
                <w:kern w:val="0"/>
                <w:sz w:val="13"/>
                <w:szCs w:val="13"/>
                <w:highlight w:val="none"/>
                <w:lang w:eastAsia="zh-CN"/>
              </w:rPr>
              <w:t>从重情节</w:t>
            </w:r>
            <w:r>
              <w:rPr>
                <w:rFonts w:hint="eastAsia" w:ascii="仿宋_GB2312" w:hAnsi="宋体" w:eastAsia="仿宋_GB2312"/>
                <w:color w:val="auto"/>
                <w:kern w:val="0"/>
                <w:sz w:val="13"/>
                <w:szCs w:val="13"/>
                <w:highlight w:val="none"/>
              </w:rPr>
              <w:t>的。</w:t>
            </w:r>
          </w:p>
        </w:tc>
        <w:tc>
          <w:tcPr>
            <w:tcW w:w="3058" w:type="dxa"/>
            <w:tcBorders>
              <w:tl2br w:val="nil"/>
              <w:tr2bl w:val="nil"/>
            </w:tcBorders>
            <w:vAlign w:val="center"/>
          </w:tcPr>
          <w:p w14:paraId="2B4F45E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责令限期改正，处2千元以上4千元以下的罚款。</w:t>
            </w:r>
          </w:p>
        </w:tc>
      </w:tr>
      <w:tr w14:paraId="2D45C1B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070" w:hRule="atLeast"/>
          <w:jc w:val="center"/>
        </w:trPr>
        <w:tc>
          <w:tcPr>
            <w:tcW w:w="443" w:type="dxa"/>
            <w:gridSpan w:val="2"/>
            <w:vMerge w:val="continue"/>
            <w:tcBorders>
              <w:tl2br w:val="nil"/>
              <w:tr2bl w:val="nil"/>
            </w:tcBorders>
            <w:vAlign w:val="center"/>
          </w:tcPr>
          <w:p w14:paraId="31EC24C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1550" w:type="dxa"/>
            <w:vMerge w:val="continue"/>
            <w:tcBorders>
              <w:tl2br w:val="nil"/>
              <w:tr2bl w:val="nil"/>
            </w:tcBorders>
            <w:vAlign w:val="center"/>
          </w:tcPr>
          <w:p w14:paraId="69CDF8C2">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p>
        </w:tc>
        <w:tc>
          <w:tcPr>
            <w:tcW w:w="4820" w:type="dxa"/>
            <w:vMerge w:val="continue"/>
            <w:tcBorders>
              <w:tl2br w:val="nil"/>
              <w:tr2bl w:val="nil"/>
            </w:tcBorders>
          </w:tcPr>
          <w:p w14:paraId="1D27915B">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tc>
        <w:tc>
          <w:tcPr>
            <w:tcW w:w="823" w:type="dxa"/>
            <w:tcBorders>
              <w:tl2br w:val="nil"/>
              <w:tr2bl w:val="nil"/>
            </w:tcBorders>
            <w:vAlign w:val="center"/>
          </w:tcPr>
          <w:p w14:paraId="62AF65D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从重情节</w:t>
            </w:r>
          </w:p>
        </w:tc>
        <w:tc>
          <w:tcPr>
            <w:tcW w:w="3437" w:type="dxa"/>
            <w:gridSpan w:val="2"/>
            <w:tcBorders>
              <w:tl2br w:val="nil"/>
              <w:tr2bl w:val="nil"/>
            </w:tcBorders>
            <w:vAlign w:val="center"/>
          </w:tcPr>
          <w:p w14:paraId="1DC70B9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lang w:val="en-US" w:eastAsia="zh-CN"/>
              </w:rPr>
              <w:t>有下列情形之一的：</w:t>
            </w:r>
            <w:r>
              <w:rPr>
                <w:rFonts w:hint="eastAsia" w:ascii="仿宋_GB2312" w:hAnsi="宋体" w:eastAsia="仿宋_GB2312"/>
                <w:color w:val="auto"/>
                <w:kern w:val="0"/>
                <w:sz w:val="13"/>
                <w:szCs w:val="13"/>
                <w:highlight w:val="none"/>
              </w:rPr>
              <w:t>（1）经责令改正后，逾期未改正的；</w:t>
            </w:r>
          </w:p>
          <w:p w14:paraId="0117269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（2）曾因该违法行为被依法查处，再次实施该违法行为的；</w:t>
            </w:r>
          </w:p>
          <w:p w14:paraId="4806983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（3）造成工程质量事故的；</w:t>
            </w:r>
          </w:p>
          <w:p w14:paraId="59D47FB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（4）经有关部门确认，存在商业贿赂情形的；</w:t>
            </w:r>
          </w:p>
          <w:p w14:paraId="075ECA6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（5）其他依法应予从重处罚的情形。</w:t>
            </w:r>
          </w:p>
        </w:tc>
        <w:tc>
          <w:tcPr>
            <w:tcW w:w="3058" w:type="dxa"/>
            <w:tcBorders>
              <w:tl2br w:val="nil"/>
              <w:tr2bl w:val="nil"/>
            </w:tcBorders>
            <w:vAlign w:val="center"/>
          </w:tcPr>
          <w:p w14:paraId="68EF3F4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责令限期改正，处4千元以上5千元以下罚款；造成生产安全事故或者其他严重后果的，按照《生产安全事故报告和调查处理条例》的有关规定，依法暂扣或者吊销安全生产考核合格证书。</w:t>
            </w:r>
          </w:p>
        </w:tc>
      </w:tr>
      <w:tr w14:paraId="4636C18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91" w:hRule="atLeast"/>
          <w:jc w:val="center"/>
        </w:trPr>
        <w:tc>
          <w:tcPr>
            <w:tcW w:w="14131" w:type="dxa"/>
            <w:gridSpan w:val="8"/>
            <w:tcBorders>
              <w:tl2br w:val="nil"/>
              <w:tr2bl w:val="nil"/>
            </w:tcBorders>
            <w:vAlign w:val="center"/>
          </w:tcPr>
          <w:p w14:paraId="530AECE5">
            <w:pPr>
              <w:pStyle w:val="10"/>
              <w:bidi w:val="0"/>
              <w:jc w:val="center"/>
              <w:rPr>
                <w:color w:val="auto"/>
              </w:rPr>
            </w:pPr>
            <w:bookmarkStart w:id="4" w:name="_Toc213"/>
            <w:bookmarkStart w:id="5" w:name="_Toc48"/>
            <w:r>
              <w:rPr>
                <w:rFonts w:hint="eastAsia"/>
                <w:color w:val="auto"/>
                <w:lang w:val="en-US" w:eastAsia="zh-CN"/>
              </w:rPr>
              <w:t>三、</w:t>
            </w:r>
            <w:r>
              <w:rPr>
                <w:rFonts w:hint="eastAsia"/>
                <w:color w:val="auto"/>
              </w:rPr>
              <w:t>工程质量安全监管类（1</w:t>
            </w:r>
            <w:r>
              <w:rPr>
                <w:rFonts w:hint="eastAsia"/>
                <w:color w:val="auto"/>
                <w:lang w:val="en-US" w:eastAsia="zh-CN"/>
              </w:rPr>
              <w:t>33</w:t>
            </w:r>
            <w:r>
              <w:rPr>
                <w:rFonts w:hint="eastAsia"/>
                <w:color w:val="auto"/>
              </w:rPr>
              <w:t>项）</w:t>
            </w:r>
            <w:bookmarkEnd w:id="4"/>
            <w:bookmarkEnd w:id="5"/>
          </w:p>
        </w:tc>
      </w:tr>
      <w:tr w14:paraId="576EB93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413" w:hRule="atLeast"/>
          <w:jc w:val="center"/>
        </w:trPr>
        <w:tc>
          <w:tcPr>
            <w:tcW w:w="443" w:type="dxa"/>
            <w:gridSpan w:val="2"/>
            <w:vMerge w:val="restart"/>
            <w:tcBorders>
              <w:tl2br w:val="nil"/>
              <w:tr2bl w:val="nil"/>
            </w:tcBorders>
            <w:vAlign w:val="center"/>
          </w:tcPr>
          <w:p w14:paraId="69241998">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Times New Roman"/>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72</w:t>
            </w:r>
          </w:p>
        </w:tc>
        <w:tc>
          <w:tcPr>
            <w:tcW w:w="1550" w:type="dxa"/>
            <w:vMerge w:val="restart"/>
            <w:tcBorders>
              <w:tl2br w:val="nil"/>
              <w:tr2bl w:val="nil"/>
            </w:tcBorders>
            <w:vAlign w:val="center"/>
          </w:tcPr>
          <w:p w14:paraId="3830ECAF">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p>
          <w:p w14:paraId="5F46D52C">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p>
          <w:p w14:paraId="70B403E0">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lang w:val="en-US" w:eastAsia="zh-CN"/>
              </w:rPr>
            </w:pPr>
            <w:r>
              <w:rPr>
                <w:rFonts w:hint="eastAsia" w:ascii="仿宋_GB2312" w:hAnsi="宋体" w:eastAsia="仿宋_GB2312"/>
                <w:color w:val="auto"/>
                <w:kern w:val="0"/>
                <w:sz w:val="13"/>
                <w:szCs w:val="13"/>
                <w:highlight w:val="none"/>
              </w:rPr>
              <w:t>建设单位将建设工程发包给不具有相应资质等级的勘察、设计、施工单位或者委托给不具有相应资质等级的工程监理单位</w:t>
            </w:r>
          </w:p>
        </w:tc>
        <w:tc>
          <w:tcPr>
            <w:tcW w:w="4820" w:type="dxa"/>
            <w:vMerge w:val="restart"/>
            <w:tcBorders>
              <w:tl2br w:val="nil"/>
              <w:tr2bl w:val="nil"/>
            </w:tcBorders>
            <w:vAlign w:val="center"/>
          </w:tcPr>
          <w:p w14:paraId="0B08F5E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《建设工程质量管理条例》</w:t>
            </w:r>
            <w:r>
              <w:rPr>
                <w:rFonts w:hint="eastAsia" w:ascii="仿宋_GB2312" w:hAnsi="宋体" w:eastAsia="仿宋_GB2312"/>
                <w:b/>
                <w:bCs/>
                <w:color w:val="auto"/>
                <w:kern w:val="0"/>
                <w:sz w:val="13"/>
                <w:szCs w:val="13"/>
                <w:highlight w:val="none"/>
              </w:rPr>
              <w:t>第五十四条</w:t>
            </w:r>
            <w:r>
              <w:rPr>
                <w:rFonts w:hint="eastAsia" w:ascii="仿宋_GB2312" w:hAnsi="宋体" w:eastAsia="仿宋_GB2312"/>
                <w:b/>
                <w:bCs/>
                <w:color w:val="auto"/>
                <w:kern w:val="0"/>
                <w:sz w:val="13"/>
                <w:szCs w:val="13"/>
                <w:highlight w:val="none"/>
                <w:lang w:eastAsia="zh-CN"/>
              </w:rPr>
              <w:t>：</w:t>
            </w:r>
            <w:r>
              <w:rPr>
                <w:rFonts w:hint="eastAsia" w:ascii="仿宋_GB2312" w:hAnsi="宋体" w:eastAsia="仿宋_GB2312"/>
                <w:color w:val="auto"/>
                <w:kern w:val="0"/>
                <w:sz w:val="13"/>
                <w:szCs w:val="13"/>
                <w:highlight w:val="none"/>
              </w:rPr>
              <w:t>违反本条例规定，建设单位将建设工程发包给不具有相应资质等级的勘察、设计、施工单位或者委托给不具有相应资质等级的工程监理单位的，责令改正，处50万元以上100万元以下的罚款。</w:t>
            </w:r>
          </w:p>
          <w:p w14:paraId="257AD98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p w14:paraId="748EB3D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《建设工程质量管理条例》</w:t>
            </w:r>
            <w:r>
              <w:rPr>
                <w:rFonts w:hint="eastAsia" w:ascii="仿宋_GB2312" w:hAnsi="宋体" w:eastAsia="仿宋_GB2312"/>
                <w:b/>
                <w:bCs/>
                <w:color w:val="auto"/>
                <w:kern w:val="0"/>
                <w:sz w:val="13"/>
                <w:szCs w:val="13"/>
                <w:highlight w:val="none"/>
              </w:rPr>
              <w:t>第七十三条</w:t>
            </w:r>
            <w:r>
              <w:rPr>
                <w:rFonts w:hint="eastAsia" w:ascii="仿宋_GB2312" w:hAnsi="宋体" w:eastAsia="仿宋_GB2312"/>
                <w:b/>
                <w:bCs/>
                <w:color w:val="auto"/>
                <w:kern w:val="0"/>
                <w:sz w:val="13"/>
                <w:szCs w:val="13"/>
                <w:highlight w:val="none"/>
                <w:lang w:eastAsia="zh-CN"/>
              </w:rPr>
              <w:t>：</w:t>
            </w:r>
            <w:r>
              <w:rPr>
                <w:rFonts w:hint="eastAsia" w:ascii="仿宋_GB2312" w:hAnsi="宋体" w:eastAsia="仿宋_GB2312"/>
                <w:color w:val="auto"/>
                <w:kern w:val="0"/>
                <w:sz w:val="13"/>
                <w:szCs w:val="13"/>
                <w:highlight w:val="none"/>
              </w:rPr>
              <w:t>依照本条例规定，给予单位罚款处罚的，对单位直接负责的主管人员和其他直接责任人员处单位罚款数额百分之五以上百分之十以下的罚款。</w:t>
            </w:r>
          </w:p>
        </w:tc>
        <w:tc>
          <w:tcPr>
            <w:tcW w:w="823" w:type="dxa"/>
            <w:tcBorders>
              <w:tl2br w:val="nil"/>
              <w:tr2bl w:val="nil"/>
            </w:tcBorders>
            <w:vAlign w:val="center"/>
          </w:tcPr>
          <w:p w14:paraId="1E1B812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vAlign w:val="center"/>
          </w:tcPr>
          <w:p w14:paraId="7444DB4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初次违法，危害后果较轻的，主动消除或减轻违法行为危害后果的。</w:t>
            </w:r>
          </w:p>
        </w:tc>
        <w:tc>
          <w:tcPr>
            <w:tcW w:w="3058" w:type="dxa"/>
            <w:tcBorders>
              <w:tl2br w:val="nil"/>
              <w:tr2bl w:val="nil"/>
            </w:tcBorders>
            <w:vAlign w:val="center"/>
          </w:tcPr>
          <w:p w14:paraId="31419B5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责令改正，对建设单位处50万元以上60万元以下的罚款，对单位直接负责的主管人员和其他直接责任人员处单位罚款数额百分之五以上百分之六以下的罚款。</w:t>
            </w:r>
          </w:p>
        </w:tc>
      </w:tr>
      <w:tr w14:paraId="70DA18D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8" w:hRule="atLeast"/>
          <w:jc w:val="center"/>
        </w:trPr>
        <w:tc>
          <w:tcPr>
            <w:tcW w:w="443" w:type="dxa"/>
            <w:gridSpan w:val="2"/>
            <w:vMerge w:val="continue"/>
            <w:tcBorders>
              <w:tl2br w:val="nil"/>
              <w:tr2bl w:val="nil"/>
            </w:tcBorders>
            <w:vAlign w:val="center"/>
          </w:tcPr>
          <w:p w14:paraId="5C9BF07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7580A3D6">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p>
        </w:tc>
        <w:tc>
          <w:tcPr>
            <w:tcW w:w="4820" w:type="dxa"/>
            <w:vMerge w:val="continue"/>
            <w:tcBorders>
              <w:tl2br w:val="nil"/>
              <w:tr2bl w:val="nil"/>
            </w:tcBorders>
          </w:tcPr>
          <w:p w14:paraId="14A4C19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tc>
        <w:tc>
          <w:tcPr>
            <w:tcW w:w="823" w:type="dxa"/>
            <w:tcBorders>
              <w:tl2br w:val="nil"/>
              <w:tr2bl w:val="nil"/>
            </w:tcBorders>
            <w:vAlign w:val="center"/>
          </w:tcPr>
          <w:p w14:paraId="5A1B659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一般情节</w:t>
            </w:r>
          </w:p>
        </w:tc>
        <w:tc>
          <w:tcPr>
            <w:tcW w:w="3437" w:type="dxa"/>
            <w:gridSpan w:val="2"/>
            <w:tcBorders>
              <w:tl2br w:val="nil"/>
              <w:tr2bl w:val="nil"/>
            </w:tcBorders>
            <w:vAlign w:val="center"/>
          </w:tcPr>
          <w:p w14:paraId="583F116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不具有从轻、</w:t>
            </w:r>
            <w:r>
              <w:rPr>
                <w:rFonts w:hint="eastAsia" w:ascii="仿宋_GB2312" w:hAnsi="宋体" w:eastAsia="仿宋_GB2312"/>
                <w:color w:val="auto"/>
                <w:kern w:val="0"/>
                <w:sz w:val="13"/>
                <w:szCs w:val="13"/>
                <w:highlight w:val="none"/>
                <w:lang w:eastAsia="zh-CN"/>
              </w:rPr>
              <w:t>从重情节</w:t>
            </w:r>
            <w:r>
              <w:rPr>
                <w:rFonts w:hint="eastAsia" w:ascii="仿宋_GB2312" w:hAnsi="宋体" w:eastAsia="仿宋_GB2312"/>
                <w:color w:val="auto"/>
                <w:kern w:val="0"/>
                <w:sz w:val="13"/>
                <w:szCs w:val="13"/>
                <w:highlight w:val="none"/>
              </w:rPr>
              <w:t>的。</w:t>
            </w:r>
          </w:p>
        </w:tc>
        <w:tc>
          <w:tcPr>
            <w:tcW w:w="3058" w:type="dxa"/>
            <w:tcBorders>
              <w:tl2br w:val="nil"/>
              <w:tr2bl w:val="nil"/>
            </w:tcBorders>
            <w:vAlign w:val="center"/>
          </w:tcPr>
          <w:p w14:paraId="1452911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责令改正，对建设单位处60万元以上80万元以下的罚款，对单位直接负责的主管人员和其他直接责任人员处单位罚款数额百分之六以上百分之八点五以下的罚款。</w:t>
            </w:r>
          </w:p>
        </w:tc>
      </w:tr>
      <w:tr w14:paraId="605BBF4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468" w:hRule="atLeast"/>
          <w:jc w:val="center"/>
        </w:trPr>
        <w:tc>
          <w:tcPr>
            <w:tcW w:w="443" w:type="dxa"/>
            <w:gridSpan w:val="2"/>
            <w:vMerge w:val="continue"/>
            <w:tcBorders>
              <w:tl2br w:val="nil"/>
              <w:tr2bl w:val="nil"/>
            </w:tcBorders>
            <w:vAlign w:val="center"/>
          </w:tcPr>
          <w:p w14:paraId="19E6AB2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6281F167">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356D7BF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tc>
        <w:tc>
          <w:tcPr>
            <w:tcW w:w="823" w:type="dxa"/>
            <w:tcBorders>
              <w:tl2br w:val="nil"/>
              <w:tr2bl w:val="nil"/>
            </w:tcBorders>
            <w:vAlign w:val="center"/>
          </w:tcPr>
          <w:p w14:paraId="3B81221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从重情节</w:t>
            </w:r>
          </w:p>
        </w:tc>
        <w:tc>
          <w:tcPr>
            <w:tcW w:w="3437" w:type="dxa"/>
            <w:gridSpan w:val="2"/>
            <w:tcBorders>
              <w:tl2br w:val="nil"/>
              <w:tr2bl w:val="nil"/>
            </w:tcBorders>
            <w:vAlign w:val="center"/>
          </w:tcPr>
          <w:p w14:paraId="3882E07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（1）多次实施同类违法行为的；</w:t>
            </w:r>
          </w:p>
          <w:p w14:paraId="28481CF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（2）造成质量安全事故或其他严重后果的；</w:t>
            </w:r>
          </w:p>
        </w:tc>
        <w:tc>
          <w:tcPr>
            <w:tcW w:w="3058" w:type="dxa"/>
            <w:tcBorders>
              <w:tl2br w:val="nil"/>
              <w:tr2bl w:val="nil"/>
            </w:tcBorders>
            <w:vAlign w:val="center"/>
          </w:tcPr>
          <w:p w14:paraId="5E70814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责令改正，对建设单位处80万元以上100万元以下的罚款，对单位直接负责的主管人员和其他直接责任人员处单位罚款数额百分之八点五上百分之十以下的罚款。</w:t>
            </w:r>
          </w:p>
        </w:tc>
      </w:tr>
      <w:tr w14:paraId="194C99B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8" w:hRule="atLeast"/>
          <w:jc w:val="center"/>
        </w:trPr>
        <w:tc>
          <w:tcPr>
            <w:tcW w:w="443" w:type="dxa"/>
            <w:gridSpan w:val="2"/>
            <w:vMerge w:val="restart"/>
            <w:tcBorders>
              <w:tl2br w:val="nil"/>
              <w:tr2bl w:val="nil"/>
            </w:tcBorders>
            <w:vAlign w:val="center"/>
          </w:tcPr>
          <w:p w14:paraId="02C6E43A">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Times New Roman"/>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73</w:t>
            </w:r>
          </w:p>
        </w:tc>
        <w:tc>
          <w:tcPr>
            <w:tcW w:w="1550" w:type="dxa"/>
            <w:vMerge w:val="restart"/>
            <w:tcBorders>
              <w:tl2br w:val="nil"/>
              <w:tr2bl w:val="nil"/>
            </w:tcBorders>
            <w:vAlign w:val="center"/>
          </w:tcPr>
          <w:p w14:paraId="3304653E">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p>
          <w:p w14:paraId="78E4DE54">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p w14:paraId="321D3461">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lang w:val="en-US" w:eastAsia="zh-CN"/>
              </w:rPr>
            </w:pPr>
            <w:r>
              <w:rPr>
                <w:rFonts w:hint="eastAsia" w:ascii="仿宋_GB2312" w:hAnsi="宋体" w:eastAsia="仿宋_GB2312"/>
                <w:color w:val="auto"/>
                <w:kern w:val="0"/>
                <w:sz w:val="13"/>
                <w:szCs w:val="13"/>
                <w:highlight w:val="none"/>
              </w:rPr>
              <w:t>建设单位将建设工程肢解发包</w:t>
            </w:r>
          </w:p>
        </w:tc>
        <w:tc>
          <w:tcPr>
            <w:tcW w:w="4820" w:type="dxa"/>
            <w:vMerge w:val="restart"/>
            <w:tcBorders>
              <w:tl2br w:val="nil"/>
              <w:tr2bl w:val="nil"/>
            </w:tcBorders>
            <w:vAlign w:val="center"/>
          </w:tcPr>
          <w:p w14:paraId="0722C5A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p w14:paraId="7208AC4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p w14:paraId="2F1D008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《建设工程质量管理条例》</w:t>
            </w:r>
            <w:r>
              <w:rPr>
                <w:rFonts w:hint="eastAsia" w:ascii="仿宋_GB2312" w:hAnsi="宋体" w:eastAsia="仿宋_GB2312"/>
                <w:b/>
                <w:bCs/>
                <w:color w:val="auto"/>
                <w:kern w:val="0"/>
                <w:sz w:val="13"/>
                <w:szCs w:val="13"/>
                <w:highlight w:val="none"/>
              </w:rPr>
              <w:t>第五十五条</w:t>
            </w:r>
            <w:r>
              <w:rPr>
                <w:rFonts w:hint="eastAsia" w:ascii="仿宋_GB2312" w:hAnsi="宋体" w:eastAsia="仿宋_GB2312"/>
                <w:b/>
                <w:bCs/>
                <w:color w:val="auto"/>
                <w:kern w:val="0"/>
                <w:sz w:val="13"/>
                <w:szCs w:val="13"/>
                <w:highlight w:val="none"/>
                <w:lang w:eastAsia="zh-CN"/>
              </w:rPr>
              <w:t>：</w:t>
            </w:r>
            <w:r>
              <w:rPr>
                <w:rFonts w:hint="eastAsia" w:ascii="仿宋_GB2312" w:hAnsi="宋体" w:eastAsia="仿宋_GB2312"/>
                <w:color w:val="auto"/>
                <w:kern w:val="0"/>
                <w:sz w:val="13"/>
                <w:szCs w:val="13"/>
                <w:highlight w:val="none"/>
              </w:rPr>
              <w:t>违反本条例规定，建设单位将建设工程肢解发包的，责令改正，处工程合同价款百分之零点五以上百分之一以下的罚款；对全部或者部分使用国有资金的项目，并可以暂停项目执行或者暂停资金拨付。</w:t>
            </w:r>
          </w:p>
          <w:p w14:paraId="0AD522E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p w14:paraId="092C300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《建设工程质量管理条例》</w:t>
            </w:r>
            <w:r>
              <w:rPr>
                <w:rFonts w:hint="eastAsia" w:ascii="仿宋_GB2312" w:hAnsi="宋体" w:eastAsia="仿宋_GB2312"/>
                <w:b/>
                <w:bCs/>
                <w:color w:val="auto"/>
                <w:kern w:val="0"/>
                <w:sz w:val="13"/>
                <w:szCs w:val="13"/>
                <w:highlight w:val="none"/>
              </w:rPr>
              <w:t>第七十三条</w:t>
            </w:r>
            <w:r>
              <w:rPr>
                <w:rFonts w:hint="eastAsia" w:ascii="仿宋_GB2312" w:hAnsi="宋体" w:eastAsia="仿宋_GB2312"/>
                <w:b/>
                <w:bCs/>
                <w:color w:val="auto"/>
                <w:kern w:val="0"/>
                <w:sz w:val="13"/>
                <w:szCs w:val="13"/>
                <w:highlight w:val="none"/>
                <w:lang w:eastAsia="zh-CN"/>
              </w:rPr>
              <w:t>：</w:t>
            </w:r>
            <w:r>
              <w:rPr>
                <w:rFonts w:hint="eastAsia" w:ascii="仿宋_GB2312" w:hAnsi="宋体" w:eastAsia="仿宋_GB2312"/>
                <w:color w:val="auto"/>
                <w:kern w:val="0"/>
                <w:sz w:val="13"/>
                <w:szCs w:val="13"/>
                <w:highlight w:val="none"/>
              </w:rPr>
              <w:t>依照本条例规定，给予单位罚款处罚的，对单位直接负责的主管人员和其他直接责任人员处单位罚款数额百分之五以上百分之十以下的罚款。</w:t>
            </w:r>
          </w:p>
        </w:tc>
        <w:tc>
          <w:tcPr>
            <w:tcW w:w="823" w:type="dxa"/>
            <w:tcBorders>
              <w:tl2br w:val="nil"/>
              <w:tr2bl w:val="nil"/>
            </w:tcBorders>
            <w:vAlign w:val="center"/>
          </w:tcPr>
          <w:p w14:paraId="53877FA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vAlign w:val="center"/>
          </w:tcPr>
          <w:p w14:paraId="7F27364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初次违法，危害后果较轻的，主动消除或减轻违法行为危害后果的。</w:t>
            </w:r>
          </w:p>
        </w:tc>
        <w:tc>
          <w:tcPr>
            <w:tcW w:w="3058" w:type="dxa"/>
            <w:tcBorders>
              <w:tl2br w:val="nil"/>
              <w:tr2bl w:val="nil"/>
            </w:tcBorders>
            <w:vAlign w:val="center"/>
          </w:tcPr>
          <w:p w14:paraId="471FE18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责令改正，对建设单位处工程合同价款百分之零点五以上百分之零点六以下的罚款，对单位直接负责的主管人员和其他直接责任人员处单位罚款数额百分之五以上百分之六以下的罚款。</w:t>
            </w:r>
          </w:p>
        </w:tc>
      </w:tr>
      <w:tr w14:paraId="08CD6AB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16" w:hRule="atLeast"/>
          <w:jc w:val="center"/>
        </w:trPr>
        <w:tc>
          <w:tcPr>
            <w:tcW w:w="443" w:type="dxa"/>
            <w:gridSpan w:val="2"/>
            <w:vMerge w:val="continue"/>
            <w:tcBorders>
              <w:tl2br w:val="nil"/>
              <w:tr2bl w:val="nil"/>
            </w:tcBorders>
            <w:vAlign w:val="center"/>
          </w:tcPr>
          <w:p w14:paraId="61D27E5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2B87D048">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p>
        </w:tc>
        <w:tc>
          <w:tcPr>
            <w:tcW w:w="4820" w:type="dxa"/>
            <w:vMerge w:val="continue"/>
            <w:tcBorders>
              <w:tl2br w:val="nil"/>
              <w:tr2bl w:val="nil"/>
            </w:tcBorders>
          </w:tcPr>
          <w:p w14:paraId="47E71CD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823" w:type="dxa"/>
            <w:tcBorders>
              <w:tl2br w:val="nil"/>
              <w:tr2bl w:val="nil"/>
            </w:tcBorders>
            <w:vAlign w:val="center"/>
          </w:tcPr>
          <w:p w14:paraId="463EB54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一般情节</w:t>
            </w:r>
          </w:p>
        </w:tc>
        <w:tc>
          <w:tcPr>
            <w:tcW w:w="3437" w:type="dxa"/>
            <w:gridSpan w:val="2"/>
            <w:tcBorders>
              <w:tl2br w:val="nil"/>
              <w:tr2bl w:val="nil"/>
            </w:tcBorders>
            <w:vAlign w:val="center"/>
          </w:tcPr>
          <w:p w14:paraId="628BB94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不具有从轻、</w:t>
            </w:r>
            <w:r>
              <w:rPr>
                <w:rFonts w:hint="eastAsia" w:ascii="仿宋_GB2312" w:hAnsi="宋体" w:eastAsia="仿宋_GB2312"/>
                <w:color w:val="auto"/>
                <w:kern w:val="0"/>
                <w:sz w:val="13"/>
                <w:szCs w:val="13"/>
                <w:highlight w:val="none"/>
                <w:lang w:eastAsia="zh-CN"/>
              </w:rPr>
              <w:t>从重情节</w:t>
            </w:r>
            <w:r>
              <w:rPr>
                <w:rFonts w:hint="eastAsia" w:ascii="仿宋_GB2312" w:hAnsi="宋体" w:eastAsia="仿宋_GB2312"/>
                <w:color w:val="auto"/>
                <w:kern w:val="0"/>
                <w:sz w:val="13"/>
                <w:szCs w:val="13"/>
                <w:highlight w:val="none"/>
              </w:rPr>
              <w:t>的。</w:t>
            </w:r>
          </w:p>
        </w:tc>
        <w:tc>
          <w:tcPr>
            <w:tcW w:w="3058" w:type="dxa"/>
            <w:tcBorders>
              <w:tl2br w:val="nil"/>
              <w:tr2bl w:val="nil"/>
            </w:tcBorders>
            <w:vAlign w:val="center"/>
          </w:tcPr>
          <w:p w14:paraId="3FE8678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责令改正，对建设单位处工程合同价款百分之零点六以上百分之零点八以下的罚款，对单位直接负责的主管人员和其他直接责任人员处单位罚款数额百分之六以上百分之八点五以下的罚款。</w:t>
            </w:r>
          </w:p>
        </w:tc>
      </w:tr>
      <w:tr w14:paraId="337803D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16" w:hRule="atLeast"/>
          <w:jc w:val="center"/>
        </w:trPr>
        <w:tc>
          <w:tcPr>
            <w:tcW w:w="443" w:type="dxa"/>
            <w:gridSpan w:val="2"/>
            <w:vMerge w:val="continue"/>
            <w:tcBorders>
              <w:tl2br w:val="nil"/>
              <w:tr2bl w:val="nil"/>
            </w:tcBorders>
            <w:vAlign w:val="center"/>
          </w:tcPr>
          <w:p w14:paraId="4A09535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1C082204">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37A3BCA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823" w:type="dxa"/>
            <w:tcBorders>
              <w:tl2br w:val="nil"/>
              <w:tr2bl w:val="nil"/>
            </w:tcBorders>
            <w:vAlign w:val="center"/>
          </w:tcPr>
          <w:p w14:paraId="1E9338A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从重情节</w:t>
            </w:r>
          </w:p>
        </w:tc>
        <w:tc>
          <w:tcPr>
            <w:tcW w:w="3437" w:type="dxa"/>
            <w:gridSpan w:val="2"/>
            <w:tcBorders>
              <w:tl2br w:val="nil"/>
              <w:tr2bl w:val="nil"/>
            </w:tcBorders>
            <w:vAlign w:val="center"/>
          </w:tcPr>
          <w:p w14:paraId="476AF56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（1）多次实施同类违法行为的；</w:t>
            </w:r>
          </w:p>
          <w:p w14:paraId="56C4273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（2）造成质量安全事故或其他严重后果的。</w:t>
            </w:r>
          </w:p>
        </w:tc>
        <w:tc>
          <w:tcPr>
            <w:tcW w:w="3058" w:type="dxa"/>
            <w:tcBorders>
              <w:tl2br w:val="nil"/>
              <w:tr2bl w:val="nil"/>
            </w:tcBorders>
            <w:vAlign w:val="center"/>
          </w:tcPr>
          <w:p w14:paraId="172EC5E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责令改正，对建设单位处工程合同价款百分之零点八以上百分之一以下的罚款，对单位直接负责的主管人员和其他直接责任人员处单位罚款数额百分之八点五以上百分之十以下的罚款。</w:t>
            </w:r>
          </w:p>
        </w:tc>
      </w:tr>
      <w:tr w14:paraId="0DC8102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8" w:hRule="atLeast"/>
          <w:jc w:val="center"/>
        </w:trPr>
        <w:tc>
          <w:tcPr>
            <w:tcW w:w="443" w:type="dxa"/>
            <w:gridSpan w:val="2"/>
            <w:vMerge w:val="restart"/>
            <w:tcBorders>
              <w:tl2br w:val="nil"/>
              <w:tr2bl w:val="nil"/>
            </w:tcBorders>
            <w:vAlign w:val="center"/>
          </w:tcPr>
          <w:p w14:paraId="6DADE026">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Times New Roman"/>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74</w:t>
            </w:r>
          </w:p>
        </w:tc>
        <w:tc>
          <w:tcPr>
            <w:tcW w:w="1550" w:type="dxa"/>
            <w:vMerge w:val="restart"/>
            <w:tcBorders>
              <w:tl2br w:val="nil"/>
              <w:tr2bl w:val="nil"/>
            </w:tcBorders>
            <w:vAlign w:val="center"/>
          </w:tcPr>
          <w:p w14:paraId="0A6A79A2">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p w14:paraId="662A8032">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lang w:val="en-US" w:eastAsia="zh-CN"/>
              </w:rPr>
            </w:pPr>
            <w:r>
              <w:rPr>
                <w:rFonts w:hint="eastAsia" w:ascii="仿宋_GB2312" w:hAnsi="宋体" w:eastAsia="仿宋_GB2312"/>
                <w:color w:val="auto"/>
                <w:kern w:val="0"/>
                <w:sz w:val="13"/>
                <w:szCs w:val="13"/>
                <w:highlight w:val="none"/>
              </w:rPr>
              <w:t>建设单位迫使承包方以低于成本的价格竞标</w:t>
            </w:r>
          </w:p>
        </w:tc>
        <w:tc>
          <w:tcPr>
            <w:tcW w:w="4820" w:type="dxa"/>
            <w:vMerge w:val="restart"/>
            <w:tcBorders>
              <w:tl2br w:val="nil"/>
              <w:tr2bl w:val="nil"/>
            </w:tcBorders>
            <w:vAlign w:val="center"/>
          </w:tcPr>
          <w:p w14:paraId="2607BBDA">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《建设工程质量管理条例》</w:t>
            </w:r>
            <w:r>
              <w:rPr>
                <w:rFonts w:hint="eastAsia" w:ascii="仿宋_GB2312" w:hAnsi="宋体" w:eastAsia="仿宋_GB2312"/>
                <w:b/>
                <w:bCs/>
                <w:color w:val="auto"/>
                <w:kern w:val="0"/>
                <w:sz w:val="13"/>
                <w:szCs w:val="13"/>
                <w:highlight w:val="none"/>
              </w:rPr>
              <w:t>第五十六条（一）项</w:t>
            </w:r>
            <w:r>
              <w:rPr>
                <w:rFonts w:hint="eastAsia" w:ascii="仿宋_GB2312" w:hAnsi="宋体" w:eastAsia="仿宋_GB2312"/>
                <w:b/>
                <w:bCs/>
                <w:color w:val="auto"/>
                <w:kern w:val="0"/>
                <w:sz w:val="13"/>
                <w:szCs w:val="13"/>
                <w:highlight w:val="none"/>
                <w:lang w:eastAsia="zh-CN"/>
              </w:rPr>
              <w:t>：</w:t>
            </w:r>
            <w:r>
              <w:rPr>
                <w:rFonts w:hint="eastAsia" w:ascii="仿宋_GB2312" w:hAnsi="宋体" w:eastAsia="仿宋_GB2312"/>
                <w:color w:val="auto"/>
                <w:kern w:val="0"/>
                <w:sz w:val="13"/>
                <w:szCs w:val="13"/>
                <w:highlight w:val="none"/>
              </w:rPr>
              <w:t>违反本条例规定，建设单位有下列行为之一的，责令改正，处20万元以上50万元以下的罚款：</w:t>
            </w:r>
          </w:p>
          <w:p w14:paraId="585ACDB3">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（一）迫使承包方以低于成本的价格竞标的；</w:t>
            </w:r>
          </w:p>
          <w:p w14:paraId="3D9DD448">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p w14:paraId="303E7A78">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ascii="宋体" w:hAnsi="宋体" w:cs="宋体"/>
                <w:color w:val="auto"/>
                <w:kern w:val="0"/>
                <w:sz w:val="13"/>
                <w:szCs w:val="13"/>
                <w:highlight w:val="none"/>
              </w:rPr>
            </w:pPr>
            <w:r>
              <w:rPr>
                <w:rFonts w:hint="eastAsia" w:ascii="仿宋_GB2312" w:hAnsi="宋体" w:eastAsia="仿宋_GB2312"/>
                <w:color w:val="auto"/>
                <w:kern w:val="0"/>
                <w:sz w:val="13"/>
                <w:szCs w:val="13"/>
                <w:highlight w:val="none"/>
              </w:rPr>
              <w:t>《建设工程质量管理条例》</w:t>
            </w:r>
            <w:r>
              <w:rPr>
                <w:rFonts w:hint="eastAsia" w:ascii="仿宋_GB2312" w:hAnsi="宋体" w:eastAsia="仿宋_GB2312"/>
                <w:b/>
                <w:bCs/>
                <w:color w:val="auto"/>
                <w:kern w:val="0"/>
                <w:sz w:val="13"/>
                <w:szCs w:val="13"/>
                <w:highlight w:val="none"/>
              </w:rPr>
              <w:t>第七十三条</w:t>
            </w:r>
            <w:r>
              <w:rPr>
                <w:rFonts w:hint="eastAsia" w:ascii="仿宋_GB2312" w:hAnsi="宋体" w:eastAsia="仿宋_GB2312"/>
                <w:b/>
                <w:bCs/>
                <w:color w:val="auto"/>
                <w:kern w:val="0"/>
                <w:sz w:val="13"/>
                <w:szCs w:val="13"/>
                <w:highlight w:val="none"/>
                <w:lang w:eastAsia="zh-CN"/>
              </w:rPr>
              <w:t>：</w:t>
            </w:r>
            <w:r>
              <w:rPr>
                <w:rFonts w:hint="eastAsia" w:ascii="仿宋_GB2312" w:hAnsi="宋体" w:eastAsia="仿宋_GB2312"/>
                <w:color w:val="auto"/>
                <w:kern w:val="0"/>
                <w:sz w:val="13"/>
                <w:szCs w:val="13"/>
                <w:highlight w:val="none"/>
              </w:rPr>
              <w:t>依照本条例规定，给予单位罚款处罚的，对单位直接负责的主管人员和其他直接责任人员处单位罚款数额百分之五以上百分之十以下的罚款。</w:t>
            </w:r>
          </w:p>
        </w:tc>
        <w:tc>
          <w:tcPr>
            <w:tcW w:w="823" w:type="dxa"/>
            <w:tcBorders>
              <w:tl2br w:val="nil"/>
              <w:tr2bl w:val="nil"/>
            </w:tcBorders>
            <w:vAlign w:val="center"/>
          </w:tcPr>
          <w:p w14:paraId="53581E3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vAlign w:val="center"/>
          </w:tcPr>
          <w:p w14:paraId="0F116F6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迫使承包方以低于成本的价格竞标的幅度在10﹪以内的。</w:t>
            </w:r>
          </w:p>
        </w:tc>
        <w:tc>
          <w:tcPr>
            <w:tcW w:w="3058" w:type="dxa"/>
            <w:tcBorders>
              <w:tl2br w:val="nil"/>
              <w:tr2bl w:val="nil"/>
            </w:tcBorders>
            <w:vAlign w:val="center"/>
          </w:tcPr>
          <w:p w14:paraId="18E6CCC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责令改正，对建设单位处20万元以上</w:t>
            </w:r>
            <w:r>
              <w:rPr>
                <w:rFonts w:hint="eastAsia" w:ascii="仿宋_GB2312" w:hAnsi="宋体" w:eastAsia="仿宋_GB2312"/>
                <w:color w:val="auto"/>
                <w:kern w:val="0"/>
                <w:sz w:val="13"/>
                <w:szCs w:val="13"/>
                <w:highlight w:val="none"/>
                <w:lang w:val="en-US" w:eastAsia="zh-CN"/>
              </w:rPr>
              <w:t>30</w:t>
            </w:r>
            <w:r>
              <w:rPr>
                <w:rFonts w:hint="eastAsia" w:ascii="仿宋_GB2312" w:hAnsi="宋体" w:eastAsia="仿宋_GB2312"/>
                <w:color w:val="auto"/>
                <w:kern w:val="0"/>
                <w:sz w:val="13"/>
                <w:szCs w:val="13"/>
                <w:highlight w:val="none"/>
              </w:rPr>
              <w:t>万元以下的罚款，对单位直接负责的主管人员和其他直接责任人员处单位罚款数额百分之五以上百分之六以下的罚款。</w:t>
            </w:r>
          </w:p>
        </w:tc>
      </w:tr>
      <w:tr w14:paraId="086B515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8" w:hRule="atLeast"/>
          <w:jc w:val="center"/>
        </w:trPr>
        <w:tc>
          <w:tcPr>
            <w:tcW w:w="443" w:type="dxa"/>
            <w:gridSpan w:val="2"/>
            <w:vMerge w:val="continue"/>
            <w:tcBorders>
              <w:tl2br w:val="nil"/>
              <w:tr2bl w:val="nil"/>
            </w:tcBorders>
            <w:vAlign w:val="center"/>
          </w:tcPr>
          <w:p w14:paraId="63B7CC2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6D7F9E54">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p>
        </w:tc>
        <w:tc>
          <w:tcPr>
            <w:tcW w:w="4820" w:type="dxa"/>
            <w:vMerge w:val="continue"/>
            <w:tcBorders>
              <w:tl2br w:val="nil"/>
              <w:tr2bl w:val="nil"/>
            </w:tcBorders>
          </w:tcPr>
          <w:p w14:paraId="0159B76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tcBorders>
              <w:tl2br w:val="nil"/>
              <w:tr2bl w:val="nil"/>
            </w:tcBorders>
            <w:vAlign w:val="center"/>
          </w:tcPr>
          <w:p w14:paraId="38790C4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一般情节</w:t>
            </w:r>
          </w:p>
        </w:tc>
        <w:tc>
          <w:tcPr>
            <w:tcW w:w="3437" w:type="dxa"/>
            <w:gridSpan w:val="2"/>
            <w:tcBorders>
              <w:tl2br w:val="nil"/>
              <w:tr2bl w:val="nil"/>
            </w:tcBorders>
            <w:vAlign w:val="center"/>
          </w:tcPr>
          <w:p w14:paraId="38EC17F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迫使承包方以低于成本的价格竞标的幅度在10﹪以上20﹪以下的。</w:t>
            </w:r>
          </w:p>
        </w:tc>
        <w:tc>
          <w:tcPr>
            <w:tcW w:w="3058" w:type="dxa"/>
            <w:tcBorders>
              <w:tl2br w:val="nil"/>
              <w:tr2bl w:val="nil"/>
            </w:tcBorders>
            <w:vAlign w:val="center"/>
          </w:tcPr>
          <w:p w14:paraId="4DF380B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责令改正，对建设单位处</w:t>
            </w:r>
            <w:r>
              <w:rPr>
                <w:rFonts w:hint="eastAsia" w:ascii="仿宋_GB2312" w:hAnsi="宋体" w:eastAsia="仿宋_GB2312"/>
                <w:color w:val="auto"/>
                <w:kern w:val="0"/>
                <w:sz w:val="13"/>
                <w:szCs w:val="13"/>
                <w:highlight w:val="none"/>
                <w:lang w:val="en-US" w:eastAsia="zh-CN"/>
              </w:rPr>
              <w:t>30</w:t>
            </w:r>
            <w:r>
              <w:rPr>
                <w:rFonts w:hint="eastAsia" w:ascii="仿宋_GB2312" w:hAnsi="宋体" w:eastAsia="仿宋_GB2312"/>
                <w:color w:val="auto"/>
                <w:kern w:val="0"/>
                <w:sz w:val="13"/>
                <w:szCs w:val="13"/>
                <w:highlight w:val="none"/>
              </w:rPr>
              <w:t>万元以上40万元以下的罚款，对单位直接负责的主管人员和其他直接责任人员处单位罚款数额百分之六以上百分之八点五以下的罚款。</w:t>
            </w:r>
          </w:p>
        </w:tc>
      </w:tr>
      <w:tr w14:paraId="46F844F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8" w:hRule="atLeast"/>
          <w:jc w:val="center"/>
        </w:trPr>
        <w:tc>
          <w:tcPr>
            <w:tcW w:w="443" w:type="dxa"/>
            <w:gridSpan w:val="2"/>
            <w:vMerge w:val="continue"/>
            <w:tcBorders>
              <w:tl2br w:val="nil"/>
              <w:tr2bl w:val="nil"/>
            </w:tcBorders>
            <w:vAlign w:val="center"/>
          </w:tcPr>
          <w:p w14:paraId="29B215C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2FDDC4FD">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746F036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tcBorders>
              <w:tl2br w:val="nil"/>
              <w:tr2bl w:val="nil"/>
            </w:tcBorders>
            <w:vAlign w:val="center"/>
          </w:tcPr>
          <w:p w14:paraId="1614875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从重情节</w:t>
            </w:r>
          </w:p>
        </w:tc>
        <w:tc>
          <w:tcPr>
            <w:tcW w:w="3437" w:type="dxa"/>
            <w:gridSpan w:val="2"/>
            <w:tcBorders>
              <w:tl2br w:val="nil"/>
              <w:tr2bl w:val="nil"/>
            </w:tcBorders>
            <w:vAlign w:val="center"/>
          </w:tcPr>
          <w:p w14:paraId="025BBBC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迫使承包方以低于成本的价格竞标的幅度在20%以上的。</w:t>
            </w:r>
          </w:p>
        </w:tc>
        <w:tc>
          <w:tcPr>
            <w:tcW w:w="3058" w:type="dxa"/>
            <w:tcBorders>
              <w:tl2br w:val="nil"/>
              <w:tr2bl w:val="nil"/>
            </w:tcBorders>
            <w:vAlign w:val="center"/>
          </w:tcPr>
          <w:p w14:paraId="1A0DCE3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责令改正，对建设单位处40万元以上50万元以下的罚款，对单位直接负责的主管人员和其他直接责任人员处单位罚款数额百分之八点五以上百分之十以下的罚款。</w:t>
            </w:r>
          </w:p>
        </w:tc>
      </w:tr>
      <w:tr w14:paraId="04A43C6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8" w:hRule="atLeast"/>
          <w:jc w:val="center"/>
        </w:trPr>
        <w:tc>
          <w:tcPr>
            <w:tcW w:w="443" w:type="dxa"/>
            <w:gridSpan w:val="2"/>
            <w:vMerge w:val="restart"/>
            <w:tcBorders>
              <w:tl2br w:val="nil"/>
              <w:tr2bl w:val="nil"/>
            </w:tcBorders>
            <w:vAlign w:val="center"/>
          </w:tcPr>
          <w:p w14:paraId="45641CED">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Times New Roman"/>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75</w:t>
            </w:r>
          </w:p>
        </w:tc>
        <w:tc>
          <w:tcPr>
            <w:tcW w:w="1550" w:type="dxa"/>
            <w:vMerge w:val="restart"/>
            <w:tcBorders>
              <w:tl2br w:val="nil"/>
              <w:tr2bl w:val="nil"/>
            </w:tcBorders>
            <w:vAlign w:val="center"/>
          </w:tcPr>
          <w:p w14:paraId="4F3C99F7">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p>
          <w:p w14:paraId="4B796A1B">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p>
          <w:p w14:paraId="52420F40">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lang w:val="en-US" w:eastAsia="zh-CN"/>
              </w:rPr>
            </w:pPr>
            <w:r>
              <w:rPr>
                <w:rFonts w:hint="eastAsia" w:ascii="仿宋_GB2312" w:hAnsi="宋体" w:eastAsia="仿宋_GB2312"/>
                <w:color w:val="auto"/>
                <w:kern w:val="0"/>
                <w:sz w:val="13"/>
                <w:szCs w:val="13"/>
                <w:highlight w:val="none"/>
              </w:rPr>
              <w:t>建设单位任意压缩合理工期</w:t>
            </w:r>
          </w:p>
        </w:tc>
        <w:tc>
          <w:tcPr>
            <w:tcW w:w="4820" w:type="dxa"/>
            <w:vMerge w:val="restart"/>
            <w:tcBorders>
              <w:tl2br w:val="nil"/>
              <w:tr2bl w:val="nil"/>
            </w:tcBorders>
            <w:vAlign w:val="center"/>
          </w:tcPr>
          <w:p w14:paraId="3DF7A00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p w14:paraId="75E39E8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《建设工程质量管理条例》</w:t>
            </w:r>
            <w:r>
              <w:rPr>
                <w:rFonts w:hint="eastAsia" w:ascii="仿宋_GB2312" w:hAnsi="宋体" w:eastAsia="仿宋_GB2312"/>
                <w:b/>
                <w:bCs/>
                <w:color w:val="auto"/>
                <w:kern w:val="0"/>
                <w:sz w:val="13"/>
                <w:szCs w:val="13"/>
                <w:highlight w:val="none"/>
              </w:rPr>
              <w:t>第五十六条（二）项</w:t>
            </w:r>
            <w:r>
              <w:rPr>
                <w:rFonts w:hint="eastAsia" w:ascii="仿宋_GB2312" w:hAnsi="宋体" w:eastAsia="仿宋_GB2312"/>
                <w:b/>
                <w:bCs/>
                <w:color w:val="auto"/>
                <w:kern w:val="0"/>
                <w:sz w:val="13"/>
                <w:szCs w:val="13"/>
                <w:highlight w:val="none"/>
                <w:lang w:eastAsia="zh-CN"/>
              </w:rPr>
              <w:t>：</w:t>
            </w:r>
            <w:r>
              <w:rPr>
                <w:rFonts w:hint="eastAsia" w:ascii="仿宋_GB2312" w:hAnsi="宋体" w:eastAsia="仿宋_GB2312"/>
                <w:color w:val="auto"/>
                <w:kern w:val="0"/>
                <w:sz w:val="13"/>
                <w:szCs w:val="13"/>
                <w:highlight w:val="none"/>
              </w:rPr>
              <w:t>违反本条例规定，建设单位有下列行为之一的，责令改正，处20万元以上50万元以下的罚款：</w:t>
            </w:r>
          </w:p>
          <w:p w14:paraId="35E8050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（二）任意压缩合理工期的；</w:t>
            </w:r>
          </w:p>
          <w:p w14:paraId="43A0CA7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p w14:paraId="7146DBD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《建设工程质量管理条例》</w:t>
            </w:r>
            <w:r>
              <w:rPr>
                <w:rFonts w:hint="eastAsia" w:ascii="仿宋_GB2312" w:hAnsi="宋体" w:eastAsia="仿宋_GB2312"/>
                <w:b/>
                <w:bCs/>
                <w:color w:val="auto"/>
                <w:kern w:val="0"/>
                <w:sz w:val="13"/>
                <w:szCs w:val="13"/>
                <w:highlight w:val="none"/>
              </w:rPr>
              <w:t>第七十三条</w:t>
            </w:r>
            <w:r>
              <w:rPr>
                <w:rFonts w:hint="eastAsia" w:ascii="仿宋_GB2312" w:hAnsi="宋体" w:eastAsia="仿宋_GB2312"/>
                <w:b/>
                <w:bCs/>
                <w:color w:val="auto"/>
                <w:kern w:val="0"/>
                <w:sz w:val="13"/>
                <w:szCs w:val="13"/>
                <w:highlight w:val="none"/>
                <w:lang w:eastAsia="zh-CN"/>
              </w:rPr>
              <w:t>：</w:t>
            </w:r>
            <w:r>
              <w:rPr>
                <w:rFonts w:hint="eastAsia" w:ascii="仿宋_GB2312" w:hAnsi="宋体" w:eastAsia="仿宋_GB2312"/>
                <w:color w:val="auto"/>
                <w:kern w:val="0"/>
                <w:sz w:val="13"/>
                <w:szCs w:val="13"/>
                <w:highlight w:val="none"/>
              </w:rPr>
              <w:t>依照本条例规定，给予单位罚款处罚的，对单位直接负责的主管人员和其他直接责任人员处单位罚款数额百分之五以上百分之十以下的罚款。</w:t>
            </w:r>
          </w:p>
        </w:tc>
        <w:tc>
          <w:tcPr>
            <w:tcW w:w="823" w:type="dxa"/>
            <w:tcBorders>
              <w:tl2br w:val="nil"/>
              <w:tr2bl w:val="nil"/>
            </w:tcBorders>
            <w:vAlign w:val="center"/>
          </w:tcPr>
          <w:p w14:paraId="687931D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vAlign w:val="center"/>
          </w:tcPr>
          <w:p w14:paraId="582E760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任意压缩合同约定工期的幅度在10%以下的。</w:t>
            </w:r>
          </w:p>
        </w:tc>
        <w:tc>
          <w:tcPr>
            <w:tcW w:w="3058" w:type="dxa"/>
            <w:tcBorders>
              <w:tl2br w:val="nil"/>
              <w:tr2bl w:val="nil"/>
            </w:tcBorders>
            <w:vAlign w:val="center"/>
          </w:tcPr>
          <w:p w14:paraId="5666E0F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责令改正，对建设单位处20万元以上</w:t>
            </w:r>
            <w:r>
              <w:rPr>
                <w:rFonts w:hint="eastAsia" w:ascii="仿宋_GB2312" w:hAnsi="宋体" w:eastAsia="仿宋_GB2312"/>
                <w:color w:val="auto"/>
                <w:kern w:val="0"/>
                <w:sz w:val="13"/>
                <w:szCs w:val="13"/>
                <w:highlight w:val="none"/>
                <w:lang w:val="en-US" w:eastAsia="zh-CN"/>
              </w:rPr>
              <w:t>30</w:t>
            </w:r>
            <w:r>
              <w:rPr>
                <w:rFonts w:hint="eastAsia" w:ascii="仿宋_GB2312" w:hAnsi="宋体" w:eastAsia="仿宋_GB2312"/>
                <w:color w:val="auto"/>
                <w:kern w:val="0"/>
                <w:sz w:val="13"/>
                <w:szCs w:val="13"/>
                <w:highlight w:val="none"/>
              </w:rPr>
              <w:t>万元以下的罚款，对单位直接负责的主管人员和其他直接责任人员处单位罚款数额百分之五以上百分之六以下的罚款。</w:t>
            </w:r>
          </w:p>
        </w:tc>
      </w:tr>
      <w:tr w14:paraId="4992C8D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8" w:hRule="atLeast"/>
          <w:jc w:val="center"/>
        </w:trPr>
        <w:tc>
          <w:tcPr>
            <w:tcW w:w="443" w:type="dxa"/>
            <w:gridSpan w:val="2"/>
            <w:vMerge w:val="continue"/>
            <w:tcBorders>
              <w:tl2br w:val="nil"/>
              <w:tr2bl w:val="nil"/>
            </w:tcBorders>
            <w:vAlign w:val="center"/>
          </w:tcPr>
          <w:p w14:paraId="0C16297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31626223">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p>
        </w:tc>
        <w:tc>
          <w:tcPr>
            <w:tcW w:w="4820" w:type="dxa"/>
            <w:vMerge w:val="continue"/>
            <w:tcBorders>
              <w:tl2br w:val="nil"/>
              <w:tr2bl w:val="nil"/>
            </w:tcBorders>
          </w:tcPr>
          <w:p w14:paraId="59860AA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tcBorders>
              <w:tl2br w:val="nil"/>
              <w:tr2bl w:val="nil"/>
            </w:tcBorders>
            <w:vAlign w:val="center"/>
          </w:tcPr>
          <w:p w14:paraId="7E32538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一般情节</w:t>
            </w:r>
          </w:p>
        </w:tc>
        <w:tc>
          <w:tcPr>
            <w:tcW w:w="3437" w:type="dxa"/>
            <w:gridSpan w:val="2"/>
            <w:tcBorders>
              <w:tl2br w:val="nil"/>
              <w:tr2bl w:val="nil"/>
            </w:tcBorders>
            <w:vAlign w:val="center"/>
          </w:tcPr>
          <w:p w14:paraId="2B909A8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任意压缩合同约定工期的幅度在10%以上20%以下的。</w:t>
            </w:r>
          </w:p>
        </w:tc>
        <w:tc>
          <w:tcPr>
            <w:tcW w:w="3058" w:type="dxa"/>
            <w:tcBorders>
              <w:tl2br w:val="nil"/>
              <w:tr2bl w:val="nil"/>
            </w:tcBorders>
            <w:vAlign w:val="center"/>
          </w:tcPr>
          <w:p w14:paraId="78AE3CA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责令改正，对建设单位处</w:t>
            </w:r>
            <w:r>
              <w:rPr>
                <w:rFonts w:hint="eastAsia" w:ascii="仿宋_GB2312" w:hAnsi="宋体" w:eastAsia="仿宋_GB2312"/>
                <w:color w:val="auto"/>
                <w:kern w:val="0"/>
                <w:sz w:val="13"/>
                <w:szCs w:val="13"/>
                <w:highlight w:val="none"/>
                <w:lang w:val="en-US" w:eastAsia="zh-CN"/>
              </w:rPr>
              <w:t>30</w:t>
            </w:r>
            <w:r>
              <w:rPr>
                <w:rFonts w:hint="eastAsia" w:ascii="仿宋_GB2312" w:hAnsi="宋体" w:eastAsia="仿宋_GB2312"/>
                <w:color w:val="auto"/>
                <w:kern w:val="0"/>
                <w:sz w:val="13"/>
                <w:szCs w:val="13"/>
                <w:highlight w:val="none"/>
              </w:rPr>
              <w:t>万元以上40万元以下的罚款，对单位直接负责的主管人员和其他直接责任人员处单位罚款数额百分之六以上百分之八点五以下的罚款。</w:t>
            </w:r>
          </w:p>
        </w:tc>
      </w:tr>
      <w:tr w14:paraId="4846E1D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8" w:hRule="atLeast"/>
          <w:jc w:val="center"/>
        </w:trPr>
        <w:tc>
          <w:tcPr>
            <w:tcW w:w="443" w:type="dxa"/>
            <w:gridSpan w:val="2"/>
            <w:vMerge w:val="continue"/>
            <w:tcBorders>
              <w:tl2br w:val="nil"/>
              <w:tr2bl w:val="nil"/>
            </w:tcBorders>
            <w:vAlign w:val="center"/>
          </w:tcPr>
          <w:p w14:paraId="6C228C8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4B238F9A">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3103A3B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tcBorders>
              <w:tl2br w:val="nil"/>
              <w:tr2bl w:val="nil"/>
            </w:tcBorders>
            <w:vAlign w:val="center"/>
          </w:tcPr>
          <w:p w14:paraId="58C0CA1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从重情节</w:t>
            </w:r>
          </w:p>
        </w:tc>
        <w:tc>
          <w:tcPr>
            <w:tcW w:w="3437" w:type="dxa"/>
            <w:gridSpan w:val="2"/>
            <w:tcBorders>
              <w:tl2br w:val="nil"/>
              <w:tr2bl w:val="nil"/>
            </w:tcBorders>
            <w:vAlign w:val="center"/>
          </w:tcPr>
          <w:p w14:paraId="3B5F57F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任意压缩合同约定工期的幅度在20%以上的。</w:t>
            </w:r>
          </w:p>
        </w:tc>
        <w:tc>
          <w:tcPr>
            <w:tcW w:w="3058" w:type="dxa"/>
            <w:tcBorders>
              <w:tl2br w:val="nil"/>
              <w:tr2bl w:val="nil"/>
            </w:tcBorders>
            <w:vAlign w:val="center"/>
          </w:tcPr>
          <w:p w14:paraId="4C37AB6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责令改正，对建设单位处40万元以上50万元以下的罚款，对单位直接负责的主管人员和其他直接责任人员处单位罚款数额百分之八点五以上百分之十以下的罚款。</w:t>
            </w:r>
          </w:p>
        </w:tc>
      </w:tr>
      <w:tr w14:paraId="7090163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8" w:hRule="atLeast"/>
          <w:jc w:val="center"/>
        </w:trPr>
        <w:tc>
          <w:tcPr>
            <w:tcW w:w="443" w:type="dxa"/>
            <w:gridSpan w:val="2"/>
            <w:vMerge w:val="restart"/>
            <w:tcBorders>
              <w:tl2br w:val="nil"/>
              <w:tr2bl w:val="nil"/>
            </w:tcBorders>
            <w:vAlign w:val="center"/>
          </w:tcPr>
          <w:p w14:paraId="2808A9DF">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Times New Roman"/>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76</w:t>
            </w:r>
          </w:p>
        </w:tc>
        <w:tc>
          <w:tcPr>
            <w:tcW w:w="1550" w:type="dxa"/>
            <w:vMerge w:val="restart"/>
            <w:tcBorders>
              <w:tl2br w:val="nil"/>
              <w:tr2bl w:val="nil"/>
            </w:tcBorders>
            <w:vAlign w:val="center"/>
          </w:tcPr>
          <w:p w14:paraId="2DB2DB9E">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p>
          <w:p w14:paraId="17154445">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lang w:val="en-US" w:eastAsia="zh-CN"/>
              </w:rPr>
              <w:t>建设单位</w:t>
            </w:r>
            <w:r>
              <w:rPr>
                <w:rFonts w:hint="eastAsia" w:ascii="仿宋_GB2312" w:hAnsi="宋体" w:eastAsia="仿宋_GB2312"/>
                <w:color w:val="auto"/>
                <w:kern w:val="0"/>
                <w:sz w:val="13"/>
                <w:szCs w:val="13"/>
                <w:highlight w:val="none"/>
              </w:rPr>
              <w:t>明示或者暗示设计单位或者施工单位违反工程建设强制性标准，降低工程质量</w:t>
            </w:r>
            <w:r>
              <w:rPr>
                <w:rFonts w:hint="eastAsia" w:ascii="仿宋_GB2312" w:hAnsi="宋体" w:eastAsia="仿宋_GB2312"/>
                <w:color w:val="auto"/>
                <w:kern w:val="0"/>
                <w:sz w:val="13"/>
                <w:szCs w:val="13"/>
                <w:highlight w:val="none"/>
                <w:lang w:eastAsia="zh-CN"/>
              </w:rPr>
              <w:t>；</w:t>
            </w:r>
            <w:r>
              <w:rPr>
                <w:rFonts w:hint="eastAsia" w:ascii="仿宋_GB2312" w:hAnsi="宋体" w:eastAsia="仿宋_GB2312"/>
                <w:color w:val="auto"/>
                <w:kern w:val="0"/>
                <w:sz w:val="13"/>
                <w:szCs w:val="13"/>
                <w:highlight w:val="none"/>
                <w:lang w:val="en-US" w:eastAsia="zh-CN"/>
              </w:rPr>
              <w:t>建设单位</w:t>
            </w:r>
            <w:r>
              <w:rPr>
                <w:rFonts w:hint="eastAsia" w:ascii="仿宋_GB2312" w:hAnsi="宋体" w:eastAsia="仿宋_GB2312"/>
                <w:color w:val="auto"/>
                <w:kern w:val="0"/>
                <w:sz w:val="13"/>
                <w:szCs w:val="13"/>
                <w:highlight w:val="none"/>
              </w:rPr>
              <w:t>施工图设计文件未经审查或者审查不合格，擅自施工</w:t>
            </w:r>
            <w:r>
              <w:rPr>
                <w:rFonts w:hint="eastAsia" w:ascii="仿宋_GB2312" w:hAnsi="宋体" w:eastAsia="仿宋_GB2312"/>
                <w:color w:val="auto"/>
                <w:kern w:val="0"/>
                <w:sz w:val="13"/>
                <w:szCs w:val="13"/>
                <w:highlight w:val="none"/>
                <w:lang w:eastAsia="zh-CN"/>
              </w:rPr>
              <w:t>；</w:t>
            </w:r>
            <w:r>
              <w:rPr>
                <w:rFonts w:hint="eastAsia" w:ascii="仿宋_GB2312" w:hAnsi="宋体" w:eastAsia="仿宋_GB2312"/>
                <w:color w:val="auto"/>
                <w:kern w:val="0"/>
                <w:sz w:val="13"/>
                <w:szCs w:val="13"/>
                <w:highlight w:val="none"/>
                <w:lang w:val="en-US" w:eastAsia="zh-CN"/>
              </w:rPr>
              <w:t>建设单位</w:t>
            </w:r>
            <w:r>
              <w:rPr>
                <w:rFonts w:hint="eastAsia" w:ascii="仿宋_GB2312" w:hAnsi="宋体" w:eastAsia="仿宋_GB2312"/>
                <w:color w:val="auto"/>
                <w:kern w:val="0"/>
                <w:sz w:val="13"/>
                <w:szCs w:val="13"/>
                <w:highlight w:val="none"/>
              </w:rPr>
              <w:t>明示或者暗示施工单位使用不合格的建筑材料、建筑构配件和设备</w:t>
            </w:r>
          </w:p>
          <w:p w14:paraId="28530C8F">
            <w:pPr>
              <w:keepNext w:val="0"/>
              <w:keepLines w:val="0"/>
              <w:pageBreakBefore w:val="0"/>
              <w:numPr>
                <w:ilvl w:val="0"/>
                <w:numId w:val="0"/>
              </w:numPr>
              <w:kinsoku/>
              <w:overflowPunct/>
              <w:topLinePunct w:val="0"/>
              <w:autoSpaceDE/>
              <w:autoSpaceDN/>
              <w:bidi w:val="0"/>
              <w:adjustRightInd/>
              <w:snapToGrid/>
              <w:spacing w:beforeAutospacing="0" w:afterAutospacing="0" w:line="260" w:lineRule="exact"/>
              <w:ind w:left="0" w:leftChars="0" w:right="0" w:rightChars="0"/>
              <w:jc w:val="left"/>
              <w:rPr>
                <w:rFonts w:hint="eastAsia" w:ascii="仿宋_GB2312" w:hAnsi="宋体" w:eastAsia="仿宋_GB2312"/>
                <w:color w:val="auto"/>
                <w:kern w:val="0"/>
                <w:sz w:val="13"/>
                <w:szCs w:val="13"/>
                <w:highlight w:val="none"/>
              </w:rPr>
            </w:pPr>
          </w:p>
        </w:tc>
        <w:tc>
          <w:tcPr>
            <w:tcW w:w="4820" w:type="dxa"/>
            <w:vMerge w:val="restart"/>
            <w:tcBorders>
              <w:tl2br w:val="nil"/>
              <w:tr2bl w:val="nil"/>
            </w:tcBorders>
            <w:vAlign w:val="center"/>
          </w:tcPr>
          <w:p w14:paraId="75F643D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《建设工程质量管理条例》</w:t>
            </w:r>
            <w:r>
              <w:rPr>
                <w:rFonts w:hint="eastAsia" w:ascii="仿宋_GB2312" w:hAnsi="宋体" w:eastAsia="仿宋_GB2312"/>
                <w:b/>
                <w:bCs/>
                <w:color w:val="auto"/>
                <w:kern w:val="0"/>
                <w:sz w:val="13"/>
                <w:szCs w:val="13"/>
                <w:highlight w:val="none"/>
              </w:rPr>
              <w:t>第五十六条（三）</w:t>
            </w:r>
            <w:r>
              <w:rPr>
                <w:rFonts w:hint="eastAsia" w:ascii="仿宋_GB2312" w:hAnsi="宋体" w:eastAsia="仿宋_GB2312"/>
                <w:b/>
                <w:bCs/>
                <w:color w:val="auto"/>
                <w:kern w:val="0"/>
                <w:sz w:val="13"/>
                <w:szCs w:val="13"/>
                <w:highlight w:val="none"/>
                <w:lang w:eastAsia="zh-CN"/>
              </w:rPr>
              <w:t>（</w:t>
            </w:r>
            <w:r>
              <w:rPr>
                <w:rFonts w:hint="eastAsia" w:ascii="仿宋_GB2312" w:hAnsi="宋体" w:eastAsia="仿宋_GB2312"/>
                <w:b/>
                <w:bCs/>
                <w:color w:val="auto"/>
                <w:kern w:val="0"/>
                <w:sz w:val="13"/>
                <w:szCs w:val="13"/>
                <w:highlight w:val="none"/>
                <w:lang w:val="en-US" w:eastAsia="zh-CN"/>
              </w:rPr>
              <w:t>四</w:t>
            </w:r>
            <w:r>
              <w:rPr>
                <w:rFonts w:hint="eastAsia" w:ascii="仿宋_GB2312" w:hAnsi="宋体" w:eastAsia="仿宋_GB2312"/>
                <w:b/>
                <w:bCs/>
                <w:color w:val="auto"/>
                <w:kern w:val="0"/>
                <w:sz w:val="13"/>
                <w:szCs w:val="13"/>
                <w:highlight w:val="none"/>
                <w:lang w:eastAsia="zh-CN"/>
              </w:rPr>
              <w:t>）（</w:t>
            </w:r>
            <w:r>
              <w:rPr>
                <w:rFonts w:hint="eastAsia" w:ascii="仿宋_GB2312" w:hAnsi="宋体" w:eastAsia="仿宋_GB2312"/>
                <w:b/>
                <w:bCs/>
                <w:color w:val="auto"/>
                <w:kern w:val="0"/>
                <w:sz w:val="13"/>
                <w:szCs w:val="13"/>
                <w:highlight w:val="none"/>
                <w:lang w:val="en-US" w:eastAsia="zh-CN"/>
              </w:rPr>
              <w:t>七</w:t>
            </w:r>
            <w:r>
              <w:rPr>
                <w:rFonts w:hint="eastAsia" w:ascii="仿宋_GB2312" w:hAnsi="宋体" w:eastAsia="仿宋_GB2312"/>
                <w:b/>
                <w:bCs/>
                <w:color w:val="auto"/>
                <w:kern w:val="0"/>
                <w:sz w:val="13"/>
                <w:szCs w:val="13"/>
                <w:highlight w:val="none"/>
                <w:lang w:eastAsia="zh-CN"/>
              </w:rPr>
              <w:t>）</w:t>
            </w:r>
            <w:r>
              <w:rPr>
                <w:rFonts w:hint="eastAsia" w:ascii="仿宋_GB2312" w:hAnsi="宋体" w:eastAsia="仿宋_GB2312"/>
                <w:b/>
                <w:bCs/>
                <w:color w:val="auto"/>
                <w:kern w:val="0"/>
                <w:sz w:val="13"/>
                <w:szCs w:val="13"/>
                <w:highlight w:val="none"/>
              </w:rPr>
              <w:t>项</w:t>
            </w:r>
            <w:r>
              <w:rPr>
                <w:rFonts w:hint="eastAsia" w:ascii="仿宋_GB2312" w:hAnsi="宋体" w:eastAsia="仿宋_GB2312"/>
                <w:b/>
                <w:bCs/>
                <w:color w:val="auto"/>
                <w:kern w:val="0"/>
                <w:sz w:val="13"/>
                <w:szCs w:val="13"/>
                <w:highlight w:val="none"/>
                <w:lang w:eastAsia="zh-CN"/>
              </w:rPr>
              <w:t>：</w:t>
            </w:r>
            <w:r>
              <w:rPr>
                <w:rFonts w:hint="eastAsia" w:ascii="仿宋_GB2312" w:hAnsi="宋体" w:eastAsia="仿宋_GB2312"/>
                <w:color w:val="auto"/>
                <w:kern w:val="0"/>
                <w:sz w:val="13"/>
                <w:szCs w:val="13"/>
                <w:highlight w:val="none"/>
              </w:rPr>
              <w:t>违反本条例规定，建设单位有下列行为之一的，责令改正，处20万元以上50万元以下的罚款：</w:t>
            </w:r>
          </w:p>
          <w:p w14:paraId="440EBCB7">
            <w:pPr>
              <w:keepNext w:val="0"/>
              <w:keepLines w:val="0"/>
              <w:pageBreakBefore w:val="0"/>
              <w:widowControl/>
              <w:numPr>
                <w:ilvl w:val="0"/>
                <w:numId w:val="0"/>
              </w:numPr>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lang w:eastAsia="zh-CN"/>
              </w:rPr>
              <w:t>（</w:t>
            </w:r>
            <w:r>
              <w:rPr>
                <w:rFonts w:hint="eastAsia" w:ascii="仿宋_GB2312" w:hAnsi="宋体" w:eastAsia="仿宋_GB2312"/>
                <w:color w:val="auto"/>
                <w:kern w:val="0"/>
                <w:sz w:val="13"/>
                <w:szCs w:val="13"/>
                <w:highlight w:val="none"/>
                <w:lang w:val="en-US" w:eastAsia="zh-CN"/>
              </w:rPr>
              <w:t>三</w:t>
            </w:r>
            <w:r>
              <w:rPr>
                <w:rFonts w:hint="eastAsia" w:ascii="仿宋_GB2312" w:hAnsi="宋体" w:eastAsia="仿宋_GB2312"/>
                <w:color w:val="auto"/>
                <w:kern w:val="0"/>
                <w:sz w:val="13"/>
                <w:szCs w:val="13"/>
                <w:highlight w:val="none"/>
                <w:lang w:eastAsia="zh-CN"/>
              </w:rPr>
              <w:t>）</w:t>
            </w:r>
            <w:r>
              <w:rPr>
                <w:rFonts w:hint="eastAsia" w:ascii="仿宋_GB2312" w:hAnsi="宋体" w:eastAsia="仿宋_GB2312"/>
                <w:color w:val="auto"/>
                <w:kern w:val="0"/>
                <w:sz w:val="13"/>
                <w:szCs w:val="13"/>
                <w:highlight w:val="none"/>
              </w:rPr>
              <w:t>明示或者暗示设计单位或者施工单位违反工程建设强制性标准，降低工程质量的；</w:t>
            </w:r>
          </w:p>
          <w:p w14:paraId="1E9DA60C">
            <w:pPr>
              <w:keepNext w:val="0"/>
              <w:keepLines w:val="0"/>
              <w:pageBreakBefore w:val="0"/>
              <w:widowControl/>
              <w:numPr>
                <w:ilvl w:val="0"/>
                <w:numId w:val="0"/>
              </w:numPr>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lang w:eastAsia="zh-CN"/>
              </w:rPr>
              <w:t>（</w:t>
            </w:r>
            <w:r>
              <w:rPr>
                <w:rFonts w:hint="eastAsia" w:ascii="仿宋_GB2312" w:hAnsi="宋体" w:eastAsia="仿宋_GB2312"/>
                <w:color w:val="auto"/>
                <w:kern w:val="0"/>
                <w:sz w:val="13"/>
                <w:szCs w:val="13"/>
                <w:highlight w:val="none"/>
                <w:lang w:val="en-US" w:eastAsia="zh-CN"/>
              </w:rPr>
              <w:t>四</w:t>
            </w:r>
            <w:r>
              <w:rPr>
                <w:rFonts w:hint="eastAsia" w:ascii="仿宋_GB2312" w:hAnsi="宋体" w:eastAsia="仿宋_GB2312"/>
                <w:color w:val="auto"/>
                <w:kern w:val="0"/>
                <w:sz w:val="13"/>
                <w:szCs w:val="13"/>
                <w:highlight w:val="none"/>
                <w:lang w:eastAsia="zh-CN"/>
              </w:rPr>
              <w:t>）</w:t>
            </w:r>
            <w:r>
              <w:rPr>
                <w:rFonts w:hint="eastAsia" w:ascii="仿宋_GB2312" w:hAnsi="宋体" w:eastAsia="仿宋_GB2312"/>
                <w:color w:val="auto"/>
                <w:kern w:val="0"/>
                <w:sz w:val="13"/>
                <w:szCs w:val="13"/>
                <w:highlight w:val="none"/>
              </w:rPr>
              <w:t>施工图设计文件未经审查或者审查不合格，擅自施工的；</w:t>
            </w:r>
          </w:p>
          <w:p w14:paraId="0692512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lang w:eastAsia="zh-CN"/>
              </w:rPr>
              <w:t>（</w:t>
            </w:r>
            <w:r>
              <w:rPr>
                <w:rFonts w:hint="eastAsia" w:ascii="仿宋_GB2312" w:hAnsi="宋体" w:eastAsia="仿宋_GB2312"/>
                <w:color w:val="auto"/>
                <w:kern w:val="0"/>
                <w:sz w:val="13"/>
                <w:szCs w:val="13"/>
                <w:highlight w:val="none"/>
                <w:lang w:val="en-US" w:eastAsia="zh-CN"/>
              </w:rPr>
              <w:t>七</w:t>
            </w:r>
            <w:r>
              <w:rPr>
                <w:rFonts w:hint="eastAsia" w:ascii="仿宋_GB2312" w:hAnsi="宋体" w:eastAsia="仿宋_GB2312"/>
                <w:color w:val="auto"/>
                <w:kern w:val="0"/>
                <w:sz w:val="13"/>
                <w:szCs w:val="13"/>
                <w:highlight w:val="none"/>
                <w:lang w:eastAsia="zh-CN"/>
              </w:rPr>
              <w:t>）</w:t>
            </w:r>
            <w:r>
              <w:rPr>
                <w:rFonts w:hint="eastAsia" w:ascii="仿宋_GB2312" w:hAnsi="宋体" w:eastAsia="仿宋_GB2312"/>
                <w:color w:val="auto"/>
                <w:kern w:val="0"/>
                <w:sz w:val="13"/>
                <w:szCs w:val="13"/>
                <w:highlight w:val="none"/>
              </w:rPr>
              <w:t>明示或者暗示施工单位使用不合格的建筑材料、建筑构配件和设备的；</w:t>
            </w:r>
          </w:p>
          <w:p w14:paraId="16A9C7A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p w14:paraId="7E8D04C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宋体" w:hAnsi="宋体" w:cs="宋体"/>
                <w:color w:val="auto"/>
                <w:sz w:val="13"/>
                <w:szCs w:val="13"/>
                <w:highlight w:val="none"/>
              </w:rPr>
            </w:pPr>
            <w:r>
              <w:rPr>
                <w:rFonts w:hint="eastAsia" w:ascii="仿宋_GB2312" w:hAnsi="宋体" w:eastAsia="仿宋_GB2312"/>
                <w:color w:val="auto"/>
                <w:kern w:val="0"/>
                <w:sz w:val="13"/>
                <w:szCs w:val="13"/>
                <w:highlight w:val="none"/>
              </w:rPr>
              <w:t>《建设工程质量管理条例》</w:t>
            </w:r>
            <w:r>
              <w:rPr>
                <w:rFonts w:hint="eastAsia" w:ascii="仿宋_GB2312" w:hAnsi="宋体" w:eastAsia="仿宋_GB2312"/>
                <w:b/>
                <w:bCs/>
                <w:color w:val="auto"/>
                <w:kern w:val="0"/>
                <w:sz w:val="13"/>
                <w:szCs w:val="13"/>
                <w:highlight w:val="none"/>
              </w:rPr>
              <w:t>第七十三条</w:t>
            </w:r>
            <w:r>
              <w:rPr>
                <w:rFonts w:hint="eastAsia" w:ascii="仿宋_GB2312" w:hAnsi="宋体" w:eastAsia="仿宋_GB2312"/>
                <w:b/>
                <w:bCs/>
                <w:color w:val="auto"/>
                <w:kern w:val="0"/>
                <w:sz w:val="13"/>
                <w:szCs w:val="13"/>
                <w:highlight w:val="none"/>
                <w:lang w:eastAsia="zh-CN"/>
              </w:rPr>
              <w:t>：</w:t>
            </w:r>
            <w:r>
              <w:rPr>
                <w:rFonts w:hint="eastAsia" w:ascii="仿宋_GB2312" w:hAnsi="宋体" w:eastAsia="仿宋_GB2312"/>
                <w:color w:val="auto"/>
                <w:kern w:val="0"/>
                <w:sz w:val="13"/>
                <w:szCs w:val="13"/>
                <w:highlight w:val="none"/>
              </w:rPr>
              <w:t>依照本条例规定，给予单位罚款处罚的，对单位直接负责的主管人员和其他直接责任人员处单位罚款数额百分之五以上百分之十以下的罚款。</w:t>
            </w:r>
          </w:p>
        </w:tc>
        <w:tc>
          <w:tcPr>
            <w:tcW w:w="823" w:type="dxa"/>
            <w:tcBorders>
              <w:tl2br w:val="nil"/>
              <w:tr2bl w:val="nil"/>
            </w:tcBorders>
            <w:vAlign w:val="center"/>
          </w:tcPr>
          <w:p w14:paraId="16BD1DC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vAlign w:val="center"/>
          </w:tcPr>
          <w:p w14:paraId="0A37F38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未涉及结构安全及重要使用功能的。</w:t>
            </w:r>
          </w:p>
        </w:tc>
        <w:tc>
          <w:tcPr>
            <w:tcW w:w="3058" w:type="dxa"/>
            <w:tcBorders>
              <w:tl2br w:val="nil"/>
              <w:tr2bl w:val="nil"/>
            </w:tcBorders>
            <w:vAlign w:val="center"/>
          </w:tcPr>
          <w:p w14:paraId="4BCE464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责令改正，对建设单位处20万元以上</w:t>
            </w:r>
            <w:r>
              <w:rPr>
                <w:rFonts w:hint="eastAsia" w:ascii="仿宋_GB2312" w:hAnsi="宋体" w:eastAsia="仿宋_GB2312"/>
                <w:color w:val="auto"/>
                <w:kern w:val="0"/>
                <w:sz w:val="13"/>
                <w:szCs w:val="13"/>
                <w:highlight w:val="none"/>
                <w:lang w:val="en-US" w:eastAsia="zh-CN"/>
              </w:rPr>
              <w:t>30</w:t>
            </w:r>
            <w:r>
              <w:rPr>
                <w:rFonts w:hint="eastAsia" w:ascii="仿宋_GB2312" w:hAnsi="宋体" w:eastAsia="仿宋_GB2312"/>
                <w:color w:val="auto"/>
                <w:kern w:val="0"/>
                <w:sz w:val="13"/>
                <w:szCs w:val="13"/>
                <w:highlight w:val="none"/>
              </w:rPr>
              <w:t>万元以下的罚款，对单位直接负责的主管人员和其他直接责任人员处单位罚款数额百分之五以上百分之六以下的罚款。</w:t>
            </w:r>
          </w:p>
        </w:tc>
      </w:tr>
      <w:tr w14:paraId="7C31223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8" w:hRule="atLeast"/>
          <w:jc w:val="center"/>
        </w:trPr>
        <w:tc>
          <w:tcPr>
            <w:tcW w:w="443" w:type="dxa"/>
            <w:gridSpan w:val="2"/>
            <w:vMerge w:val="continue"/>
            <w:tcBorders>
              <w:tl2br w:val="nil"/>
              <w:tr2bl w:val="nil"/>
            </w:tcBorders>
            <w:vAlign w:val="center"/>
          </w:tcPr>
          <w:p w14:paraId="23ECDFD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617E21CA">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24B0E77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tcBorders>
              <w:tl2br w:val="nil"/>
              <w:tr2bl w:val="nil"/>
            </w:tcBorders>
            <w:vAlign w:val="center"/>
          </w:tcPr>
          <w:p w14:paraId="7439F60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一般情节</w:t>
            </w:r>
          </w:p>
        </w:tc>
        <w:tc>
          <w:tcPr>
            <w:tcW w:w="3437" w:type="dxa"/>
            <w:gridSpan w:val="2"/>
            <w:tcBorders>
              <w:tl2br w:val="nil"/>
              <w:tr2bl w:val="nil"/>
            </w:tcBorders>
            <w:vAlign w:val="center"/>
          </w:tcPr>
          <w:p w14:paraId="0F9D4AF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涉及结构安全及重要使用功能的。</w:t>
            </w:r>
          </w:p>
        </w:tc>
        <w:tc>
          <w:tcPr>
            <w:tcW w:w="3058" w:type="dxa"/>
            <w:tcBorders>
              <w:tl2br w:val="nil"/>
              <w:tr2bl w:val="nil"/>
            </w:tcBorders>
            <w:vAlign w:val="center"/>
          </w:tcPr>
          <w:p w14:paraId="66E37B5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责令改正，对建设单位处</w:t>
            </w:r>
            <w:r>
              <w:rPr>
                <w:rFonts w:hint="eastAsia" w:ascii="仿宋_GB2312" w:hAnsi="宋体" w:eastAsia="仿宋_GB2312"/>
                <w:color w:val="auto"/>
                <w:kern w:val="0"/>
                <w:sz w:val="13"/>
                <w:szCs w:val="13"/>
                <w:highlight w:val="none"/>
                <w:lang w:val="en-US" w:eastAsia="zh-CN"/>
              </w:rPr>
              <w:t>30</w:t>
            </w:r>
            <w:r>
              <w:rPr>
                <w:rFonts w:hint="eastAsia" w:ascii="仿宋_GB2312" w:hAnsi="宋体" w:eastAsia="仿宋_GB2312"/>
                <w:color w:val="auto"/>
                <w:kern w:val="0"/>
                <w:sz w:val="13"/>
                <w:szCs w:val="13"/>
                <w:highlight w:val="none"/>
              </w:rPr>
              <w:t>万元以上40万元以下的罚款，对单位直接负责的主管人员和其他直接责任人员处单位罚款数额百分之六以上百分之八点五以下的罚款。</w:t>
            </w:r>
          </w:p>
        </w:tc>
      </w:tr>
      <w:tr w14:paraId="37FB0EE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8" w:hRule="atLeast"/>
          <w:jc w:val="center"/>
        </w:trPr>
        <w:tc>
          <w:tcPr>
            <w:tcW w:w="443" w:type="dxa"/>
            <w:gridSpan w:val="2"/>
            <w:vMerge w:val="continue"/>
            <w:tcBorders>
              <w:tl2br w:val="nil"/>
              <w:tr2bl w:val="nil"/>
            </w:tcBorders>
            <w:vAlign w:val="center"/>
          </w:tcPr>
          <w:p w14:paraId="4F2CC04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133A4929">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54B012E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tcBorders>
              <w:tl2br w:val="nil"/>
              <w:tr2bl w:val="nil"/>
            </w:tcBorders>
            <w:vAlign w:val="center"/>
          </w:tcPr>
          <w:p w14:paraId="68A9871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从重情节</w:t>
            </w:r>
          </w:p>
        </w:tc>
        <w:tc>
          <w:tcPr>
            <w:tcW w:w="3437" w:type="dxa"/>
            <w:gridSpan w:val="2"/>
            <w:tcBorders>
              <w:tl2br w:val="nil"/>
              <w:tr2bl w:val="nil"/>
            </w:tcBorders>
            <w:vAlign w:val="center"/>
          </w:tcPr>
          <w:p w14:paraId="4A4B63C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涉及结构安全及重要使用功能造成严重缺陷，且经返修和加固处理仍不能满足安全使用要求；或造成质量、安全事故的。</w:t>
            </w:r>
          </w:p>
        </w:tc>
        <w:tc>
          <w:tcPr>
            <w:tcW w:w="3058" w:type="dxa"/>
            <w:tcBorders>
              <w:tl2br w:val="nil"/>
              <w:tr2bl w:val="nil"/>
            </w:tcBorders>
            <w:vAlign w:val="center"/>
          </w:tcPr>
          <w:p w14:paraId="4E4C806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责令改正，对建设单位处40万元以上50万元以下的罚款，对单位直接负责的主管人员和其他直接责任人员处单位罚款数额百分之八点五以上百分之十以下的罚款。</w:t>
            </w:r>
          </w:p>
        </w:tc>
      </w:tr>
      <w:tr w14:paraId="3D2661B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8" w:hRule="atLeast"/>
          <w:jc w:val="center"/>
        </w:trPr>
        <w:tc>
          <w:tcPr>
            <w:tcW w:w="443" w:type="dxa"/>
            <w:gridSpan w:val="2"/>
            <w:vMerge w:val="restart"/>
            <w:tcBorders>
              <w:tl2br w:val="nil"/>
              <w:tr2bl w:val="nil"/>
            </w:tcBorders>
            <w:vAlign w:val="center"/>
          </w:tcPr>
          <w:p w14:paraId="389F7BE9">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Times New Roman"/>
                <w:color w:val="auto"/>
                <w:sz w:val="13"/>
                <w:szCs w:val="13"/>
                <w:highlight w:val="none"/>
                <w:lang w:val="en-US" w:eastAsia="zh-CN"/>
              </w:rPr>
            </w:pPr>
            <w:r>
              <w:rPr>
                <w:rFonts w:hint="eastAsia" w:ascii="仿宋_GB2312" w:hAnsi="宋体" w:eastAsia="仿宋_GB2312" w:cs="Times New Roman"/>
                <w:color w:val="auto"/>
                <w:sz w:val="13"/>
                <w:szCs w:val="13"/>
                <w:highlight w:val="none"/>
                <w:lang w:val="en-US" w:eastAsia="zh-CN"/>
              </w:rPr>
              <w:t>77</w:t>
            </w:r>
          </w:p>
        </w:tc>
        <w:tc>
          <w:tcPr>
            <w:tcW w:w="1550" w:type="dxa"/>
            <w:vMerge w:val="restart"/>
            <w:tcBorders>
              <w:tl2br w:val="nil"/>
              <w:tr2bl w:val="nil"/>
            </w:tcBorders>
            <w:vAlign w:val="center"/>
          </w:tcPr>
          <w:p w14:paraId="51B5974E">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lang w:val="en-US" w:eastAsia="zh-CN"/>
              </w:rPr>
              <w:t>建设单位</w:t>
            </w:r>
            <w:r>
              <w:rPr>
                <w:rFonts w:hint="eastAsia" w:ascii="仿宋_GB2312" w:hAnsi="宋体" w:eastAsia="仿宋_GB2312"/>
                <w:color w:val="auto"/>
                <w:kern w:val="0"/>
                <w:sz w:val="13"/>
                <w:szCs w:val="13"/>
                <w:highlight w:val="none"/>
              </w:rPr>
              <w:t>建设项目必须实行工程监理而未实行工程监理</w:t>
            </w:r>
            <w:r>
              <w:rPr>
                <w:rFonts w:hint="eastAsia" w:ascii="仿宋_GB2312" w:hAnsi="宋体" w:eastAsia="仿宋_GB2312"/>
                <w:color w:val="auto"/>
                <w:kern w:val="0"/>
                <w:sz w:val="13"/>
                <w:szCs w:val="13"/>
                <w:highlight w:val="none"/>
                <w:lang w:eastAsia="zh-CN"/>
              </w:rPr>
              <w:t>；</w:t>
            </w:r>
            <w:r>
              <w:rPr>
                <w:rFonts w:hint="eastAsia" w:ascii="仿宋_GB2312" w:hAnsi="宋体" w:eastAsia="仿宋_GB2312"/>
                <w:color w:val="auto"/>
                <w:kern w:val="0"/>
                <w:sz w:val="13"/>
                <w:szCs w:val="13"/>
                <w:highlight w:val="none"/>
                <w:lang w:val="en-US" w:eastAsia="zh-CN"/>
              </w:rPr>
              <w:t>建设单位</w:t>
            </w:r>
            <w:r>
              <w:rPr>
                <w:rFonts w:hint="eastAsia" w:ascii="仿宋_GB2312" w:hAnsi="宋体" w:eastAsia="仿宋_GB2312"/>
                <w:color w:val="auto"/>
                <w:kern w:val="0"/>
                <w:sz w:val="13"/>
                <w:szCs w:val="13"/>
                <w:highlight w:val="none"/>
              </w:rPr>
              <w:t>未按照国家规定办理工程质量监督手续</w:t>
            </w:r>
          </w:p>
          <w:p w14:paraId="2ECE3C44">
            <w:pPr>
              <w:keepNext w:val="0"/>
              <w:keepLines w:val="0"/>
              <w:pageBreakBefore w:val="0"/>
              <w:numPr>
                <w:ilvl w:val="0"/>
                <w:numId w:val="0"/>
              </w:numPr>
              <w:kinsoku/>
              <w:overflowPunct/>
              <w:topLinePunct w:val="0"/>
              <w:autoSpaceDE/>
              <w:autoSpaceDN/>
              <w:bidi w:val="0"/>
              <w:adjustRightInd/>
              <w:snapToGrid/>
              <w:spacing w:beforeAutospacing="0" w:afterAutospacing="0" w:line="260" w:lineRule="exact"/>
              <w:ind w:left="0" w:leftChars="0" w:right="0" w:rightChars="0"/>
              <w:jc w:val="left"/>
              <w:rPr>
                <w:rFonts w:hint="eastAsia" w:ascii="仿宋_GB2312" w:hAnsi="宋体" w:eastAsia="仿宋_GB2312"/>
                <w:color w:val="auto"/>
                <w:kern w:val="0"/>
                <w:sz w:val="13"/>
                <w:szCs w:val="13"/>
                <w:highlight w:val="none"/>
                <w:lang w:eastAsia="zh-CN"/>
              </w:rPr>
            </w:pPr>
          </w:p>
        </w:tc>
        <w:tc>
          <w:tcPr>
            <w:tcW w:w="4820" w:type="dxa"/>
            <w:vMerge w:val="restart"/>
            <w:tcBorders>
              <w:tl2br w:val="nil"/>
              <w:tr2bl w:val="nil"/>
            </w:tcBorders>
            <w:vAlign w:val="center"/>
          </w:tcPr>
          <w:p w14:paraId="60C4E8F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p w14:paraId="30E22B6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p w14:paraId="54BD656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rPr>
              <w:t>《建设工程质量管理条例》</w:t>
            </w:r>
            <w:r>
              <w:rPr>
                <w:rFonts w:hint="eastAsia" w:ascii="仿宋_GB2312" w:hAnsi="宋体" w:eastAsia="仿宋_GB2312"/>
                <w:b/>
                <w:bCs/>
                <w:color w:val="auto"/>
                <w:kern w:val="0"/>
                <w:sz w:val="13"/>
                <w:szCs w:val="13"/>
                <w:highlight w:val="none"/>
              </w:rPr>
              <w:t>第五十六条（五）</w:t>
            </w:r>
            <w:r>
              <w:rPr>
                <w:rFonts w:hint="eastAsia" w:ascii="仿宋_GB2312" w:hAnsi="宋体" w:eastAsia="仿宋_GB2312"/>
                <w:b/>
                <w:bCs/>
                <w:color w:val="auto"/>
                <w:kern w:val="0"/>
                <w:sz w:val="13"/>
                <w:szCs w:val="13"/>
                <w:highlight w:val="none"/>
                <w:lang w:eastAsia="zh-CN"/>
              </w:rPr>
              <w:t>（</w:t>
            </w:r>
            <w:r>
              <w:rPr>
                <w:rFonts w:hint="eastAsia" w:ascii="仿宋_GB2312" w:hAnsi="宋体" w:eastAsia="仿宋_GB2312"/>
                <w:b/>
                <w:bCs/>
                <w:color w:val="auto"/>
                <w:kern w:val="0"/>
                <w:sz w:val="13"/>
                <w:szCs w:val="13"/>
                <w:highlight w:val="none"/>
                <w:lang w:val="en-US" w:eastAsia="zh-CN"/>
              </w:rPr>
              <w:t>六</w:t>
            </w:r>
            <w:r>
              <w:rPr>
                <w:rFonts w:hint="eastAsia" w:ascii="仿宋_GB2312" w:hAnsi="宋体" w:eastAsia="仿宋_GB2312"/>
                <w:b/>
                <w:bCs/>
                <w:color w:val="auto"/>
                <w:kern w:val="0"/>
                <w:sz w:val="13"/>
                <w:szCs w:val="13"/>
                <w:highlight w:val="none"/>
                <w:lang w:eastAsia="zh-CN"/>
              </w:rPr>
              <w:t>）</w:t>
            </w:r>
            <w:r>
              <w:rPr>
                <w:rFonts w:hint="eastAsia" w:ascii="仿宋_GB2312" w:hAnsi="宋体" w:eastAsia="仿宋_GB2312"/>
                <w:b/>
                <w:bCs/>
                <w:color w:val="auto"/>
                <w:kern w:val="0"/>
                <w:sz w:val="13"/>
                <w:szCs w:val="13"/>
                <w:highlight w:val="none"/>
              </w:rPr>
              <w:t>项</w:t>
            </w:r>
            <w:r>
              <w:rPr>
                <w:rFonts w:hint="eastAsia" w:ascii="仿宋_GB2312" w:hAnsi="宋体" w:eastAsia="仿宋_GB2312"/>
                <w:b/>
                <w:bCs/>
                <w:color w:val="auto"/>
                <w:kern w:val="0"/>
                <w:sz w:val="13"/>
                <w:szCs w:val="13"/>
                <w:highlight w:val="none"/>
                <w:lang w:eastAsia="zh-CN"/>
              </w:rPr>
              <w:t>：</w:t>
            </w:r>
          </w:p>
          <w:p w14:paraId="09B8A2E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违反本条例规定，建设单位有下列行为之一的，责令改正，处20万元以上50万元以下的罚款：</w:t>
            </w:r>
          </w:p>
          <w:p w14:paraId="6E67FBEF">
            <w:pPr>
              <w:keepNext w:val="0"/>
              <w:keepLines w:val="0"/>
              <w:pageBreakBefore w:val="0"/>
              <w:widowControl/>
              <w:numPr>
                <w:ilvl w:val="0"/>
                <w:numId w:val="0"/>
              </w:numPr>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lang w:eastAsia="zh-CN"/>
              </w:rPr>
              <w:t>（</w:t>
            </w:r>
            <w:r>
              <w:rPr>
                <w:rFonts w:hint="eastAsia" w:ascii="仿宋_GB2312" w:hAnsi="宋体" w:eastAsia="仿宋_GB2312"/>
                <w:color w:val="auto"/>
                <w:kern w:val="0"/>
                <w:sz w:val="13"/>
                <w:szCs w:val="13"/>
                <w:highlight w:val="none"/>
                <w:lang w:val="en-US" w:eastAsia="zh-CN"/>
              </w:rPr>
              <w:t>五</w:t>
            </w:r>
            <w:r>
              <w:rPr>
                <w:rFonts w:hint="eastAsia" w:ascii="仿宋_GB2312" w:hAnsi="宋体" w:eastAsia="仿宋_GB2312"/>
                <w:color w:val="auto"/>
                <w:kern w:val="0"/>
                <w:sz w:val="13"/>
                <w:szCs w:val="13"/>
                <w:highlight w:val="none"/>
                <w:lang w:eastAsia="zh-CN"/>
              </w:rPr>
              <w:t>）</w:t>
            </w:r>
            <w:r>
              <w:rPr>
                <w:rFonts w:hint="eastAsia" w:ascii="仿宋_GB2312" w:hAnsi="宋体" w:eastAsia="仿宋_GB2312"/>
                <w:color w:val="auto"/>
                <w:kern w:val="0"/>
                <w:sz w:val="13"/>
                <w:szCs w:val="13"/>
                <w:highlight w:val="none"/>
              </w:rPr>
              <w:t>建设项目必须实行工程监理而未实行工程监理的；</w:t>
            </w:r>
          </w:p>
          <w:p w14:paraId="0ACDFB6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（六）未按照国家规定办理工程质量监督手续的；</w:t>
            </w:r>
          </w:p>
          <w:p w14:paraId="4D8BA9C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p w14:paraId="0E1F60F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宋体" w:hAnsi="宋体" w:cs="宋体"/>
                <w:color w:val="auto"/>
                <w:kern w:val="0"/>
                <w:sz w:val="13"/>
                <w:szCs w:val="13"/>
                <w:highlight w:val="none"/>
              </w:rPr>
            </w:pPr>
            <w:r>
              <w:rPr>
                <w:rFonts w:hint="eastAsia" w:ascii="仿宋_GB2312" w:hAnsi="宋体" w:eastAsia="仿宋_GB2312"/>
                <w:color w:val="auto"/>
                <w:kern w:val="0"/>
                <w:sz w:val="13"/>
                <w:szCs w:val="13"/>
                <w:highlight w:val="none"/>
              </w:rPr>
              <w:t>《建设工程质量管理条例》</w:t>
            </w:r>
            <w:r>
              <w:rPr>
                <w:rFonts w:hint="eastAsia" w:ascii="仿宋_GB2312" w:hAnsi="宋体" w:eastAsia="仿宋_GB2312"/>
                <w:b/>
                <w:bCs/>
                <w:color w:val="auto"/>
                <w:kern w:val="0"/>
                <w:sz w:val="13"/>
                <w:szCs w:val="13"/>
                <w:highlight w:val="none"/>
              </w:rPr>
              <w:t>第七十三条</w:t>
            </w:r>
            <w:r>
              <w:rPr>
                <w:rFonts w:hint="eastAsia" w:ascii="仿宋_GB2312" w:hAnsi="宋体" w:eastAsia="仿宋_GB2312"/>
                <w:b/>
                <w:bCs/>
                <w:color w:val="auto"/>
                <w:kern w:val="0"/>
                <w:sz w:val="13"/>
                <w:szCs w:val="13"/>
                <w:highlight w:val="none"/>
                <w:lang w:eastAsia="zh-CN"/>
              </w:rPr>
              <w:t>：</w:t>
            </w:r>
            <w:r>
              <w:rPr>
                <w:rFonts w:hint="eastAsia" w:ascii="仿宋_GB2312" w:hAnsi="宋体" w:eastAsia="仿宋_GB2312"/>
                <w:color w:val="auto"/>
                <w:kern w:val="0"/>
                <w:sz w:val="13"/>
                <w:szCs w:val="13"/>
                <w:highlight w:val="none"/>
              </w:rPr>
              <w:t>依照本条例规定，给予单位罚款处罚的，对单位直接负责的主管人员和其他直接责任人员处单位罚款数额百分之五以上百分之十以下的罚款。</w:t>
            </w:r>
          </w:p>
        </w:tc>
        <w:tc>
          <w:tcPr>
            <w:tcW w:w="823" w:type="dxa"/>
            <w:tcBorders>
              <w:tl2br w:val="nil"/>
              <w:tr2bl w:val="nil"/>
            </w:tcBorders>
            <w:vAlign w:val="center"/>
          </w:tcPr>
          <w:p w14:paraId="16E45E4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vAlign w:val="center"/>
          </w:tcPr>
          <w:p w14:paraId="5ABD19C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初次违法，危害后果较轻的，主动消除或减轻违法行为危害后果的。</w:t>
            </w:r>
          </w:p>
        </w:tc>
        <w:tc>
          <w:tcPr>
            <w:tcW w:w="3058" w:type="dxa"/>
            <w:tcBorders>
              <w:tl2br w:val="nil"/>
              <w:tr2bl w:val="nil"/>
            </w:tcBorders>
            <w:vAlign w:val="center"/>
          </w:tcPr>
          <w:p w14:paraId="3583473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责令改正，对建设单位处20万元</w:t>
            </w:r>
            <w:r>
              <w:rPr>
                <w:rFonts w:hint="eastAsia" w:ascii="仿宋_GB2312" w:hAnsi="宋体" w:eastAsia="仿宋_GB2312"/>
                <w:color w:val="auto"/>
                <w:kern w:val="0"/>
                <w:sz w:val="13"/>
                <w:szCs w:val="13"/>
                <w:highlight w:val="none"/>
                <w:lang w:val="en-US" w:eastAsia="zh-CN"/>
              </w:rPr>
              <w:t>以上30万元以下</w:t>
            </w:r>
            <w:r>
              <w:rPr>
                <w:rFonts w:hint="eastAsia" w:ascii="仿宋_GB2312" w:hAnsi="宋体" w:eastAsia="仿宋_GB2312"/>
                <w:color w:val="auto"/>
                <w:kern w:val="0"/>
                <w:sz w:val="13"/>
                <w:szCs w:val="13"/>
                <w:highlight w:val="none"/>
              </w:rPr>
              <w:t>的罚款，对单位直接负责的主管人员和其他直接责任人员处单位罚款数额百分之五的罚款。</w:t>
            </w:r>
          </w:p>
        </w:tc>
      </w:tr>
      <w:tr w14:paraId="4675AAB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8" w:hRule="atLeast"/>
          <w:jc w:val="center"/>
        </w:trPr>
        <w:tc>
          <w:tcPr>
            <w:tcW w:w="443" w:type="dxa"/>
            <w:gridSpan w:val="2"/>
            <w:vMerge w:val="continue"/>
            <w:tcBorders>
              <w:tl2br w:val="nil"/>
              <w:tr2bl w:val="nil"/>
            </w:tcBorders>
            <w:vAlign w:val="center"/>
          </w:tcPr>
          <w:p w14:paraId="443B1BB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0BCA2349">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5E4A634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tcBorders>
              <w:tl2br w:val="nil"/>
              <w:tr2bl w:val="nil"/>
            </w:tcBorders>
            <w:vAlign w:val="center"/>
          </w:tcPr>
          <w:p w14:paraId="69BF39B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一般情节</w:t>
            </w:r>
          </w:p>
        </w:tc>
        <w:tc>
          <w:tcPr>
            <w:tcW w:w="3437" w:type="dxa"/>
            <w:gridSpan w:val="2"/>
            <w:tcBorders>
              <w:tl2br w:val="nil"/>
              <w:tr2bl w:val="nil"/>
            </w:tcBorders>
            <w:vAlign w:val="center"/>
          </w:tcPr>
          <w:p w14:paraId="3942FCF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不具有从轻、</w:t>
            </w:r>
            <w:r>
              <w:rPr>
                <w:rFonts w:hint="eastAsia" w:ascii="仿宋_GB2312" w:hAnsi="宋体" w:eastAsia="仿宋_GB2312"/>
                <w:color w:val="auto"/>
                <w:kern w:val="0"/>
                <w:sz w:val="13"/>
                <w:szCs w:val="13"/>
                <w:highlight w:val="none"/>
                <w:lang w:eastAsia="zh-CN"/>
              </w:rPr>
              <w:t>从重情节</w:t>
            </w:r>
            <w:r>
              <w:rPr>
                <w:rFonts w:hint="eastAsia" w:ascii="仿宋_GB2312" w:hAnsi="宋体" w:eastAsia="仿宋_GB2312"/>
                <w:color w:val="auto"/>
                <w:kern w:val="0"/>
                <w:sz w:val="13"/>
                <w:szCs w:val="13"/>
                <w:highlight w:val="none"/>
              </w:rPr>
              <w:t>的。</w:t>
            </w:r>
          </w:p>
        </w:tc>
        <w:tc>
          <w:tcPr>
            <w:tcW w:w="3058" w:type="dxa"/>
            <w:tcBorders>
              <w:tl2br w:val="nil"/>
              <w:tr2bl w:val="nil"/>
            </w:tcBorders>
            <w:vAlign w:val="center"/>
          </w:tcPr>
          <w:p w14:paraId="65AB9EA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责令改正，对建设单位处</w:t>
            </w:r>
            <w:r>
              <w:rPr>
                <w:rFonts w:hint="eastAsia" w:ascii="仿宋_GB2312" w:hAnsi="宋体" w:eastAsia="仿宋_GB2312"/>
                <w:color w:val="auto"/>
                <w:kern w:val="0"/>
                <w:sz w:val="13"/>
                <w:szCs w:val="13"/>
                <w:highlight w:val="none"/>
                <w:lang w:val="en-US" w:eastAsia="zh-CN"/>
              </w:rPr>
              <w:t>3</w:t>
            </w:r>
            <w:r>
              <w:rPr>
                <w:rFonts w:hint="eastAsia" w:ascii="仿宋_GB2312" w:hAnsi="宋体" w:eastAsia="仿宋_GB2312"/>
                <w:color w:val="auto"/>
                <w:kern w:val="0"/>
                <w:sz w:val="13"/>
                <w:szCs w:val="13"/>
                <w:highlight w:val="none"/>
              </w:rPr>
              <w:t>0万元以上40万元以下的罚款，对单位直接负责的主管人员和其他直接责任人员处单位罚款数额百分之五以上百分之八点五以下的罚款。</w:t>
            </w:r>
          </w:p>
        </w:tc>
      </w:tr>
      <w:tr w14:paraId="36506A2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522" w:hRule="atLeast"/>
          <w:jc w:val="center"/>
        </w:trPr>
        <w:tc>
          <w:tcPr>
            <w:tcW w:w="443" w:type="dxa"/>
            <w:gridSpan w:val="2"/>
            <w:vMerge w:val="continue"/>
            <w:tcBorders>
              <w:tl2br w:val="nil"/>
              <w:tr2bl w:val="nil"/>
            </w:tcBorders>
            <w:vAlign w:val="center"/>
          </w:tcPr>
          <w:p w14:paraId="059BF5E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0236AB9C">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2541CF0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tcBorders>
              <w:tl2br w:val="nil"/>
              <w:tr2bl w:val="nil"/>
            </w:tcBorders>
            <w:vAlign w:val="center"/>
          </w:tcPr>
          <w:p w14:paraId="6B549A8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从重情节</w:t>
            </w:r>
          </w:p>
        </w:tc>
        <w:tc>
          <w:tcPr>
            <w:tcW w:w="3437" w:type="dxa"/>
            <w:gridSpan w:val="2"/>
            <w:tcBorders>
              <w:tl2br w:val="nil"/>
              <w:tr2bl w:val="nil"/>
            </w:tcBorders>
            <w:vAlign w:val="center"/>
          </w:tcPr>
          <w:p w14:paraId="4E5A7C6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（1）多次实施同类违法行为的；</w:t>
            </w:r>
          </w:p>
          <w:p w14:paraId="220E1A2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（2）造成质量安全事故或其他严重后果的。</w:t>
            </w:r>
          </w:p>
        </w:tc>
        <w:tc>
          <w:tcPr>
            <w:tcW w:w="3058" w:type="dxa"/>
            <w:tcBorders>
              <w:tl2br w:val="nil"/>
              <w:tr2bl w:val="nil"/>
            </w:tcBorders>
            <w:vAlign w:val="center"/>
          </w:tcPr>
          <w:p w14:paraId="41C2F9D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责令改正，对建设单位处40万元以上50万元以下的罚款，对单位直接负责的主管人员和其他直接责任人员处单位罚款数额百分之八点五以上百分之十以下的罚款。</w:t>
            </w:r>
          </w:p>
        </w:tc>
      </w:tr>
      <w:tr w14:paraId="740F062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8" w:hRule="atLeast"/>
          <w:jc w:val="center"/>
        </w:trPr>
        <w:tc>
          <w:tcPr>
            <w:tcW w:w="443" w:type="dxa"/>
            <w:gridSpan w:val="2"/>
            <w:vMerge w:val="restart"/>
            <w:tcBorders>
              <w:tl2br w:val="nil"/>
              <w:tr2bl w:val="nil"/>
            </w:tcBorders>
            <w:vAlign w:val="center"/>
          </w:tcPr>
          <w:p w14:paraId="55D46D60">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Times New Roman"/>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78</w:t>
            </w:r>
          </w:p>
        </w:tc>
        <w:tc>
          <w:tcPr>
            <w:tcW w:w="1550" w:type="dxa"/>
            <w:vMerge w:val="restart"/>
            <w:tcBorders>
              <w:tl2br w:val="nil"/>
              <w:tr2bl w:val="nil"/>
            </w:tcBorders>
            <w:vAlign w:val="center"/>
          </w:tcPr>
          <w:p w14:paraId="0E044E0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p w14:paraId="7242703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宋体" w:hAnsi="宋体" w:eastAsia="仿宋_GB2312" w:cs="宋体"/>
                <w:color w:val="auto"/>
                <w:kern w:val="0"/>
                <w:sz w:val="13"/>
                <w:szCs w:val="13"/>
                <w:highlight w:val="none"/>
                <w:lang w:val="en-US" w:eastAsia="zh-CN"/>
              </w:rPr>
            </w:pPr>
            <w:r>
              <w:rPr>
                <w:rFonts w:hint="eastAsia" w:ascii="仿宋_GB2312" w:hAnsi="宋体" w:eastAsia="仿宋_GB2312"/>
                <w:color w:val="auto"/>
                <w:kern w:val="0"/>
                <w:sz w:val="13"/>
                <w:szCs w:val="13"/>
                <w:highlight w:val="none"/>
              </w:rPr>
              <w:t>建设单位未按照国家规定将竣工验收报告、有关认可文件或者准许使用文件报送备案</w:t>
            </w:r>
          </w:p>
        </w:tc>
        <w:tc>
          <w:tcPr>
            <w:tcW w:w="4820" w:type="dxa"/>
            <w:vMerge w:val="restart"/>
            <w:tcBorders>
              <w:tl2br w:val="nil"/>
              <w:tr2bl w:val="nil"/>
            </w:tcBorders>
            <w:vAlign w:val="center"/>
          </w:tcPr>
          <w:p w14:paraId="679774C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rPr>
              <w:t>《建设工程质量管理条例》</w:t>
            </w:r>
            <w:r>
              <w:rPr>
                <w:rFonts w:hint="eastAsia" w:ascii="仿宋_GB2312" w:hAnsi="宋体" w:eastAsia="仿宋_GB2312"/>
                <w:b/>
                <w:bCs/>
                <w:color w:val="auto"/>
                <w:kern w:val="0"/>
                <w:sz w:val="13"/>
                <w:szCs w:val="13"/>
                <w:highlight w:val="none"/>
              </w:rPr>
              <w:t>第五十六条（八）项</w:t>
            </w:r>
            <w:r>
              <w:rPr>
                <w:rFonts w:hint="eastAsia" w:ascii="仿宋_GB2312" w:hAnsi="宋体" w:eastAsia="仿宋_GB2312"/>
                <w:b/>
                <w:bCs/>
                <w:color w:val="auto"/>
                <w:kern w:val="0"/>
                <w:sz w:val="13"/>
                <w:szCs w:val="13"/>
                <w:highlight w:val="none"/>
                <w:lang w:eastAsia="zh-CN"/>
              </w:rPr>
              <w:t>：</w:t>
            </w:r>
          </w:p>
          <w:p w14:paraId="74A3B05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0" w:firstLineChars="2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违反本条例规定，建设单位有下列行为之一的，责令改正，处20万元以上50万元以下的罚款：</w:t>
            </w:r>
          </w:p>
          <w:p w14:paraId="4D28C25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0" w:firstLineChars="2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（八）未按照国家规定将竣工验收报告、有关认可文件或者准许使用文件报送备案的。</w:t>
            </w:r>
          </w:p>
          <w:p w14:paraId="69CF357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p w14:paraId="1C88984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宋体" w:hAnsi="宋体" w:cs="宋体"/>
                <w:color w:val="auto"/>
                <w:kern w:val="0"/>
                <w:sz w:val="13"/>
                <w:szCs w:val="13"/>
                <w:highlight w:val="none"/>
              </w:rPr>
            </w:pPr>
            <w:r>
              <w:rPr>
                <w:rFonts w:hint="eastAsia" w:ascii="仿宋_GB2312" w:hAnsi="宋体" w:eastAsia="仿宋_GB2312"/>
                <w:color w:val="auto"/>
                <w:kern w:val="0"/>
                <w:sz w:val="13"/>
                <w:szCs w:val="13"/>
                <w:highlight w:val="none"/>
              </w:rPr>
              <w:t>《建设工程质量管理条例》</w:t>
            </w:r>
            <w:r>
              <w:rPr>
                <w:rFonts w:hint="eastAsia" w:ascii="仿宋_GB2312" w:hAnsi="宋体" w:eastAsia="仿宋_GB2312"/>
                <w:b/>
                <w:bCs/>
                <w:color w:val="auto"/>
                <w:kern w:val="0"/>
                <w:sz w:val="13"/>
                <w:szCs w:val="13"/>
                <w:highlight w:val="none"/>
              </w:rPr>
              <w:t>第七十三条</w:t>
            </w:r>
            <w:r>
              <w:rPr>
                <w:rFonts w:hint="eastAsia" w:ascii="仿宋_GB2312" w:hAnsi="宋体" w:eastAsia="仿宋_GB2312"/>
                <w:b/>
                <w:bCs/>
                <w:color w:val="auto"/>
                <w:kern w:val="0"/>
                <w:sz w:val="13"/>
                <w:szCs w:val="13"/>
                <w:highlight w:val="none"/>
                <w:lang w:eastAsia="zh-CN"/>
              </w:rPr>
              <w:t>：</w:t>
            </w:r>
            <w:r>
              <w:rPr>
                <w:rFonts w:hint="eastAsia" w:ascii="仿宋_GB2312" w:hAnsi="宋体" w:eastAsia="仿宋_GB2312"/>
                <w:color w:val="auto"/>
                <w:kern w:val="0"/>
                <w:sz w:val="13"/>
                <w:szCs w:val="13"/>
                <w:highlight w:val="none"/>
              </w:rPr>
              <w:t>依照本条例规定，给予单位罚款处罚的，对单位直接负责的主管人员和其他直接责任人员处单位罚款数额百分之五以上百分之十以下的罚款。</w:t>
            </w:r>
          </w:p>
        </w:tc>
        <w:tc>
          <w:tcPr>
            <w:tcW w:w="823" w:type="dxa"/>
            <w:tcBorders>
              <w:tl2br w:val="nil"/>
              <w:tr2bl w:val="nil"/>
            </w:tcBorders>
            <w:vAlign w:val="center"/>
          </w:tcPr>
          <w:p w14:paraId="7E71CAE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vAlign w:val="center"/>
          </w:tcPr>
          <w:p w14:paraId="67282B2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初次违法，危害后果轻微，主动消除或减轻违法行为危害后果的。</w:t>
            </w:r>
          </w:p>
        </w:tc>
        <w:tc>
          <w:tcPr>
            <w:tcW w:w="3058" w:type="dxa"/>
            <w:tcBorders>
              <w:tl2br w:val="nil"/>
              <w:tr2bl w:val="nil"/>
            </w:tcBorders>
            <w:vAlign w:val="center"/>
          </w:tcPr>
          <w:p w14:paraId="73EBB12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责令改正，对建设单位处20万元</w:t>
            </w:r>
            <w:r>
              <w:rPr>
                <w:rFonts w:hint="eastAsia" w:ascii="仿宋_GB2312" w:hAnsi="宋体" w:eastAsia="仿宋_GB2312"/>
                <w:color w:val="auto"/>
                <w:kern w:val="0"/>
                <w:sz w:val="13"/>
                <w:szCs w:val="13"/>
                <w:highlight w:val="none"/>
                <w:lang w:val="en-US" w:eastAsia="zh-CN"/>
              </w:rPr>
              <w:t>以上30万元以下</w:t>
            </w:r>
            <w:r>
              <w:rPr>
                <w:rFonts w:hint="eastAsia" w:ascii="仿宋_GB2312" w:hAnsi="宋体" w:eastAsia="仿宋_GB2312"/>
                <w:color w:val="auto"/>
                <w:kern w:val="0"/>
                <w:sz w:val="13"/>
                <w:szCs w:val="13"/>
                <w:highlight w:val="none"/>
              </w:rPr>
              <w:t>的罚款，对单位直接负责的主管人员和其他直接责任人员处单位罚款数额百分之五的罚款。</w:t>
            </w:r>
          </w:p>
        </w:tc>
      </w:tr>
      <w:tr w14:paraId="33AE0FF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8" w:hRule="atLeast"/>
          <w:jc w:val="center"/>
        </w:trPr>
        <w:tc>
          <w:tcPr>
            <w:tcW w:w="443" w:type="dxa"/>
            <w:gridSpan w:val="2"/>
            <w:vMerge w:val="continue"/>
            <w:tcBorders>
              <w:tl2br w:val="nil"/>
              <w:tr2bl w:val="nil"/>
            </w:tcBorders>
            <w:vAlign w:val="center"/>
          </w:tcPr>
          <w:p w14:paraId="0C5949F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309B407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vAlign w:val="center"/>
          </w:tcPr>
          <w:p w14:paraId="3334835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tcBorders>
              <w:tl2br w:val="nil"/>
              <w:tr2bl w:val="nil"/>
            </w:tcBorders>
            <w:vAlign w:val="center"/>
          </w:tcPr>
          <w:p w14:paraId="645B921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一般情节</w:t>
            </w:r>
          </w:p>
        </w:tc>
        <w:tc>
          <w:tcPr>
            <w:tcW w:w="3437" w:type="dxa"/>
            <w:gridSpan w:val="2"/>
            <w:tcBorders>
              <w:tl2br w:val="nil"/>
              <w:tr2bl w:val="nil"/>
            </w:tcBorders>
            <w:vAlign w:val="center"/>
          </w:tcPr>
          <w:p w14:paraId="1CA71C0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不具有从轻、</w:t>
            </w:r>
            <w:r>
              <w:rPr>
                <w:rFonts w:hint="eastAsia" w:ascii="仿宋_GB2312" w:hAnsi="宋体" w:eastAsia="仿宋_GB2312"/>
                <w:color w:val="auto"/>
                <w:kern w:val="0"/>
                <w:sz w:val="13"/>
                <w:szCs w:val="13"/>
                <w:highlight w:val="none"/>
                <w:lang w:eastAsia="zh-CN"/>
              </w:rPr>
              <w:t>从重情节</w:t>
            </w:r>
            <w:r>
              <w:rPr>
                <w:rFonts w:hint="eastAsia" w:ascii="仿宋_GB2312" w:hAnsi="宋体" w:eastAsia="仿宋_GB2312"/>
                <w:color w:val="auto"/>
                <w:kern w:val="0"/>
                <w:sz w:val="13"/>
                <w:szCs w:val="13"/>
                <w:highlight w:val="none"/>
              </w:rPr>
              <w:t>的。</w:t>
            </w:r>
          </w:p>
        </w:tc>
        <w:tc>
          <w:tcPr>
            <w:tcW w:w="3058" w:type="dxa"/>
            <w:tcBorders>
              <w:tl2br w:val="nil"/>
              <w:tr2bl w:val="nil"/>
            </w:tcBorders>
            <w:vAlign w:val="center"/>
          </w:tcPr>
          <w:p w14:paraId="07010B3F">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责令改正，对建设单位处</w:t>
            </w:r>
            <w:r>
              <w:rPr>
                <w:rFonts w:hint="eastAsia" w:ascii="仿宋_GB2312" w:hAnsi="宋体" w:eastAsia="仿宋_GB2312"/>
                <w:color w:val="auto"/>
                <w:kern w:val="0"/>
                <w:sz w:val="13"/>
                <w:szCs w:val="13"/>
                <w:highlight w:val="none"/>
                <w:lang w:val="en-US" w:eastAsia="zh-CN"/>
              </w:rPr>
              <w:t>30</w:t>
            </w:r>
            <w:r>
              <w:rPr>
                <w:rFonts w:hint="eastAsia" w:ascii="仿宋_GB2312" w:hAnsi="宋体" w:eastAsia="仿宋_GB2312"/>
                <w:color w:val="auto"/>
                <w:kern w:val="0"/>
                <w:sz w:val="13"/>
                <w:szCs w:val="13"/>
                <w:highlight w:val="none"/>
              </w:rPr>
              <w:t>万元以上40万元以下的罚款，对单位直接负责的主管人员和其他直接责任人员处单位罚款数额百分之五以上百分之八点五以下的罚款。</w:t>
            </w:r>
          </w:p>
        </w:tc>
      </w:tr>
      <w:tr w14:paraId="44EF16D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551" w:hRule="atLeast"/>
          <w:jc w:val="center"/>
        </w:trPr>
        <w:tc>
          <w:tcPr>
            <w:tcW w:w="443" w:type="dxa"/>
            <w:gridSpan w:val="2"/>
            <w:vMerge w:val="continue"/>
            <w:tcBorders>
              <w:tl2br w:val="nil"/>
              <w:tr2bl w:val="nil"/>
            </w:tcBorders>
            <w:vAlign w:val="center"/>
          </w:tcPr>
          <w:p w14:paraId="72FB44B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0B771A2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vAlign w:val="center"/>
          </w:tcPr>
          <w:p w14:paraId="7713BD8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tcBorders>
              <w:tl2br w:val="nil"/>
              <w:tr2bl w:val="nil"/>
            </w:tcBorders>
            <w:vAlign w:val="center"/>
          </w:tcPr>
          <w:p w14:paraId="418F873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从重情节</w:t>
            </w:r>
          </w:p>
        </w:tc>
        <w:tc>
          <w:tcPr>
            <w:tcW w:w="3437" w:type="dxa"/>
            <w:gridSpan w:val="2"/>
            <w:tcBorders>
              <w:tl2br w:val="nil"/>
              <w:tr2bl w:val="nil"/>
            </w:tcBorders>
            <w:vAlign w:val="center"/>
          </w:tcPr>
          <w:p w14:paraId="7BCA4CF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（1）经责令改正后，逾期未改正的；</w:t>
            </w:r>
          </w:p>
          <w:p w14:paraId="47780B4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（2）曾因该违法行为被依法查处，再次实施该违法行为的；</w:t>
            </w:r>
          </w:p>
          <w:p w14:paraId="2364CC6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（3）造成工程质量事故的；</w:t>
            </w:r>
          </w:p>
          <w:p w14:paraId="620F185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（4）经有关部门确认，存在商业贿赂情形的；</w:t>
            </w:r>
          </w:p>
          <w:p w14:paraId="25B1691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（5）其他依法应予从重处罚的情形。</w:t>
            </w:r>
          </w:p>
        </w:tc>
        <w:tc>
          <w:tcPr>
            <w:tcW w:w="3058" w:type="dxa"/>
            <w:tcBorders>
              <w:tl2br w:val="nil"/>
              <w:tr2bl w:val="nil"/>
            </w:tcBorders>
            <w:vAlign w:val="center"/>
          </w:tcPr>
          <w:p w14:paraId="2332C83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责令改正，对建设单位处40万元以上50万元以下的罚款，对单位直接负责的主管人员和其他直接责任人员处单位罚款数额百分之八点五以上百分之十以下的罚款。</w:t>
            </w:r>
          </w:p>
        </w:tc>
      </w:tr>
      <w:tr w14:paraId="2919F96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599" w:hRule="atLeast"/>
          <w:jc w:val="center"/>
        </w:trPr>
        <w:tc>
          <w:tcPr>
            <w:tcW w:w="443" w:type="dxa"/>
            <w:gridSpan w:val="2"/>
            <w:vMerge w:val="restart"/>
            <w:tcBorders>
              <w:tl2br w:val="nil"/>
              <w:tr2bl w:val="nil"/>
            </w:tcBorders>
            <w:vAlign w:val="center"/>
          </w:tcPr>
          <w:p w14:paraId="03BE96CE">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Times New Roman"/>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79</w:t>
            </w:r>
          </w:p>
        </w:tc>
        <w:tc>
          <w:tcPr>
            <w:tcW w:w="1550" w:type="dxa"/>
            <w:vMerge w:val="restart"/>
            <w:tcBorders>
              <w:tl2br w:val="nil"/>
              <w:tr2bl w:val="nil"/>
            </w:tcBorders>
            <w:vAlign w:val="center"/>
          </w:tcPr>
          <w:p w14:paraId="10836E2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p w14:paraId="283E1DF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p w14:paraId="4B8FAD0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lang w:val="en-US" w:eastAsia="zh-CN"/>
              </w:rPr>
            </w:pPr>
            <w:r>
              <w:rPr>
                <w:rFonts w:hint="eastAsia" w:ascii="仿宋_GB2312" w:hAnsi="宋体" w:eastAsia="仿宋_GB2312"/>
                <w:color w:val="auto"/>
                <w:kern w:val="0"/>
                <w:sz w:val="13"/>
                <w:szCs w:val="13"/>
                <w:highlight w:val="none"/>
              </w:rPr>
              <w:t>建设单位未取得施工许可证或者开工报告未经批准，擅自施工</w:t>
            </w:r>
          </w:p>
        </w:tc>
        <w:tc>
          <w:tcPr>
            <w:tcW w:w="4820" w:type="dxa"/>
            <w:vMerge w:val="restart"/>
            <w:tcBorders>
              <w:tl2br w:val="nil"/>
              <w:tr2bl w:val="nil"/>
            </w:tcBorders>
            <w:vAlign w:val="center"/>
          </w:tcPr>
          <w:p w14:paraId="4AB6AF4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p w14:paraId="6867425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《建设工程质量管理条例》</w:t>
            </w:r>
            <w:r>
              <w:rPr>
                <w:rFonts w:hint="eastAsia" w:ascii="仿宋_GB2312" w:hAnsi="宋体" w:eastAsia="仿宋_GB2312"/>
                <w:b/>
                <w:bCs/>
                <w:color w:val="auto"/>
                <w:kern w:val="0"/>
                <w:sz w:val="13"/>
                <w:szCs w:val="13"/>
                <w:highlight w:val="none"/>
              </w:rPr>
              <w:t>第五十七条</w:t>
            </w:r>
            <w:r>
              <w:rPr>
                <w:rFonts w:hint="eastAsia" w:ascii="仿宋_GB2312" w:hAnsi="宋体" w:eastAsia="仿宋_GB2312"/>
                <w:b/>
                <w:bCs/>
                <w:color w:val="auto"/>
                <w:kern w:val="0"/>
                <w:sz w:val="13"/>
                <w:szCs w:val="13"/>
                <w:highlight w:val="none"/>
                <w:lang w:eastAsia="zh-CN"/>
              </w:rPr>
              <w:t>：</w:t>
            </w:r>
            <w:r>
              <w:rPr>
                <w:rFonts w:hint="eastAsia" w:ascii="仿宋_GB2312" w:hAnsi="宋体" w:eastAsia="仿宋_GB2312"/>
                <w:color w:val="auto"/>
                <w:kern w:val="0"/>
                <w:sz w:val="13"/>
                <w:szCs w:val="13"/>
                <w:highlight w:val="none"/>
              </w:rPr>
              <w:t>违反本条例规定，建设单位未取得施工许可证或者开工报告未经批准，擅自施工的，责令停止施工，限期改正，处工程合同价款百分之一以上百分之二以下的罚款。</w:t>
            </w:r>
          </w:p>
          <w:p w14:paraId="3784B13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p w14:paraId="1868AD9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《建设工程质量管理条例》</w:t>
            </w:r>
            <w:r>
              <w:rPr>
                <w:rFonts w:hint="eastAsia" w:ascii="仿宋_GB2312" w:hAnsi="宋体" w:eastAsia="仿宋_GB2312"/>
                <w:b/>
                <w:bCs/>
                <w:color w:val="auto"/>
                <w:kern w:val="0"/>
                <w:sz w:val="13"/>
                <w:szCs w:val="13"/>
                <w:highlight w:val="none"/>
              </w:rPr>
              <w:t>第七十三条</w:t>
            </w:r>
            <w:r>
              <w:rPr>
                <w:rFonts w:hint="eastAsia" w:ascii="仿宋_GB2312" w:hAnsi="宋体" w:eastAsia="仿宋_GB2312"/>
                <w:b/>
                <w:bCs/>
                <w:color w:val="auto"/>
                <w:kern w:val="0"/>
                <w:sz w:val="13"/>
                <w:szCs w:val="13"/>
                <w:highlight w:val="none"/>
                <w:lang w:eastAsia="zh-CN"/>
              </w:rPr>
              <w:t>：</w:t>
            </w:r>
            <w:r>
              <w:rPr>
                <w:rFonts w:hint="eastAsia" w:ascii="仿宋_GB2312" w:hAnsi="宋体" w:eastAsia="仿宋_GB2312"/>
                <w:color w:val="auto"/>
                <w:kern w:val="0"/>
                <w:sz w:val="13"/>
                <w:szCs w:val="13"/>
                <w:highlight w:val="none"/>
              </w:rPr>
              <w:t>依照本条例规定，给予单位罚款处罚的，对单位直接负责的主管人员和其他直接责任人员处单位罚款数额百分之五以上百分之十以下的罚款。</w:t>
            </w:r>
          </w:p>
        </w:tc>
        <w:tc>
          <w:tcPr>
            <w:tcW w:w="823" w:type="dxa"/>
            <w:tcBorders>
              <w:tl2br w:val="nil"/>
              <w:tr2bl w:val="nil"/>
            </w:tcBorders>
            <w:vAlign w:val="center"/>
          </w:tcPr>
          <w:p w14:paraId="194A1C6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vAlign w:val="center"/>
          </w:tcPr>
          <w:p w14:paraId="43FA271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初次违法，危害后果轻微，主动采取措施消除或减轻违法行为危害后果。</w:t>
            </w:r>
          </w:p>
        </w:tc>
        <w:tc>
          <w:tcPr>
            <w:tcW w:w="3058" w:type="dxa"/>
            <w:tcBorders>
              <w:tl2br w:val="nil"/>
              <w:tr2bl w:val="nil"/>
            </w:tcBorders>
            <w:vAlign w:val="center"/>
          </w:tcPr>
          <w:p w14:paraId="1B268B7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责令停止施工，限期改正，对建设单位处工程合同价款百分之一以上百分之一点二以下的罚款，对单位直接负责的主管人员和其他直接责任人员处单位罚款数额百分之五以上百分之六以下的罚款。</w:t>
            </w:r>
          </w:p>
        </w:tc>
      </w:tr>
      <w:tr w14:paraId="4D9E86E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621" w:hRule="atLeast"/>
          <w:jc w:val="center"/>
        </w:trPr>
        <w:tc>
          <w:tcPr>
            <w:tcW w:w="443" w:type="dxa"/>
            <w:gridSpan w:val="2"/>
            <w:vMerge w:val="continue"/>
            <w:tcBorders>
              <w:tl2br w:val="nil"/>
              <w:tr2bl w:val="nil"/>
            </w:tcBorders>
            <w:vAlign w:val="center"/>
          </w:tcPr>
          <w:p w14:paraId="18001B8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78BEF51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vAlign w:val="center"/>
          </w:tcPr>
          <w:p w14:paraId="37412C4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tcBorders>
              <w:tl2br w:val="nil"/>
              <w:tr2bl w:val="nil"/>
            </w:tcBorders>
            <w:vAlign w:val="center"/>
          </w:tcPr>
          <w:p w14:paraId="303A4A3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一般情节</w:t>
            </w:r>
          </w:p>
        </w:tc>
        <w:tc>
          <w:tcPr>
            <w:tcW w:w="3437" w:type="dxa"/>
            <w:gridSpan w:val="2"/>
            <w:tcBorders>
              <w:tl2br w:val="nil"/>
              <w:tr2bl w:val="nil"/>
            </w:tcBorders>
            <w:vAlign w:val="center"/>
          </w:tcPr>
          <w:p w14:paraId="7CB94CE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不具有从轻、</w:t>
            </w:r>
            <w:r>
              <w:rPr>
                <w:rFonts w:hint="eastAsia" w:ascii="仿宋_GB2312" w:hAnsi="宋体" w:eastAsia="仿宋_GB2312"/>
                <w:color w:val="auto"/>
                <w:kern w:val="0"/>
                <w:sz w:val="13"/>
                <w:szCs w:val="13"/>
                <w:highlight w:val="none"/>
                <w:lang w:eastAsia="zh-CN"/>
              </w:rPr>
              <w:t>从重情节</w:t>
            </w:r>
            <w:r>
              <w:rPr>
                <w:rFonts w:hint="eastAsia" w:ascii="仿宋_GB2312" w:hAnsi="宋体" w:eastAsia="仿宋_GB2312"/>
                <w:color w:val="auto"/>
                <w:kern w:val="0"/>
                <w:sz w:val="13"/>
                <w:szCs w:val="13"/>
                <w:highlight w:val="none"/>
              </w:rPr>
              <w:t>的。</w:t>
            </w:r>
          </w:p>
        </w:tc>
        <w:tc>
          <w:tcPr>
            <w:tcW w:w="3058" w:type="dxa"/>
            <w:tcBorders>
              <w:tl2br w:val="nil"/>
              <w:tr2bl w:val="nil"/>
            </w:tcBorders>
            <w:vAlign w:val="center"/>
          </w:tcPr>
          <w:p w14:paraId="204A0EF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责令停止施工，限期改正，对建设单位处工程合同价款百分之一点二以上百分之一点七以下的罚款，对单位直接负责的主管人员和其他直接责任人员处单位罚款数额百分之六以上百分之八点五以下的罚款。</w:t>
            </w:r>
          </w:p>
        </w:tc>
      </w:tr>
      <w:tr w14:paraId="6706092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16" w:hRule="atLeast"/>
          <w:jc w:val="center"/>
        </w:trPr>
        <w:tc>
          <w:tcPr>
            <w:tcW w:w="443" w:type="dxa"/>
            <w:gridSpan w:val="2"/>
            <w:vMerge w:val="continue"/>
            <w:tcBorders>
              <w:tl2br w:val="nil"/>
              <w:tr2bl w:val="nil"/>
            </w:tcBorders>
            <w:vAlign w:val="center"/>
          </w:tcPr>
          <w:p w14:paraId="56695A5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3D86E98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vAlign w:val="center"/>
          </w:tcPr>
          <w:p w14:paraId="6FE53F0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tcBorders>
              <w:tl2br w:val="nil"/>
              <w:tr2bl w:val="nil"/>
            </w:tcBorders>
            <w:vAlign w:val="center"/>
          </w:tcPr>
          <w:p w14:paraId="3EE4A3F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从重情节</w:t>
            </w:r>
          </w:p>
        </w:tc>
        <w:tc>
          <w:tcPr>
            <w:tcW w:w="3437" w:type="dxa"/>
            <w:gridSpan w:val="2"/>
            <w:tcBorders>
              <w:tl2br w:val="nil"/>
              <w:tr2bl w:val="nil"/>
            </w:tcBorders>
            <w:vAlign w:val="center"/>
          </w:tcPr>
          <w:p w14:paraId="05262F0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工程项目不符合发放施工许可或开工报告条件，无法补办施工许可证或开工报告的；其他情节恶劣，或造成严重后果的违法行为。</w:t>
            </w:r>
          </w:p>
        </w:tc>
        <w:tc>
          <w:tcPr>
            <w:tcW w:w="3058" w:type="dxa"/>
            <w:tcBorders>
              <w:tl2br w:val="nil"/>
              <w:tr2bl w:val="nil"/>
            </w:tcBorders>
            <w:vAlign w:val="center"/>
          </w:tcPr>
          <w:p w14:paraId="34A29EF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责令停止施工，限期改正，对建设单位处工程合同价款百分之一点七以上百分之二以下的罚款，对单位直接负责的主管人员和其他直接责任人员处单位罚款数额百分之八点五以上百分之十以下的罚款。</w:t>
            </w:r>
          </w:p>
        </w:tc>
      </w:tr>
      <w:tr w14:paraId="5CEED23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16" w:hRule="atLeast"/>
          <w:jc w:val="center"/>
        </w:trPr>
        <w:tc>
          <w:tcPr>
            <w:tcW w:w="443" w:type="dxa"/>
            <w:gridSpan w:val="2"/>
            <w:vMerge w:val="restart"/>
            <w:tcBorders>
              <w:tl2br w:val="nil"/>
              <w:tr2bl w:val="nil"/>
            </w:tcBorders>
            <w:vAlign w:val="center"/>
          </w:tcPr>
          <w:p w14:paraId="5DC2ADD2">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Times New Roman"/>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80</w:t>
            </w:r>
          </w:p>
        </w:tc>
        <w:tc>
          <w:tcPr>
            <w:tcW w:w="1550" w:type="dxa"/>
            <w:vMerge w:val="restart"/>
            <w:tcBorders>
              <w:tl2br w:val="nil"/>
              <w:tr2bl w:val="nil"/>
            </w:tcBorders>
            <w:vAlign w:val="center"/>
          </w:tcPr>
          <w:p w14:paraId="5C519DE7">
            <w:pPr>
              <w:keepNext w:val="0"/>
              <w:keepLines w:val="0"/>
              <w:pageBreakBefore w:val="0"/>
              <w:widowControl/>
              <w:kinsoku/>
              <w:wordWrap w:val="0"/>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p>
          <w:p w14:paraId="0B5D7262">
            <w:pPr>
              <w:keepNext w:val="0"/>
              <w:keepLines w:val="0"/>
              <w:pageBreakBefore w:val="0"/>
              <w:widowControl/>
              <w:kinsoku/>
              <w:wordWrap w:val="0"/>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建设单位有下列行为之一的：</w:t>
            </w:r>
          </w:p>
          <w:p w14:paraId="285FD9FE">
            <w:pPr>
              <w:keepNext w:val="0"/>
              <w:keepLines w:val="0"/>
              <w:pageBreakBefore w:val="0"/>
              <w:widowControl/>
              <w:kinsoku/>
              <w:wordWrap w:val="0"/>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（一）未组织竣工验收，擅自交付使用的</w:t>
            </w:r>
          </w:p>
          <w:p w14:paraId="0EB4ED9B">
            <w:pPr>
              <w:keepNext w:val="0"/>
              <w:keepLines w:val="0"/>
              <w:pageBreakBefore w:val="0"/>
              <w:widowControl/>
              <w:kinsoku/>
              <w:wordWrap w:val="0"/>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（二）验收不合格，擅自交付使用的</w:t>
            </w:r>
          </w:p>
          <w:p w14:paraId="037B73A0">
            <w:pPr>
              <w:keepNext w:val="0"/>
              <w:keepLines w:val="0"/>
              <w:pageBreakBefore w:val="0"/>
              <w:widowControl/>
              <w:kinsoku/>
              <w:wordWrap w:val="0"/>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（三）对不合格的建设工程按照合格工程验收的</w:t>
            </w:r>
          </w:p>
          <w:p w14:paraId="34D3C36C">
            <w:pPr>
              <w:keepNext w:val="0"/>
              <w:keepLines w:val="0"/>
              <w:pageBreakBefore w:val="0"/>
              <w:widowControl/>
              <w:kinsoku/>
              <w:wordWrap w:val="0"/>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p w14:paraId="7AE9B67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宋体" w:hAnsi="宋体" w:cs="宋体"/>
                <w:color w:val="auto"/>
                <w:kern w:val="0"/>
                <w:sz w:val="13"/>
                <w:szCs w:val="13"/>
                <w:highlight w:val="none"/>
              </w:rPr>
            </w:pPr>
          </w:p>
        </w:tc>
        <w:tc>
          <w:tcPr>
            <w:tcW w:w="4820" w:type="dxa"/>
            <w:vMerge w:val="restart"/>
            <w:tcBorders>
              <w:tl2br w:val="nil"/>
              <w:tr2bl w:val="nil"/>
            </w:tcBorders>
            <w:vAlign w:val="center"/>
          </w:tcPr>
          <w:p w14:paraId="414C16C6">
            <w:pPr>
              <w:keepNext w:val="0"/>
              <w:keepLines w:val="0"/>
              <w:pageBreakBefore w:val="0"/>
              <w:widowControl/>
              <w:kinsoku/>
              <w:overflowPunct/>
              <w:topLinePunct w:val="0"/>
              <w:autoSpaceDE/>
              <w:autoSpaceDN/>
              <w:bidi w:val="0"/>
              <w:adjustRightInd/>
              <w:snapToGrid/>
              <w:spacing w:beforeAutospacing="0" w:afterAutospacing="0" w:line="260" w:lineRule="exact"/>
              <w:ind w:left="65" w:leftChars="0" w:right="0" w:rightChars="0" w:hanging="65" w:hangingChars="5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《建设工程质量管理条例》</w:t>
            </w:r>
            <w:r>
              <w:rPr>
                <w:rFonts w:hint="eastAsia" w:ascii="仿宋_GB2312" w:hAnsi="宋体" w:eastAsia="仿宋_GB2312"/>
                <w:b/>
                <w:bCs/>
                <w:color w:val="auto"/>
                <w:kern w:val="0"/>
                <w:sz w:val="13"/>
                <w:szCs w:val="13"/>
                <w:highlight w:val="none"/>
              </w:rPr>
              <w:t>第五十八条</w:t>
            </w:r>
            <w:r>
              <w:rPr>
                <w:rFonts w:hint="eastAsia" w:ascii="仿宋_GB2312" w:hAnsi="宋体" w:eastAsia="仿宋_GB2312"/>
                <w:b/>
                <w:bCs/>
                <w:color w:val="auto"/>
                <w:kern w:val="0"/>
                <w:sz w:val="13"/>
                <w:szCs w:val="13"/>
                <w:highlight w:val="none"/>
                <w:lang w:eastAsia="zh-CN"/>
              </w:rPr>
              <w:t>：</w:t>
            </w:r>
            <w:r>
              <w:rPr>
                <w:rFonts w:hint="eastAsia" w:ascii="仿宋_GB2312" w:hAnsi="宋体" w:eastAsia="仿宋_GB2312"/>
                <w:color w:val="auto"/>
                <w:kern w:val="0"/>
                <w:sz w:val="13"/>
                <w:szCs w:val="13"/>
                <w:highlight w:val="none"/>
              </w:rPr>
              <w:t>违反本条例规定，建设单位有下列行为之一的，责令改正，处工程合同价款百分之二以上百分之四以下的罚款；造成损失的，依法承担赔偿责任：</w:t>
            </w:r>
          </w:p>
          <w:p w14:paraId="3C5417BB">
            <w:pPr>
              <w:keepNext w:val="0"/>
              <w:keepLines w:val="0"/>
              <w:pageBreakBefore w:val="0"/>
              <w:widowControl/>
              <w:kinsoku/>
              <w:wordWrap w:val="0"/>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（一）未组织竣工验收，擅自交付使用的；</w:t>
            </w:r>
          </w:p>
          <w:p w14:paraId="53EDB8AE">
            <w:pPr>
              <w:keepNext w:val="0"/>
              <w:keepLines w:val="0"/>
              <w:pageBreakBefore w:val="0"/>
              <w:widowControl/>
              <w:kinsoku/>
              <w:wordWrap w:val="0"/>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（二）验收不合格，擅自交付使用的；</w:t>
            </w:r>
          </w:p>
          <w:p w14:paraId="1606FB90">
            <w:pPr>
              <w:keepNext w:val="0"/>
              <w:keepLines w:val="0"/>
              <w:pageBreakBefore w:val="0"/>
              <w:widowControl/>
              <w:kinsoku/>
              <w:wordWrap w:val="0"/>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（三）对不合格的建设工程按照合格工程验收的。</w:t>
            </w:r>
          </w:p>
          <w:p w14:paraId="7405A952">
            <w:pPr>
              <w:keepNext w:val="0"/>
              <w:keepLines w:val="0"/>
              <w:pageBreakBefore w:val="0"/>
              <w:widowControl/>
              <w:kinsoku/>
              <w:wordWrap w:val="0"/>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p w14:paraId="482AC54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宋体" w:hAnsi="宋体" w:cs="宋体"/>
                <w:color w:val="auto"/>
                <w:kern w:val="0"/>
                <w:sz w:val="13"/>
                <w:szCs w:val="13"/>
                <w:highlight w:val="none"/>
              </w:rPr>
            </w:pPr>
            <w:r>
              <w:rPr>
                <w:rFonts w:hint="eastAsia" w:ascii="仿宋_GB2312" w:hAnsi="宋体" w:eastAsia="仿宋_GB2312"/>
                <w:color w:val="auto"/>
                <w:kern w:val="0"/>
                <w:sz w:val="13"/>
                <w:szCs w:val="13"/>
                <w:highlight w:val="none"/>
              </w:rPr>
              <w:t>《建设工程质量管理条例》</w:t>
            </w:r>
            <w:r>
              <w:rPr>
                <w:rFonts w:hint="eastAsia" w:ascii="仿宋_GB2312" w:hAnsi="宋体" w:eastAsia="仿宋_GB2312"/>
                <w:b/>
                <w:bCs/>
                <w:color w:val="auto"/>
                <w:kern w:val="0"/>
                <w:sz w:val="13"/>
                <w:szCs w:val="13"/>
                <w:highlight w:val="none"/>
              </w:rPr>
              <w:t>第七十三条</w:t>
            </w:r>
            <w:r>
              <w:rPr>
                <w:rFonts w:hint="eastAsia" w:ascii="仿宋_GB2312" w:hAnsi="宋体" w:eastAsia="仿宋_GB2312"/>
                <w:b/>
                <w:bCs/>
                <w:color w:val="auto"/>
                <w:kern w:val="0"/>
                <w:sz w:val="13"/>
                <w:szCs w:val="13"/>
                <w:highlight w:val="none"/>
                <w:lang w:eastAsia="zh-CN"/>
              </w:rPr>
              <w:t>：</w:t>
            </w:r>
            <w:r>
              <w:rPr>
                <w:rFonts w:hint="eastAsia" w:ascii="仿宋_GB2312" w:hAnsi="宋体" w:eastAsia="仿宋_GB2312"/>
                <w:color w:val="auto"/>
                <w:kern w:val="0"/>
                <w:sz w:val="13"/>
                <w:szCs w:val="13"/>
                <w:highlight w:val="none"/>
              </w:rPr>
              <w:t>依照本条例规定，给予单位罚款处罚的，对单位直接负责的主管人员和其他直接责任人员处单位罚款数额百分之五以上百分之十以下的罚款。</w:t>
            </w:r>
          </w:p>
        </w:tc>
        <w:tc>
          <w:tcPr>
            <w:tcW w:w="823" w:type="dxa"/>
            <w:tcBorders>
              <w:tl2br w:val="nil"/>
              <w:tr2bl w:val="nil"/>
            </w:tcBorders>
            <w:vAlign w:val="center"/>
          </w:tcPr>
          <w:p w14:paraId="3D20893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vAlign w:val="center"/>
          </w:tcPr>
          <w:p w14:paraId="7BD3443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初次违法，危害后果轻微，主动采取措施消除或减轻违法行为危害后果。</w:t>
            </w:r>
          </w:p>
        </w:tc>
        <w:tc>
          <w:tcPr>
            <w:tcW w:w="3058" w:type="dxa"/>
            <w:tcBorders>
              <w:tl2br w:val="nil"/>
              <w:tr2bl w:val="nil"/>
            </w:tcBorders>
            <w:vAlign w:val="center"/>
          </w:tcPr>
          <w:p w14:paraId="7B154B0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责令改正，对建设单位处工程合同价款百分之二以上百分之</w:t>
            </w:r>
            <w:r>
              <w:rPr>
                <w:rFonts w:hint="eastAsia" w:ascii="仿宋_GB2312" w:hAnsi="宋体" w:eastAsia="仿宋_GB2312"/>
                <w:color w:val="auto"/>
                <w:kern w:val="0"/>
                <w:sz w:val="13"/>
                <w:szCs w:val="13"/>
                <w:highlight w:val="none"/>
                <w:lang w:val="en-US" w:eastAsia="zh-CN"/>
              </w:rPr>
              <w:t>二点五</w:t>
            </w:r>
            <w:r>
              <w:rPr>
                <w:rFonts w:hint="eastAsia" w:ascii="仿宋_GB2312" w:hAnsi="宋体" w:eastAsia="仿宋_GB2312"/>
                <w:color w:val="auto"/>
                <w:kern w:val="0"/>
                <w:sz w:val="13"/>
                <w:szCs w:val="13"/>
                <w:highlight w:val="none"/>
              </w:rPr>
              <w:t>以下的罚款，对单位直接负责的主管人员和其他直接责任人员处单位罚款数额百分之五以上百分之六以下的罚款。</w:t>
            </w:r>
          </w:p>
        </w:tc>
      </w:tr>
      <w:tr w14:paraId="6313E0E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16" w:hRule="atLeast"/>
          <w:jc w:val="center"/>
        </w:trPr>
        <w:tc>
          <w:tcPr>
            <w:tcW w:w="443" w:type="dxa"/>
            <w:gridSpan w:val="2"/>
            <w:vMerge w:val="continue"/>
            <w:tcBorders>
              <w:tl2br w:val="nil"/>
              <w:tr2bl w:val="nil"/>
            </w:tcBorders>
            <w:vAlign w:val="center"/>
          </w:tcPr>
          <w:p w14:paraId="205F922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7135739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vAlign w:val="center"/>
          </w:tcPr>
          <w:p w14:paraId="3F8C90D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tcBorders>
              <w:tl2br w:val="nil"/>
              <w:tr2bl w:val="nil"/>
            </w:tcBorders>
            <w:vAlign w:val="center"/>
          </w:tcPr>
          <w:p w14:paraId="228B98A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一般情节</w:t>
            </w:r>
          </w:p>
        </w:tc>
        <w:tc>
          <w:tcPr>
            <w:tcW w:w="3437" w:type="dxa"/>
            <w:gridSpan w:val="2"/>
            <w:tcBorders>
              <w:tl2br w:val="nil"/>
              <w:tr2bl w:val="nil"/>
            </w:tcBorders>
            <w:vAlign w:val="center"/>
          </w:tcPr>
          <w:p w14:paraId="5BBDD6E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实施违法行为，造成不良社会影响或初次违法，未主动消除或减轻违法行为危害后果的。</w:t>
            </w:r>
          </w:p>
        </w:tc>
        <w:tc>
          <w:tcPr>
            <w:tcW w:w="3058" w:type="dxa"/>
            <w:tcBorders>
              <w:tl2br w:val="nil"/>
              <w:tr2bl w:val="nil"/>
            </w:tcBorders>
            <w:vAlign w:val="center"/>
          </w:tcPr>
          <w:p w14:paraId="40BD2BC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责令改正，对建设单位处工程合同价款百分之二点五以上百分之三点五以下的罚款，对单位直接负责的主管人员和其他直接责任人员处单位罚款数额百分之六以上百分之八点五以下的罚款。</w:t>
            </w:r>
          </w:p>
        </w:tc>
      </w:tr>
      <w:tr w14:paraId="450495A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876" w:hRule="atLeast"/>
          <w:jc w:val="center"/>
        </w:trPr>
        <w:tc>
          <w:tcPr>
            <w:tcW w:w="443" w:type="dxa"/>
            <w:gridSpan w:val="2"/>
            <w:vMerge w:val="continue"/>
            <w:tcBorders>
              <w:tl2br w:val="nil"/>
              <w:tr2bl w:val="nil"/>
            </w:tcBorders>
            <w:vAlign w:val="center"/>
          </w:tcPr>
          <w:p w14:paraId="478DCCF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51C43E8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vAlign w:val="center"/>
          </w:tcPr>
          <w:p w14:paraId="39D1CCE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tcBorders>
              <w:tl2br w:val="nil"/>
              <w:tr2bl w:val="nil"/>
            </w:tcBorders>
            <w:vAlign w:val="center"/>
          </w:tcPr>
          <w:p w14:paraId="3EADDEF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从重情节</w:t>
            </w:r>
          </w:p>
        </w:tc>
        <w:tc>
          <w:tcPr>
            <w:tcW w:w="3437" w:type="dxa"/>
            <w:gridSpan w:val="2"/>
            <w:tcBorders>
              <w:tl2br w:val="nil"/>
              <w:tr2bl w:val="nil"/>
            </w:tcBorders>
            <w:vAlign w:val="center"/>
          </w:tcPr>
          <w:p w14:paraId="623227A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（1）经责令停止违法行为后，继续实施违法行为的；</w:t>
            </w:r>
          </w:p>
          <w:p w14:paraId="7153F06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（2）2年内2次及以上同类型违法；</w:t>
            </w:r>
          </w:p>
          <w:p w14:paraId="03D1F8D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（3）足以影响建设工程市场秩序和社会稳定的；</w:t>
            </w:r>
          </w:p>
          <w:p w14:paraId="38A73B1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（4）法律法规规定的其他应当从重处罚的情形。</w:t>
            </w:r>
          </w:p>
        </w:tc>
        <w:tc>
          <w:tcPr>
            <w:tcW w:w="3058" w:type="dxa"/>
            <w:tcBorders>
              <w:tl2br w:val="nil"/>
              <w:tr2bl w:val="nil"/>
            </w:tcBorders>
            <w:vAlign w:val="center"/>
          </w:tcPr>
          <w:p w14:paraId="0522349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责令改正，对建设单位处工程合同价款百分之三点五以上百分之四以下的罚款，对单位直接负责的主管人员和其他直接责任人员处单位罚款数额百分之八点五以上百分之十以下的罚款。</w:t>
            </w:r>
          </w:p>
        </w:tc>
      </w:tr>
      <w:tr w14:paraId="09778EC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8" w:hRule="atLeast"/>
          <w:jc w:val="center"/>
        </w:trPr>
        <w:tc>
          <w:tcPr>
            <w:tcW w:w="443" w:type="dxa"/>
            <w:gridSpan w:val="2"/>
            <w:vMerge w:val="restart"/>
            <w:tcBorders>
              <w:tl2br w:val="nil"/>
              <w:tr2bl w:val="nil"/>
            </w:tcBorders>
            <w:vAlign w:val="center"/>
          </w:tcPr>
          <w:p w14:paraId="061D6CD0">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Times New Roman"/>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81</w:t>
            </w:r>
          </w:p>
        </w:tc>
        <w:tc>
          <w:tcPr>
            <w:tcW w:w="1550" w:type="dxa"/>
            <w:vMerge w:val="restart"/>
            <w:tcBorders>
              <w:tl2br w:val="nil"/>
              <w:tr2bl w:val="nil"/>
            </w:tcBorders>
            <w:vAlign w:val="center"/>
          </w:tcPr>
          <w:p w14:paraId="191F603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p w14:paraId="51DB090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p w14:paraId="51DF469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p>
          <w:p w14:paraId="3C00A52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lang w:val="en-US" w:eastAsia="zh-CN"/>
              </w:rPr>
            </w:pPr>
            <w:r>
              <w:rPr>
                <w:rFonts w:hint="eastAsia" w:ascii="仿宋_GB2312" w:hAnsi="宋体" w:eastAsia="仿宋_GB2312"/>
                <w:color w:val="auto"/>
                <w:kern w:val="0"/>
                <w:sz w:val="13"/>
                <w:szCs w:val="13"/>
                <w:highlight w:val="none"/>
              </w:rPr>
              <w:t>建设工程竣工验收后，建设单位未向建设行政主管部门或者其他有关部门移交建设项目档案</w:t>
            </w:r>
          </w:p>
        </w:tc>
        <w:tc>
          <w:tcPr>
            <w:tcW w:w="4820" w:type="dxa"/>
            <w:vMerge w:val="restart"/>
            <w:tcBorders>
              <w:tl2br w:val="nil"/>
              <w:tr2bl w:val="nil"/>
            </w:tcBorders>
            <w:vAlign w:val="center"/>
          </w:tcPr>
          <w:p w14:paraId="7F28920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《建设工程质量管理条例》</w:t>
            </w:r>
            <w:r>
              <w:rPr>
                <w:rFonts w:hint="eastAsia" w:ascii="仿宋_GB2312" w:hAnsi="宋体" w:eastAsia="仿宋_GB2312"/>
                <w:b/>
                <w:bCs/>
                <w:color w:val="auto"/>
                <w:kern w:val="0"/>
                <w:sz w:val="13"/>
                <w:szCs w:val="13"/>
                <w:highlight w:val="none"/>
              </w:rPr>
              <w:t>第五十九条</w:t>
            </w:r>
            <w:r>
              <w:rPr>
                <w:rFonts w:hint="eastAsia" w:ascii="仿宋_GB2312" w:hAnsi="宋体" w:eastAsia="仿宋_GB2312"/>
                <w:b/>
                <w:bCs/>
                <w:color w:val="auto"/>
                <w:kern w:val="0"/>
                <w:sz w:val="13"/>
                <w:szCs w:val="13"/>
                <w:highlight w:val="none"/>
                <w:lang w:eastAsia="zh-CN"/>
              </w:rPr>
              <w:t>：</w:t>
            </w:r>
            <w:r>
              <w:rPr>
                <w:rFonts w:hint="eastAsia" w:ascii="仿宋_GB2312" w:hAnsi="宋体" w:eastAsia="仿宋_GB2312"/>
                <w:color w:val="auto"/>
                <w:kern w:val="0"/>
                <w:sz w:val="13"/>
                <w:szCs w:val="13"/>
                <w:highlight w:val="none"/>
              </w:rPr>
              <w:t>违反本条例规定，建设工程竣工验收后，建设单位未向建设行政主管部门或者其他有关部门移交建设项目档案的，责令改正，处1万元以上10万元以下的罚款。</w:t>
            </w:r>
          </w:p>
          <w:p w14:paraId="71A96FA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p w14:paraId="3013C6A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《建设工程质量管理条例》</w:t>
            </w:r>
            <w:r>
              <w:rPr>
                <w:rFonts w:hint="eastAsia" w:ascii="仿宋_GB2312" w:hAnsi="宋体" w:eastAsia="仿宋_GB2312"/>
                <w:b/>
                <w:bCs/>
                <w:color w:val="auto"/>
                <w:kern w:val="0"/>
                <w:sz w:val="13"/>
                <w:szCs w:val="13"/>
                <w:highlight w:val="none"/>
              </w:rPr>
              <w:t>第七十三条</w:t>
            </w:r>
            <w:r>
              <w:rPr>
                <w:rFonts w:hint="eastAsia" w:ascii="仿宋_GB2312" w:hAnsi="宋体" w:eastAsia="仿宋_GB2312"/>
                <w:b/>
                <w:bCs/>
                <w:color w:val="auto"/>
                <w:kern w:val="0"/>
                <w:sz w:val="13"/>
                <w:szCs w:val="13"/>
                <w:highlight w:val="none"/>
                <w:lang w:eastAsia="zh-CN"/>
              </w:rPr>
              <w:t>：</w:t>
            </w:r>
            <w:r>
              <w:rPr>
                <w:rFonts w:hint="eastAsia" w:ascii="仿宋_GB2312" w:hAnsi="宋体" w:eastAsia="仿宋_GB2312"/>
                <w:color w:val="auto"/>
                <w:kern w:val="0"/>
                <w:sz w:val="13"/>
                <w:szCs w:val="13"/>
                <w:highlight w:val="none"/>
              </w:rPr>
              <w:t>依照本条例规定，给予单位罚款处罚的，对单位直接负责的主管人员和其他直接责任人员处单位罚款数额百分之五以上百分之十以下的罚款。</w:t>
            </w:r>
          </w:p>
        </w:tc>
        <w:tc>
          <w:tcPr>
            <w:tcW w:w="823" w:type="dxa"/>
            <w:tcBorders>
              <w:tl2br w:val="nil"/>
              <w:tr2bl w:val="nil"/>
            </w:tcBorders>
            <w:vAlign w:val="center"/>
          </w:tcPr>
          <w:p w14:paraId="4D05BBF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vAlign w:val="center"/>
          </w:tcPr>
          <w:p w14:paraId="38A591F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逾期15日以下改正的。</w:t>
            </w:r>
          </w:p>
        </w:tc>
        <w:tc>
          <w:tcPr>
            <w:tcW w:w="3058" w:type="dxa"/>
            <w:tcBorders>
              <w:tl2br w:val="nil"/>
              <w:tr2bl w:val="nil"/>
            </w:tcBorders>
            <w:vAlign w:val="center"/>
          </w:tcPr>
          <w:p w14:paraId="7741A04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责令改正，对建设单位处1万元以上3万元以下的罚款，对单位直接负责的主管人员和其他直接责任人员处单位罚款数额百分之五以上百分之六以下的罚款。</w:t>
            </w:r>
          </w:p>
        </w:tc>
      </w:tr>
      <w:tr w14:paraId="2F8C021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8" w:hRule="atLeast"/>
          <w:jc w:val="center"/>
        </w:trPr>
        <w:tc>
          <w:tcPr>
            <w:tcW w:w="443" w:type="dxa"/>
            <w:gridSpan w:val="2"/>
            <w:vMerge w:val="continue"/>
            <w:tcBorders>
              <w:tl2br w:val="nil"/>
              <w:tr2bl w:val="nil"/>
            </w:tcBorders>
            <w:vAlign w:val="center"/>
          </w:tcPr>
          <w:p w14:paraId="383CF5C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2CCD1A1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32B9E2F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tc>
        <w:tc>
          <w:tcPr>
            <w:tcW w:w="823" w:type="dxa"/>
            <w:tcBorders>
              <w:tl2br w:val="nil"/>
              <w:tr2bl w:val="nil"/>
            </w:tcBorders>
            <w:vAlign w:val="center"/>
          </w:tcPr>
          <w:p w14:paraId="455EC6E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一般情节</w:t>
            </w:r>
          </w:p>
        </w:tc>
        <w:tc>
          <w:tcPr>
            <w:tcW w:w="3437" w:type="dxa"/>
            <w:gridSpan w:val="2"/>
            <w:tcBorders>
              <w:tl2br w:val="nil"/>
              <w:tr2bl w:val="nil"/>
            </w:tcBorders>
            <w:vAlign w:val="center"/>
          </w:tcPr>
          <w:p w14:paraId="6A534C9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逾期15日以上30日以下改正的。</w:t>
            </w:r>
          </w:p>
        </w:tc>
        <w:tc>
          <w:tcPr>
            <w:tcW w:w="3058" w:type="dxa"/>
            <w:tcBorders>
              <w:tl2br w:val="nil"/>
              <w:tr2bl w:val="nil"/>
            </w:tcBorders>
            <w:vAlign w:val="center"/>
          </w:tcPr>
          <w:p w14:paraId="3B3264A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责令改正，对建设单位处3万元以上7万元以下的罚款，对单位直接负责的主管人员和其他直接责任人员处单位罚款数额百分之六以上百分之八点五以下的罚款。</w:t>
            </w:r>
          </w:p>
        </w:tc>
      </w:tr>
      <w:tr w14:paraId="7C6FFAF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513" w:hRule="atLeast"/>
          <w:jc w:val="center"/>
        </w:trPr>
        <w:tc>
          <w:tcPr>
            <w:tcW w:w="443" w:type="dxa"/>
            <w:gridSpan w:val="2"/>
            <w:vMerge w:val="continue"/>
            <w:tcBorders>
              <w:tl2br w:val="nil"/>
              <w:tr2bl w:val="nil"/>
            </w:tcBorders>
            <w:vAlign w:val="center"/>
          </w:tcPr>
          <w:p w14:paraId="54D94BB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1EE5EDD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7051268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tc>
        <w:tc>
          <w:tcPr>
            <w:tcW w:w="823" w:type="dxa"/>
            <w:tcBorders>
              <w:tl2br w:val="nil"/>
              <w:tr2bl w:val="nil"/>
            </w:tcBorders>
            <w:vAlign w:val="center"/>
          </w:tcPr>
          <w:p w14:paraId="3FE2C5D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从重情节</w:t>
            </w:r>
          </w:p>
        </w:tc>
        <w:tc>
          <w:tcPr>
            <w:tcW w:w="3437" w:type="dxa"/>
            <w:gridSpan w:val="2"/>
            <w:tcBorders>
              <w:tl2br w:val="nil"/>
              <w:tr2bl w:val="nil"/>
            </w:tcBorders>
            <w:vAlign w:val="center"/>
          </w:tcPr>
          <w:p w14:paraId="6D9FB78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逾期30日以上未改正的。</w:t>
            </w:r>
          </w:p>
        </w:tc>
        <w:tc>
          <w:tcPr>
            <w:tcW w:w="3058" w:type="dxa"/>
            <w:tcBorders>
              <w:tl2br w:val="nil"/>
              <w:tr2bl w:val="nil"/>
            </w:tcBorders>
            <w:vAlign w:val="center"/>
          </w:tcPr>
          <w:p w14:paraId="36D1A0C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责令改正，对建设单位处7万元以上10万元以下的罚款，对单位直接负责的主管人员和其他直接责任人员处单位罚款数额百分之八点五以上百分之十以下的罚款。</w:t>
            </w:r>
          </w:p>
        </w:tc>
      </w:tr>
      <w:tr w14:paraId="4D734E8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893" w:hRule="atLeast"/>
          <w:jc w:val="center"/>
        </w:trPr>
        <w:tc>
          <w:tcPr>
            <w:tcW w:w="443" w:type="dxa"/>
            <w:gridSpan w:val="2"/>
            <w:vMerge w:val="restart"/>
            <w:tcBorders>
              <w:tl2br w:val="nil"/>
              <w:tr2bl w:val="nil"/>
            </w:tcBorders>
            <w:vAlign w:val="center"/>
          </w:tcPr>
          <w:p w14:paraId="4516A884">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Times New Roman"/>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82</w:t>
            </w:r>
          </w:p>
        </w:tc>
        <w:tc>
          <w:tcPr>
            <w:tcW w:w="1550" w:type="dxa"/>
            <w:vMerge w:val="restart"/>
            <w:tcBorders>
              <w:tl2br w:val="nil"/>
              <w:tr2bl w:val="nil"/>
            </w:tcBorders>
            <w:vAlign w:val="center"/>
          </w:tcPr>
          <w:p w14:paraId="12418DD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lang w:val="en-US" w:eastAsia="zh-CN"/>
              </w:rPr>
            </w:pPr>
            <w:r>
              <w:rPr>
                <w:rFonts w:hint="eastAsia" w:ascii="仿宋_GB2312" w:hAnsi="宋体" w:eastAsia="仿宋_GB2312"/>
                <w:color w:val="auto"/>
                <w:kern w:val="0"/>
                <w:sz w:val="13"/>
                <w:szCs w:val="13"/>
                <w:highlight w:val="none"/>
              </w:rPr>
              <w:t>勘察、设计、施工、工程监理单位超越本单位资质等级承揽工程</w:t>
            </w:r>
          </w:p>
        </w:tc>
        <w:tc>
          <w:tcPr>
            <w:tcW w:w="4820" w:type="dxa"/>
            <w:vMerge w:val="restart"/>
            <w:tcBorders>
              <w:tl2br w:val="nil"/>
              <w:tr2bl w:val="nil"/>
            </w:tcBorders>
            <w:vAlign w:val="center"/>
          </w:tcPr>
          <w:p w14:paraId="6E50708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《建设工程质量管理条例》</w:t>
            </w:r>
            <w:r>
              <w:rPr>
                <w:rFonts w:hint="eastAsia" w:ascii="仿宋_GB2312" w:hAnsi="宋体" w:eastAsia="仿宋_GB2312"/>
                <w:b/>
                <w:bCs/>
                <w:color w:val="auto"/>
                <w:kern w:val="0"/>
                <w:sz w:val="13"/>
                <w:szCs w:val="13"/>
                <w:highlight w:val="none"/>
              </w:rPr>
              <w:t>第六十条第一款</w:t>
            </w:r>
            <w:r>
              <w:rPr>
                <w:rFonts w:hint="eastAsia" w:ascii="仿宋_GB2312" w:hAnsi="宋体" w:eastAsia="仿宋_GB2312"/>
                <w:b/>
                <w:bCs/>
                <w:color w:val="auto"/>
                <w:kern w:val="0"/>
                <w:sz w:val="13"/>
                <w:szCs w:val="13"/>
                <w:highlight w:val="none"/>
                <w:lang w:eastAsia="zh-CN"/>
              </w:rPr>
              <w:t>：</w:t>
            </w:r>
            <w:r>
              <w:rPr>
                <w:rFonts w:hint="eastAsia" w:ascii="仿宋_GB2312" w:hAnsi="宋体" w:eastAsia="仿宋_GB2312"/>
                <w:color w:val="auto"/>
                <w:kern w:val="0"/>
                <w:sz w:val="13"/>
                <w:szCs w:val="13"/>
                <w:highlight w:val="none"/>
              </w:rPr>
              <w:t>违反本条例规定，勘察、设计、施工、工程监理单位超越本单位资质等级承揽工程的，责令停止违法行为，对勘察、设计单位或者工程监理单位处合同约定的勘察费、设计费或者监理酬金1倍以上2倍以下的罚款；对施工单位处工程合同价款百分之二以上百分之四以下的罚款，可以责令停业整顿，降低资质等级；情节严重的，吊销资质证书；有违法所得的，予以没收。</w:t>
            </w:r>
          </w:p>
          <w:p w14:paraId="7150033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p w14:paraId="6AD6506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《建设工程质量管理条例》</w:t>
            </w:r>
            <w:r>
              <w:rPr>
                <w:rFonts w:hint="eastAsia" w:ascii="仿宋_GB2312" w:hAnsi="宋体" w:eastAsia="仿宋_GB2312"/>
                <w:b/>
                <w:bCs/>
                <w:color w:val="auto"/>
                <w:kern w:val="0"/>
                <w:sz w:val="13"/>
                <w:szCs w:val="13"/>
                <w:highlight w:val="none"/>
              </w:rPr>
              <w:t>第七十三条</w:t>
            </w:r>
            <w:r>
              <w:rPr>
                <w:rFonts w:hint="eastAsia" w:ascii="仿宋_GB2312" w:hAnsi="宋体" w:eastAsia="仿宋_GB2312"/>
                <w:b/>
                <w:bCs/>
                <w:color w:val="auto"/>
                <w:kern w:val="0"/>
                <w:sz w:val="13"/>
                <w:szCs w:val="13"/>
                <w:highlight w:val="none"/>
                <w:lang w:eastAsia="zh-CN"/>
              </w:rPr>
              <w:t>：</w:t>
            </w:r>
            <w:r>
              <w:rPr>
                <w:rFonts w:hint="eastAsia" w:ascii="仿宋_GB2312" w:hAnsi="宋体" w:eastAsia="仿宋_GB2312"/>
                <w:color w:val="auto"/>
                <w:kern w:val="0"/>
                <w:sz w:val="13"/>
                <w:szCs w:val="13"/>
                <w:highlight w:val="none"/>
              </w:rPr>
              <w:t>依照本条例规定，给予单位罚款处罚的，对单位直接负责的主管人员和其他直接责任人员处单位罚款数额百分之五以上百分之十以下的罚款。</w:t>
            </w:r>
          </w:p>
        </w:tc>
        <w:tc>
          <w:tcPr>
            <w:tcW w:w="823" w:type="dxa"/>
            <w:tcBorders>
              <w:tl2br w:val="nil"/>
              <w:tr2bl w:val="nil"/>
            </w:tcBorders>
            <w:vAlign w:val="center"/>
          </w:tcPr>
          <w:p w14:paraId="7D84EF4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vAlign w:val="center"/>
          </w:tcPr>
          <w:p w14:paraId="6719D2F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初次违法，危害后果轻微，主动消除或减轻违法行为危害后果的。</w:t>
            </w:r>
          </w:p>
        </w:tc>
        <w:tc>
          <w:tcPr>
            <w:tcW w:w="3058" w:type="dxa"/>
            <w:tcBorders>
              <w:tl2br w:val="nil"/>
              <w:tr2bl w:val="nil"/>
            </w:tcBorders>
            <w:vAlign w:val="center"/>
          </w:tcPr>
          <w:p w14:paraId="27E100D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停止违法行为，对勘察、设计单位或者工程监理单位处合同约定的勘察费、设计费或监理酬金1倍以上1.2倍以下的罚款；对施工单位处工程合同价款百分之二以上百分之二点二以下的罚款；对单位直接负责主管人员和其他直接责任人员处单位罚款数额百分之五以上百分之六以下的罚款；有违法所得的，予以没收。</w:t>
            </w:r>
          </w:p>
        </w:tc>
      </w:tr>
      <w:tr w14:paraId="5048EEA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961" w:hRule="atLeast"/>
          <w:jc w:val="center"/>
        </w:trPr>
        <w:tc>
          <w:tcPr>
            <w:tcW w:w="443" w:type="dxa"/>
            <w:gridSpan w:val="2"/>
            <w:vMerge w:val="continue"/>
            <w:tcBorders>
              <w:tl2br w:val="nil"/>
              <w:tr2bl w:val="nil"/>
            </w:tcBorders>
            <w:vAlign w:val="center"/>
          </w:tcPr>
          <w:p w14:paraId="15E005B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0B8F423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4820" w:type="dxa"/>
            <w:vMerge w:val="continue"/>
            <w:tcBorders>
              <w:tl2br w:val="nil"/>
              <w:tr2bl w:val="nil"/>
            </w:tcBorders>
          </w:tcPr>
          <w:p w14:paraId="65D0318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823" w:type="dxa"/>
            <w:tcBorders>
              <w:tl2br w:val="nil"/>
              <w:tr2bl w:val="nil"/>
            </w:tcBorders>
            <w:vAlign w:val="center"/>
          </w:tcPr>
          <w:p w14:paraId="54FAA38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一般情节</w:t>
            </w:r>
          </w:p>
        </w:tc>
        <w:tc>
          <w:tcPr>
            <w:tcW w:w="3437" w:type="dxa"/>
            <w:gridSpan w:val="2"/>
            <w:tcBorders>
              <w:tl2br w:val="nil"/>
              <w:tr2bl w:val="nil"/>
            </w:tcBorders>
            <w:vAlign w:val="center"/>
          </w:tcPr>
          <w:p w14:paraId="017F8B8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不具有从轻、</w:t>
            </w:r>
            <w:r>
              <w:rPr>
                <w:rFonts w:hint="eastAsia" w:ascii="仿宋_GB2312" w:hAnsi="宋体" w:eastAsia="仿宋_GB2312"/>
                <w:color w:val="auto"/>
                <w:kern w:val="0"/>
                <w:sz w:val="13"/>
                <w:szCs w:val="13"/>
                <w:highlight w:val="none"/>
                <w:lang w:eastAsia="zh-CN"/>
              </w:rPr>
              <w:t>从重情节</w:t>
            </w:r>
            <w:r>
              <w:rPr>
                <w:rFonts w:hint="eastAsia" w:ascii="仿宋_GB2312" w:hAnsi="宋体" w:eastAsia="仿宋_GB2312"/>
                <w:color w:val="auto"/>
                <w:kern w:val="0"/>
                <w:sz w:val="13"/>
                <w:szCs w:val="13"/>
                <w:highlight w:val="none"/>
              </w:rPr>
              <w:t>的。</w:t>
            </w:r>
          </w:p>
        </w:tc>
        <w:tc>
          <w:tcPr>
            <w:tcW w:w="3058" w:type="dxa"/>
            <w:tcBorders>
              <w:tl2br w:val="nil"/>
              <w:tr2bl w:val="nil"/>
            </w:tcBorders>
            <w:vAlign w:val="center"/>
          </w:tcPr>
          <w:p w14:paraId="4718D34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对勘察、设计单位或者工程监理单位处合同约定的勘察费、设计费或监理酬金1.2倍以上1.7倍以下的罚款；对施工单位处工程合同价款百分之二点二以上百分之三点五以下的罚款；对单位直接负责主管人员和其他直接责任人员处单位罚款数额百分之六以上百分之八点五以下的罚款；有违法所得的，予以没收。</w:t>
            </w:r>
          </w:p>
        </w:tc>
      </w:tr>
      <w:tr w14:paraId="46A97C3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899" w:hRule="atLeast"/>
          <w:jc w:val="center"/>
        </w:trPr>
        <w:tc>
          <w:tcPr>
            <w:tcW w:w="443" w:type="dxa"/>
            <w:gridSpan w:val="2"/>
            <w:vMerge w:val="continue"/>
            <w:tcBorders>
              <w:tl2br w:val="nil"/>
              <w:tr2bl w:val="nil"/>
            </w:tcBorders>
            <w:vAlign w:val="center"/>
          </w:tcPr>
          <w:p w14:paraId="3881BF1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06A44F4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vAlign w:val="center"/>
          </w:tcPr>
          <w:p w14:paraId="0B5F6B9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vMerge w:val="restart"/>
            <w:tcBorders>
              <w:tl2br w:val="nil"/>
              <w:tr2bl w:val="nil"/>
            </w:tcBorders>
            <w:vAlign w:val="center"/>
          </w:tcPr>
          <w:p w14:paraId="04E00B4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从重情节</w:t>
            </w:r>
          </w:p>
        </w:tc>
        <w:tc>
          <w:tcPr>
            <w:tcW w:w="3437" w:type="dxa"/>
            <w:gridSpan w:val="2"/>
            <w:tcBorders>
              <w:tl2br w:val="nil"/>
              <w:tr2bl w:val="nil"/>
            </w:tcBorders>
            <w:vAlign w:val="center"/>
          </w:tcPr>
          <w:p w14:paraId="50F0819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（1）2年内2次同类型违法的。</w:t>
            </w:r>
          </w:p>
        </w:tc>
        <w:tc>
          <w:tcPr>
            <w:tcW w:w="3058" w:type="dxa"/>
            <w:tcBorders>
              <w:tl2br w:val="nil"/>
              <w:tr2bl w:val="nil"/>
            </w:tcBorders>
            <w:vAlign w:val="center"/>
          </w:tcPr>
          <w:p w14:paraId="5544E3F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对勘察、设计单位或者工程监理单位处合同约定的勘察费、设计费或监理酬金1.7倍以上2倍以下的罚款；对施工单位处工程合同价款百分之三点五以上百分之四以下的罚款；对单位直接负责主管人员和其他直接责任人员处单位罚款数额百分之八点五以上百分之十以下的罚款；有违法所得的，予以没收；责令停业整顿</w:t>
            </w:r>
            <w:r>
              <w:rPr>
                <w:rFonts w:hint="eastAsia" w:ascii="仿宋_GB2312" w:hAnsi="宋体" w:eastAsia="仿宋_GB2312"/>
                <w:color w:val="auto"/>
                <w:kern w:val="0"/>
                <w:sz w:val="13"/>
                <w:szCs w:val="13"/>
                <w:highlight w:val="none"/>
                <w:lang w:eastAsia="zh-CN"/>
              </w:rPr>
              <w:t>30日-</w:t>
            </w:r>
            <w:r>
              <w:rPr>
                <w:rFonts w:hint="eastAsia" w:ascii="仿宋_GB2312" w:hAnsi="宋体" w:eastAsia="仿宋_GB2312"/>
                <w:color w:val="auto"/>
                <w:kern w:val="0"/>
                <w:sz w:val="13"/>
                <w:szCs w:val="13"/>
                <w:highlight w:val="none"/>
              </w:rPr>
              <w:t>60日。</w:t>
            </w:r>
          </w:p>
        </w:tc>
      </w:tr>
      <w:tr w14:paraId="501F91E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912" w:hRule="atLeast"/>
          <w:jc w:val="center"/>
        </w:trPr>
        <w:tc>
          <w:tcPr>
            <w:tcW w:w="443" w:type="dxa"/>
            <w:gridSpan w:val="2"/>
            <w:vMerge w:val="continue"/>
            <w:tcBorders>
              <w:tl2br w:val="nil"/>
              <w:tr2bl w:val="nil"/>
            </w:tcBorders>
            <w:vAlign w:val="center"/>
          </w:tcPr>
          <w:p w14:paraId="6D74FA6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5E29275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vAlign w:val="center"/>
          </w:tcPr>
          <w:p w14:paraId="42287FB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vMerge w:val="continue"/>
            <w:tcBorders>
              <w:tl2br w:val="nil"/>
              <w:tr2bl w:val="nil"/>
            </w:tcBorders>
            <w:vAlign w:val="center"/>
          </w:tcPr>
          <w:p w14:paraId="5C0E805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3437" w:type="dxa"/>
            <w:gridSpan w:val="2"/>
            <w:tcBorders>
              <w:tl2br w:val="nil"/>
              <w:tr2bl w:val="nil"/>
            </w:tcBorders>
            <w:vAlign w:val="center"/>
          </w:tcPr>
          <w:p w14:paraId="5538FE7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（2）</w:t>
            </w:r>
            <w:r>
              <w:rPr>
                <w:rFonts w:ascii="仿宋_GB2312" w:hAnsi="宋体" w:eastAsia="仿宋_GB2312"/>
                <w:color w:val="auto"/>
                <w:kern w:val="0"/>
                <w:sz w:val="13"/>
                <w:szCs w:val="13"/>
                <w:highlight w:val="none"/>
              </w:rPr>
              <w:t>造成3人以下死亡，或者10人以下重伤，或者1000万元以下直接经济损失</w:t>
            </w:r>
            <w:r>
              <w:rPr>
                <w:rFonts w:hint="eastAsia" w:ascii="仿宋_GB2312" w:hAnsi="宋体" w:eastAsia="仿宋_GB2312"/>
                <w:color w:val="auto"/>
                <w:kern w:val="0"/>
                <w:sz w:val="13"/>
                <w:szCs w:val="13"/>
                <w:highlight w:val="none"/>
              </w:rPr>
              <w:t>。</w:t>
            </w:r>
          </w:p>
        </w:tc>
        <w:tc>
          <w:tcPr>
            <w:tcW w:w="3058" w:type="dxa"/>
            <w:tcBorders>
              <w:tl2br w:val="nil"/>
              <w:tr2bl w:val="nil"/>
            </w:tcBorders>
            <w:vAlign w:val="center"/>
          </w:tcPr>
          <w:p w14:paraId="3BE5B84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对勘察、设计单位或者工程监理单位处合同约定的勘察费、设计费或监理酬金2倍的罚款；对施工单位处工程合同价款百分之四的罚款；对单位直接负责主管人员和其他直接责任人员处单位罚款数额百分之十的罚款；责令停业整顿</w:t>
            </w:r>
            <w:r>
              <w:rPr>
                <w:rFonts w:hint="eastAsia" w:ascii="仿宋_GB2312" w:hAnsi="宋体" w:eastAsia="仿宋_GB2312"/>
                <w:color w:val="auto"/>
                <w:kern w:val="0"/>
                <w:sz w:val="13"/>
                <w:szCs w:val="13"/>
                <w:highlight w:val="none"/>
                <w:lang w:eastAsia="zh-CN"/>
              </w:rPr>
              <w:t>30日-</w:t>
            </w:r>
            <w:r>
              <w:rPr>
                <w:rFonts w:hint="eastAsia" w:ascii="仿宋_GB2312" w:hAnsi="宋体" w:eastAsia="仿宋_GB2312"/>
                <w:color w:val="auto"/>
                <w:kern w:val="0"/>
                <w:sz w:val="13"/>
                <w:szCs w:val="13"/>
                <w:highlight w:val="none"/>
              </w:rPr>
              <w:t>60日；有违法所得的，予以没收。</w:t>
            </w:r>
          </w:p>
        </w:tc>
      </w:tr>
      <w:tr w14:paraId="20C1E19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94" w:hRule="atLeast"/>
          <w:jc w:val="center"/>
        </w:trPr>
        <w:tc>
          <w:tcPr>
            <w:tcW w:w="443" w:type="dxa"/>
            <w:gridSpan w:val="2"/>
            <w:vMerge w:val="continue"/>
            <w:tcBorders>
              <w:tl2br w:val="nil"/>
              <w:tr2bl w:val="nil"/>
            </w:tcBorders>
            <w:vAlign w:val="center"/>
          </w:tcPr>
          <w:p w14:paraId="6193E1E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4BEA35B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vAlign w:val="center"/>
          </w:tcPr>
          <w:p w14:paraId="3CEEACA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vMerge w:val="continue"/>
            <w:tcBorders>
              <w:tl2br w:val="nil"/>
              <w:tr2bl w:val="nil"/>
            </w:tcBorders>
            <w:vAlign w:val="center"/>
          </w:tcPr>
          <w:p w14:paraId="0FA7D0C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3437" w:type="dxa"/>
            <w:gridSpan w:val="2"/>
            <w:tcBorders>
              <w:tl2br w:val="nil"/>
              <w:tr2bl w:val="nil"/>
            </w:tcBorders>
            <w:vAlign w:val="center"/>
          </w:tcPr>
          <w:p w14:paraId="5B67539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（3）造成3人以上5人以下死亡，或者10人以上20人以下重伤，或者1000万元以上2000万元以下直接经济损失的。</w:t>
            </w:r>
          </w:p>
        </w:tc>
        <w:tc>
          <w:tcPr>
            <w:tcW w:w="3058" w:type="dxa"/>
            <w:tcBorders>
              <w:tl2br w:val="nil"/>
              <w:tr2bl w:val="nil"/>
            </w:tcBorders>
            <w:vAlign w:val="center"/>
          </w:tcPr>
          <w:p w14:paraId="7A3D554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对勘察、设计单位或者工程监理单位处合同约定的勘察费、设计费或者监理酬金2倍的罚款；对施工单位处工程合同价款百分之四的罚款；对单位直接负责主管人员和其他直接责任人员处单位罚款数额百分之十的罚款；责令停业整顿60—90日；有违法所得的，予以没收。</w:t>
            </w:r>
          </w:p>
        </w:tc>
      </w:tr>
      <w:tr w14:paraId="462B941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533" w:hRule="atLeast"/>
          <w:jc w:val="center"/>
        </w:trPr>
        <w:tc>
          <w:tcPr>
            <w:tcW w:w="443" w:type="dxa"/>
            <w:gridSpan w:val="2"/>
            <w:vMerge w:val="continue"/>
            <w:tcBorders>
              <w:tl2br w:val="nil"/>
              <w:tr2bl w:val="nil"/>
            </w:tcBorders>
            <w:vAlign w:val="center"/>
          </w:tcPr>
          <w:p w14:paraId="2E25E5A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64824B1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vAlign w:val="center"/>
          </w:tcPr>
          <w:p w14:paraId="7676260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vMerge w:val="continue"/>
            <w:tcBorders>
              <w:tl2br w:val="nil"/>
              <w:tr2bl w:val="nil"/>
            </w:tcBorders>
            <w:vAlign w:val="center"/>
          </w:tcPr>
          <w:p w14:paraId="2CF49EE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3437" w:type="dxa"/>
            <w:gridSpan w:val="2"/>
            <w:tcBorders>
              <w:tl2br w:val="nil"/>
              <w:tr2bl w:val="nil"/>
            </w:tcBorders>
            <w:vAlign w:val="center"/>
          </w:tcPr>
          <w:p w14:paraId="41089D5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（4）造成5人以上7人以下死亡，或者20人以上30人以下重伤，或者2000万元以上3000万元以下直接经济损失的。</w:t>
            </w:r>
          </w:p>
        </w:tc>
        <w:tc>
          <w:tcPr>
            <w:tcW w:w="3058" w:type="dxa"/>
            <w:tcBorders>
              <w:tl2br w:val="nil"/>
              <w:tr2bl w:val="nil"/>
            </w:tcBorders>
            <w:vAlign w:val="center"/>
          </w:tcPr>
          <w:p w14:paraId="4CD094D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对勘察、设计单位或者工程监理单位处合同约定的勘察费、设计费或者监理酬金2倍的罚款；对施工单位处工程合同价款百分之四的罚款；对单位直接负责主管人员和其他直接责任人员处单位罚款数额百分之十的罚款；责令停业整顿90—120日；有违法所得的，予以没收。</w:t>
            </w:r>
          </w:p>
        </w:tc>
      </w:tr>
      <w:tr w14:paraId="3B31A15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657" w:hRule="atLeast"/>
          <w:jc w:val="center"/>
        </w:trPr>
        <w:tc>
          <w:tcPr>
            <w:tcW w:w="443" w:type="dxa"/>
            <w:gridSpan w:val="2"/>
            <w:vMerge w:val="continue"/>
            <w:tcBorders>
              <w:tl2br w:val="nil"/>
              <w:tr2bl w:val="nil"/>
            </w:tcBorders>
            <w:vAlign w:val="center"/>
          </w:tcPr>
          <w:p w14:paraId="202135A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041974F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vAlign w:val="center"/>
          </w:tcPr>
          <w:p w14:paraId="24EFAA4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vMerge w:val="continue"/>
            <w:tcBorders>
              <w:tl2br w:val="nil"/>
              <w:tr2bl w:val="nil"/>
            </w:tcBorders>
            <w:vAlign w:val="center"/>
          </w:tcPr>
          <w:p w14:paraId="45F577D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3437" w:type="dxa"/>
            <w:gridSpan w:val="2"/>
            <w:tcBorders>
              <w:tl2br w:val="nil"/>
              <w:tr2bl w:val="nil"/>
            </w:tcBorders>
            <w:vAlign w:val="center"/>
          </w:tcPr>
          <w:p w14:paraId="26C9DB9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（5）造成</w:t>
            </w:r>
            <w:r>
              <w:rPr>
                <w:rFonts w:ascii="仿宋_GB2312" w:hAnsi="宋体" w:eastAsia="仿宋_GB2312"/>
                <w:color w:val="auto"/>
                <w:kern w:val="0"/>
                <w:sz w:val="13"/>
                <w:szCs w:val="13"/>
                <w:highlight w:val="none"/>
              </w:rPr>
              <w:t>7</w:t>
            </w:r>
            <w:r>
              <w:rPr>
                <w:rFonts w:hint="eastAsia" w:ascii="仿宋_GB2312" w:hAnsi="宋体" w:eastAsia="仿宋_GB2312"/>
                <w:color w:val="auto"/>
                <w:kern w:val="0"/>
                <w:sz w:val="13"/>
                <w:szCs w:val="13"/>
                <w:highlight w:val="none"/>
              </w:rPr>
              <w:t>人以上</w:t>
            </w:r>
            <w:r>
              <w:rPr>
                <w:rFonts w:ascii="仿宋_GB2312" w:hAnsi="宋体" w:eastAsia="仿宋_GB2312"/>
                <w:color w:val="auto"/>
                <w:kern w:val="0"/>
                <w:sz w:val="13"/>
                <w:szCs w:val="13"/>
                <w:highlight w:val="none"/>
              </w:rPr>
              <w:t>10</w:t>
            </w:r>
            <w:r>
              <w:rPr>
                <w:rFonts w:hint="eastAsia" w:ascii="仿宋_GB2312" w:hAnsi="宋体" w:eastAsia="仿宋_GB2312"/>
                <w:color w:val="auto"/>
                <w:kern w:val="0"/>
                <w:sz w:val="13"/>
                <w:szCs w:val="13"/>
                <w:highlight w:val="none"/>
              </w:rPr>
              <w:t>人以下死亡，或者</w:t>
            </w:r>
            <w:r>
              <w:rPr>
                <w:rFonts w:ascii="仿宋_GB2312" w:hAnsi="宋体" w:eastAsia="仿宋_GB2312"/>
                <w:color w:val="auto"/>
                <w:kern w:val="0"/>
                <w:sz w:val="13"/>
                <w:szCs w:val="13"/>
                <w:highlight w:val="none"/>
              </w:rPr>
              <w:t>30</w:t>
            </w:r>
            <w:r>
              <w:rPr>
                <w:rFonts w:hint="eastAsia" w:ascii="仿宋_GB2312" w:hAnsi="宋体" w:eastAsia="仿宋_GB2312"/>
                <w:color w:val="auto"/>
                <w:kern w:val="0"/>
                <w:sz w:val="13"/>
                <w:szCs w:val="13"/>
                <w:highlight w:val="none"/>
              </w:rPr>
              <w:t>人以上</w:t>
            </w:r>
            <w:r>
              <w:rPr>
                <w:rFonts w:ascii="仿宋_GB2312" w:hAnsi="宋体" w:eastAsia="仿宋_GB2312"/>
                <w:color w:val="auto"/>
                <w:kern w:val="0"/>
                <w:sz w:val="13"/>
                <w:szCs w:val="13"/>
                <w:highlight w:val="none"/>
              </w:rPr>
              <w:t>50</w:t>
            </w:r>
            <w:r>
              <w:rPr>
                <w:rFonts w:hint="eastAsia" w:ascii="仿宋_GB2312" w:hAnsi="宋体" w:eastAsia="仿宋_GB2312"/>
                <w:color w:val="auto"/>
                <w:kern w:val="0"/>
                <w:sz w:val="13"/>
                <w:szCs w:val="13"/>
                <w:highlight w:val="none"/>
              </w:rPr>
              <w:t>人以下重伤，或者</w:t>
            </w:r>
            <w:r>
              <w:rPr>
                <w:rFonts w:ascii="仿宋_GB2312" w:hAnsi="宋体" w:eastAsia="仿宋_GB2312"/>
                <w:color w:val="auto"/>
                <w:kern w:val="0"/>
                <w:sz w:val="13"/>
                <w:szCs w:val="13"/>
                <w:highlight w:val="none"/>
              </w:rPr>
              <w:t>3000</w:t>
            </w:r>
            <w:r>
              <w:rPr>
                <w:rFonts w:hint="eastAsia" w:ascii="仿宋_GB2312" w:hAnsi="宋体" w:eastAsia="仿宋_GB2312"/>
                <w:color w:val="auto"/>
                <w:kern w:val="0"/>
                <w:sz w:val="13"/>
                <w:szCs w:val="13"/>
                <w:highlight w:val="none"/>
              </w:rPr>
              <w:t>万元以上</w:t>
            </w:r>
            <w:r>
              <w:rPr>
                <w:rFonts w:ascii="仿宋_GB2312" w:hAnsi="宋体" w:eastAsia="仿宋_GB2312"/>
                <w:color w:val="auto"/>
                <w:kern w:val="0"/>
                <w:sz w:val="13"/>
                <w:szCs w:val="13"/>
                <w:highlight w:val="none"/>
              </w:rPr>
              <w:t>5000</w:t>
            </w:r>
            <w:r>
              <w:rPr>
                <w:rFonts w:hint="eastAsia" w:ascii="仿宋_GB2312" w:hAnsi="宋体" w:eastAsia="仿宋_GB2312"/>
                <w:color w:val="auto"/>
                <w:kern w:val="0"/>
                <w:sz w:val="13"/>
                <w:szCs w:val="13"/>
                <w:highlight w:val="none"/>
              </w:rPr>
              <w:t>万元以下直接经济损失的。</w:t>
            </w:r>
          </w:p>
        </w:tc>
        <w:tc>
          <w:tcPr>
            <w:tcW w:w="3058" w:type="dxa"/>
            <w:tcBorders>
              <w:tl2br w:val="nil"/>
              <w:tr2bl w:val="nil"/>
            </w:tcBorders>
            <w:vAlign w:val="center"/>
          </w:tcPr>
          <w:p w14:paraId="42877C0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对勘察、设计单位或者工程监理单位处合同约定的勘察费、设计费或者监理酬金2倍的罚款；对施工单位处工程合同价款百分之四的罚款；对单位直接负责主管人员和其他直接责任人员处单位罚款数额百分之十的罚款；责令停业整顿120—180日；有违法所得的，予以没收。</w:t>
            </w:r>
          </w:p>
        </w:tc>
      </w:tr>
      <w:tr w14:paraId="2697672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94" w:hRule="atLeast"/>
          <w:jc w:val="center"/>
        </w:trPr>
        <w:tc>
          <w:tcPr>
            <w:tcW w:w="443" w:type="dxa"/>
            <w:gridSpan w:val="2"/>
            <w:vMerge w:val="continue"/>
            <w:tcBorders>
              <w:tl2br w:val="nil"/>
              <w:tr2bl w:val="nil"/>
            </w:tcBorders>
            <w:vAlign w:val="center"/>
          </w:tcPr>
          <w:p w14:paraId="3430589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1EE5D1A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vAlign w:val="center"/>
          </w:tcPr>
          <w:p w14:paraId="40377C8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vMerge w:val="continue"/>
            <w:tcBorders>
              <w:tl2br w:val="nil"/>
              <w:tr2bl w:val="nil"/>
            </w:tcBorders>
            <w:vAlign w:val="center"/>
          </w:tcPr>
          <w:p w14:paraId="76CAE0C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3437" w:type="dxa"/>
            <w:gridSpan w:val="2"/>
            <w:tcBorders>
              <w:tl2br w:val="nil"/>
              <w:tr2bl w:val="nil"/>
            </w:tcBorders>
            <w:vAlign w:val="center"/>
          </w:tcPr>
          <w:p w14:paraId="388A7A7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（6）造成重大质量安全事故；或造成分部工程存在严重缺陷，经返修和加固处理仍不能满足安全使用要求。</w:t>
            </w:r>
          </w:p>
        </w:tc>
        <w:tc>
          <w:tcPr>
            <w:tcW w:w="3058" w:type="dxa"/>
            <w:tcBorders>
              <w:tl2br w:val="nil"/>
              <w:tr2bl w:val="nil"/>
            </w:tcBorders>
            <w:vAlign w:val="center"/>
          </w:tcPr>
          <w:p w14:paraId="43C47CF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对勘察、设计单位或者工程监理单位处合同约定的勘察费、设计费或者监理酬金2倍的罚款；对施工单位处工程合同价款百分之四的罚款；对单位直接负责主管人员和其他直接责任人员处单位罚款数额百分之十的罚款；降低资质等级；有违法所得的，予以没收。</w:t>
            </w:r>
          </w:p>
        </w:tc>
      </w:tr>
      <w:tr w14:paraId="7012381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94" w:hRule="atLeast"/>
          <w:jc w:val="center"/>
        </w:trPr>
        <w:tc>
          <w:tcPr>
            <w:tcW w:w="443" w:type="dxa"/>
            <w:gridSpan w:val="2"/>
            <w:vMerge w:val="continue"/>
            <w:tcBorders>
              <w:tl2br w:val="nil"/>
              <w:tr2bl w:val="nil"/>
            </w:tcBorders>
            <w:vAlign w:val="center"/>
          </w:tcPr>
          <w:p w14:paraId="08A2A2C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17EC013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vAlign w:val="center"/>
          </w:tcPr>
          <w:p w14:paraId="4E161F4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vMerge w:val="continue"/>
            <w:tcBorders>
              <w:tl2br w:val="nil"/>
              <w:tr2bl w:val="nil"/>
            </w:tcBorders>
            <w:vAlign w:val="center"/>
          </w:tcPr>
          <w:p w14:paraId="2EC3967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3437" w:type="dxa"/>
            <w:gridSpan w:val="2"/>
            <w:tcBorders>
              <w:tl2br w:val="nil"/>
              <w:tr2bl w:val="nil"/>
            </w:tcBorders>
            <w:vAlign w:val="center"/>
          </w:tcPr>
          <w:p w14:paraId="11572A5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default" w:ascii="仿宋_GB2312" w:hAnsi="宋体" w:eastAsia="仿宋_GB2312"/>
                <w:color w:val="auto"/>
                <w:kern w:val="0"/>
                <w:sz w:val="13"/>
                <w:szCs w:val="13"/>
                <w:highlight w:val="none"/>
                <w:lang w:val="en-US" w:eastAsia="zh-CN"/>
              </w:rPr>
            </w:pPr>
            <w:r>
              <w:rPr>
                <w:rFonts w:hint="eastAsia" w:ascii="仿宋_GB2312" w:hAnsi="宋体" w:eastAsia="仿宋_GB2312"/>
                <w:color w:val="auto"/>
                <w:kern w:val="0"/>
                <w:sz w:val="13"/>
                <w:szCs w:val="13"/>
                <w:highlight w:val="none"/>
              </w:rPr>
              <w:t>（7）造成特别重大质量安全事故；或造成单位（子单位）工程存在严重缺陷，经返修和加固处理仍不能满足安全使用要求</w:t>
            </w:r>
            <w:r>
              <w:rPr>
                <w:rFonts w:hint="eastAsia" w:ascii="仿宋_GB2312" w:hAnsi="宋体" w:eastAsia="仿宋_GB2312"/>
                <w:color w:val="auto"/>
                <w:kern w:val="0"/>
                <w:sz w:val="13"/>
                <w:szCs w:val="13"/>
                <w:highlight w:val="none"/>
                <w:lang w:eastAsia="zh-CN"/>
              </w:rPr>
              <w:t>；</w:t>
            </w:r>
            <w:r>
              <w:rPr>
                <w:rFonts w:hint="eastAsia" w:ascii="仿宋_GB2312" w:hAnsi="宋体" w:eastAsia="仿宋_GB2312"/>
                <w:color w:val="auto"/>
                <w:kern w:val="0"/>
                <w:sz w:val="13"/>
                <w:szCs w:val="13"/>
                <w:highlight w:val="none"/>
                <w:lang w:val="en-US" w:eastAsia="zh-CN"/>
              </w:rPr>
              <w:t>或造成特别严重社会影响的。</w:t>
            </w:r>
          </w:p>
        </w:tc>
        <w:tc>
          <w:tcPr>
            <w:tcW w:w="3058" w:type="dxa"/>
            <w:tcBorders>
              <w:tl2br w:val="nil"/>
              <w:tr2bl w:val="nil"/>
            </w:tcBorders>
            <w:vAlign w:val="center"/>
          </w:tcPr>
          <w:p w14:paraId="60F5444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对勘察、设计单位或者工程监理单位处合同约定的勘察费、设计费或者监理酬金2倍的罚款；对施工单位处工程合同价款百分之四的罚款；对单位直接负责主管人员和其他直接责任人员处单位罚款数额百分之十的罚款；吊销资质证书；有违法所得的，予以没收。</w:t>
            </w:r>
          </w:p>
        </w:tc>
      </w:tr>
      <w:tr w14:paraId="234E623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472" w:hRule="atLeast"/>
          <w:jc w:val="center"/>
        </w:trPr>
        <w:tc>
          <w:tcPr>
            <w:tcW w:w="443" w:type="dxa"/>
            <w:gridSpan w:val="2"/>
            <w:vMerge w:val="restart"/>
            <w:tcBorders>
              <w:tl2br w:val="nil"/>
              <w:tr2bl w:val="nil"/>
            </w:tcBorders>
            <w:vAlign w:val="center"/>
          </w:tcPr>
          <w:p w14:paraId="401B2664">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Times New Roman"/>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83</w:t>
            </w:r>
          </w:p>
        </w:tc>
        <w:tc>
          <w:tcPr>
            <w:tcW w:w="1550" w:type="dxa"/>
            <w:vMerge w:val="restart"/>
            <w:tcBorders>
              <w:tl2br w:val="nil"/>
              <w:tr2bl w:val="nil"/>
            </w:tcBorders>
            <w:vAlign w:val="center"/>
          </w:tcPr>
          <w:p w14:paraId="60E674E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46" w:firstLineChars="100"/>
              <w:jc w:val="left"/>
              <w:rPr>
                <w:rFonts w:ascii="宋体" w:hAnsi="宋体" w:cs="Arial"/>
                <w:color w:val="auto"/>
                <w:spacing w:val="8"/>
                <w:kern w:val="0"/>
                <w:sz w:val="13"/>
                <w:szCs w:val="13"/>
                <w:highlight w:val="none"/>
              </w:rPr>
            </w:pPr>
          </w:p>
          <w:p w14:paraId="06EB028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p w14:paraId="77393E2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宋体" w:hAnsi="宋体" w:cs="宋体"/>
                <w:color w:val="auto"/>
                <w:kern w:val="0"/>
                <w:sz w:val="13"/>
                <w:szCs w:val="13"/>
                <w:highlight w:val="none"/>
              </w:rPr>
            </w:pPr>
            <w:r>
              <w:rPr>
                <w:rFonts w:hint="eastAsia" w:ascii="仿宋_GB2312" w:hAnsi="宋体" w:eastAsia="仿宋_GB2312"/>
                <w:color w:val="auto"/>
                <w:kern w:val="0"/>
                <w:sz w:val="13"/>
                <w:szCs w:val="13"/>
                <w:highlight w:val="none"/>
              </w:rPr>
              <w:t>未取得资质证书承揽工程</w:t>
            </w:r>
          </w:p>
        </w:tc>
        <w:tc>
          <w:tcPr>
            <w:tcW w:w="4820" w:type="dxa"/>
            <w:vMerge w:val="restart"/>
            <w:tcBorders>
              <w:tl2br w:val="nil"/>
              <w:tr2bl w:val="nil"/>
            </w:tcBorders>
            <w:vAlign w:val="center"/>
          </w:tcPr>
          <w:p w14:paraId="79252C2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p w14:paraId="00B41AF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p w14:paraId="244BA5E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p w14:paraId="090B9B2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p w14:paraId="4E74A0D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《建设工程质量管理条例》第六十条</w:t>
            </w:r>
            <w:r>
              <w:rPr>
                <w:rFonts w:ascii="仿宋_GB2312" w:hAnsi="宋体" w:eastAsia="仿宋_GB2312"/>
                <w:color w:val="auto"/>
                <w:kern w:val="0"/>
                <w:sz w:val="13"/>
                <w:szCs w:val="13"/>
                <w:highlight w:val="none"/>
              </w:rPr>
              <w:t>第一款</w:t>
            </w:r>
            <w:r>
              <w:rPr>
                <w:rFonts w:hint="eastAsia" w:ascii="仿宋_GB2312" w:hAnsi="宋体" w:eastAsia="仿宋_GB2312"/>
                <w:color w:val="auto"/>
                <w:kern w:val="0"/>
                <w:sz w:val="13"/>
                <w:szCs w:val="13"/>
                <w:highlight w:val="none"/>
              </w:rPr>
              <w:t>/第二款</w:t>
            </w:r>
          </w:p>
          <w:p w14:paraId="554B4BEC">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违反本条例规定，勘察、设计、施工、工程监理单位超越本单位资质等级承揽工程的，责令停止违法行为，对勘察、设计单位或者工程监理单位处合同约定的勘察费、设计费或者监理酬金1倍以上2倍以下的罚款；对施工单位处工程合同价款百分之二以上百分之四以下的罚款，可以责令停业整顿，降低资质等级；情节严重的，吊销资质证书；有违法所得的，予以没收。</w:t>
            </w:r>
          </w:p>
          <w:p w14:paraId="0CC10C8F">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未取得资质证书承揽工程的，予以取缔，依照前款规定处以罚款；有违法所得的，予以没收。</w:t>
            </w:r>
          </w:p>
          <w:p w14:paraId="16A91E1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p w14:paraId="35C39EE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《建设工程质量管理条例》第七十三条</w:t>
            </w:r>
          </w:p>
          <w:p w14:paraId="5976FB7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宋体" w:hAnsi="宋体" w:cs="宋体"/>
                <w:color w:val="auto"/>
                <w:kern w:val="0"/>
                <w:sz w:val="13"/>
                <w:szCs w:val="13"/>
                <w:highlight w:val="none"/>
              </w:rPr>
            </w:pPr>
            <w:r>
              <w:rPr>
                <w:rFonts w:hint="eastAsia" w:ascii="仿宋_GB2312" w:hAnsi="宋体" w:eastAsia="仿宋_GB2312"/>
                <w:color w:val="auto"/>
                <w:kern w:val="0"/>
                <w:sz w:val="13"/>
                <w:szCs w:val="13"/>
                <w:highlight w:val="none"/>
              </w:rPr>
              <w:t>依照本条例规定，给予单位罚款处罚的，对单位直接负责的主管人员和其他直接责任人员处单位罚款数额百分之五以上百分之十以下的罚款。</w:t>
            </w:r>
          </w:p>
        </w:tc>
        <w:tc>
          <w:tcPr>
            <w:tcW w:w="823" w:type="dxa"/>
            <w:tcBorders>
              <w:tl2br w:val="nil"/>
              <w:tr2bl w:val="nil"/>
            </w:tcBorders>
            <w:vAlign w:val="center"/>
          </w:tcPr>
          <w:p w14:paraId="421C697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vAlign w:val="center"/>
          </w:tcPr>
          <w:p w14:paraId="7E32CD5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初次违法，危害后果轻微，主动消除或减轻违法行为危害后果的。</w:t>
            </w:r>
          </w:p>
        </w:tc>
        <w:tc>
          <w:tcPr>
            <w:tcW w:w="3058" w:type="dxa"/>
            <w:tcBorders>
              <w:tl2br w:val="nil"/>
              <w:tr2bl w:val="nil"/>
            </w:tcBorders>
            <w:vAlign w:val="center"/>
          </w:tcPr>
          <w:p w14:paraId="7FEF7B3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对勘察、设计单位或者工程监理单位处合同约定的勘察费、设计费或监理酬金</w:t>
            </w:r>
            <w:r>
              <w:rPr>
                <w:rFonts w:ascii="仿宋_GB2312" w:hAnsi="宋体" w:eastAsia="仿宋_GB2312"/>
                <w:color w:val="auto"/>
                <w:kern w:val="0"/>
                <w:sz w:val="13"/>
                <w:szCs w:val="13"/>
                <w:highlight w:val="none"/>
              </w:rPr>
              <w:t>1</w:t>
            </w:r>
            <w:r>
              <w:rPr>
                <w:rFonts w:hint="eastAsia" w:ascii="仿宋_GB2312" w:hAnsi="宋体" w:eastAsia="仿宋_GB2312"/>
                <w:color w:val="auto"/>
                <w:kern w:val="0"/>
                <w:sz w:val="13"/>
                <w:szCs w:val="13"/>
                <w:highlight w:val="none"/>
              </w:rPr>
              <w:t>倍以上1.2倍以下的罚款；对施工单位处工程合同价款百分之二以上百分之二点二以下的罚款；对单位直接负责主管人员和其他直接责任人员处单位罚款数额百分之五以上百分之六以下的罚款；未取得资质证书承揽工程的，予以取缔；有违法所得的，予以没收。</w:t>
            </w:r>
          </w:p>
        </w:tc>
      </w:tr>
      <w:tr w14:paraId="398AA4B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0" w:hRule="atLeast"/>
          <w:jc w:val="center"/>
        </w:trPr>
        <w:tc>
          <w:tcPr>
            <w:tcW w:w="443" w:type="dxa"/>
            <w:gridSpan w:val="2"/>
            <w:vMerge w:val="continue"/>
            <w:tcBorders>
              <w:tl2br w:val="nil"/>
              <w:tr2bl w:val="nil"/>
            </w:tcBorders>
            <w:vAlign w:val="center"/>
          </w:tcPr>
          <w:p w14:paraId="630DFB4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7E0DB86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vAlign w:val="center"/>
          </w:tcPr>
          <w:p w14:paraId="55F0313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tcBorders>
              <w:tl2br w:val="nil"/>
              <w:tr2bl w:val="nil"/>
            </w:tcBorders>
            <w:vAlign w:val="center"/>
          </w:tcPr>
          <w:p w14:paraId="783CD14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olor w:val="auto"/>
                <w:kern w:val="0"/>
                <w:sz w:val="13"/>
                <w:szCs w:val="13"/>
                <w:highlight w:val="none"/>
              </w:rPr>
            </w:pPr>
          </w:p>
          <w:p w14:paraId="60922D3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一般情节</w:t>
            </w:r>
          </w:p>
        </w:tc>
        <w:tc>
          <w:tcPr>
            <w:tcW w:w="3437" w:type="dxa"/>
            <w:gridSpan w:val="2"/>
            <w:tcBorders>
              <w:tl2br w:val="nil"/>
              <w:tr2bl w:val="nil"/>
            </w:tcBorders>
            <w:vAlign w:val="center"/>
          </w:tcPr>
          <w:p w14:paraId="11BB21C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不具有从轻、</w:t>
            </w:r>
            <w:r>
              <w:rPr>
                <w:rFonts w:hint="eastAsia" w:ascii="仿宋_GB2312" w:hAnsi="宋体" w:eastAsia="仿宋_GB2312"/>
                <w:color w:val="auto"/>
                <w:kern w:val="0"/>
                <w:sz w:val="13"/>
                <w:szCs w:val="13"/>
                <w:highlight w:val="none"/>
                <w:lang w:eastAsia="zh-CN"/>
              </w:rPr>
              <w:t>从重情节</w:t>
            </w:r>
            <w:r>
              <w:rPr>
                <w:rFonts w:hint="eastAsia" w:ascii="仿宋_GB2312" w:hAnsi="宋体" w:eastAsia="仿宋_GB2312"/>
                <w:color w:val="auto"/>
                <w:kern w:val="0"/>
                <w:sz w:val="13"/>
                <w:szCs w:val="13"/>
                <w:highlight w:val="none"/>
              </w:rPr>
              <w:t>的。</w:t>
            </w:r>
          </w:p>
        </w:tc>
        <w:tc>
          <w:tcPr>
            <w:tcW w:w="3058" w:type="dxa"/>
            <w:tcBorders>
              <w:tl2br w:val="nil"/>
              <w:tr2bl w:val="nil"/>
            </w:tcBorders>
            <w:vAlign w:val="center"/>
          </w:tcPr>
          <w:p w14:paraId="004CE96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对勘察、设计单位或者工程监理单位处合同约定的勘察费、设计费或监理酬金</w:t>
            </w:r>
            <w:r>
              <w:rPr>
                <w:rFonts w:ascii="仿宋_GB2312" w:hAnsi="宋体" w:eastAsia="仿宋_GB2312"/>
                <w:color w:val="auto"/>
                <w:kern w:val="0"/>
                <w:sz w:val="13"/>
                <w:szCs w:val="13"/>
                <w:highlight w:val="none"/>
              </w:rPr>
              <w:t>1</w:t>
            </w:r>
            <w:r>
              <w:rPr>
                <w:rFonts w:hint="eastAsia" w:ascii="仿宋_GB2312" w:hAnsi="宋体" w:eastAsia="仿宋_GB2312"/>
                <w:color w:val="auto"/>
                <w:kern w:val="0"/>
                <w:sz w:val="13"/>
                <w:szCs w:val="13"/>
                <w:highlight w:val="none"/>
              </w:rPr>
              <w:t>.2倍以上1.7倍以下的罚款；对施工单位处工程合同价款百分之二点二以上百分之三点五以下的罚款；对单位直接负责主管人员和其他直接责任人员处单位罚款数额百分之六以上百分之八点五以下的罚款；未取得资质证书承揽工程的，予以取缔；有违法所得的，予以没收。</w:t>
            </w:r>
          </w:p>
        </w:tc>
      </w:tr>
      <w:tr w14:paraId="37D203F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551" w:hRule="atLeast"/>
          <w:jc w:val="center"/>
        </w:trPr>
        <w:tc>
          <w:tcPr>
            <w:tcW w:w="443" w:type="dxa"/>
            <w:gridSpan w:val="2"/>
            <w:vMerge w:val="continue"/>
            <w:tcBorders>
              <w:tl2br w:val="nil"/>
              <w:tr2bl w:val="nil"/>
            </w:tcBorders>
            <w:vAlign w:val="center"/>
          </w:tcPr>
          <w:p w14:paraId="038FB38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2D0E1F1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vAlign w:val="center"/>
          </w:tcPr>
          <w:p w14:paraId="1B5D9D2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vMerge w:val="restart"/>
            <w:tcBorders>
              <w:tl2br w:val="nil"/>
              <w:tr2bl w:val="nil"/>
            </w:tcBorders>
            <w:vAlign w:val="center"/>
          </w:tcPr>
          <w:p w14:paraId="3274B8D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从重情节</w:t>
            </w:r>
          </w:p>
        </w:tc>
        <w:tc>
          <w:tcPr>
            <w:tcW w:w="3437" w:type="dxa"/>
            <w:gridSpan w:val="2"/>
            <w:tcBorders>
              <w:tl2br w:val="nil"/>
              <w:tr2bl w:val="nil"/>
            </w:tcBorders>
            <w:vAlign w:val="center"/>
          </w:tcPr>
          <w:p w14:paraId="0D19349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（1）造成一般质量、安全事故的。</w:t>
            </w:r>
          </w:p>
        </w:tc>
        <w:tc>
          <w:tcPr>
            <w:tcW w:w="3058" w:type="dxa"/>
            <w:tcBorders>
              <w:tl2br w:val="nil"/>
              <w:tr2bl w:val="nil"/>
            </w:tcBorders>
            <w:vAlign w:val="center"/>
          </w:tcPr>
          <w:p w14:paraId="4123BCA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对勘察、设计单位或者工程监理单位处合同约定的勘察费、设计费或监理酬金1.7倍以上2倍以下的罚款；对施工单位处工程合同价款百分之三点五以上百分之四以下的罚款；对单位直接负责主管人员和其他直接责任人员处单位罚款数额百分之八点五以上百分之十以下的罚款；可以责令停业整顿，降低资质等级；未取得资质证书承揽工程的，予以取缔；有违法所得的，予以没收。</w:t>
            </w:r>
          </w:p>
        </w:tc>
      </w:tr>
      <w:tr w14:paraId="4F274EB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472" w:hRule="atLeast"/>
          <w:jc w:val="center"/>
        </w:trPr>
        <w:tc>
          <w:tcPr>
            <w:tcW w:w="443" w:type="dxa"/>
            <w:gridSpan w:val="2"/>
            <w:vMerge w:val="continue"/>
            <w:tcBorders>
              <w:tl2br w:val="nil"/>
              <w:tr2bl w:val="nil"/>
            </w:tcBorders>
            <w:vAlign w:val="center"/>
          </w:tcPr>
          <w:p w14:paraId="7380C33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7935805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vAlign w:val="center"/>
          </w:tcPr>
          <w:p w14:paraId="22B584A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vMerge w:val="continue"/>
            <w:tcBorders>
              <w:tl2br w:val="nil"/>
              <w:tr2bl w:val="nil"/>
            </w:tcBorders>
            <w:vAlign w:val="center"/>
          </w:tcPr>
          <w:p w14:paraId="578D407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3437" w:type="dxa"/>
            <w:gridSpan w:val="2"/>
            <w:tcBorders>
              <w:tl2br w:val="nil"/>
              <w:tr2bl w:val="nil"/>
            </w:tcBorders>
            <w:vAlign w:val="center"/>
          </w:tcPr>
          <w:p w14:paraId="3A4413E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（2）3年内2次以上同类型违法；造成较大以上质量、安全事故的。</w:t>
            </w:r>
          </w:p>
        </w:tc>
        <w:tc>
          <w:tcPr>
            <w:tcW w:w="3058" w:type="dxa"/>
            <w:tcBorders>
              <w:tl2br w:val="nil"/>
              <w:tr2bl w:val="nil"/>
            </w:tcBorders>
            <w:vAlign w:val="center"/>
          </w:tcPr>
          <w:p w14:paraId="37CB746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对勘察、设计单位或者工程监理单位处合同约定的勘察费、设计费或监理酬金2倍的罚款；对施工单位处工程合同价款百分之四的罚款；对单位直接负责主管人员和其他直接责任人员处单位罚款数额百分之十的罚款；吊销资质证书；未取得资质证书承揽工程的，予以取缔；有违法所得的，予以没收。</w:t>
            </w:r>
          </w:p>
        </w:tc>
      </w:tr>
      <w:tr w14:paraId="4232709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472" w:hRule="atLeast"/>
          <w:jc w:val="center"/>
        </w:trPr>
        <w:tc>
          <w:tcPr>
            <w:tcW w:w="443" w:type="dxa"/>
            <w:gridSpan w:val="2"/>
            <w:vMerge w:val="restart"/>
            <w:tcBorders>
              <w:tl2br w:val="nil"/>
              <w:tr2bl w:val="nil"/>
            </w:tcBorders>
            <w:vAlign w:val="center"/>
          </w:tcPr>
          <w:p w14:paraId="2E45C975">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Times New Roman"/>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84</w:t>
            </w:r>
          </w:p>
        </w:tc>
        <w:tc>
          <w:tcPr>
            <w:tcW w:w="1550" w:type="dxa"/>
            <w:vMerge w:val="restart"/>
            <w:tcBorders>
              <w:tl2br w:val="nil"/>
              <w:tr2bl w:val="nil"/>
            </w:tcBorders>
            <w:vAlign w:val="center"/>
          </w:tcPr>
          <w:p w14:paraId="16B072A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宋体" w:hAnsi="宋体" w:cs="Arial"/>
                <w:color w:val="auto"/>
                <w:spacing w:val="8"/>
                <w:kern w:val="0"/>
                <w:sz w:val="13"/>
                <w:szCs w:val="13"/>
                <w:highlight w:val="none"/>
              </w:rPr>
            </w:pPr>
          </w:p>
          <w:p w14:paraId="6D87093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宋体" w:hAnsi="宋体" w:cs="Arial"/>
                <w:color w:val="auto"/>
                <w:spacing w:val="8"/>
                <w:kern w:val="0"/>
                <w:sz w:val="13"/>
                <w:szCs w:val="13"/>
                <w:highlight w:val="none"/>
              </w:rPr>
            </w:pPr>
          </w:p>
          <w:p w14:paraId="1CEDAE1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宋体" w:hAnsi="宋体" w:cs="Arial"/>
                <w:color w:val="auto"/>
                <w:spacing w:val="8"/>
                <w:kern w:val="0"/>
                <w:sz w:val="13"/>
                <w:szCs w:val="13"/>
                <w:highlight w:val="none"/>
              </w:rPr>
            </w:pPr>
          </w:p>
          <w:p w14:paraId="2087449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宋体" w:hAnsi="宋体" w:cs="Arial"/>
                <w:color w:val="auto"/>
                <w:spacing w:val="8"/>
                <w:kern w:val="0"/>
                <w:sz w:val="13"/>
                <w:szCs w:val="13"/>
                <w:highlight w:val="none"/>
              </w:rPr>
            </w:pPr>
          </w:p>
          <w:p w14:paraId="610B4D7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宋体" w:hAnsi="宋体" w:cs="Arial"/>
                <w:color w:val="auto"/>
                <w:spacing w:val="8"/>
                <w:kern w:val="0"/>
                <w:sz w:val="13"/>
                <w:szCs w:val="13"/>
                <w:highlight w:val="none"/>
              </w:rPr>
            </w:pPr>
          </w:p>
          <w:p w14:paraId="51E1207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宋体" w:hAnsi="宋体" w:cs="宋体"/>
                <w:color w:val="auto"/>
                <w:kern w:val="0"/>
                <w:sz w:val="13"/>
                <w:szCs w:val="13"/>
                <w:highlight w:val="none"/>
              </w:rPr>
            </w:pPr>
            <w:r>
              <w:rPr>
                <w:rFonts w:hint="eastAsia" w:ascii="仿宋_GB2312" w:hAnsi="宋体" w:eastAsia="仿宋_GB2312"/>
                <w:color w:val="auto"/>
                <w:kern w:val="0"/>
                <w:sz w:val="13"/>
                <w:szCs w:val="13"/>
                <w:highlight w:val="none"/>
              </w:rPr>
              <w:t>以欺骗手段取得资质证书承揽工程</w:t>
            </w:r>
          </w:p>
        </w:tc>
        <w:tc>
          <w:tcPr>
            <w:tcW w:w="4820" w:type="dxa"/>
            <w:vMerge w:val="restart"/>
            <w:tcBorders>
              <w:tl2br w:val="nil"/>
              <w:tr2bl w:val="nil"/>
            </w:tcBorders>
            <w:vAlign w:val="center"/>
          </w:tcPr>
          <w:p w14:paraId="35244CC4">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p w14:paraId="3DFF1A5F">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p w14:paraId="281A24CF">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p w14:paraId="7E0FB814">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《建设工程质量管理条例》第六十条</w:t>
            </w:r>
            <w:r>
              <w:rPr>
                <w:rFonts w:ascii="仿宋_GB2312" w:hAnsi="宋体" w:eastAsia="仿宋_GB2312"/>
                <w:color w:val="auto"/>
                <w:kern w:val="0"/>
                <w:sz w:val="13"/>
                <w:szCs w:val="13"/>
                <w:highlight w:val="none"/>
              </w:rPr>
              <w:t>第一款</w:t>
            </w:r>
            <w:r>
              <w:rPr>
                <w:rFonts w:hint="eastAsia" w:ascii="仿宋_GB2312" w:hAnsi="宋体" w:eastAsia="仿宋_GB2312"/>
                <w:color w:val="auto"/>
                <w:kern w:val="0"/>
                <w:sz w:val="13"/>
                <w:szCs w:val="13"/>
                <w:highlight w:val="none"/>
              </w:rPr>
              <w:t>/第三款</w:t>
            </w:r>
          </w:p>
          <w:p w14:paraId="76F73A7A">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违反本条例规定，勘察、设计、施工、工程监理单位超越本单位资质等级承揽工程的，责令停止违法行为，对勘察、设计单位或者工程监理单位处合同约定的勘察费、设计费或者监理酬金1倍以上2倍以下的罚款；对施工单位处工程合同价款百分之二以上百分之四以下的罚款，可以责令停业整顿，降低资质等级；情节严重的，吊销资质证书；有违法所得的，予以没收。</w:t>
            </w:r>
          </w:p>
          <w:p w14:paraId="4C156F9B">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以欺骗手段取得资质证书承揽工程的，吊销资质证书，依照本条第一款规定处以罚款；有违法所得的，予以没收。</w:t>
            </w:r>
          </w:p>
          <w:p w14:paraId="6BDD8DFC">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p w14:paraId="31972453">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《建设工程质量管理条例》第七十三条</w:t>
            </w:r>
          </w:p>
          <w:p w14:paraId="5E79ADD3">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宋体" w:hAnsi="宋体" w:cs="宋体"/>
                <w:color w:val="auto"/>
                <w:kern w:val="0"/>
                <w:sz w:val="13"/>
                <w:szCs w:val="13"/>
                <w:highlight w:val="none"/>
              </w:rPr>
            </w:pPr>
            <w:r>
              <w:rPr>
                <w:rFonts w:hint="eastAsia" w:ascii="仿宋_GB2312" w:hAnsi="宋体" w:eastAsia="仿宋_GB2312"/>
                <w:color w:val="auto"/>
                <w:kern w:val="0"/>
                <w:sz w:val="13"/>
                <w:szCs w:val="13"/>
                <w:highlight w:val="none"/>
              </w:rPr>
              <w:t>依照本条例规定，给予单位罚款处罚的，对单位直接负责的主管人员和其他直接责任人员处单位罚款数额百分之五以上百分之十以下的罚款。</w:t>
            </w:r>
          </w:p>
        </w:tc>
        <w:tc>
          <w:tcPr>
            <w:tcW w:w="823" w:type="dxa"/>
            <w:tcBorders>
              <w:tl2br w:val="nil"/>
              <w:tr2bl w:val="nil"/>
            </w:tcBorders>
            <w:vAlign w:val="center"/>
          </w:tcPr>
          <w:p w14:paraId="7744D46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vAlign w:val="center"/>
          </w:tcPr>
          <w:p w14:paraId="135F41E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初次违法，危害后果轻微，主动消除或减轻违法行为危害后果的。</w:t>
            </w:r>
          </w:p>
        </w:tc>
        <w:tc>
          <w:tcPr>
            <w:tcW w:w="3058" w:type="dxa"/>
            <w:tcBorders>
              <w:tl2br w:val="nil"/>
              <w:tr2bl w:val="nil"/>
            </w:tcBorders>
            <w:vAlign w:val="center"/>
          </w:tcPr>
          <w:p w14:paraId="609B9E98">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吊销资质证书；对勘察、设计单位或者工程监理单位处合同约定的勘察费、设计费或监理酬金</w:t>
            </w:r>
            <w:r>
              <w:rPr>
                <w:rFonts w:ascii="仿宋_GB2312" w:hAnsi="宋体" w:eastAsia="仿宋_GB2312"/>
                <w:color w:val="auto"/>
                <w:kern w:val="0"/>
                <w:sz w:val="13"/>
                <w:szCs w:val="13"/>
                <w:highlight w:val="none"/>
              </w:rPr>
              <w:t>1</w:t>
            </w:r>
            <w:r>
              <w:rPr>
                <w:rFonts w:hint="eastAsia" w:ascii="仿宋_GB2312" w:hAnsi="宋体" w:eastAsia="仿宋_GB2312"/>
                <w:color w:val="auto"/>
                <w:kern w:val="0"/>
                <w:sz w:val="13"/>
                <w:szCs w:val="13"/>
                <w:highlight w:val="none"/>
              </w:rPr>
              <w:t>倍以上1.2倍以下的罚款；对施工单位处工程合同价款百分之二以上百分之二点二以下的罚款；对单位直接负责主管人员和其他直接责任人员处单位罚款数额百分之五以上百分之六以下的罚款；有违法所得的，予以没收。</w:t>
            </w:r>
          </w:p>
        </w:tc>
      </w:tr>
      <w:tr w14:paraId="3BDA96B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472" w:hRule="atLeast"/>
          <w:jc w:val="center"/>
        </w:trPr>
        <w:tc>
          <w:tcPr>
            <w:tcW w:w="443" w:type="dxa"/>
            <w:gridSpan w:val="2"/>
            <w:vMerge w:val="continue"/>
            <w:tcBorders>
              <w:tl2br w:val="nil"/>
              <w:tr2bl w:val="nil"/>
            </w:tcBorders>
            <w:vAlign w:val="center"/>
          </w:tcPr>
          <w:p w14:paraId="0E7824B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55C91E2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vAlign w:val="center"/>
          </w:tcPr>
          <w:p w14:paraId="7CD3517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tcBorders>
              <w:tl2br w:val="nil"/>
              <w:tr2bl w:val="nil"/>
            </w:tcBorders>
            <w:vAlign w:val="center"/>
          </w:tcPr>
          <w:p w14:paraId="7F7532C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一般情节</w:t>
            </w:r>
          </w:p>
        </w:tc>
        <w:tc>
          <w:tcPr>
            <w:tcW w:w="3437" w:type="dxa"/>
            <w:gridSpan w:val="2"/>
            <w:tcBorders>
              <w:tl2br w:val="nil"/>
              <w:tr2bl w:val="nil"/>
            </w:tcBorders>
            <w:vAlign w:val="center"/>
          </w:tcPr>
          <w:p w14:paraId="0AA2CF0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不具有从轻、</w:t>
            </w:r>
            <w:r>
              <w:rPr>
                <w:rFonts w:hint="eastAsia" w:ascii="仿宋_GB2312" w:hAnsi="宋体" w:eastAsia="仿宋_GB2312"/>
                <w:color w:val="auto"/>
                <w:kern w:val="0"/>
                <w:sz w:val="13"/>
                <w:szCs w:val="13"/>
                <w:highlight w:val="none"/>
                <w:lang w:eastAsia="zh-CN"/>
              </w:rPr>
              <w:t>从重情节</w:t>
            </w:r>
            <w:r>
              <w:rPr>
                <w:rFonts w:hint="eastAsia" w:ascii="仿宋_GB2312" w:hAnsi="宋体" w:eastAsia="仿宋_GB2312"/>
                <w:color w:val="auto"/>
                <w:kern w:val="0"/>
                <w:sz w:val="13"/>
                <w:szCs w:val="13"/>
                <w:highlight w:val="none"/>
              </w:rPr>
              <w:t>的。</w:t>
            </w:r>
          </w:p>
        </w:tc>
        <w:tc>
          <w:tcPr>
            <w:tcW w:w="3058" w:type="dxa"/>
            <w:tcBorders>
              <w:tl2br w:val="nil"/>
              <w:tr2bl w:val="nil"/>
            </w:tcBorders>
            <w:vAlign w:val="center"/>
          </w:tcPr>
          <w:p w14:paraId="77AC0B1C">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吊销资质证书；对勘察、设计单位或者工程监理单位处合同约定的勘察费、设计费或监理酬金</w:t>
            </w:r>
            <w:r>
              <w:rPr>
                <w:rFonts w:ascii="仿宋_GB2312" w:hAnsi="宋体" w:eastAsia="仿宋_GB2312"/>
                <w:color w:val="auto"/>
                <w:kern w:val="0"/>
                <w:sz w:val="13"/>
                <w:szCs w:val="13"/>
                <w:highlight w:val="none"/>
              </w:rPr>
              <w:t>1</w:t>
            </w:r>
            <w:r>
              <w:rPr>
                <w:rFonts w:hint="eastAsia" w:ascii="仿宋_GB2312" w:hAnsi="宋体" w:eastAsia="仿宋_GB2312"/>
                <w:color w:val="auto"/>
                <w:kern w:val="0"/>
                <w:sz w:val="13"/>
                <w:szCs w:val="13"/>
                <w:highlight w:val="none"/>
              </w:rPr>
              <w:t>.2倍以上1.7倍以下的罚款；对施工单位处工程合同价款百分之二点二以上百分之三点五以下的罚款；对单位直接负责主管人员和其他直接责任人员处单位罚款数额百分之六以上百分之八点五以下的罚款；有违法所得的，予以没收。</w:t>
            </w:r>
          </w:p>
        </w:tc>
      </w:tr>
      <w:tr w14:paraId="11EF195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8" w:hRule="atLeast"/>
          <w:jc w:val="center"/>
        </w:trPr>
        <w:tc>
          <w:tcPr>
            <w:tcW w:w="443" w:type="dxa"/>
            <w:gridSpan w:val="2"/>
            <w:vMerge w:val="continue"/>
            <w:tcBorders>
              <w:tl2br w:val="nil"/>
              <w:tr2bl w:val="nil"/>
            </w:tcBorders>
            <w:vAlign w:val="center"/>
          </w:tcPr>
          <w:p w14:paraId="023D423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0592570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vAlign w:val="center"/>
          </w:tcPr>
          <w:p w14:paraId="3457A0A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vMerge w:val="restart"/>
            <w:tcBorders>
              <w:tl2br w:val="nil"/>
              <w:tr2bl w:val="nil"/>
            </w:tcBorders>
            <w:vAlign w:val="center"/>
          </w:tcPr>
          <w:p w14:paraId="3A95ACA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从重情节</w:t>
            </w:r>
          </w:p>
        </w:tc>
        <w:tc>
          <w:tcPr>
            <w:tcW w:w="3437" w:type="dxa"/>
            <w:gridSpan w:val="2"/>
            <w:tcBorders>
              <w:tl2br w:val="nil"/>
              <w:tr2bl w:val="nil"/>
            </w:tcBorders>
            <w:vAlign w:val="center"/>
          </w:tcPr>
          <w:p w14:paraId="0DEF651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（1）造成一般质量、安全事故的。</w:t>
            </w:r>
          </w:p>
        </w:tc>
        <w:tc>
          <w:tcPr>
            <w:tcW w:w="3058" w:type="dxa"/>
            <w:tcBorders>
              <w:tl2br w:val="nil"/>
              <w:tr2bl w:val="nil"/>
            </w:tcBorders>
            <w:vAlign w:val="center"/>
          </w:tcPr>
          <w:p w14:paraId="60C4A36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吊销资质证书；对勘察、设计单位或者工程监理单位处合同约定的勘察费、设计费或监理酬金1.7倍以上2倍以下的罚款；对施工单位处工程合同价款百分之三点五以上百分之四以下的罚款；对单位直接负责主管人员和其他直接责任人员处单位罚款数额百分之八点五以上百分之十以下的罚款；有违法所得的，予以没收。</w:t>
            </w:r>
          </w:p>
        </w:tc>
      </w:tr>
      <w:tr w14:paraId="396B032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749" w:hRule="atLeast"/>
          <w:jc w:val="center"/>
        </w:trPr>
        <w:tc>
          <w:tcPr>
            <w:tcW w:w="443" w:type="dxa"/>
            <w:gridSpan w:val="2"/>
            <w:vMerge w:val="continue"/>
            <w:tcBorders>
              <w:tl2br w:val="nil"/>
              <w:tr2bl w:val="nil"/>
            </w:tcBorders>
            <w:vAlign w:val="center"/>
          </w:tcPr>
          <w:p w14:paraId="10F9BAA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30D5FF6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vAlign w:val="center"/>
          </w:tcPr>
          <w:p w14:paraId="1B51992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vMerge w:val="continue"/>
            <w:tcBorders>
              <w:tl2br w:val="nil"/>
              <w:tr2bl w:val="nil"/>
            </w:tcBorders>
            <w:vAlign w:val="center"/>
          </w:tcPr>
          <w:p w14:paraId="171D482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3437" w:type="dxa"/>
            <w:gridSpan w:val="2"/>
            <w:tcBorders>
              <w:tl2br w:val="nil"/>
              <w:tr2bl w:val="nil"/>
            </w:tcBorders>
            <w:vAlign w:val="center"/>
          </w:tcPr>
          <w:p w14:paraId="7B52B1D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（2）造成较大以上质量、安全事故的。</w:t>
            </w:r>
          </w:p>
        </w:tc>
        <w:tc>
          <w:tcPr>
            <w:tcW w:w="3058" w:type="dxa"/>
            <w:tcBorders>
              <w:tl2br w:val="nil"/>
              <w:tr2bl w:val="nil"/>
            </w:tcBorders>
            <w:vAlign w:val="center"/>
          </w:tcPr>
          <w:p w14:paraId="6BBF9D8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吊销资质证书；对勘察、设计单位或者工程监理单位处合同约定的勘察费、设计费或监理酬金2倍的罚款；对施工单位处工程合同价款百分之四的罚款；对单位直接负责主管人员和其他直接责任人员处单位罚款数额百分之十的罚款；有违法所得的，予以没收。</w:t>
            </w:r>
          </w:p>
        </w:tc>
      </w:tr>
      <w:tr w14:paraId="10E865C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472" w:hRule="atLeast"/>
          <w:jc w:val="center"/>
        </w:trPr>
        <w:tc>
          <w:tcPr>
            <w:tcW w:w="443" w:type="dxa"/>
            <w:gridSpan w:val="2"/>
            <w:vMerge w:val="restart"/>
            <w:tcBorders>
              <w:tl2br w:val="nil"/>
              <w:tr2bl w:val="nil"/>
            </w:tcBorders>
            <w:vAlign w:val="center"/>
          </w:tcPr>
          <w:p w14:paraId="2C9BE899">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Times New Roman"/>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85</w:t>
            </w:r>
          </w:p>
        </w:tc>
        <w:tc>
          <w:tcPr>
            <w:tcW w:w="1550" w:type="dxa"/>
            <w:vMerge w:val="restart"/>
            <w:tcBorders>
              <w:tl2br w:val="nil"/>
              <w:tr2bl w:val="nil"/>
            </w:tcBorders>
            <w:vAlign w:val="center"/>
          </w:tcPr>
          <w:p w14:paraId="6E3C022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p w14:paraId="64E483F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p w14:paraId="4291D87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p w14:paraId="6244E8E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勘察、设计、施工、工程监理单位允许其他单位或者个人以本单位名义承揽工程</w:t>
            </w:r>
          </w:p>
        </w:tc>
        <w:tc>
          <w:tcPr>
            <w:tcW w:w="4820" w:type="dxa"/>
            <w:vMerge w:val="restart"/>
            <w:tcBorders>
              <w:tl2br w:val="nil"/>
              <w:tr2bl w:val="nil"/>
            </w:tcBorders>
            <w:vAlign w:val="center"/>
          </w:tcPr>
          <w:p w14:paraId="4181E15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p w14:paraId="600D622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p w14:paraId="464BEA3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p w14:paraId="032A2C2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p w14:paraId="37A4F09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《建设工程质量管理条例》第六十一条</w:t>
            </w:r>
          </w:p>
          <w:p w14:paraId="11965CC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ascii="仿宋_GB2312" w:hAnsi="宋体" w:eastAsia="仿宋_GB2312"/>
                <w:color w:val="auto"/>
                <w:kern w:val="0"/>
                <w:sz w:val="13"/>
                <w:szCs w:val="13"/>
                <w:highlight w:val="none"/>
              </w:rPr>
              <w:t>违反本条例规定</w:t>
            </w:r>
            <w:r>
              <w:rPr>
                <w:rFonts w:hint="eastAsia" w:ascii="仿宋_GB2312" w:hAnsi="宋体" w:eastAsia="仿宋_GB2312"/>
                <w:color w:val="auto"/>
                <w:kern w:val="0"/>
                <w:sz w:val="13"/>
                <w:szCs w:val="13"/>
                <w:highlight w:val="none"/>
              </w:rPr>
              <w:t>，勘察、设计、施工、工程监理单位允许其他单位或者个人以本单位名义承揽工程的，责令改正，没收违法所得，对勘察、设计单位和工程监理单位处合同约定的勘察费、设计费和监理酬金1倍以上2倍以下的罚款；对施工单位处工程合同价款百分之二以上百分之四以下的罚款；可以责令停业整顿，降低资质等级；情节严重的，吊销资质证书。</w:t>
            </w:r>
          </w:p>
          <w:p w14:paraId="236E893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p w14:paraId="36BA2BC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《建设工程质量管理条例》第七十三条</w:t>
            </w:r>
          </w:p>
          <w:p w14:paraId="57DC842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依照本条例规定，给予单位罚款处罚的，对单位直接负责的主管人员和其他直接责任人员处单位罚款数额百分之五以上百分之十以下的罚款。</w:t>
            </w:r>
          </w:p>
        </w:tc>
        <w:tc>
          <w:tcPr>
            <w:tcW w:w="823" w:type="dxa"/>
            <w:tcBorders>
              <w:tl2br w:val="nil"/>
              <w:tr2bl w:val="nil"/>
            </w:tcBorders>
            <w:vAlign w:val="center"/>
          </w:tcPr>
          <w:p w14:paraId="709A903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vAlign w:val="center"/>
          </w:tcPr>
          <w:p w14:paraId="0CE3EAE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初次违法，危害后果轻微，主动消除或减轻违法行为危害后果的。</w:t>
            </w:r>
          </w:p>
        </w:tc>
        <w:tc>
          <w:tcPr>
            <w:tcW w:w="3058" w:type="dxa"/>
            <w:tcBorders>
              <w:tl2br w:val="nil"/>
              <w:tr2bl w:val="nil"/>
            </w:tcBorders>
            <w:vAlign w:val="center"/>
          </w:tcPr>
          <w:p w14:paraId="542310F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改正，没收违法所得；对勘察、设计单位或者工程监理单位处合同约定的勘察费、设计费或监理酬金1倍以上1.2倍以下的罚款；对施工单位处工程合同价款百分之二以上百分之二点二以下的罚款；对单位直接负责主管人员和其他直接责任人员处单位罚款数额百分之五以上百分之六以下的罚款。</w:t>
            </w:r>
          </w:p>
        </w:tc>
      </w:tr>
      <w:tr w14:paraId="64B7B18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472" w:hRule="atLeast"/>
          <w:jc w:val="center"/>
        </w:trPr>
        <w:tc>
          <w:tcPr>
            <w:tcW w:w="443" w:type="dxa"/>
            <w:gridSpan w:val="2"/>
            <w:vMerge w:val="continue"/>
            <w:tcBorders>
              <w:tl2br w:val="nil"/>
              <w:tr2bl w:val="nil"/>
            </w:tcBorders>
            <w:vAlign w:val="center"/>
          </w:tcPr>
          <w:p w14:paraId="3D8D3CB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03A5DE6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vAlign w:val="center"/>
          </w:tcPr>
          <w:p w14:paraId="5298C22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tcBorders>
              <w:tl2br w:val="nil"/>
              <w:tr2bl w:val="nil"/>
            </w:tcBorders>
            <w:vAlign w:val="center"/>
          </w:tcPr>
          <w:p w14:paraId="2D23C67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一般情节</w:t>
            </w:r>
          </w:p>
        </w:tc>
        <w:tc>
          <w:tcPr>
            <w:tcW w:w="3437" w:type="dxa"/>
            <w:gridSpan w:val="2"/>
            <w:tcBorders>
              <w:tl2br w:val="nil"/>
              <w:tr2bl w:val="nil"/>
            </w:tcBorders>
            <w:vAlign w:val="center"/>
          </w:tcPr>
          <w:p w14:paraId="15B6199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不具有从轻、</w:t>
            </w:r>
            <w:r>
              <w:rPr>
                <w:rFonts w:hint="eastAsia" w:ascii="仿宋_GB2312" w:hAnsi="宋体" w:eastAsia="仿宋_GB2312"/>
                <w:color w:val="auto"/>
                <w:kern w:val="0"/>
                <w:sz w:val="13"/>
                <w:szCs w:val="13"/>
                <w:highlight w:val="none"/>
                <w:lang w:eastAsia="zh-CN"/>
              </w:rPr>
              <w:t>从重情节</w:t>
            </w:r>
            <w:r>
              <w:rPr>
                <w:rFonts w:hint="eastAsia" w:ascii="仿宋_GB2312" w:hAnsi="宋体" w:eastAsia="仿宋_GB2312"/>
                <w:color w:val="auto"/>
                <w:kern w:val="0"/>
                <w:sz w:val="13"/>
                <w:szCs w:val="13"/>
                <w:highlight w:val="none"/>
              </w:rPr>
              <w:t>的。</w:t>
            </w:r>
          </w:p>
        </w:tc>
        <w:tc>
          <w:tcPr>
            <w:tcW w:w="3058" w:type="dxa"/>
            <w:tcBorders>
              <w:tl2br w:val="nil"/>
              <w:tr2bl w:val="nil"/>
            </w:tcBorders>
            <w:vAlign w:val="center"/>
          </w:tcPr>
          <w:p w14:paraId="6CD5F98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改正，没收违法所得；对勘察、设计单位或者工程监理单位处合同约定的勘察费、设计费或监理酬金1.2倍以上1.7倍以下的罚款；对施工单位处工程合同价款百分之二点二以上百分之三点五以下的罚款；对单位直接负责主管人员和其他直接责任人员处单位罚款数额百分之六以上百分之八点五以下的罚款。</w:t>
            </w:r>
          </w:p>
        </w:tc>
      </w:tr>
      <w:tr w14:paraId="680FF54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006" w:hRule="atLeast"/>
          <w:jc w:val="center"/>
        </w:trPr>
        <w:tc>
          <w:tcPr>
            <w:tcW w:w="443" w:type="dxa"/>
            <w:gridSpan w:val="2"/>
            <w:vMerge w:val="continue"/>
            <w:tcBorders>
              <w:tl2br w:val="nil"/>
              <w:tr2bl w:val="nil"/>
            </w:tcBorders>
            <w:vAlign w:val="center"/>
          </w:tcPr>
          <w:p w14:paraId="3680335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4849F4F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vAlign w:val="center"/>
          </w:tcPr>
          <w:p w14:paraId="176A2C1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vMerge w:val="restart"/>
            <w:tcBorders>
              <w:tl2br w:val="nil"/>
              <w:tr2bl w:val="nil"/>
            </w:tcBorders>
            <w:vAlign w:val="center"/>
          </w:tcPr>
          <w:p w14:paraId="3950B94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从重情节</w:t>
            </w:r>
          </w:p>
        </w:tc>
        <w:tc>
          <w:tcPr>
            <w:tcW w:w="3437" w:type="dxa"/>
            <w:gridSpan w:val="2"/>
            <w:tcBorders>
              <w:tl2br w:val="nil"/>
              <w:tr2bl w:val="nil"/>
            </w:tcBorders>
            <w:vAlign w:val="center"/>
          </w:tcPr>
          <w:p w14:paraId="55A8CEC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（1）2年内2次及以上同类型违法。</w:t>
            </w:r>
          </w:p>
        </w:tc>
        <w:tc>
          <w:tcPr>
            <w:tcW w:w="3058" w:type="dxa"/>
            <w:tcBorders>
              <w:tl2br w:val="nil"/>
              <w:tr2bl w:val="nil"/>
            </w:tcBorders>
            <w:vAlign w:val="center"/>
          </w:tcPr>
          <w:p w14:paraId="30A8C9D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改正，没收违法所得；对勘察、设计单位或者工程监理单位处合同约定的勘察费、设计费或监理酬金1.7倍以上2倍以下的罚款；对施工单位处工程合同价款百分之三点五以上百分之四以下的罚款；对单位直接负责主管人员和其他直接责任人员处单位罚款数额百分之八点五以上百分之十以下的罚款；责令停业整顿30—60日。</w:t>
            </w:r>
          </w:p>
        </w:tc>
      </w:tr>
      <w:tr w14:paraId="394A43C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94" w:hRule="atLeast"/>
          <w:jc w:val="center"/>
        </w:trPr>
        <w:tc>
          <w:tcPr>
            <w:tcW w:w="443" w:type="dxa"/>
            <w:gridSpan w:val="2"/>
            <w:vMerge w:val="continue"/>
            <w:tcBorders>
              <w:tl2br w:val="nil"/>
              <w:tr2bl w:val="nil"/>
            </w:tcBorders>
            <w:vAlign w:val="center"/>
          </w:tcPr>
          <w:p w14:paraId="7C36CE9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3681659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vAlign w:val="center"/>
          </w:tcPr>
          <w:p w14:paraId="1E7C472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vMerge w:val="continue"/>
            <w:tcBorders>
              <w:tl2br w:val="nil"/>
              <w:tr2bl w:val="nil"/>
            </w:tcBorders>
            <w:vAlign w:val="center"/>
          </w:tcPr>
          <w:p w14:paraId="5C453DA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3437" w:type="dxa"/>
            <w:gridSpan w:val="2"/>
            <w:tcBorders>
              <w:tl2br w:val="nil"/>
              <w:tr2bl w:val="nil"/>
            </w:tcBorders>
            <w:vAlign w:val="center"/>
          </w:tcPr>
          <w:p w14:paraId="2710A72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（2）造成3人以下死亡，或者10人以下重伤，或者1000万元以下直接经济损失。</w:t>
            </w:r>
          </w:p>
        </w:tc>
        <w:tc>
          <w:tcPr>
            <w:tcW w:w="3058" w:type="dxa"/>
            <w:tcBorders>
              <w:tl2br w:val="nil"/>
              <w:tr2bl w:val="nil"/>
            </w:tcBorders>
            <w:vAlign w:val="center"/>
          </w:tcPr>
          <w:p w14:paraId="749822B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改正，没收违法所得；对勘察、设计单位或者工程监理单位处合同约定的勘察费、设计费或监理酬金2倍的罚款；对施工单位处工程合同价款百分之四的罚款；对单位直接负责主管人员和其他直接责任人员处单位罚款数额百分之十的罚款；责令停业整顿30—60日。</w:t>
            </w:r>
          </w:p>
        </w:tc>
      </w:tr>
      <w:tr w14:paraId="307C101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94" w:hRule="atLeast"/>
          <w:jc w:val="center"/>
        </w:trPr>
        <w:tc>
          <w:tcPr>
            <w:tcW w:w="443" w:type="dxa"/>
            <w:gridSpan w:val="2"/>
            <w:vMerge w:val="continue"/>
            <w:tcBorders>
              <w:tl2br w:val="nil"/>
              <w:tr2bl w:val="nil"/>
            </w:tcBorders>
            <w:vAlign w:val="center"/>
          </w:tcPr>
          <w:p w14:paraId="72C2282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51397D1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vAlign w:val="center"/>
          </w:tcPr>
          <w:p w14:paraId="47DB127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vMerge w:val="continue"/>
            <w:tcBorders>
              <w:tl2br w:val="nil"/>
              <w:tr2bl w:val="nil"/>
            </w:tcBorders>
            <w:vAlign w:val="center"/>
          </w:tcPr>
          <w:p w14:paraId="3BE20BA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3437" w:type="dxa"/>
            <w:gridSpan w:val="2"/>
            <w:tcBorders>
              <w:tl2br w:val="nil"/>
              <w:tr2bl w:val="nil"/>
            </w:tcBorders>
            <w:vAlign w:val="center"/>
          </w:tcPr>
          <w:p w14:paraId="4856F29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（3）造成3人以上5人以下死亡，或者10人以上20人以下重伤，或者1000万元以上2000万元以下直接经济损失的。</w:t>
            </w:r>
          </w:p>
        </w:tc>
        <w:tc>
          <w:tcPr>
            <w:tcW w:w="3058" w:type="dxa"/>
            <w:tcBorders>
              <w:tl2br w:val="nil"/>
              <w:tr2bl w:val="nil"/>
            </w:tcBorders>
            <w:vAlign w:val="center"/>
          </w:tcPr>
          <w:p w14:paraId="51C668D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改正，没收违法所得；对勘察、设计单位或者工程监理单位处合同约定的勘察费、设计费或监理酬金2倍的罚款；对施工单位处工程合同价款百分之四的罚款；对单位直接负责主管人员和其他直接责任人员处单位罚款数额百分之十的罚款；责令停业整顿60—90日。</w:t>
            </w:r>
          </w:p>
        </w:tc>
      </w:tr>
      <w:tr w14:paraId="3D0446D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94" w:hRule="atLeast"/>
          <w:jc w:val="center"/>
        </w:trPr>
        <w:tc>
          <w:tcPr>
            <w:tcW w:w="443" w:type="dxa"/>
            <w:gridSpan w:val="2"/>
            <w:vMerge w:val="continue"/>
            <w:tcBorders>
              <w:tl2br w:val="nil"/>
              <w:tr2bl w:val="nil"/>
            </w:tcBorders>
            <w:vAlign w:val="center"/>
          </w:tcPr>
          <w:p w14:paraId="19823E8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7CDE163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vAlign w:val="center"/>
          </w:tcPr>
          <w:p w14:paraId="36DFE74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vMerge w:val="continue"/>
            <w:tcBorders>
              <w:tl2br w:val="nil"/>
              <w:tr2bl w:val="nil"/>
            </w:tcBorders>
            <w:vAlign w:val="center"/>
          </w:tcPr>
          <w:p w14:paraId="3D42334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3437" w:type="dxa"/>
            <w:gridSpan w:val="2"/>
            <w:tcBorders>
              <w:tl2br w:val="nil"/>
              <w:tr2bl w:val="nil"/>
            </w:tcBorders>
            <w:vAlign w:val="center"/>
          </w:tcPr>
          <w:p w14:paraId="07E7C1B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（4）造成5人以上7人以下死亡，或者20人以上30人以下重伤，或者2000万元以上3000万元以下直接经济损失的。</w:t>
            </w:r>
          </w:p>
        </w:tc>
        <w:tc>
          <w:tcPr>
            <w:tcW w:w="3058" w:type="dxa"/>
            <w:tcBorders>
              <w:tl2br w:val="nil"/>
              <w:tr2bl w:val="nil"/>
            </w:tcBorders>
            <w:vAlign w:val="center"/>
          </w:tcPr>
          <w:p w14:paraId="3B29E44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改正，没收违法所得；对勘察、设计单位或者工程监理单位处合同约定的勘察费、设计费或监理酬金2倍的罚款；对施工单位处工程合同价款百分之四的罚款；对单位直接负责主管人员和其他直接责任人员处单位罚款数额百分之十的罚款；责令停业整顿90—120日。</w:t>
            </w:r>
          </w:p>
        </w:tc>
      </w:tr>
      <w:tr w14:paraId="029CB3A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94" w:hRule="atLeast"/>
          <w:jc w:val="center"/>
        </w:trPr>
        <w:tc>
          <w:tcPr>
            <w:tcW w:w="443" w:type="dxa"/>
            <w:gridSpan w:val="2"/>
            <w:vMerge w:val="continue"/>
            <w:tcBorders>
              <w:tl2br w:val="nil"/>
              <w:tr2bl w:val="nil"/>
            </w:tcBorders>
            <w:vAlign w:val="center"/>
          </w:tcPr>
          <w:p w14:paraId="6BEA8A7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167ADAA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vAlign w:val="center"/>
          </w:tcPr>
          <w:p w14:paraId="674B37E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vMerge w:val="continue"/>
            <w:tcBorders>
              <w:tl2br w:val="nil"/>
              <w:tr2bl w:val="nil"/>
            </w:tcBorders>
            <w:vAlign w:val="center"/>
          </w:tcPr>
          <w:p w14:paraId="147F779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3437" w:type="dxa"/>
            <w:gridSpan w:val="2"/>
            <w:tcBorders>
              <w:tl2br w:val="nil"/>
              <w:tr2bl w:val="nil"/>
            </w:tcBorders>
            <w:vAlign w:val="center"/>
          </w:tcPr>
          <w:p w14:paraId="093084A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（5）造成</w:t>
            </w:r>
            <w:r>
              <w:rPr>
                <w:rFonts w:ascii="仿宋_GB2312" w:hAnsi="宋体" w:eastAsia="仿宋_GB2312"/>
                <w:color w:val="auto"/>
                <w:kern w:val="0"/>
                <w:sz w:val="13"/>
                <w:szCs w:val="13"/>
                <w:highlight w:val="none"/>
              </w:rPr>
              <w:t>7</w:t>
            </w:r>
            <w:r>
              <w:rPr>
                <w:rFonts w:hint="eastAsia" w:ascii="仿宋_GB2312" w:hAnsi="宋体" w:eastAsia="仿宋_GB2312"/>
                <w:color w:val="auto"/>
                <w:kern w:val="0"/>
                <w:sz w:val="13"/>
                <w:szCs w:val="13"/>
                <w:highlight w:val="none"/>
              </w:rPr>
              <w:t>人以上</w:t>
            </w:r>
            <w:r>
              <w:rPr>
                <w:rFonts w:ascii="仿宋_GB2312" w:hAnsi="宋体" w:eastAsia="仿宋_GB2312"/>
                <w:color w:val="auto"/>
                <w:kern w:val="0"/>
                <w:sz w:val="13"/>
                <w:szCs w:val="13"/>
                <w:highlight w:val="none"/>
              </w:rPr>
              <w:t>10</w:t>
            </w:r>
            <w:r>
              <w:rPr>
                <w:rFonts w:hint="eastAsia" w:ascii="仿宋_GB2312" w:hAnsi="宋体" w:eastAsia="仿宋_GB2312"/>
                <w:color w:val="auto"/>
                <w:kern w:val="0"/>
                <w:sz w:val="13"/>
                <w:szCs w:val="13"/>
                <w:highlight w:val="none"/>
              </w:rPr>
              <w:t>人以下死亡，或者</w:t>
            </w:r>
            <w:r>
              <w:rPr>
                <w:rFonts w:ascii="仿宋_GB2312" w:hAnsi="宋体" w:eastAsia="仿宋_GB2312"/>
                <w:color w:val="auto"/>
                <w:kern w:val="0"/>
                <w:sz w:val="13"/>
                <w:szCs w:val="13"/>
                <w:highlight w:val="none"/>
              </w:rPr>
              <w:t>30</w:t>
            </w:r>
            <w:r>
              <w:rPr>
                <w:rFonts w:hint="eastAsia" w:ascii="仿宋_GB2312" w:hAnsi="宋体" w:eastAsia="仿宋_GB2312"/>
                <w:color w:val="auto"/>
                <w:kern w:val="0"/>
                <w:sz w:val="13"/>
                <w:szCs w:val="13"/>
                <w:highlight w:val="none"/>
              </w:rPr>
              <w:t>人以上</w:t>
            </w:r>
            <w:r>
              <w:rPr>
                <w:rFonts w:ascii="仿宋_GB2312" w:hAnsi="宋体" w:eastAsia="仿宋_GB2312"/>
                <w:color w:val="auto"/>
                <w:kern w:val="0"/>
                <w:sz w:val="13"/>
                <w:szCs w:val="13"/>
                <w:highlight w:val="none"/>
              </w:rPr>
              <w:t>50</w:t>
            </w:r>
            <w:r>
              <w:rPr>
                <w:rFonts w:hint="eastAsia" w:ascii="仿宋_GB2312" w:hAnsi="宋体" w:eastAsia="仿宋_GB2312"/>
                <w:color w:val="auto"/>
                <w:kern w:val="0"/>
                <w:sz w:val="13"/>
                <w:szCs w:val="13"/>
                <w:highlight w:val="none"/>
              </w:rPr>
              <w:t>人以下重伤，或者</w:t>
            </w:r>
            <w:r>
              <w:rPr>
                <w:rFonts w:ascii="仿宋_GB2312" w:hAnsi="宋体" w:eastAsia="仿宋_GB2312"/>
                <w:color w:val="auto"/>
                <w:kern w:val="0"/>
                <w:sz w:val="13"/>
                <w:szCs w:val="13"/>
                <w:highlight w:val="none"/>
              </w:rPr>
              <w:t>3000</w:t>
            </w:r>
            <w:r>
              <w:rPr>
                <w:rFonts w:hint="eastAsia" w:ascii="仿宋_GB2312" w:hAnsi="宋体" w:eastAsia="仿宋_GB2312"/>
                <w:color w:val="auto"/>
                <w:kern w:val="0"/>
                <w:sz w:val="13"/>
                <w:szCs w:val="13"/>
                <w:highlight w:val="none"/>
              </w:rPr>
              <w:t>万元以上</w:t>
            </w:r>
            <w:r>
              <w:rPr>
                <w:rFonts w:ascii="仿宋_GB2312" w:hAnsi="宋体" w:eastAsia="仿宋_GB2312"/>
                <w:color w:val="auto"/>
                <w:kern w:val="0"/>
                <w:sz w:val="13"/>
                <w:szCs w:val="13"/>
                <w:highlight w:val="none"/>
              </w:rPr>
              <w:t>5000</w:t>
            </w:r>
            <w:r>
              <w:rPr>
                <w:rFonts w:hint="eastAsia" w:ascii="仿宋_GB2312" w:hAnsi="宋体" w:eastAsia="仿宋_GB2312"/>
                <w:color w:val="auto"/>
                <w:kern w:val="0"/>
                <w:sz w:val="13"/>
                <w:szCs w:val="13"/>
                <w:highlight w:val="none"/>
              </w:rPr>
              <w:t>万元以下直接经济损失的。</w:t>
            </w:r>
          </w:p>
        </w:tc>
        <w:tc>
          <w:tcPr>
            <w:tcW w:w="3058" w:type="dxa"/>
            <w:tcBorders>
              <w:tl2br w:val="nil"/>
              <w:tr2bl w:val="nil"/>
            </w:tcBorders>
            <w:vAlign w:val="center"/>
          </w:tcPr>
          <w:p w14:paraId="6AD24E0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改正，没收违法所得；对勘察、设计单位或者工程监理单位处合同约定的勘察费、设计费或监理酬金2倍的罚款；对施工单位处工程合同价款百分之四的罚款；对单位直接负责主管人员和其他直接责任人员处单位罚款数额百分之十的罚款；责令停业整顿120—180日。</w:t>
            </w:r>
          </w:p>
        </w:tc>
      </w:tr>
      <w:tr w14:paraId="17EA29D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94" w:hRule="atLeast"/>
          <w:jc w:val="center"/>
        </w:trPr>
        <w:tc>
          <w:tcPr>
            <w:tcW w:w="443" w:type="dxa"/>
            <w:gridSpan w:val="2"/>
            <w:vMerge w:val="continue"/>
            <w:tcBorders>
              <w:tl2br w:val="nil"/>
              <w:tr2bl w:val="nil"/>
            </w:tcBorders>
            <w:vAlign w:val="center"/>
          </w:tcPr>
          <w:p w14:paraId="12DABA4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33ADC1D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vAlign w:val="center"/>
          </w:tcPr>
          <w:p w14:paraId="6E2F966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vMerge w:val="continue"/>
            <w:tcBorders>
              <w:tl2br w:val="nil"/>
              <w:tr2bl w:val="nil"/>
            </w:tcBorders>
            <w:vAlign w:val="center"/>
          </w:tcPr>
          <w:p w14:paraId="675FCC9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3437" w:type="dxa"/>
            <w:gridSpan w:val="2"/>
            <w:tcBorders>
              <w:tl2br w:val="nil"/>
              <w:tr2bl w:val="nil"/>
            </w:tcBorders>
            <w:vAlign w:val="center"/>
          </w:tcPr>
          <w:p w14:paraId="7FD8952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（6）3年内4次同类违法；或造成重大质量、安全事故的；或造成分部工程存在严重缺陷，经返修和加固处理仍不能满足安全使用要求。</w:t>
            </w:r>
          </w:p>
        </w:tc>
        <w:tc>
          <w:tcPr>
            <w:tcW w:w="3058" w:type="dxa"/>
            <w:tcBorders>
              <w:tl2br w:val="nil"/>
              <w:tr2bl w:val="nil"/>
            </w:tcBorders>
            <w:vAlign w:val="center"/>
          </w:tcPr>
          <w:p w14:paraId="195E3A3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改正，没收违法所得；对勘察、设计单位或者工程监理单位处合同约定的勘察费、设计费或监理酬金2倍的罚款；对施工单位处工程合同价款百分之四的罚款；对单位直接负责主管人员和其他直接责任人员处单位罚款数额百分之十的罚款；降低资质等级。</w:t>
            </w:r>
          </w:p>
        </w:tc>
      </w:tr>
      <w:tr w14:paraId="415ED1A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94" w:hRule="atLeast"/>
          <w:jc w:val="center"/>
        </w:trPr>
        <w:tc>
          <w:tcPr>
            <w:tcW w:w="443" w:type="dxa"/>
            <w:gridSpan w:val="2"/>
            <w:vMerge w:val="continue"/>
            <w:tcBorders>
              <w:tl2br w:val="nil"/>
              <w:tr2bl w:val="nil"/>
            </w:tcBorders>
            <w:vAlign w:val="center"/>
          </w:tcPr>
          <w:p w14:paraId="6AFE451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6AE5CE7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vAlign w:val="center"/>
          </w:tcPr>
          <w:p w14:paraId="4D6D940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vMerge w:val="continue"/>
            <w:tcBorders>
              <w:tl2br w:val="nil"/>
              <w:tr2bl w:val="nil"/>
            </w:tcBorders>
            <w:vAlign w:val="center"/>
          </w:tcPr>
          <w:p w14:paraId="45098F2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3437" w:type="dxa"/>
            <w:gridSpan w:val="2"/>
            <w:tcBorders>
              <w:tl2br w:val="nil"/>
              <w:tr2bl w:val="nil"/>
            </w:tcBorders>
            <w:vAlign w:val="center"/>
          </w:tcPr>
          <w:p w14:paraId="1306E7C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default" w:ascii="仿宋_GB2312" w:hAnsi="宋体" w:eastAsia="仿宋_GB2312"/>
                <w:color w:val="auto"/>
                <w:kern w:val="0"/>
                <w:sz w:val="13"/>
                <w:szCs w:val="13"/>
                <w:highlight w:val="none"/>
                <w:lang w:val="en-US" w:eastAsia="zh-CN"/>
              </w:rPr>
            </w:pPr>
            <w:r>
              <w:rPr>
                <w:rFonts w:hint="eastAsia" w:ascii="仿宋_GB2312" w:hAnsi="宋体" w:eastAsia="仿宋_GB2312"/>
                <w:color w:val="auto"/>
                <w:kern w:val="0"/>
                <w:sz w:val="13"/>
                <w:szCs w:val="13"/>
                <w:highlight w:val="none"/>
              </w:rPr>
              <w:t>（7）3年内5次同类违法；或造成特别重大质量、安全事故的；或造成单位（子单位）工程存在严重缺陷，经返修和加固处理仍不能满足安全使用要求</w:t>
            </w:r>
            <w:r>
              <w:rPr>
                <w:rFonts w:hint="eastAsia" w:ascii="仿宋_GB2312" w:hAnsi="宋体" w:eastAsia="仿宋_GB2312"/>
                <w:color w:val="auto"/>
                <w:kern w:val="0"/>
                <w:sz w:val="13"/>
                <w:szCs w:val="13"/>
                <w:highlight w:val="none"/>
                <w:lang w:eastAsia="zh-CN"/>
              </w:rPr>
              <w:t>；</w:t>
            </w:r>
            <w:r>
              <w:rPr>
                <w:rFonts w:hint="eastAsia" w:ascii="仿宋_GB2312" w:hAnsi="宋体" w:eastAsia="仿宋_GB2312"/>
                <w:color w:val="auto"/>
                <w:kern w:val="0"/>
                <w:sz w:val="13"/>
                <w:szCs w:val="13"/>
                <w:highlight w:val="none"/>
                <w:lang w:val="en-US" w:eastAsia="zh-CN"/>
              </w:rPr>
              <w:t>或造成特别严重社会影响。</w:t>
            </w:r>
          </w:p>
        </w:tc>
        <w:tc>
          <w:tcPr>
            <w:tcW w:w="3058" w:type="dxa"/>
            <w:tcBorders>
              <w:tl2br w:val="nil"/>
              <w:tr2bl w:val="nil"/>
            </w:tcBorders>
            <w:vAlign w:val="center"/>
          </w:tcPr>
          <w:p w14:paraId="7BE272E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改正，没收违法所得；对勘察、设计单位或者工程监理单位处合同约定的勘察费、设计费或监理酬金2倍的罚款；对施工单位处工程合同价款百分之四的罚款；对单位直接负责主管人员和其他直接责任人员处单位罚款数额百分之十的罚款；吊销资质证书。</w:t>
            </w:r>
          </w:p>
        </w:tc>
      </w:tr>
      <w:tr w14:paraId="2488AC3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94" w:hRule="atLeast"/>
          <w:jc w:val="center"/>
        </w:trPr>
        <w:tc>
          <w:tcPr>
            <w:tcW w:w="443" w:type="dxa"/>
            <w:gridSpan w:val="2"/>
            <w:vMerge w:val="restart"/>
            <w:tcBorders>
              <w:tl2br w:val="nil"/>
              <w:tr2bl w:val="nil"/>
            </w:tcBorders>
            <w:vAlign w:val="center"/>
          </w:tcPr>
          <w:p w14:paraId="299A71F6">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Times New Roman"/>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86</w:t>
            </w:r>
          </w:p>
        </w:tc>
        <w:tc>
          <w:tcPr>
            <w:tcW w:w="1550" w:type="dxa"/>
            <w:vMerge w:val="restart"/>
            <w:tcBorders>
              <w:tl2br w:val="nil"/>
              <w:tr2bl w:val="nil"/>
            </w:tcBorders>
            <w:vAlign w:val="center"/>
          </w:tcPr>
          <w:p w14:paraId="7ADE914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宋体" w:hAnsi="宋体" w:cs="Arial"/>
                <w:color w:val="auto"/>
                <w:spacing w:val="8"/>
                <w:kern w:val="0"/>
                <w:sz w:val="13"/>
                <w:szCs w:val="13"/>
                <w:highlight w:val="none"/>
              </w:rPr>
            </w:pPr>
          </w:p>
          <w:p w14:paraId="7D75DA7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宋体" w:hAnsi="宋体" w:cs="Arial"/>
                <w:color w:val="auto"/>
                <w:spacing w:val="8"/>
                <w:kern w:val="0"/>
                <w:sz w:val="13"/>
                <w:szCs w:val="13"/>
                <w:highlight w:val="none"/>
              </w:rPr>
            </w:pPr>
          </w:p>
          <w:p w14:paraId="3AA3E4D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宋体" w:hAnsi="宋体" w:cs="Arial"/>
                <w:color w:val="auto"/>
                <w:spacing w:val="8"/>
                <w:kern w:val="0"/>
                <w:sz w:val="13"/>
                <w:szCs w:val="13"/>
                <w:highlight w:val="none"/>
              </w:rPr>
            </w:pPr>
          </w:p>
          <w:p w14:paraId="7759730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宋体" w:hAnsi="宋体" w:cs="Arial"/>
                <w:color w:val="auto"/>
                <w:spacing w:val="8"/>
                <w:kern w:val="0"/>
                <w:sz w:val="13"/>
                <w:szCs w:val="13"/>
                <w:highlight w:val="none"/>
              </w:rPr>
            </w:pPr>
          </w:p>
          <w:p w14:paraId="65F8548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宋体" w:hAnsi="宋体" w:cs="Arial"/>
                <w:color w:val="auto"/>
                <w:spacing w:val="8"/>
                <w:kern w:val="0"/>
                <w:sz w:val="13"/>
                <w:szCs w:val="13"/>
                <w:highlight w:val="none"/>
              </w:rPr>
            </w:pPr>
          </w:p>
          <w:p w14:paraId="02C7B8D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宋体" w:hAnsi="宋体" w:cs="Arial"/>
                <w:color w:val="auto"/>
                <w:spacing w:val="8"/>
                <w:kern w:val="0"/>
                <w:sz w:val="13"/>
                <w:szCs w:val="13"/>
                <w:highlight w:val="none"/>
              </w:rPr>
            </w:pPr>
          </w:p>
          <w:p w14:paraId="5D9254E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宋体" w:hAnsi="宋体" w:cs="宋体"/>
                <w:color w:val="auto"/>
                <w:kern w:val="0"/>
                <w:sz w:val="13"/>
                <w:szCs w:val="13"/>
                <w:highlight w:val="none"/>
              </w:rPr>
            </w:pPr>
            <w:r>
              <w:rPr>
                <w:rFonts w:hint="eastAsia" w:ascii="仿宋_GB2312" w:hAnsi="宋体" w:eastAsia="仿宋_GB2312"/>
                <w:color w:val="auto"/>
                <w:kern w:val="0"/>
                <w:sz w:val="13"/>
                <w:szCs w:val="13"/>
                <w:highlight w:val="none"/>
              </w:rPr>
              <w:t>承包单位将承包的工程转包或者违法分包</w:t>
            </w:r>
          </w:p>
        </w:tc>
        <w:tc>
          <w:tcPr>
            <w:tcW w:w="4820" w:type="dxa"/>
            <w:vMerge w:val="restart"/>
            <w:tcBorders>
              <w:tl2br w:val="nil"/>
              <w:tr2bl w:val="nil"/>
            </w:tcBorders>
            <w:vAlign w:val="center"/>
          </w:tcPr>
          <w:p w14:paraId="7D0166F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p w14:paraId="305AF93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p w14:paraId="2BB5FBA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p w14:paraId="2ECF293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《建设工程质量管理条例》第六十二条第一款</w:t>
            </w:r>
          </w:p>
          <w:p w14:paraId="2713699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ascii="仿宋_GB2312" w:hAnsi="宋体" w:eastAsia="仿宋_GB2312"/>
                <w:color w:val="auto"/>
                <w:kern w:val="0"/>
                <w:sz w:val="13"/>
                <w:szCs w:val="13"/>
                <w:highlight w:val="none"/>
              </w:rPr>
              <w:t>违反本条例规定</w:t>
            </w:r>
            <w:r>
              <w:rPr>
                <w:rFonts w:hint="eastAsia" w:ascii="仿宋_GB2312" w:hAnsi="宋体" w:eastAsia="仿宋_GB2312"/>
                <w:color w:val="auto"/>
                <w:kern w:val="0"/>
                <w:sz w:val="13"/>
                <w:szCs w:val="13"/>
                <w:highlight w:val="none"/>
              </w:rPr>
              <w:t>，承包单位将承包的工程转包或者违法分包的，责令改正，没收违法所得，对勘察、设计单位处合同约定的勘察费、设计费百分之二十五以上百分之五十以下的罚款；对施工单位处工程合同价款百分之零点五以上百分之一以下的罚款；可以责令停业整顿，降低资质等级；情节严重的，吊销资质证书。</w:t>
            </w:r>
          </w:p>
          <w:p w14:paraId="3E768B5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p w14:paraId="43493F3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rPr>
              <w:t>《建设工程质量管理条例》第七十三条</w:t>
            </w:r>
          </w:p>
          <w:p w14:paraId="2985B90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宋体" w:hAnsi="宋体" w:cs="宋体"/>
                <w:color w:val="auto"/>
                <w:kern w:val="0"/>
                <w:sz w:val="13"/>
                <w:szCs w:val="13"/>
                <w:highlight w:val="none"/>
              </w:rPr>
            </w:pPr>
            <w:r>
              <w:rPr>
                <w:rFonts w:hint="eastAsia" w:ascii="仿宋_GB2312" w:hAnsi="宋体" w:eastAsia="仿宋_GB2312"/>
                <w:color w:val="auto"/>
                <w:kern w:val="0"/>
                <w:sz w:val="13"/>
                <w:szCs w:val="13"/>
                <w:highlight w:val="none"/>
              </w:rPr>
              <w:t>依照本条例规定，给予单位罚款处罚的，对单位直接负责的主管人员和其他直接责任人员处单位罚款数额百分之五以上百分之十以下的罚款。</w:t>
            </w:r>
          </w:p>
        </w:tc>
        <w:tc>
          <w:tcPr>
            <w:tcW w:w="823" w:type="dxa"/>
            <w:tcBorders>
              <w:tl2br w:val="nil"/>
              <w:tr2bl w:val="nil"/>
            </w:tcBorders>
            <w:vAlign w:val="center"/>
          </w:tcPr>
          <w:p w14:paraId="7B1B765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vAlign w:val="center"/>
          </w:tcPr>
          <w:p w14:paraId="44CC893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初次违法，危害后果轻微，主动消除或减轻违法行为危害后果的。</w:t>
            </w:r>
          </w:p>
        </w:tc>
        <w:tc>
          <w:tcPr>
            <w:tcW w:w="3058" w:type="dxa"/>
            <w:tcBorders>
              <w:tl2br w:val="nil"/>
              <w:tr2bl w:val="nil"/>
            </w:tcBorders>
            <w:vAlign w:val="center"/>
          </w:tcPr>
          <w:p w14:paraId="1463F407">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改正，没收违法所得；对勘察、设计单位处合同约定的勘察费、设计费百分之二十五以上百分之三十以下的罚款；对施工单位处工程合同价款百分之零点五以上百分之零点六以下的罚款；对单位直接负责主管人员和其他直接责任人员处单位罚款数额百分之五以上百分之六以下的罚款。</w:t>
            </w:r>
          </w:p>
        </w:tc>
      </w:tr>
      <w:tr w14:paraId="7B339AA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472" w:hRule="atLeast"/>
          <w:jc w:val="center"/>
        </w:trPr>
        <w:tc>
          <w:tcPr>
            <w:tcW w:w="443" w:type="dxa"/>
            <w:gridSpan w:val="2"/>
            <w:vMerge w:val="continue"/>
            <w:tcBorders>
              <w:tl2br w:val="nil"/>
              <w:tr2bl w:val="nil"/>
            </w:tcBorders>
            <w:vAlign w:val="center"/>
          </w:tcPr>
          <w:p w14:paraId="4309C1A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0741517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vAlign w:val="center"/>
          </w:tcPr>
          <w:p w14:paraId="381DE4F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vMerge w:val="restart"/>
            <w:tcBorders>
              <w:tl2br w:val="nil"/>
              <w:tr2bl w:val="nil"/>
            </w:tcBorders>
            <w:vAlign w:val="center"/>
          </w:tcPr>
          <w:p w14:paraId="240000B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一般情节</w:t>
            </w:r>
          </w:p>
        </w:tc>
        <w:tc>
          <w:tcPr>
            <w:tcW w:w="3437" w:type="dxa"/>
            <w:gridSpan w:val="2"/>
            <w:tcBorders>
              <w:tl2br w:val="nil"/>
              <w:tr2bl w:val="nil"/>
            </w:tcBorders>
            <w:vAlign w:val="center"/>
          </w:tcPr>
          <w:p w14:paraId="117FC00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（1）不具有从轻、</w:t>
            </w:r>
            <w:r>
              <w:rPr>
                <w:rFonts w:hint="eastAsia" w:ascii="仿宋_GB2312" w:hAnsi="宋体" w:eastAsia="仿宋_GB2312"/>
                <w:color w:val="auto"/>
                <w:kern w:val="0"/>
                <w:sz w:val="13"/>
                <w:szCs w:val="13"/>
                <w:highlight w:val="none"/>
                <w:lang w:eastAsia="zh-CN"/>
              </w:rPr>
              <w:t>从重情节</w:t>
            </w:r>
            <w:r>
              <w:rPr>
                <w:rFonts w:hint="eastAsia" w:ascii="仿宋_GB2312" w:hAnsi="宋体" w:eastAsia="仿宋_GB2312"/>
                <w:color w:val="auto"/>
                <w:kern w:val="0"/>
                <w:sz w:val="13"/>
                <w:szCs w:val="13"/>
                <w:highlight w:val="none"/>
              </w:rPr>
              <w:t>的。</w:t>
            </w:r>
          </w:p>
        </w:tc>
        <w:tc>
          <w:tcPr>
            <w:tcW w:w="3058" w:type="dxa"/>
            <w:tcBorders>
              <w:tl2br w:val="nil"/>
              <w:tr2bl w:val="nil"/>
            </w:tcBorders>
            <w:vAlign w:val="center"/>
          </w:tcPr>
          <w:p w14:paraId="3969BE77">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改正，没收违法所得；对勘察、设计单位处合同约定的勘察费、设计费百分之三十以上百分之四十以下的罚款；对施工单位处工程合同价款百分之零点六以上百分之零点八五以下的罚款；对单位直接负责主管人员和其他直接责任人员处单位罚款数额百分之六以上百分之八点五以下的罚款。</w:t>
            </w:r>
          </w:p>
        </w:tc>
      </w:tr>
      <w:tr w14:paraId="724F8DF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94" w:hRule="atLeast"/>
          <w:jc w:val="center"/>
        </w:trPr>
        <w:tc>
          <w:tcPr>
            <w:tcW w:w="443" w:type="dxa"/>
            <w:gridSpan w:val="2"/>
            <w:vMerge w:val="continue"/>
            <w:tcBorders>
              <w:tl2br w:val="nil"/>
              <w:tr2bl w:val="nil"/>
            </w:tcBorders>
            <w:vAlign w:val="center"/>
          </w:tcPr>
          <w:p w14:paraId="778D54B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2096A69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vAlign w:val="center"/>
          </w:tcPr>
          <w:p w14:paraId="02FCFCF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vMerge w:val="continue"/>
            <w:tcBorders>
              <w:tl2br w:val="nil"/>
              <w:tr2bl w:val="nil"/>
            </w:tcBorders>
            <w:vAlign w:val="center"/>
          </w:tcPr>
          <w:p w14:paraId="35D11B7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3437" w:type="dxa"/>
            <w:gridSpan w:val="2"/>
            <w:tcBorders>
              <w:tl2br w:val="nil"/>
              <w:tr2bl w:val="nil"/>
            </w:tcBorders>
            <w:vAlign w:val="center"/>
          </w:tcPr>
          <w:p w14:paraId="2F00C43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（2）2年内2次同类型违法。</w:t>
            </w:r>
          </w:p>
        </w:tc>
        <w:tc>
          <w:tcPr>
            <w:tcW w:w="3058" w:type="dxa"/>
            <w:tcBorders>
              <w:tl2br w:val="nil"/>
              <w:tr2bl w:val="nil"/>
            </w:tcBorders>
            <w:vAlign w:val="center"/>
          </w:tcPr>
          <w:p w14:paraId="1483565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改正，没收违法所得；对勘察、设计单位处合同约定的勘察费、设计费百分之四十以上百分之五十以下的罚款；对施工单位处工程合同价款百分之零点八五以上百分之一以下的罚款；对单位直接负责主管人员和其他直接责任人员处单位罚款数额百分之八点五以上百分之十以下的罚款。</w:t>
            </w:r>
          </w:p>
        </w:tc>
      </w:tr>
      <w:tr w14:paraId="72D663B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94" w:hRule="atLeast"/>
          <w:jc w:val="center"/>
        </w:trPr>
        <w:tc>
          <w:tcPr>
            <w:tcW w:w="443" w:type="dxa"/>
            <w:gridSpan w:val="2"/>
            <w:vMerge w:val="continue"/>
            <w:tcBorders>
              <w:tl2br w:val="nil"/>
              <w:tr2bl w:val="nil"/>
            </w:tcBorders>
            <w:vAlign w:val="center"/>
          </w:tcPr>
          <w:p w14:paraId="1695AD8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483EB6E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vAlign w:val="center"/>
          </w:tcPr>
          <w:p w14:paraId="2222422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vMerge w:val="restart"/>
            <w:tcBorders>
              <w:tl2br w:val="nil"/>
              <w:tr2bl w:val="nil"/>
            </w:tcBorders>
            <w:vAlign w:val="center"/>
          </w:tcPr>
          <w:p w14:paraId="3D01BDD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从重情节</w:t>
            </w:r>
          </w:p>
        </w:tc>
        <w:tc>
          <w:tcPr>
            <w:tcW w:w="3437" w:type="dxa"/>
            <w:gridSpan w:val="2"/>
            <w:tcBorders>
              <w:tl2br w:val="nil"/>
              <w:tr2bl w:val="nil"/>
            </w:tcBorders>
            <w:vAlign w:val="center"/>
          </w:tcPr>
          <w:p w14:paraId="78B84E9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（1）造成3人以下死亡，或者10人以下重伤，或者1000万元以下直接经济损失。</w:t>
            </w:r>
          </w:p>
        </w:tc>
        <w:tc>
          <w:tcPr>
            <w:tcW w:w="3058" w:type="dxa"/>
            <w:tcBorders>
              <w:tl2br w:val="nil"/>
              <w:tr2bl w:val="nil"/>
            </w:tcBorders>
            <w:vAlign w:val="center"/>
          </w:tcPr>
          <w:p w14:paraId="386EF06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改正，没收违法所得；对勘察、设计单位处合同约定的勘察费、设计费百分之五十的罚款；；对施工单位处工程合同价款百分之一的罚款；对单位直接负责主管人员和其他直接责任人员处单位罚款数额百分之十的罚款；责令停业整顿</w:t>
            </w:r>
            <w:r>
              <w:rPr>
                <w:rFonts w:hint="eastAsia" w:ascii="仿宋_GB2312" w:hAnsi="宋体" w:eastAsia="仿宋_GB2312"/>
                <w:color w:val="auto"/>
                <w:kern w:val="0"/>
                <w:sz w:val="13"/>
                <w:szCs w:val="13"/>
                <w:highlight w:val="none"/>
                <w:lang w:eastAsia="zh-CN"/>
              </w:rPr>
              <w:t>30日-</w:t>
            </w:r>
            <w:r>
              <w:rPr>
                <w:rFonts w:hint="eastAsia" w:ascii="仿宋_GB2312" w:hAnsi="宋体" w:eastAsia="仿宋_GB2312"/>
                <w:color w:val="auto"/>
                <w:kern w:val="0"/>
                <w:sz w:val="13"/>
                <w:szCs w:val="13"/>
                <w:highlight w:val="none"/>
              </w:rPr>
              <w:t>60日。</w:t>
            </w:r>
          </w:p>
        </w:tc>
      </w:tr>
      <w:tr w14:paraId="6C7A3CE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0" w:hRule="atLeast"/>
          <w:jc w:val="center"/>
        </w:trPr>
        <w:tc>
          <w:tcPr>
            <w:tcW w:w="443" w:type="dxa"/>
            <w:gridSpan w:val="2"/>
            <w:vMerge w:val="continue"/>
            <w:tcBorders>
              <w:tl2br w:val="nil"/>
              <w:tr2bl w:val="nil"/>
            </w:tcBorders>
            <w:vAlign w:val="center"/>
          </w:tcPr>
          <w:p w14:paraId="577131D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3CA80C2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vAlign w:val="center"/>
          </w:tcPr>
          <w:p w14:paraId="2442875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vMerge w:val="continue"/>
            <w:tcBorders>
              <w:tl2br w:val="nil"/>
              <w:tr2bl w:val="nil"/>
            </w:tcBorders>
            <w:vAlign w:val="center"/>
          </w:tcPr>
          <w:p w14:paraId="5AC3CB8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3437" w:type="dxa"/>
            <w:gridSpan w:val="2"/>
            <w:tcBorders>
              <w:tl2br w:val="nil"/>
              <w:tr2bl w:val="nil"/>
            </w:tcBorders>
            <w:vAlign w:val="center"/>
          </w:tcPr>
          <w:p w14:paraId="66BA1E3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（2）造成3人以上5人以下死亡，或者10人以上20人以下重伤，或者1000万元以上2000万元以下直接经济损失的。</w:t>
            </w:r>
          </w:p>
        </w:tc>
        <w:tc>
          <w:tcPr>
            <w:tcW w:w="3058" w:type="dxa"/>
            <w:tcBorders>
              <w:tl2br w:val="nil"/>
              <w:tr2bl w:val="nil"/>
            </w:tcBorders>
            <w:vAlign w:val="center"/>
          </w:tcPr>
          <w:p w14:paraId="3BB91CF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改正，没收违法所得；对勘察、设计单位处合同约定的勘察费、设计费百分之五十的罚款；；对施工单位处工程合同价款百分之一的罚款；对单位直接负责主管人员和其他直接责任人员处单位罚款数额百发之十的罚款；责令停业整顿</w:t>
            </w:r>
            <w:r>
              <w:rPr>
                <w:rFonts w:hint="eastAsia" w:ascii="仿宋_GB2312" w:hAnsi="宋体" w:eastAsia="仿宋_GB2312"/>
                <w:color w:val="auto"/>
                <w:kern w:val="0"/>
                <w:sz w:val="13"/>
                <w:szCs w:val="13"/>
                <w:highlight w:val="none"/>
                <w:lang w:eastAsia="zh-CN"/>
              </w:rPr>
              <w:t>60日-</w:t>
            </w:r>
            <w:r>
              <w:rPr>
                <w:rFonts w:hint="eastAsia" w:ascii="仿宋_GB2312" w:hAnsi="宋体" w:eastAsia="仿宋_GB2312"/>
                <w:color w:val="auto"/>
                <w:kern w:val="0"/>
                <w:sz w:val="13"/>
                <w:szCs w:val="13"/>
                <w:highlight w:val="none"/>
              </w:rPr>
              <w:t>90日。</w:t>
            </w:r>
          </w:p>
        </w:tc>
      </w:tr>
      <w:tr w14:paraId="1C20D19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94" w:hRule="atLeast"/>
          <w:jc w:val="center"/>
        </w:trPr>
        <w:tc>
          <w:tcPr>
            <w:tcW w:w="443" w:type="dxa"/>
            <w:gridSpan w:val="2"/>
            <w:vMerge w:val="continue"/>
            <w:tcBorders>
              <w:tl2br w:val="nil"/>
              <w:tr2bl w:val="nil"/>
            </w:tcBorders>
            <w:vAlign w:val="center"/>
          </w:tcPr>
          <w:p w14:paraId="6CB9874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2CD0D9E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vAlign w:val="center"/>
          </w:tcPr>
          <w:p w14:paraId="746639E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vMerge w:val="continue"/>
            <w:tcBorders>
              <w:tl2br w:val="nil"/>
              <w:tr2bl w:val="nil"/>
            </w:tcBorders>
            <w:vAlign w:val="center"/>
          </w:tcPr>
          <w:p w14:paraId="14EA5D5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3437" w:type="dxa"/>
            <w:gridSpan w:val="2"/>
            <w:tcBorders>
              <w:tl2br w:val="nil"/>
              <w:tr2bl w:val="nil"/>
            </w:tcBorders>
            <w:vAlign w:val="center"/>
          </w:tcPr>
          <w:p w14:paraId="1B2ED72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（3）造成5人以上7人以下死亡，或者20人以上30人以下重伤，或者2000万元以上3000万元以下直接经济损失的。</w:t>
            </w:r>
          </w:p>
        </w:tc>
        <w:tc>
          <w:tcPr>
            <w:tcW w:w="3058" w:type="dxa"/>
            <w:tcBorders>
              <w:tl2br w:val="nil"/>
              <w:tr2bl w:val="nil"/>
            </w:tcBorders>
            <w:vAlign w:val="center"/>
          </w:tcPr>
          <w:p w14:paraId="791F228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改正，没收违法所得；对勘察、设计单位处合同约定的勘察费、设计费百分之五十的罚款；；对施工单位处工程合同价款百分之一的罚款；对单位直接负责主管人员和其他直接责任人员处单位罚款数额百分之十的罚款；责令停业整顿</w:t>
            </w:r>
            <w:r>
              <w:rPr>
                <w:rFonts w:hint="eastAsia" w:ascii="仿宋_GB2312" w:hAnsi="宋体" w:eastAsia="仿宋_GB2312"/>
                <w:color w:val="auto"/>
                <w:kern w:val="0"/>
                <w:sz w:val="13"/>
                <w:szCs w:val="13"/>
                <w:highlight w:val="none"/>
                <w:lang w:eastAsia="zh-CN"/>
              </w:rPr>
              <w:t>90日-</w:t>
            </w:r>
            <w:r>
              <w:rPr>
                <w:rFonts w:hint="eastAsia" w:ascii="仿宋_GB2312" w:hAnsi="宋体" w:eastAsia="仿宋_GB2312"/>
                <w:color w:val="auto"/>
                <w:kern w:val="0"/>
                <w:sz w:val="13"/>
                <w:szCs w:val="13"/>
                <w:highlight w:val="none"/>
              </w:rPr>
              <w:t>120日。</w:t>
            </w:r>
          </w:p>
        </w:tc>
      </w:tr>
      <w:tr w14:paraId="001F4BC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620" w:hRule="atLeast"/>
          <w:jc w:val="center"/>
        </w:trPr>
        <w:tc>
          <w:tcPr>
            <w:tcW w:w="443" w:type="dxa"/>
            <w:gridSpan w:val="2"/>
            <w:vMerge w:val="continue"/>
            <w:tcBorders>
              <w:tl2br w:val="nil"/>
              <w:tr2bl w:val="nil"/>
            </w:tcBorders>
            <w:vAlign w:val="center"/>
          </w:tcPr>
          <w:p w14:paraId="1F33ECA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2D1931D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vAlign w:val="center"/>
          </w:tcPr>
          <w:p w14:paraId="5D59924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vMerge w:val="continue"/>
            <w:tcBorders>
              <w:tl2br w:val="nil"/>
              <w:tr2bl w:val="nil"/>
            </w:tcBorders>
            <w:vAlign w:val="center"/>
          </w:tcPr>
          <w:p w14:paraId="022758D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3437" w:type="dxa"/>
            <w:gridSpan w:val="2"/>
            <w:tcBorders>
              <w:tl2br w:val="nil"/>
              <w:tr2bl w:val="nil"/>
            </w:tcBorders>
            <w:vAlign w:val="center"/>
          </w:tcPr>
          <w:p w14:paraId="4F055B0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（4）造成7人以上10人以下死亡，或者30人以上50人以下重伤，或者3000万元以上5000万元以下直接经济损失的。</w:t>
            </w:r>
          </w:p>
        </w:tc>
        <w:tc>
          <w:tcPr>
            <w:tcW w:w="3058" w:type="dxa"/>
            <w:tcBorders>
              <w:tl2br w:val="nil"/>
              <w:tr2bl w:val="nil"/>
            </w:tcBorders>
            <w:vAlign w:val="center"/>
          </w:tcPr>
          <w:p w14:paraId="1E43C87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改正，没收违法所得；对勘察、设计单位处合同约定的勘察费、设计费百分之五十的罚款；；对施工单位处工程合同价款百分之一的罚款；对单位直接负责主管人员和其他直接责任人员处单位罚款数额百分之十的罚款；责令停业整顿</w:t>
            </w:r>
            <w:r>
              <w:rPr>
                <w:rFonts w:hint="eastAsia" w:ascii="仿宋_GB2312" w:hAnsi="宋体" w:eastAsia="仿宋_GB2312"/>
                <w:color w:val="auto"/>
                <w:kern w:val="0"/>
                <w:sz w:val="13"/>
                <w:szCs w:val="13"/>
                <w:highlight w:val="none"/>
                <w:lang w:eastAsia="zh-CN"/>
              </w:rPr>
              <w:t>120日-</w:t>
            </w:r>
            <w:r>
              <w:rPr>
                <w:rFonts w:hint="eastAsia" w:ascii="仿宋_GB2312" w:hAnsi="宋体" w:eastAsia="仿宋_GB2312"/>
                <w:color w:val="auto"/>
                <w:kern w:val="0"/>
                <w:sz w:val="13"/>
                <w:szCs w:val="13"/>
                <w:highlight w:val="none"/>
              </w:rPr>
              <w:t>180日。</w:t>
            </w:r>
          </w:p>
        </w:tc>
      </w:tr>
      <w:tr w14:paraId="7413DAA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597" w:hRule="atLeast"/>
          <w:jc w:val="center"/>
        </w:trPr>
        <w:tc>
          <w:tcPr>
            <w:tcW w:w="443" w:type="dxa"/>
            <w:gridSpan w:val="2"/>
            <w:vMerge w:val="continue"/>
            <w:tcBorders>
              <w:tl2br w:val="nil"/>
              <w:tr2bl w:val="nil"/>
            </w:tcBorders>
            <w:vAlign w:val="center"/>
          </w:tcPr>
          <w:p w14:paraId="180FD0B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4FF8015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vAlign w:val="center"/>
          </w:tcPr>
          <w:p w14:paraId="3A59A92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vMerge w:val="continue"/>
            <w:tcBorders>
              <w:tl2br w:val="nil"/>
              <w:tr2bl w:val="nil"/>
            </w:tcBorders>
            <w:vAlign w:val="center"/>
          </w:tcPr>
          <w:p w14:paraId="75EA932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3437" w:type="dxa"/>
            <w:gridSpan w:val="2"/>
            <w:tcBorders>
              <w:tl2br w:val="nil"/>
              <w:tr2bl w:val="nil"/>
            </w:tcBorders>
            <w:vAlign w:val="center"/>
          </w:tcPr>
          <w:p w14:paraId="5559E50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（5）3年内4次同类违法；或造成重大质量、安全事故的；或造成分部工程存在严重缺陷，经返修和加固处理仍不能满足安全使用要求。</w:t>
            </w:r>
          </w:p>
        </w:tc>
        <w:tc>
          <w:tcPr>
            <w:tcW w:w="3058" w:type="dxa"/>
            <w:tcBorders>
              <w:tl2br w:val="nil"/>
              <w:tr2bl w:val="nil"/>
            </w:tcBorders>
            <w:vAlign w:val="center"/>
          </w:tcPr>
          <w:p w14:paraId="1AF188F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改正，没收违法所得；对勘察、设计单位处合同约定的勘察费、设计费百分之五十的罚款；；对施工单位处工程合同价款百分之一的罚款；对单位直接负责主管人员和其他直接责任人员处单位罚款数额百分之十的罚款；降低资质等级。</w:t>
            </w:r>
          </w:p>
        </w:tc>
      </w:tr>
      <w:tr w14:paraId="6284C5E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684" w:hRule="atLeast"/>
          <w:jc w:val="center"/>
        </w:trPr>
        <w:tc>
          <w:tcPr>
            <w:tcW w:w="443" w:type="dxa"/>
            <w:gridSpan w:val="2"/>
            <w:vMerge w:val="continue"/>
            <w:tcBorders>
              <w:tl2br w:val="nil"/>
              <w:tr2bl w:val="nil"/>
            </w:tcBorders>
            <w:vAlign w:val="center"/>
          </w:tcPr>
          <w:p w14:paraId="1AB9739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7B9D02C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vAlign w:val="center"/>
          </w:tcPr>
          <w:p w14:paraId="1885760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vMerge w:val="continue"/>
            <w:tcBorders>
              <w:tl2br w:val="nil"/>
              <w:tr2bl w:val="nil"/>
            </w:tcBorders>
            <w:vAlign w:val="center"/>
          </w:tcPr>
          <w:p w14:paraId="109042D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3437" w:type="dxa"/>
            <w:gridSpan w:val="2"/>
            <w:tcBorders>
              <w:tl2br w:val="nil"/>
              <w:tr2bl w:val="nil"/>
            </w:tcBorders>
            <w:vAlign w:val="center"/>
          </w:tcPr>
          <w:p w14:paraId="1886C14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default" w:ascii="仿宋_GB2312" w:hAnsi="宋体" w:eastAsia="仿宋_GB2312"/>
                <w:color w:val="auto"/>
                <w:kern w:val="0"/>
                <w:sz w:val="13"/>
                <w:szCs w:val="13"/>
                <w:highlight w:val="none"/>
                <w:lang w:val="en-US" w:eastAsia="zh-CN"/>
              </w:rPr>
            </w:pPr>
            <w:r>
              <w:rPr>
                <w:rFonts w:hint="eastAsia" w:ascii="仿宋_GB2312" w:hAnsi="宋体" w:eastAsia="仿宋_GB2312"/>
                <w:color w:val="auto"/>
                <w:kern w:val="0"/>
                <w:sz w:val="13"/>
                <w:szCs w:val="13"/>
                <w:highlight w:val="none"/>
              </w:rPr>
              <w:t>（6）3年内5次同类违法；或造成特别重大质量、安全事故的；或造成单位（子单位）工程存在严重缺陷，经返修和加固处理仍不能满足安全使用要求</w:t>
            </w:r>
            <w:r>
              <w:rPr>
                <w:rFonts w:hint="eastAsia" w:ascii="仿宋_GB2312" w:hAnsi="宋体" w:eastAsia="仿宋_GB2312"/>
                <w:color w:val="auto"/>
                <w:kern w:val="0"/>
                <w:sz w:val="13"/>
                <w:szCs w:val="13"/>
                <w:highlight w:val="none"/>
                <w:lang w:eastAsia="zh-CN"/>
              </w:rPr>
              <w:t>；</w:t>
            </w:r>
            <w:r>
              <w:rPr>
                <w:rFonts w:hint="eastAsia" w:ascii="仿宋_GB2312" w:hAnsi="宋体" w:eastAsia="仿宋_GB2312"/>
                <w:color w:val="auto"/>
                <w:kern w:val="0"/>
                <w:sz w:val="13"/>
                <w:szCs w:val="13"/>
                <w:highlight w:val="none"/>
                <w:lang w:val="en-US" w:eastAsia="zh-CN"/>
              </w:rPr>
              <w:t>或造成特别严重社会影响的。</w:t>
            </w:r>
          </w:p>
        </w:tc>
        <w:tc>
          <w:tcPr>
            <w:tcW w:w="3058" w:type="dxa"/>
            <w:tcBorders>
              <w:tl2br w:val="nil"/>
              <w:tr2bl w:val="nil"/>
            </w:tcBorders>
            <w:vAlign w:val="center"/>
          </w:tcPr>
          <w:p w14:paraId="63D7F6B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改正，没收违法所得；对勘察、设计单位处合同约定的勘察费、设计费百分之五十的罚款；；对施工单位处工程合同价款百分之一的罚款；对单位直接负责主管人员和其他直接责任人员处单位罚款数额百分之十的罚款；吊销资质证书。</w:t>
            </w:r>
          </w:p>
        </w:tc>
      </w:tr>
      <w:tr w14:paraId="123ADF2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90" w:hRule="atLeast"/>
          <w:jc w:val="center"/>
        </w:trPr>
        <w:tc>
          <w:tcPr>
            <w:tcW w:w="443" w:type="dxa"/>
            <w:gridSpan w:val="2"/>
            <w:vMerge w:val="restart"/>
            <w:tcBorders>
              <w:tl2br w:val="nil"/>
              <w:tr2bl w:val="nil"/>
            </w:tcBorders>
            <w:vAlign w:val="center"/>
          </w:tcPr>
          <w:p w14:paraId="1D8B3A99">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Times New Roman"/>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87</w:t>
            </w:r>
          </w:p>
        </w:tc>
        <w:tc>
          <w:tcPr>
            <w:tcW w:w="1550" w:type="dxa"/>
            <w:vMerge w:val="restart"/>
            <w:tcBorders>
              <w:tl2br w:val="nil"/>
              <w:tr2bl w:val="nil"/>
            </w:tcBorders>
            <w:vAlign w:val="center"/>
          </w:tcPr>
          <w:p w14:paraId="57DD2A0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p>
          <w:p w14:paraId="3130195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工程监理单位转让工程监理业务</w:t>
            </w:r>
          </w:p>
        </w:tc>
        <w:tc>
          <w:tcPr>
            <w:tcW w:w="4820" w:type="dxa"/>
            <w:vMerge w:val="restart"/>
            <w:tcBorders>
              <w:tl2br w:val="nil"/>
              <w:tr2bl w:val="nil"/>
            </w:tcBorders>
          </w:tcPr>
          <w:p w14:paraId="43D902C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p w14:paraId="6EC49CD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p w14:paraId="28E9B27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p w14:paraId="5638A30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p w14:paraId="009D7E9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p w14:paraId="34D8011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《建设工程质量管理条例》第六十二条第二款</w:t>
            </w:r>
          </w:p>
          <w:p w14:paraId="1D6A9F8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工程监理单位转让工程监理业务的，责令改正，没收违法所得，处合同约定的监理酬金百分之二十五以上百分之五十以下的罚款；可以责令停业整顿，降低资质等级；情节严重的，吊销资质证书。</w:t>
            </w:r>
          </w:p>
          <w:p w14:paraId="446D942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p w14:paraId="62D39DE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rPr>
              <w:t>《建设工程质量管理条例》第七十三条</w:t>
            </w:r>
          </w:p>
          <w:p w14:paraId="786A2ED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宋体" w:hAnsi="宋体" w:cs="宋体"/>
                <w:bCs/>
                <w:color w:val="auto"/>
                <w:kern w:val="0"/>
                <w:sz w:val="13"/>
                <w:szCs w:val="13"/>
                <w:highlight w:val="none"/>
              </w:rPr>
            </w:pPr>
            <w:r>
              <w:rPr>
                <w:rFonts w:hint="eastAsia" w:ascii="仿宋_GB2312" w:hAnsi="宋体" w:eastAsia="仿宋_GB2312"/>
                <w:color w:val="auto"/>
                <w:kern w:val="0"/>
                <w:sz w:val="13"/>
                <w:szCs w:val="13"/>
                <w:highlight w:val="none"/>
              </w:rPr>
              <w:t>依照本条例规定，给予单位罚款处罚的，对单位直接负责的主管人员和其他直接责任人员处单位罚款数额百分之五以上百分之十以下的罚款。</w:t>
            </w:r>
          </w:p>
        </w:tc>
        <w:tc>
          <w:tcPr>
            <w:tcW w:w="823" w:type="dxa"/>
            <w:tcBorders>
              <w:tl2br w:val="nil"/>
              <w:tr2bl w:val="nil"/>
            </w:tcBorders>
            <w:vAlign w:val="center"/>
          </w:tcPr>
          <w:p w14:paraId="3B92D59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vAlign w:val="center"/>
          </w:tcPr>
          <w:p w14:paraId="6465341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初次违法，危害后果轻微，主动消除或减轻违法行为危害后果的。</w:t>
            </w:r>
          </w:p>
        </w:tc>
        <w:tc>
          <w:tcPr>
            <w:tcW w:w="3058" w:type="dxa"/>
            <w:tcBorders>
              <w:tl2br w:val="nil"/>
              <w:tr2bl w:val="nil"/>
            </w:tcBorders>
            <w:vAlign w:val="center"/>
          </w:tcPr>
          <w:p w14:paraId="1620299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责令改正，没收违法所得；处合同约定的监理酬金百分之二十五以上百分之三十以下的罚款，对单位直接负责的主管人员和其他直接责任人员处单位罚款数额百分之五以上百分之六以下的罚款。</w:t>
            </w:r>
          </w:p>
        </w:tc>
      </w:tr>
      <w:tr w14:paraId="290D932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94" w:hRule="atLeast"/>
          <w:jc w:val="center"/>
        </w:trPr>
        <w:tc>
          <w:tcPr>
            <w:tcW w:w="443" w:type="dxa"/>
            <w:gridSpan w:val="2"/>
            <w:vMerge w:val="continue"/>
            <w:tcBorders>
              <w:tl2br w:val="nil"/>
              <w:tr2bl w:val="nil"/>
            </w:tcBorders>
            <w:vAlign w:val="center"/>
          </w:tcPr>
          <w:p w14:paraId="323ED12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1E2D737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tcPr>
          <w:p w14:paraId="16231D2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vMerge w:val="restart"/>
            <w:tcBorders>
              <w:tl2br w:val="nil"/>
              <w:tr2bl w:val="nil"/>
            </w:tcBorders>
            <w:vAlign w:val="center"/>
          </w:tcPr>
          <w:p w14:paraId="1DBACCE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一般情节</w:t>
            </w:r>
          </w:p>
        </w:tc>
        <w:tc>
          <w:tcPr>
            <w:tcW w:w="3437" w:type="dxa"/>
            <w:gridSpan w:val="2"/>
            <w:tcBorders>
              <w:tl2br w:val="nil"/>
              <w:tr2bl w:val="nil"/>
            </w:tcBorders>
            <w:vAlign w:val="center"/>
          </w:tcPr>
          <w:p w14:paraId="1E9A974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（1）不具有从轻、</w:t>
            </w:r>
            <w:r>
              <w:rPr>
                <w:rFonts w:hint="eastAsia" w:ascii="仿宋_GB2312" w:hAnsi="宋体" w:eastAsia="仿宋_GB2312"/>
                <w:color w:val="auto"/>
                <w:kern w:val="0"/>
                <w:sz w:val="13"/>
                <w:szCs w:val="13"/>
                <w:highlight w:val="none"/>
                <w:lang w:eastAsia="zh-CN"/>
              </w:rPr>
              <w:t>从重情节</w:t>
            </w:r>
            <w:r>
              <w:rPr>
                <w:rFonts w:hint="eastAsia" w:ascii="仿宋_GB2312" w:hAnsi="宋体" w:eastAsia="仿宋_GB2312"/>
                <w:color w:val="auto"/>
                <w:kern w:val="0"/>
                <w:sz w:val="13"/>
                <w:szCs w:val="13"/>
                <w:highlight w:val="none"/>
              </w:rPr>
              <w:t>的。</w:t>
            </w:r>
          </w:p>
        </w:tc>
        <w:tc>
          <w:tcPr>
            <w:tcW w:w="3058" w:type="dxa"/>
            <w:tcBorders>
              <w:tl2br w:val="nil"/>
              <w:tr2bl w:val="nil"/>
            </w:tcBorders>
            <w:vAlign w:val="center"/>
          </w:tcPr>
          <w:p w14:paraId="6351C25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责令改正，没收违法所得；处合同约定的监理酬金百分之三十以上百分之</w:t>
            </w:r>
            <w:r>
              <w:rPr>
                <w:rFonts w:hint="eastAsia" w:ascii="仿宋_GB2312" w:hAnsi="宋体" w:eastAsia="仿宋_GB2312"/>
                <w:color w:val="auto"/>
                <w:kern w:val="0"/>
                <w:sz w:val="13"/>
                <w:szCs w:val="13"/>
                <w:highlight w:val="none"/>
                <w:lang w:val="en-US" w:eastAsia="zh-CN"/>
              </w:rPr>
              <w:t>四</w:t>
            </w:r>
            <w:r>
              <w:rPr>
                <w:rFonts w:hint="eastAsia" w:ascii="仿宋_GB2312" w:hAnsi="宋体" w:eastAsia="仿宋_GB2312"/>
                <w:color w:val="auto"/>
                <w:kern w:val="0"/>
                <w:sz w:val="13"/>
                <w:szCs w:val="13"/>
                <w:highlight w:val="none"/>
              </w:rPr>
              <w:t>十以下的罚款，对单位直接负责的主管人员和其他直接责任人员处单位罚款数额百分之六以上百分之十以下的罚款。</w:t>
            </w:r>
          </w:p>
          <w:p w14:paraId="2AD7256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p>
        </w:tc>
      </w:tr>
      <w:tr w14:paraId="7A447BF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16" w:hRule="atLeast"/>
          <w:jc w:val="center"/>
        </w:trPr>
        <w:tc>
          <w:tcPr>
            <w:tcW w:w="443" w:type="dxa"/>
            <w:gridSpan w:val="2"/>
            <w:vMerge w:val="continue"/>
            <w:tcBorders>
              <w:tl2br w:val="nil"/>
              <w:tr2bl w:val="nil"/>
            </w:tcBorders>
            <w:vAlign w:val="center"/>
          </w:tcPr>
          <w:p w14:paraId="70D0E0E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50737F7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tcPr>
          <w:p w14:paraId="6AFC401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vMerge w:val="continue"/>
            <w:tcBorders>
              <w:tl2br w:val="nil"/>
              <w:tr2bl w:val="nil"/>
            </w:tcBorders>
            <w:vAlign w:val="center"/>
          </w:tcPr>
          <w:p w14:paraId="01E422B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3437" w:type="dxa"/>
            <w:gridSpan w:val="2"/>
            <w:tcBorders>
              <w:tl2br w:val="nil"/>
              <w:tr2bl w:val="nil"/>
            </w:tcBorders>
            <w:vAlign w:val="center"/>
          </w:tcPr>
          <w:p w14:paraId="0DA7435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（2）2年内2次同类型违法。</w:t>
            </w:r>
          </w:p>
        </w:tc>
        <w:tc>
          <w:tcPr>
            <w:tcW w:w="3058" w:type="dxa"/>
            <w:tcBorders>
              <w:tl2br w:val="nil"/>
              <w:tr2bl w:val="nil"/>
            </w:tcBorders>
            <w:vAlign w:val="center"/>
          </w:tcPr>
          <w:p w14:paraId="4216F92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责令改正，没收违法所得；处合同约定的监理酬金百分之</w:t>
            </w:r>
            <w:r>
              <w:rPr>
                <w:rFonts w:hint="eastAsia" w:ascii="仿宋_GB2312" w:hAnsi="宋体" w:eastAsia="仿宋_GB2312"/>
                <w:color w:val="auto"/>
                <w:kern w:val="0"/>
                <w:sz w:val="13"/>
                <w:szCs w:val="13"/>
                <w:highlight w:val="none"/>
                <w:lang w:val="en-US" w:eastAsia="zh-CN"/>
              </w:rPr>
              <w:t>四十以上白分之五十以下</w:t>
            </w:r>
            <w:r>
              <w:rPr>
                <w:rFonts w:hint="eastAsia" w:ascii="仿宋_GB2312" w:hAnsi="宋体" w:eastAsia="仿宋_GB2312"/>
                <w:color w:val="auto"/>
                <w:kern w:val="0"/>
                <w:sz w:val="13"/>
                <w:szCs w:val="13"/>
                <w:highlight w:val="none"/>
              </w:rPr>
              <w:t>的罚款，对单位直接负责的主管人员和其他直接责任人员处单位罚款数额百分之十的罚款；责令停业整顿</w:t>
            </w:r>
            <w:r>
              <w:rPr>
                <w:rFonts w:hint="eastAsia" w:ascii="仿宋_GB2312" w:hAnsi="宋体" w:eastAsia="仿宋_GB2312"/>
                <w:color w:val="auto"/>
                <w:kern w:val="0"/>
                <w:sz w:val="13"/>
                <w:szCs w:val="13"/>
                <w:highlight w:val="none"/>
                <w:lang w:eastAsia="zh-CN"/>
              </w:rPr>
              <w:t>30日-</w:t>
            </w:r>
            <w:r>
              <w:rPr>
                <w:rFonts w:hint="eastAsia" w:ascii="仿宋_GB2312" w:hAnsi="宋体" w:eastAsia="仿宋_GB2312"/>
                <w:color w:val="auto"/>
                <w:kern w:val="0"/>
                <w:sz w:val="13"/>
                <w:szCs w:val="13"/>
                <w:highlight w:val="none"/>
              </w:rPr>
              <w:t>60日。</w:t>
            </w:r>
          </w:p>
        </w:tc>
      </w:tr>
      <w:tr w14:paraId="609BB81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16" w:hRule="atLeast"/>
          <w:jc w:val="center"/>
        </w:trPr>
        <w:tc>
          <w:tcPr>
            <w:tcW w:w="443" w:type="dxa"/>
            <w:gridSpan w:val="2"/>
            <w:vMerge w:val="continue"/>
            <w:tcBorders>
              <w:tl2br w:val="nil"/>
              <w:tr2bl w:val="nil"/>
            </w:tcBorders>
            <w:vAlign w:val="center"/>
          </w:tcPr>
          <w:p w14:paraId="33F9E53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4E44488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vAlign w:val="center"/>
          </w:tcPr>
          <w:p w14:paraId="4B5BD01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vMerge w:val="restart"/>
            <w:tcBorders>
              <w:tl2br w:val="nil"/>
              <w:tr2bl w:val="nil"/>
            </w:tcBorders>
            <w:vAlign w:val="center"/>
          </w:tcPr>
          <w:p w14:paraId="68B2A4E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从重情节</w:t>
            </w:r>
          </w:p>
        </w:tc>
        <w:tc>
          <w:tcPr>
            <w:tcW w:w="3437" w:type="dxa"/>
            <w:gridSpan w:val="2"/>
            <w:tcBorders>
              <w:tl2br w:val="nil"/>
              <w:tr2bl w:val="nil"/>
            </w:tcBorders>
          </w:tcPr>
          <w:p w14:paraId="2B9DB73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（1）造成3人以下死亡，或者10人以下重伤，或者1000万元以下直接经济损失。</w:t>
            </w:r>
          </w:p>
        </w:tc>
        <w:tc>
          <w:tcPr>
            <w:tcW w:w="3058" w:type="dxa"/>
            <w:tcBorders>
              <w:tl2br w:val="nil"/>
              <w:tr2bl w:val="nil"/>
            </w:tcBorders>
            <w:vAlign w:val="center"/>
          </w:tcPr>
          <w:p w14:paraId="426EAE8B">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责令改正，没收违法所得；处合同约定的监理酬金百分之五十的罚款，对单位直接负责的主管人员和其他直接责任人员处单位罚款数额百分之十的罚款；责令停业整顿30—60日。</w:t>
            </w:r>
          </w:p>
        </w:tc>
      </w:tr>
      <w:tr w14:paraId="0019A85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8" w:hRule="atLeast"/>
          <w:jc w:val="center"/>
        </w:trPr>
        <w:tc>
          <w:tcPr>
            <w:tcW w:w="443" w:type="dxa"/>
            <w:gridSpan w:val="2"/>
            <w:vMerge w:val="continue"/>
            <w:tcBorders>
              <w:tl2br w:val="nil"/>
              <w:tr2bl w:val="nil"/>
            </w:tcBorders>
            <w:vAlign w:val="center"/>
          </w:tcPr>
          <w:p w14:paraId="5284354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2671FAF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vAlign w:val="center"/>
          </w:tcPr>
          <w:p w14:paraId="50B3D39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vMerge w:val="continue"/>
            <w:tcBorders>
              <w:tl2br w:val="nil"/>
              <w:tr2bl w:val="nil"/>
            </w:tcBorders>
            <w:vAlign w:val="center"/>
          </w:tcPr>
          <w:p w14:paraId="1B219F0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3437" w:type="dxa"/>
            <w:gridSpan w:val="2"/>
            <w:tcBorders>
              <w:tl2br w:val="nil"/>
              <w:tr2bl w:val="nil"/>
            </w:tcBorders>
          </w:tcPr>
          <w:p w14:paraId="6B0014D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（2）造成3人以上5人以下死亡，或者10人以上20人以下重伤，或者1000万元以上2000万元以下直接经济损失。</w:t>
            </w:r>
          </w:p>
        </w:tc>
        <w:tc>
          <w:tcPr>
            <w:tcW w:w="3058" w:type="dxa"/>
            <w:tcBorders>
              <w:tl2br w:val="nil"/>
              <w:tr2bl w:val="nil"/>
            </w:tcBorders>
            <w:vAlign w:val="center"/>
          </w:tcPr>
          <w:p w14:paraId="5911918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责令改正，没收违法所得；处合同约定的监理酬金百分之五十的罚款，对单位直接负责的主管人员和其他直接责任人员处单位罚款数额百分之十的罚款；责令停业整顿</w:t>
            </w:r>
            <w:r>
              <w:rPr>
                <w:rFonts w:hint="eastAsia" w:ascii="仿宋_GB2312" w:hAnsi="宋体" w:eastAsia="仿宋_GB2312"/>
                <w:color w:val="auto"/>
                <w:kern w:val="0"/>
                <w:sz w:val="13"/>
                <w:szCs w:val="13"/>
                <w:highlight w:val="none"/>
                <w:lang w:eastAsia="zh-CN"/>
              </w:rPr>
              <w:t>60日-</w:t>
            </w:r>
            <w:r>
              <w:rPr>
                <w:rFonts w:hint="eastAsia" w:ascii="仿宋_GB2312" w:hAnsi="宋体" w:eastAsia="仿宋_GB2312"/>
                <w:color w:val="auto"/>
                <w:kern w:val="0"/>
                <w:sz w:val="13"/>
                <w:szCs w:val="13"/>
                <w:highlight w:val="none"/>
              </w:rPr>
              <w:t>90日。</w:t>
            </w:r>
          </w:p>
        </w:tc>
      </w:tr>
      <w:tr w14:paraId="4F58A5C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16" w:hRule="atLeast"/>
          <w:jc w:val="center"/>
        </w:trPr>
        <w:tc>
          <w:tcPr>
            <w:tcW w:w="443" w:type="dxa"/>
            <w:gridSpan w:val="2"/>
            <w:vMerge w:val="continue"/>
            <w:tcBorders>
              <w:tl2br w:val="nil"/>
              <w:tr2bl w:val="nil"/>
            </w:tcBorders>
            <w:vAlign w:val="center"/>
          </w:tcPr>
          <w:p w14:paraId="2A10BA0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717D92D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vAlign w:val="center"/>
          </w:tcPr>
          <w:p w14:paraId="0ABF936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vMerge w:val="continue"/>
            <w:tcBorders>
              <w:tl2br w:val="nil"/>
              <w:tr2bl w:val="nil"/>
            </w:tcBorders>
            <w:vAlign w:val="center"/>
          </w:tcPr>
          <w:p w14:paraId="78802BB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3437" w:type="dxa"/>
            <w:gridSpan w:val="2"/>
            <w:tcBorders>
              <w:tl2br w:val="nil"/>
              <w:tr2bl w:val="nil"/>
            </w:tcBorders>
            <w:vAlign w:val="center"/>
          </w:tcPr>
          <w:p w14:paraId="720246C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（3）造成5人以上7人以下死亡，或者20人以上30人以下重伤，或者2000万元以上3000万元以下直接经济损失。</w:t>
            </w:r>
          </w:p>
        </w:tc>
        <w:tc>
          <w:tcPr>
            <w:tcW w:w="3058" w:type="dxa"/>
            <w:tcBorders>
              <w:tl2br w:val="nil"/>
              <w:tr2bl w:val="nil"/>
            </w:tcBorders>
            <w:vAlign w:val="center"/>
          </w:tcPr>
          <w:p w14:paraId="1A36F01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责令改正，没收违法所得；处合同约定的监理酬金百分之五十的罚款，对单位直接负责的主管人员和其他直接责任人员处单位罚款数额百分之十的罚款；责令停业整顿</w:t>
            </w:r>
            <w:r>
              <w:rPr>
                <w:rFonts w:hint="eastAsia" w:ascii="仿宋_GB2312" w:hAnsi="宋体" w:eastAsia="仿宋_GB2312"/>
                <w:color w:val="auto"/>
                <w:kern w:val="0"/>
                <w:sz w:val="13"/>
                <w:szCs w:val="13"/>
                <w:highlight w:val="none"/>
                <w:lang w:eastAsia="zh-CN"/>
              </w:rPr>
              <w:t>90日-</w:t>
            </w:r>
            <w:r>
              <w:rPr>
                <w:rFonts w:hint="eastAsia" w:ascii="仿宋_GB2312" w:hAnsi="宋体" w:eastAsia="仿宋_GB2312"/>
                <w:color w:val="auto"/>
                <w:kern w:val="0"/>
                <w:sz w:val="13"/>
                <w:szCs w:val="13"/>
                <w:highlight w:val="none"/>
              </w:rPr>
              <w:t>120日。</w:t>
            </w:r>
          </w:p>
        </w:tc>
      </w:tr>
      <w:tr w14:paraId="0328DC2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16" w:hRule="atLeast"/>
          <w:jc w:val="center"/>
        </w:trPr>
        <w:tc>
          <w:tcPr>
            <w:tcW w:w="443" w:type="dxa"/>
            <w:gridSpan w:val="2"/>
            <w:vMerge w:val="continue"/>
            <w:tcBorders>
              <w:tl2br w:val="nil"/>
              <w:tr2bl w:val="nil"/>
            </w:tcBorders>
            <w:vAlign w:val="center"/>
          </w:tcPr>
          <w:p w14:paraId="200C618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55F74F1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vAlign w:val="center"/>
          </w:tcPr>
          <w:p w14:paraId="2CBD6D6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vMerge w:val="continue"/>
            <w:tcBorders>
              <w:tl2br w:val="nil"/>
              <w:tr2bl w:val="nil"/>
            </w:tcBorders>
            <w:vAlign w:val="center"/>
          </w:tcPr>
          <w:p w14:paraId="7A31985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3437" w:type="dxa"/>
            <w:gridSpan w:val="2"/>
            <w:tcBorders>
              <w:tl2br w:val="nil"/>
              <w:tr2bl w:val="nil"/>
            </w:tcBorders>
            <w:vAlign w:val="center"/>
          </w:tcPr>
          <w:p w14:paraId="338495A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（4）造成7人以上10人以下死亡，或者30人以上50人以下重伤，或者3000万元以上5000万元以下直接经济损失。</w:t>
            </w:r>
          </w:p>
        </w:tc>
        <w:tc>
          <w:tcPr>
            <w:tcW w:w="3058" w:type="dxa"/>
            <w:tcBorders>
              <w:tl2br w:val="nil"/>
              <w:tr2bl w:val="nil"/>
            </w:tcBorders>
            <w:vAlign w:val="center"/>
          </w:tcPr>
          <w:p w14:paraId="5364BAC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责令改正，没收违法所得；处合同约定的监理酬金百分之五十的罚款，对单位直接负责的主管人员和其他直接责任人员处单位罚款数额百分之十的罚款；责令停业整顿</w:t>
            </w:r>
            <w:r>
              <w:rPr>
                <w:rFonts w:hint="eastAsia" w:ascii="仿宋_GB2312" w:hAnsi="宋体" w:eastAsia="仿宋_GB2312"/>
                <w:color w:val="auto"/>
                <w:kern w:val="0"/>
                <w:sz w:val="13"/>
                <w:szCs w:val="13"/>
                <w:highlight w:val="none"/>
                <w:lang w:eastAsia="zh-CN"/>
              </w:rPr>
              <w:t>120日-</w:t>
            </w:r>
            <w:r>
              <w:rPr>
                <w:rFonts w:hint="eastAsia" w:ascii="仿宋_GB2312" w:hAnsi="宋体" w:eastAsia="仿宋_GB2312"/>
                <w:color w:val="auto"/>
                <w:kern w:val="0"/>
                <w:sz w:val="13"/>
                <w:szCs w:val="13"/>
                <w:highlight w:val="none"/>
              </w:rPr>
              <w:t>180日。</w:t>
            </w:r>
          </w:p>
        </w:tc>
      </w:tr>
      <w:tr w14:paraId="16A8B60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16" w:hRule="atLeast"/>
          <w:jc w:val="center"/>
        </w:trPr>
        <w:tc>
          <w:tcPr>
            <w:tcW w:w="443" w:type="dxa"/>
            <w:gridSpan w:val="2"/>
            <w:vMerge w:val="continue"/>
            <w:tcBorders>
              <w:tl2br w:val="nil"/>
              <w:tr2bl w:val="nil"/>
            </w:tcBorders>
            <w:vAlign w:val="center"/>
          </w:tcPr>
          <w:p w14:paraId="374F441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487EFEB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vAlign w:val="center"/>
          </w:tcPr>
          <w:p w14:paraId="5D6123C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vMerge w:val="continue"/>
            <w:tcBorders>
              <w:tl2br w:val="nil"/>
              <w:tr2bl w:val="nil"/>
            </w:tcBorders>
            <w:vAlign w:val="center"/>
          </w:tcPr>
          <w:p w14:paraId="2D97911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3437" w:type="dxa"/>
            <w:gridSpan w:val="2"/>
            <w:tcBorders>
              <w:tl2br w:val="nil"/>
              <w:tr2bl w:val="nil"/>
            </w:tcBorders>
            <w:vAlign w:val="center"/>
          </w:tcPr>
          <w:p w14:paraId="196740B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（5）3年内4次同类违法；或造成重大质量、安全事故的；或造成分部工程存在严重缺陷，经返修和加固处理仍不能满足安全使用要求。</w:t>
            </w:r>
          </w:p>
        </w:tc>
        <w:tc>
          <w:tcPr>
            <w:tcW w:w="3058" w:type="dxa"/>
            <w:tcBorders>
              <w:tl2br w:val="nil"/>
              <w:tr2bl w:val="nil"/>
            </w:tcBorders>
            <w:vAlign w:val="center"/>
          </w:tcPr>
          <w:p w14:paraId="68E66DF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责令改正，没收违法所得；处合同约定的监理酬金百分之五十的罚款，对单位直接负责的主管人员和其他直接责任人员处单位罚款数额百分之十的罚款；降低资质等级。</w:t>
            </w:r>
          </w:p>
        </w:tc>
      </w:tr>
      <w:tr w14:paraId="079AE3F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0" w:hRule="atLeast"/>
          <w:jc w:val="center"/>
        </w:trPr>
        <w:tc>
          <w:tcPr>
            <w:tcW w:w="443" w:type="dxa"/>
            <w:gridSpan w:val="2"/>
            <w:vMerge w:val="continue"/>
            <w:tcBorders>
              <w:tl2br w:val="nil"/>
              <w:tr2bl w:val="nil"/>
            </w:tcBorders>
            <w:vAlign w:val="center"/>
          </w:tcPr>
          <w:p w14:paraId="3E498BA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1C97FE1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vAlign w:val="center"/>
          </w:tcPr>
          <w:p w14:paraId="1A1B403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vMerge w:val="continue"/>
            <w:tcBorders>
              <w:tl2br w:val="nil"/>
              <w:tr2bl w:val="nil"/>
            </w:tcBorders>
            <w:vAlign w:val="center"/>
          </w:tcPr>
          <w:p w14:paraId="68CCD5B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3437" w:type="dxa"/>
            <w:gridSpan w:val="2"/>
            <w:tcBorders>
              <w:tl2br w:val="nil"/>
              <w:tr2bl w:val="nil"/>
            </w:tcBorders>
            <w:vAlign w:val="center"/>
          </w:tcPr>
          <w:p w14:paraId="15DF0D5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default" w:ascii="仿宋_GB2312" w:hAnsi="宋体" w:eastAsia="仿宋_GB2312"/>
                <w:color w:val="auto"/>
                <w:kern w:val="0"/>
                <w:sz w:val="13"/>
                <w:szCs w:val="13"/>
                <w:highlight w:val="none"/>
                <w:lang w:val="en-US" w:eastAsia="zh-CN"/>
              </w:rPr>
            </w:pPr>
            <w:r>
              <w:rPr>
                <w:rFonts w:hint="eastAsia" w:ascii="仿宋_GB2312" w:hAnsi="宋体" w:eastAsia="仿宋_GB2312"/>
                <w:color w:val="auto"/>
                <w:kern w:val="0"/>
                <w:sz w:val="13"/>
                <w:szCs w:val="13"/>
                <w:highlight w:val="none"/>
              </w:rPr>
              <w:t>（6）3年内5次同类违法；或造成特别重大质量、安全事故的；或造成单位（子单位）工程存在严重缺陷，经返修和加固处理仍不能满足安全使用要求</w:t>
            </w:r>
            <w:r>
              <w:rPr>
                <w:rFonts w:hint="eastAsia" w:ascii="仿宋_GB2312" w:hAnsi="宋体" w:eastAsia="仿宋_GB2312"/>
                <w:color w:val="auto"/>
                <w:kern w:val="0"/>
                <w:sz w:val="13"/>
                <w:szCs w:val="13"/>
                <w:highlight w:val="none"/>
                <w:lang w:eastAsia="zh-CN"/>
              </w:rPr>
              <w:t>；</w:t>
            </w:r>
            <w:r>
              <w:rPr>
                <w:rFonts w:hint="eastAsia" w:ascii="仿宋_GB2312" w:hAnsi="宋体" w:eastAsia="仿宋_GB2312"/>
                <w:color w:val="auto"/>
                <w:kern w:val="0"/>
                <w:sz w:val="13"/>
                <w:szCs w:val="13"/>
                <w:highlight w:val="none"/>
                <w:lang w:val="en-US" w:eastAsia="zh-CN"/>
              </w:rPr>
              <w:t>或造成特别严重的社会影响。</w:t>
            </w:r>
          </w:p>
          <w:p w14:paraId="65235DA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p>
        </w:tc>
        <w:tc>
          <w:tcPr>
            <w:tcW w:w="3058" w:type="dxa"/>
            <w:tcBorders>
              <w:tl2br w:val="nil"/>
              <w:tr2bl w:val="nil"/>
            </w:tcBorders>
            <w:vAlign w:val="center"/>
          </w:tcPr>
          <w:p w14:paraId="4D6D971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责令改正，没收违法所得；处合同约定的监理酬金百分之五十的罚款，对单位直接负责的主管人员和其他直接责任人员处单位罚款数额百分之十的罚款；吊销资质证书。</w:t>
            </w:r>
          </w:p>
        </w:tc>
      </w:tr>
      <w:tr w14:paraId="32F6655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8" w:hRule="atLeast"/>
          <w:jc w:val="center"/>
        </w:trPr>
        <w:tc>
          <w:tcPr>
            <w:tcW w:w="443" w:type="dxa"/>
            <w:gridSpan w:val="2"/>
            <w:vMerge w:val="restart"/>
            <w:tcBorders>
              <w:tl2br w:val="nil"/>
              <w:tr2bl w:val="nil"/>
            </w:tcBorders>
            <w:vAlign w:val="center"/>
          </w:tcPr>
          <w:p w14:paraId="420AB0C6">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Times New Roman"/>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88</w:t>
            </w:r>
          </w:p>
        </w:tc>
        <w:tc>
          <w:tcPr>
            <w:tcW w:w="1550" w:type="dxa"/>
            <w:vMerge w:val="restart"/>
            <w:tcBorders>
              <w:tl2br w:val="nil"/>
              <w:tr2bl w:val="nil"/>
            </w:tcBorders>
            <w:vAlign w:val="center"/>
          </w:tcPr>
          <w:p w14:paraId="0C682B5E">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宋体"/>
                <w:color w:val="auto"/>
                <w:sz w:val="13"/>
                <w:szCs w:val="13"/>
                <w:highlight w:val="none"/>
              </w:rPr>
            </w:pPr>
            <w:r>
              <w:rPr>
                <w:rFonts w:hint="eastAsia" w:ascii="仿宋_GB2312" w:hAnsi="宋体" w:eastAsia="仿宋_GB2312"/>
                <w:color w:val="auto"/>
                <w:kern w:val="0"/>
                <w:sz w:val="13"/>
                <w:szCs w:val="13"/>
                <w:highlight w:val="none"/>
              </w:rPr>
              <w:t>勘察单位未按照工程建设强制性标准进行勘察</w:t>
            </w:r>
          </w:p>
        </w:tc>
        <w:tc>
          <w:tcPr>
            <w:tcW w:w="4820" w:type="dxa"/>
            <w:vMerge w:val="restart"/>
            <w:tcBorders>
              <w:tl2br w:val="nil"/>
              <w:tr2bl w:val="nil"/>
            </w:tcBorders>
            <w:vAlign w:val="center"/>
          </w:tcPr>
          <w:p w14:paraId="2D401A1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hint="default" w:ascii="仿宋_GB2312" w:hAnsi="宋体" w:eastAsia="仿宋_GB2312"/>
                <w:color w:val="auto"/>
                <w:kern w:val="0"/>
                <w:sz w:val="13"/>
                <w:szCs w:val="13"/>
                <w:highlight w:val="none"/>
                <w:lang w:val="en-US" w:eastAsia="zh-CN"/>
              </w:rPr>
            </w:pPr>
            <w:r>
              <w:rPr>
                <w:rFonts w:hint="eastAsia" w:ascii="仿宋_GB2312" w:hAnsi="宋体" w:eastAsia="仿宋_GB2312"/>
                <w:color w:val="auto"/>
                <w:kern w:val="0"/>
                <w:sz w:val="13"/>
                <w:szCs w:val="13"/>
                <w:highlight w:val="none"/>
              </w:rPr>
              <w:t>《建设工程质量管理条例》第六十三条</w:t>
            </w:r>
            <w:r>
              <w:rPr>
                <w:rFonts w:hint="eastAsia" w:ascii="仿宋_GB2312" w:hAnsi="宋体" w:eastAsia="仿宋_GB2312"/>
                <w:color w:val="auto"/>
                <w:kern w:val="0"/>
                <w:sz w:val="13"/>
                <w:szCs w:val="13"/>
                <w:highlight w:val="none"/>
                <w:lang w:val="en-US" w:eastAsia="zh-CN"/>
              </w:rPr>
              <w:t>第一款</w:t>
            </w:r>
            <w:r>
              <w:rPr>
                <w:rFonts w:hint="eastAsia" w:ascii="仿宋_GB2312" w:hAnsi="宋体" w:eastAsia="仿宋_GB2312"/>
                <w:color w:val="auto"/>
                <w:kern w:val="0"/>
                <w:sz w:val="13"/>
                <w:szCs w:val="13"/>
                <w:highlight w:val="none"/>
                <w:lang w:eastAsia="zh-CN"/>
              </w:rPr>
              <w:t>（</w:t>
            </w:r>
            <w:r>
              <w:rPr>
                <w:rFonts w:hint="eastAsia" w:ascii="仿宋_GB2312" w:hAnsi="宋体" w:eastAsia="仿宋_GB2312"/>
                <w:color w:val="auto"/>
                <w:kern w:val="0"/>
                <w:sz w:val="13"/>
                <w:szCs w:val="13"/>
                <w:highlight w:val="none"/>
                <w:lang w:val="en-US" w:eastAsia="zh-CN"/>
              </w:rPr>
              <w:t>一</w:t>
            </w:r>
            <w:r>
              <w:rPr>
                <w:rFonts w:hint="eastAsia" w:ascii="仿宋_GB2312" w:hAnsi="宋体" w:eastAsia="仿宋_GB2312"/>
                <w:color w:val="auto"/>
                <w:kern w:val="0"/>
                <w:sz w:val="13"/>
                <w:szCs w:val="13"/>
                <w:highlight w:val="none"/>
                <w:lang w:eastAsia="zh-CN"/>
              </w:rPr>
              <w:t>）</w:t>
            </w:r>
            <w:r>
              <w:rPr>
                <w:rFonts w:hint="eastAsia" w:ascii="仿宋_GB2312" w:hAnsi="宋体" w:eastAsia="仿宋_GB2312"/>
                <w:color w:val="auto"/>
                <w:kern w:val="0"/>
                <w:sz w:val="13"/>
                <w:szCs w:val="13"/>
                <w:highlight w:val="none"/>
              </w:rPr>
              <w:t>项</w:t>
            </w:r>
            <w:r>
              <w:rPr>
                <w:rFonts w:hint="eastAsia" w:ascii="仿宋_GB2312" w:hAnsi="宋体" w:eastAsia="仿宋_GB2312"/>
                <w:color w:val="auto"/>
                <w:kern w:val="0"/>
                <w:sz w:val="13"/>
                <w:szCs w:val="13"/>
                <w:highlight w:val="none"/>
                <w:lang w:eastAsia="zh-CN"/>
              </w:rPr>
              <w:t>、</w:t>
            </w:r>
            <w:r>
              <w:rPr>
                <w:rFonts w:hint="eastAsia" w:ascii="仿宋_GB2312" w:hAnsi="宋体" w:eastAsia="仿宋_GB2312"/>
                <w:color w:val="auto"/>
                <w:kern w:val="0"/>
                <w:sz w:val="13"/>
                <w:szCs w:val="13"/>
                <w:highlight w:val="none"/>
                <w:lang w:val="en-US" w:eastAsia="zh-CN"/>
              </w:rPr>
              <w:t>第二款</w:t>
            </w:r>
          </w:p>
          <w:p w14:paraId="279EA37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违反本条例规定，有下列行为之一的，责令改正，处10万元以上30万元以下的罚款：</w:t>
            </w:r>
          </w:p>
          <w:p w14:paraId="13CDE02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（一）勘察单位未按照工程建设强制性标准进行勘察的；</w:t>
            </w:r>
          </w:p>
          <w:p w14:paraId="22B69DD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有前款所列行为，造成工程质量事故的，责令停业整顿，降低资质等级；情节严重的，吊销资质证书；造成损失的，依法承担赔偿责任。</w:t>
            </w:r>
          </w:p>
          <w:p w14:paraId="2A04A21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p w14:paraId="68D6F63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《建设工程质量管理条例》第七十三条</w:t>
            </w:r>
          </w:p>
          <w:p w14:paraId="1D5F141D">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宋体"/>
                <w:color w:val="auto"/>
                <w:sz w:val="13"/>
                <w:szCs w:val="13"/>
                <w:highlight w:val="none"/>
              </w:rPr>
            </w:pPr>
            <w:r>
              <w:rPr>
                <w:rFonts w:hint="eastAsia" w:ascii="仿宋_GB2312" w:hAnsi="宋体" w:eastAsia="仿宋_GB2312"/>
                <w:color w:val="auto"/>
                <w:kern w:val="0"/>
                <w:sz w:val="13"/>
                <w:szCs w:val="13"/>
                <w:highlight w:val="none"/>
              </w:rPr>
              <w:t>依照本条例规定，给予单位罚款处罚的，对单位直接负责的主管人员和其他直接责任人员处单位罚款数额百分之五以上百分之十以下的罚款</w:t>
            </w:r>
            <w:r>
              <w:rPr>
                <w:rFonts w:hint="eastAsia" w:ascii="宋体" w:hAnsi="宋体" w:cs="Arial"/>
                <w:color w:val="auto"/>
                <w:spacing w:val="8"/>
                <w:kern w:val="0"/>
                <w:sz w:val="13"/>
                <w:szCs w:val="13"/>
                <w:highlight w:val="none"/>
              </w:rPr>
              <w:t>。</w:t>
            </w:r>
          </w:p>
        </w:tc>
        <w:tc>
          <w:tcPr>
            <w:tcW w:w="823" w:type="dxa"/>
            <w:tcBorders>
              <w:tl2br w:val="nil"/>
              <w:tr2bl w:val="nil"/>
            </w:tcBorders>
            <w:vAlign w:val="center"/>
          </w:tcPr>
          <w:p w14:paraId="2E5493F6">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vAlign w:val="center"/>
          </w:tcPr>
          <w:p w14:paraId="2710BBB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同一项目中，未按照1条工程建设强制性标准进行勘察。</w:t>
            </w:r>
          </w:p>
        </w:tc>
        <w:tc>
          <w:tcPr>
            <w:tcW w:w="3058" w:type="dxa"/>
            <w:tcBorders>
              <w:tl2br w:val="nil"/>
              <w:tr2bl w:val="nil"/>
            </w:tcBorders>
            <w:vAlign w:val="center"/>
          </w:tcPr>
          <w:p w14:paraId="5BB0E94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责令改正，处10万元以上12万元以下的罚款，对单位直接负责的主管人员和其他直接责任人员处单位罚款数额百分之五以上百分之六以下的罚款。</w:t>
            </w:r>
          </w:p>
        </w:tc>
      </w:tr>
      <w:tr w14:paraId="1A29498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8" w:hRule="atLeast"/>
          <w:jc w:val="center"/>
        </w:trPr>
        <w:tc>
          <w:tcPr>
            <w:tcW w:w="443" w:type="dxa"/>
            <w:gridSpan w:val="2"/>
            <w:vMerge w:val="continue"/>
            <w:tcBorders>
              <w:tl2br w:val="nil"/>
              <w:tr2bl w:val="nil"/>
            </w:tcBorders>
            <w:vAlign w:val="center"/>
          </w:tcPr>
          <w:p w14:paraId="3120ACB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5B244A54">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ascii="宋体" w:hAnsi="宋体" w:cs="宋体"/>
                <w:color w:val="auto"/>
                <w:kern w:val="0"/>
                <w:sz w:val="13"/>
                <w:szCs w:val="13"/>
                <w:highlight w:val="none"/>
              </w:rPr>
            </w:pPr>
          </w:p>
        </w:tc>
        <w:tc>
          <w:tcPr>
            <w:tcW w:w="4820" w:type="dxa"/>
            <w:vMerge w:val="continue"/>
            <w:tcBorders>
              <w:tl2br w:val="nil"/>
              <w:tr2bl w:val="nil"/>
            </w:tcBorders>
            <w:vAlign w:val="center"/>
          </w:tcPr>
          <w:p w14:paraId="2894FC3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宋体" w:hAnsi="宋体" w:cs="宋体"/>
                <w:color w:val="auto"/>
                <w:kern w:val="0"/>
                <w:sz w:val="13"/>
                <w:szCs w:val="13"/>
                <w:highlight w:val="none"/>
              </w:rPr>
            </w:pPr>
          </w:p>
        </w:tc>
        <w:tc>
          <w:tcPr>
            <w:tcW w:w="823" w:type="dxa"/>
            <w:vMerge w:val="restart"/>
            <w:tcBorders>
              <w:tl2br w:val="nil"/>
              <w:tr2bl w:val="nil"/>
            </w:tcBorders>
            <w:vAlign w:val="center"/>
          </w:tcPr>
          <w:p w14:paraId="4177A1B0">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一般情节</w:t>
            </w:r>
          </w:p>
        </w:tc>
        <w:tc>
          <w:tcPr>
            <w:tcW w:w="3437" w:type="dxa"/>
            <w:gridSpan w:val="2"/>
            <w:tcBorders>
              <w:tl2br w:val="nil"/>
              <w:tr2bl w:val="nil"/>
            </w:tcBorders>
            <w:vAlign w:val="center"/>
          </w:tcPr>
          <w:p w14:paraId="76C13C4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（1）同一项目中，未按照2条以上5条以下工程建设强制性标准进行勘察；或2次违反工程建设强制性标准进行勘察。</w:t>
            </w:r>
          </w:p>
        </w:tc>
        <w:tc>
          <w:tcPr>
            <w:tcW w:w="3058" w:type="dxa"/>
            <w:tcBorders>
              <w:tl2br w:val="nil"/>
              <w:tr2bl w:val="nil"/>
            </w:tcBorders>
            <w:vAlign w:val="center"/>
          </w:tcPr>
          <w:p w14:paraId="3AC860F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责令改正，处12万元以上25万元以下的罚款，对单位直接负责的主管人员和其他直接责任人员处单位罚款数额百分之六以上百分之八点五以下的罚款。</w:t>
            </w:r>
          </w:p>
        </w:tc>
      </w:tr>
      <w:tr w14:paraId="7BD6FA8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16" w:hRule="atLeast"/>
          <w:jc w:val="center"/>
        </w:trPr>
        <w:tc>
          <w:tcPr>
            <w:tcW w:w="443" w:type="dxa"/>
            <w:gridSpan w:val="2"/>
            <w:vMerge w:val="continue"/>
            <w:tcBorders>
              <w:tl2br w:val="nil"/>
              <w:tr2bl w:val="nil"/>
            </w:tcBorders>
            <w:vAlign w:val="center"/>
          </w:tcPr>
          <w:p w14:paraId="560ECAB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0F43F945">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ascii="宋体" w:hAnsi="宋体" w:cs="宋体"/>
                <w:color w:val="auto"/>
                <w:kern w:val="0"/>
                <w:sz w:val="13"/>
                <w:szCs w:val="13"/>
                <w:highlight w:val="none"/>
              </w:rPr>
            </w:pPr>
          </w:p>
        </w:tc>
        <w:tc>
          <w:tcPr>
            <w:tcW w:w="4820" w:type="dxa"/>
            <w:vMerge w:val="continue"/>
            <w:tcBorders>
              <w:tl2br w:val="nil"/>
              <w:tr2bl w:val="nil"/>
            </w:tcBorders>
            <w:vAlign w:val="center"/>
          </w:tcPr>
          <w:p w14:paraId="1AAD77E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宋体" w:hAnsi="宋体" w:cs="宋体"/>
                <w:color w:val="auto"/>
                <w:kern w:val="0"/>
                <w:sz w:val="13"/>
                <w:szCs w:val="13"/>
                <w:highlight w:val="none"/>
              </w:rPr>
            </w:pPr>
          </w:p>
        </w:tc>
        <w:tc>
          <w:tcPr>
            <w:tcW w:w="823" w:type="dxa"/>
            <w:vMerge w:val="continue"/>
            <w:tcBorders>
              <w:tl2br w:val="nil"/>
              <w:tr2bl w:val="nil"/>
            </w:tcBorders>
            <w:vAlign w:val="center"/>
          </w:tcPr>
          <w:p w14:paraId="7C636B05">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3437" w:type="dxa"/>
            <w:gridSpan w:val="2"/>
            <w:tcBorders>
              <w:tl2br w:val="nil"/>
              <w:tr2bl w:val="nil"/>
            </w:tcBorders>
            <w:vAlign w:val="center"/>
          </w:tcPr>
          <w:p w14:paraId="44A2DF2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（2）同一项目中，未按照5条以上工程建设强制性标准进行勘察；或3次以上违反工程建设强制性标准进行勘察；或造成一般质量事故的。</w:t>
            </w:r>
          </w:p>
        </w:tc>
        <w:tc>
          <w:tcPr>
            <w:tcW w:w="3058" w:type="dxa"/>
            <w:tcBorders>
              <w:tl2br w:val="nil"/>
              <w:tr2bl w:val="nil"/>
            </w:tcBorders>
            <w:vAlign w:val="center"/>
          </w:tcPr>
          <w:p w14:paraId="4221FB8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责令改正，处25万元以上30万元以下的罚款，对单位直接负责的主管人员和其他直接责任人员处单位罚款数额百分之八点五以上百分之十以下的罚款。</w:t>
            </w:r>
          </w:p>
        </w:tc>
      </w:tr>
      <w:tr w14:paraId="60D935A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8" w:hRule="atLeast"/>
          <w:jc w:val="center"/>
        </w:trPr>
        <w:tc>
          <w:tcPr>
            <w:tcW w:w="443" w:type="dxa"/>
            <w:gridSpan w:val="2"/>
            <w:vMerge w:val="continue"/>
            <w:tcBorders>
              <w:tl2br w:val="nil"/>
              <w:tr2bl w:val="nil"/>
            </w:tcBorders>
            <w:vAlign w:val="center"/>
          </w:tcPr>
          <w:p w14:paraId="663D6FA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4A3B52A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tcPr>
          <w:p w14:paraId="2E1E08B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vMerge w:val="restart"/>
            <w:tcBorders>
              <w:tl2br w:val="nil"/>
              <w:tr2bl w:val="nil"/>
            </w:tcBorders>
            <w:vAlign w:val="center"/>
          </w:tcPr>
          <w:p w14:paraId="19DC109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从重情节</w:t>
            </w:r>
          </w:p>
        </w:tc>
        <w:tc>
          <w:tcPr>
            <w:tcW w:w="3437" w:type="dxa"/>
            <w:gridSpan w:val="2"/>
            <w:tcBorders>
              <w:tl2br w:val="nil"/>
              <w:tr2bl w:val="nil"/>
            </w:tcBorders>
            <w:vAlign w:val="center"/>
          </w:tcPr>
          <w:p w14:paraId="252CCDF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（1）造成</w:t>
            </w:r>
            <w:r>
              <w:rPr>
                <w:rFonts w:ascii="仿宋_GB2312" w:hAnsi="宋体" w:eastAsia="仿宋_GB2312"/>
                <w:color w:val="auto"/>
                <w:kern w:val="0"/>
                <w:sz w:val="13"/>
                <w:szCs w:val="13"/>
                <w:highlight w:val="none"/>
              </w:rPr>
              <w:t>3</w:t>
            </w:r>
            <w:r>
              <w:rPr>
                <w:rFonts w:hint="eastAsia" w:ascii="仿宋_GB2312" w:hAnsi="宋体" w:eastAsia="仿宋_GB2312"/>
                <w:color w:val="auto"/>
                <w:kern w:val="0"/>
                <w:sz w:val="13"/>
                <w:szCs w:val="13"/>
                <w:highlight w:val="none"/>
              </w:rPr>
              <w:t>人以上</w:t>
            </w:r>
            <w:r>
              <w:rPr>
                <w:rFonts w:ascii="仿宋_GB2312" w:hAnsi="宋体" w:eastAsia="仿宋_GB2312"/>
                <w:color w:val="auto"/>
                <w:kern w:val="0"/>
                <w:sz w:val="13"/>
                <w:szCs w:val="13"/>
                <w:highlight w:val="none"/>
              </w:rPr>
              <w:t>5</w:t>
            </w:r>
            <w:r>
              <w:rPr>
                <w:rFonts w:hint="eastAsia" w:ascii="仿宋_GB2312" w:hAnsi="宋体" w:eastAsia="仿宋_GB2312"/>
                <w:color w:val="auto"/>
                <w:kern w:val="0"/>
                <w:sz w:val="13"/>
                <w:szCs w:val="13"/>
                <w:highlight w:val="none"/>
              </w:rPr>
              <w:t>人以下死亡，或者</w:t>
            </w:r>
            <w:r>
              <w:rPr>
                <w:rFonts w:ascii="仿宋_GB2312" w:hAnsi="宋体" w:eastAsia="仿宋_GB2312"/>
                <w:color w:val="auto"/>
                <w:kern w:val="0"/>
                <w:sz w:val="13"/>
                <w:szCs w:val="13"/>
                <w:highlight w:val="none"/>
              </w:rPr>
              <w:t>10</w:t>
            </w:r>
            <w:r>
              <w:rPr>
                <w:rFonts w:hint="eastAsia" w:ascii="仿宋_GB2312" w:hAnsi="宋体" w:eastAsia="仿宋_GB2312"/>
                <w:color w:val="auto"/>
                <w:kern w:val="0"/>
                <w:sz w:val="13"/>
                <w:szCs w:val="13"/>
                <w:highlight w:val="none"/>
              </w:rPr>
              <w:t>人以上</w:t>
            </w:r>
            <w:r>
              <w:rPr>
                <w:rFonts w:ascii="仿宋_GB2312" w:hAnsi="宋体" w:eastAsia="仿宋_GB2312"/>
                <w:color w:val="auto"/>
                <w:kern w:val="0"/>
                <w:sz w:val="13"/>
                <w:szCs w:val="13"/>
                <w:highlight w:val="none"/>
              </w:rPr>
              <w:t>20</w:t>
            </w:r>
            <w:r>
              <w:rPr>
                <w:rFonts w:hint="eastAsia" w:ascii="仿宋_GB2312" w:hAnsi="宋体" w:eastAsia="仿宋_GB2312"/>
                <w:color w:val="auto"/>
                <w:kern w:val="0"/>
                <w:sz w:val="13"/>
                <w:szCs w:val="13"/>
                <w:highlight w:val="none"/>
              </w:rPr>
              <w:t>人以下重伤，或者</w:t>
            </w:r>
            <w:r>
              <w:rPr>
                <w:rFonts w:ascii="仿宋_GB2312" w:hAnsi="宋体" w:eastAsia="仿宋_GB2312"/>
                <w:color w:val="auto"/>
                <w:kern w:val="0"/>
                <w:sz w:val="13"/>
                <w:szCs w:val="13"/>
                <w:highlight w:val="none"/>
              </w:rPr>
              <w:t>1000</w:t>
            </w:r>
            <w:r>
              <w:rPr>
                <w:rFonts w:hint="eastAsia" w:ascii="仿宋_GB2312" w:hAnsi="宋体" w:eastAsia="仿宋_GB2312"/>
                <w:color w:val="auto"/>
                <w:kern w:val="0"/>
                <w:sz w:val="13"/>
                <w:szCs w:val="13"/>
                <w:highlight w:val="none"/>
              </w:rPr>
              <w:t>万元以上</w:t>
            </w:r>
            <w:r>
              <w:rPr>
                <w:rFonts w:ascii="仿宋_GB2312" w:hAnsi="宋体" w:eastAsia="仿宋_GB2312"/>
                <w:color w:val="auto"/>
                <w:kern w:val="0"/>
                <w:sz w:val="13"/>
                <w:szCs w:val="13"/>
                <w:highlight w:val="none"/>
              </w:rPr>
              <w:t>2000</w:t>
            </w:r>
            <w:r>
              <w:rPr>
                <w:rFonts w:hint="eastAsia" w:ascii="仿宋_GB2312" w:hAnsi="宋体" w:eastAsia="仿宋_GB2312"/>
                <w:color w:val="auto"/>
                <w:kern w:val="0"/>
                <w:sz w:val="13"/>
                <w:szCs w:val="13"/>
                <w:highlight w:val="none"/>
              </w:rPr>
              <w:t>万元以下直接经济损失的。</w:t>
            </w:r>
          </w:p>
        </w:tc>
        <w:tc>
          <w:tcPr>
            <w:tcW w:w="3058" w:type="dxa"/>
            <w:tcBorders>
              <w:tl2br w:val="nil"/>
              <w:tr2bl w:val="nil"/>
            </w:tcBorders>
            <w:vAlign w:val="center"/>
          </w:tcPr>
          <w:p w14:paraId="2431546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责令改正，处30万元的罚款，对单位直接负责的主管人员和其他直接责任人员处单位罚款数额百分之十的罚款；责令停业整顿60—90日。</w:t>
            </w:r>
          </w:p>
        </w:tc>
      </w:tr>
      <w:tr w14:paraId="7E380B2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74" w:hRule="atLeast"/>
          <w:jc w:val="center"/>
        </w:trPr>
        <w:tc>
          <w:tcPr>
            <w:tcW w:w="443" w:type="dxa"/>
            <w:gridSpan w:val="2"/>
            <w:vMerge w:val="continue"/>
            <w:tcBorders>
              <w:tl2br w:val="nil"/>
              <w:tr2bl w:val="nil"/>
            </w:tcBorders>
            <w:vAlign w:val="center"/>
          </w:tcPr>
          <w:p w14:paraId="638AA3D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6ACEB09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tcPr>
          <w:p w14:paraId="0C582AE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vMerge w:val="continue"/>
            <w:tcBorders>
              <w:tl2br w:val="nil"/>
              <w:tr2bl w:val="nil"/>
            </w:tcBorders>
            <w:vAlign w:val="center"/>
          </w:tcPr>
          <w:p w14:paraId="6086B70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3437" w:type="dxa"/>
            <w:gridSpan w:val="2"/>
            <w:tcBorders>
              <w:tl2br w:val="nil"/>
              <w:tr2bl w:val="nil"/>
            </w:tcBorders>
            <w:vAlign w:val="center"/>
          </w:tcPr>
          <w:p w14:paraId="1BA2E1A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（2）造成</w:t>
            </w:r>
            <w:r>
              <w:rPr>
                <w:rFonts w:ascii="仿宋_GB2312" w:hAnsi="宋体" w:eastAsia="仿宋_GB2312"/>
                <w:color w:val="auto"/>
                <w:kern w:val="0"/>
                <w:sz w:val="13"/>
                <w:szCs w:val="13"/>
                <w:highlight w:val="none"/>
              </w:rPr>
              <w:t>5</w:t>
            </w:r>
            <w:r>
              <w:rPr>
                <w:rFonts w:hint="eastAsia" w:ascii="仿宋_GB2312" w:hAnsi="宋体" w:eastAsia="仿宋_GB2312"/>
                <w:color w:val="auto"/>
                <w:kern w:val="0"/>
                <w:sz w:val="13"/>
                <w:szCs w:val="13"/>
                <w:highlight w:val="none"/>
              </w:rPr>
              <w:t>人以上</w:t>
            </w:r>
            <w:r>
              <w:rPr>
                <w:rFonts w:ascii="仿宋_GB2312" w:hAnsi="宋体" w:eastAsia="仿宋_GB2312"/>
                <w:color w:val="auto"/>
                <w:kern w:val="0"/>
                <w:sz w:val="13"/>
                <w:szCs w:val="13"/>
                <w:highlight w:val="none"/>
              </w:rPr>
              <w:t>7</w:t>
            </w:r>
            <w:r>
              <w:rPr>
                <w:rFonts w:hint="eastAsia" w:ascii="仿宋_GB2312" w:hAnsi="宋体" w:eastAsia="仿宋_GB2312"/>
                <w:color w:val="auto"/>
                <w:kern w:val="0"/>
                <w:sz w:val="13"/>
                <w:szCs w:val="13"/>
                <w:highlight w:val="none"/>
              </w:rPr>
              <w:t>人以下死亡，或者</w:t>
            </w:r>
            <w:r>
              <w:rPr>
                <w:rFonts w:ascii="仿宋_GB2312" w:hAnsi="宋体" w:eastAsia="仿宋_GB2312"/>
                <w:color w:val="auto"/>
                <w:kern w:val="0"/>
                <w:sz w:val="13"/>
                <w:szCs w:val="13"/>
                <w:highlight w:val="none"/>
              </w:rPr>
              <w:t>20</w:t>
            </w:r>
            <w:r>
              <w:rPr>
                <w:rFonts w:hint="eastAsia" w:ascii="仿宋_GB2312" w:hAnsi="宋体" w:eastAsia="仿宋_GB2312"/>
                <w:color w:val="auto"/>
                <w:kern w:val="0"/>
                <w:sz w:val="13"/>
                <w:szCs w:val="13"/>
                <w:highlight w:val="none"/>
              </w:rPr>
              <w:t>人以上</w:t>
            </w:r>
            <w:r>
              <w:rPr>
                <w:rFonts w:ascii="仿宋_GB2312" w:hAnsi="宋体" w:eastAsia="仿宋_GB2312"/>
                <w:color w:val="auto"/>
                <w:kern w:val="0"/>
                <w:sz w:val="13"/>
                <w:szCs w:val="13"/>
                <w:highlight w:val="none"/>
              </w:rPr>
              <w:t>30</w:t>
            </w:r>
            <w:r>
              <w:rPr>
                <w:rFonts w:hint="eastAsia" w:ascii="仿宋_GB2312" w:hAnsi="宋体" w:eastAsia="仿宋_GB2312"/>
                <w:color w:val="auto"/>
                <w:kern w:val="0"/>
                <w:sz w:val="13"/>
                <w:szCs w:val="13"/>
                <w:highlight w:val="none"/>
              </w:rPr>
              <w:t>人以下重伤，或者</w:t>
            </w:r>
            <w:r>
              <w:rPr>
                <w:rFonts w:ascii="仿宋_GB2312" w:hAnsi="宋体" w:eastAsia="仿宋_GB2312"/>
                <w:color w:val="auto"/>
                <w:kern w:val="0"/>
                <w:sz w:val="13"/>
                <w:szCs w:val="13"/>
                <w:highlight w:val="none"/>
              </w:rPr>
              <w:t>2000</w:t>
            </w:r>
            <w:r>
              <w:rPr>
                <w:rFonts w:hint="eastAsia" w:ascii="仿宋_GB2312" w:hAnsi="宋体" w:eastAsia="仿宋_GB2312"/>
                <w:color w:val="auto"/>
                <w:kern w:val="0"/>
                <w:sz w:val="13"/>
                <w:szCs w:val="13"/>
                <w:highlight w:val="none"/>
              </w:rPr>
              <w:t>万元以上</w:t>
            </w:r>
            <w:r>
              <w:rPr>
                <w:rFonts w:ascii="仿宋_GB2312" w:hAnsi="宋体" w:eastAsia="仿宋_GB2312"/>
                <w:color w:val="auto"/>
                <w:kern w:val="0"/>
                <w:sz w:val="13"/>
                <w:szCs w:val="13"/>
                <w:highlight w:val="none"/>
              </w:rPr>
              <w:t>3000</w:t>
            </w:r>
            <w:r>
              <w:rPr>
                <w:rFonts w:hint="eastAsia" w:ascii="仿宋_GB2312" w:hAnsi="宋体" w:eastAsia="仿宋_GB2312"/>
                <w:color w:val="auto"/>
                <w:kern w:val="0"/>
                <w:sz w:val="13"/>
                <w:szCs w:val="13"/>
                <w:highlight w:val="none"/>
              </w:rPr>
              <w:t>万元以下直接经济损失的。</w:t>
            </w:r>
          </w:p>
        </w:tc>
        <w:tc>
          <w:tcPr>
            <w:tcW w:w="3058" w:type="dxa"/>
            <w:tcBorders>
              <w:tl2br w:val="nil"/>
              <w:tr2bl w:val="nil"/>
            </w:tcBorders>
            <w:vAlign w:val="center"/>
          </w:tcPr>
          <w:p w14:paraId="3FFD468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责令改正，处30万元的罚款，对单位直接负责的主管人员和其他直接责任人员处单位罚款数额百分之十的罚款；责令停业整顿90—120日。</w:t>
            </w:r>
          </w:p>
        </w:tc>
      </w:tr>
      <w:tr w14:paraId="67341EE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459" w:hRule="atLeast"/>
          <w:jc w:val="center"/>
        </w:trPr>
        <w:tc>
          <w:tcPr>
            <w:tcW w:w="443" w:type="dxa"/>
            <w:gridSpan w:val="2"/>
            <w:vMerge w:val="continue"/>
            <w:tcBorders>
              <w:tl2br w:val="nil"/>
              <w:tr2bl w:val="nil"/>
            </w:tcBorders>
            <w:vAlign w:val="center"/>
          </w:tcPr>
          <w:p w14:paraId="1364D40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6398728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tcPr>
          <w:p w14:paraId="5302780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vMerge w:val="continue"/>
            <w:tcBorders>
              <w:tl2br w:val="nil"/>
              <w:tr2bl w:val="nil"/>
            </w:tcBorders>
            <w:vAlign w:val="center"/>
          </w:tcPr>
          <w:p w14:paraId="506CFE6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3437" w:type="dxa"/>
            <w:gridSpan w:val="2"/>
            <w:tcBorders>
              <w:tl2br w:val="nil"/>
              <w:tr2bl w:val="nil"/>
            </w:tcBorders>
            <w:vAlign w:val="center"/>
          </w:tcPr>
          <w:p w14:paraId="744C947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（3）造成</w:t>
            </w:r>
            <w:r>
              <w:rPr>
                <w:rFonts w:ascii="仿宋_GB2312" w:hAnsi="宋体" w:eastAsia="仿宋_GB2312"/>
                <w:color w:val="auto"/>
                <w:kern w:val="0"/>
                <w:sz w:val="13"/>
                <w:szCs w:val="13"/>
                <w:highlight w:val="none"/>
              </w:rPr>
              <w:t>7</w:t>
            </w:r>
            <w:r>
              <w:rPr>
                <w:rFonts w:hint="eastAsia" w:ascii="仿宋_GB2312" w:hAnsi="宋体" w:eastAsia="仿宋_GB2312"/>
                <w:color w:val="auto"/>
                <w:kern w:val="0"/>
                <w:sz w:val="13"/>
                <w:szCs w:val="13"/>
                <w:highlight w:val="none"/>
              </w:rPr>
              <w:t>人以上</w:t>
            </w:r>
            <w:r>
              <w:rPr>
                <w:rFonts w:ascii="仿宋_GB2312" w:hAnsi="宋体" w:eastAsia="仿宋_GB2312"/>
                <w:color w:val="auto"/>
                <w:kern w:val="0"/>
                <w:sz w:val="13"/>
                <w:szCs w:val="13"/>
                <w:highlight w:val="none"/>
              </w:rPr>
              <w:t>10</w:t>
            </w:r>
            <w:r>
              <w:rPr>
                <w:rFonts w:hint="eastAsia" w:ascii="仿宋_GB2312" w:hAnsi="宋体" w:eastAsia="仿宋_GB2312"/>
                <w:color w:val="auto"/>
                <w:kern w:val="0"/>
                <w:sz w:val="13"/>
                <w:szCs w:val="13"/>
                <w:highlight w:val="none"/>
              </w:rPr>
              <w:t>人以下死亡，或者</w:t>
            </w:r>
            <w:r>
              <w:rPr>
                <w:rFonts w:ascii="仿宋_GB2312" w:hAnsi="宋体" w:eastAsia="仿宋_GB2312"/>
                <w:color w:val="auto"/>
                <w:kern w:val="0"/>
                <w:sz w:val="13"/>
                <w:szCs w:val="13"/>
                <w:highlight w:val="none"/>
              </w:rPr>
              <w:t>30</w:t>
            </w:r>
            <w:r>
              <w:rPr>
                <w:rFonts w:hint="eastAsia" w:ascii="仿宋_GB2312" w:hAnsi="宋体" w:eastAsia="仿宋_GB2312"/>
                <w:color w:val="auto"/>
                <w:kern w:val="0"/>
                <w:sz w:val="13"/>
                <w:szCs w:val="13"/>
                <w:highlight w:val="none"/>
              </w:rPr>
              <w:t>人以上</w:t>
            </w:r>
            <w:r>
              <w:rPr>
                <w:rFonts w:ascii="仿宋_GB2312" w:hAnsi="宋体" w:eastAsia="仿宋_GB2312"/>
                <w:color w:val="auto"/>
                <w:kern w:val="0"/>
                <w:sz w:val="13"/>
                <w:szCs w:val="13"/>
                <w:highlight w:val="none"/>
              </w:rPr>
              <w:t>50</w:t>
            </w:r>
            <w:r>
              <w:rPr>
                <w:rFonts w:hint="eastAsia" w:ascii="仿宋_GB2312" w:hAnsi="宋体" w:eastAsia="仿宋_GB2312"/>
                <w:color w:val="auto"/>
                <w:kern w:val="0"/>
                <w:sz w:val="13"/>
                <w:szCs w:val="13"/>
                <w:highlight w:val="none"/>
              </w:rPr>
              <w:t>人以下重伤，或者</w:t>
            </w:r>
            <w:r>
              <w:rPr>
                <w:rFonts w:ascii="仿宋_GB2312" w:hAnsi="宋体" w:eastAsia="仿宋_GB2312"/>
                <w:color w:val="auto"/>
                <w:kern w:val="0"/>
                <w:sz w:val="13"/>
                <w:szCs w:val="13"/>
                <w:highlight w:val="none"/>
              </w:rPr>
              <w:t>3000</w:t>
            </w:r>
            <w:r>
              <w:rPr>
                <w:rFonts w:hint="eastAsia" w:ascii="仿宋_GB2312" w:hAnsi="宋体" w:eastAsia="仿宋_GB2312"/>
                <w:color w:val="auto"/>
                <w:kern w:val="0"/>
                <w:sz w:val="13"/>
                <w:szCs w:val="13"/>
                <w:highlight w:val="none"/>
              </w:rPr>
              <w:t>万元以上</w:t>
            </w:r>
            <w:r>
              <w:rPr>
                <w:rFonts w:ascii="仿宋_GB2312" w:hAnsi="宋体" w:eastAsia="仿宋_GB2312"/>
                <w:color w:val="auto"/>
                <w:kern w:val="0"/>
                <w:sz w:val="13"/>
                <w:szCs w:val="13"/>
                <w:highlight w:val="none"/>
              </w:rPr>
              <w:t>5000</w:t>
            </w:r>
            <w:r>
              <w:rPr>
                <w:rFonts w:hint="eastAsia" w:ascii="仿宋_GB2312" w:hAnsi="宋体" w:eastAsia="仿宋_GB2312"/>
                <w:color w:val="auto"/>
                <w:kern w:val="0"/>
                <w:sz w:val="13"/>
                <w:szCs w:val="13"/>
                <w:highlight w:val="none"/>
              </w:rPr>
              <w:t>万元以下直接经济损失的。</w:t>
            </w:r>
          </w:p>
        </w:tc>
        <w:tc>
          <w:tcPr>
            <w:tcW w:w="3058" w:type="dxa"/>
            <w:tcBorders>
              <w:tl2br w:val="nil"/>
              <w:tr2bl w:val="nil"/>
            </w:tcBorders>
            <w:vAlign w:val="center"/>
          </w:tcPr>
          <w:p w14:paraId="6271B50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责令改正，处30万元的罚款，对单位直接负责的主管人员和其他直接责任人员处单位罚款数额百分之十的罚款；责令停业整顿120—180日。</w:t>
            </w:r>
          </w:p>
        </w:tc>
      </w:tr>
      <w:tr w14:paraId="377FB45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44" w:hRule="atLeast"/>
          <w:jc w:val="center"/>
        </w:trPr>
        <w:tc>
          <w:tcPr>
            <w:tcW w:w="443" w:type="dxa"/>
            <w:gridSpan w:val="2"/>
            <w:vMerge w:val="continue"/>
            <w:tcBorders>
              <w:tl2br w:val="nil"/>
              <w:tr2bl w:val="nil"/>
            </w:tcBorders>
            <w:vAlign w:val="center"/>
          </w:tcPr>
          <w:p w14:paraId="697C5D9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5387F8C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tcPr>
          <w:p w14:paraId="646AA3A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vMerge w:val="continue"/>
            <w:tcBorders>
              <w:tl2br w:val="nil"/>
              <w:tr2bl w:val="nil"/>
            </w:tcBorders>
            <w:vAlign w:val="center"/>
          </w:tcPr>
          <w:p w14:paraId="25F3D41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3437" w:type="dxa"/>
            <w:gridSpan w:val="2"/>
            <w:tcBorders>
              <w:tl2br w:val="nil"/>
              <w:tr2bl w:val="nil"/>
            </w:tcBorders>
            <w:vAlign w:val="center"/>
          </w:tcPr>
          <w:p w14:paraId="44CF546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（4）造成重大质量安全事故；或造成分部工程存在严重缺陷，经返修和加固处理仍不能满足安全使用要求。</w:t>
            </w:r>
          </w:p>
        </w:tc>
        <w:tc>
          <w:tcPr>
            <w:tcW w:w="3058" w:type="dxa"/>
            <w:tcBorders>
              <w:tl2br w:val="nil"/>
              <w:tr2bl w:val="nil"/>
            </w:tcBorders>
            <w:vAlign w:val="center"/>
          </w:tcPr>
          <w:p w14:paraId="1E69973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责令改正，处30万元的罚款，对单位直接负责的主管人员和其他直接责任人员处单位罚款数额百分之十的罚款；降低资质等级。</w:t>
            </w:r>
          </w:p>
        </w:tc>
      </w:tr>
      <w:tr w14:paraId="3AAC29C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528" w:hRule="atLeast"/>
          <w:jc w:val="center"/>
        </w:trPr>
        <w:tc>
          <w:tcPr>
            <w:tcW w:w="443" w:type="dxa"/>
            <w:gridSpan w:val="2"/>
            <w:vMerge w:val="continue"/>
            <w:tcBorders>
              <w:tl2br w:val="nil"/>
              <w:tr2bl w:val="nil"/>
            </w:tcBorders>
            <w:vAlign w:val="center"/>
          </w:tcPr>
          <w:p w14:paraId="3E09953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4D11798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tcPr>
          <w:p w14:paraId="7F1DA41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vMerge w:val="continue"/>
            <w:tcBorders>
              <w:tl2br w:val="nil"/>
              <w:tr2bl w:val="nil"/>
            </w:tcBorders>
            <w:vAlign w:val="center"/>
          </w:tcPr>
          <w:p w14:paraId="68B5547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3437" w:type="dxa"/>
            <w:gridSpan w:val="2"/>
            <w:tcBorders>
              <w:tl2br w:val="nil"/>
              <w:tr2bl w:val="nil"/>
            </w:tcBorders>
            <w:vAlign w:val="center"/>
          </w:tcPr>
          <w:p w14:paraId="3B2481B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rPr>
              <w:t>（5）造成特别重大质量安全事故；或造成单位（子单位）工程存在严重缺陷，经返修和加固处理仍不能满足安全使用要求</w:t>
            </w:r>
            <w:r>
              <w:rPr>
                <w:rFonts w:hint="eastAsia" w:ascii="仿宋_GB2312" w:hAnsi="宋体" w:eastAsia="仿宋_GB2312"/>
                <w:color w:val="auto"/>
                <w:kern w:val="0"/>
                <w:sz w:val="13"/>
                <w:szCs w:val="13"/>
                <w:highlight w:val="none"/>
                <w:lang w:eastAsia="zh-CN"/>
              </w:rPr>
              <w:t>；</w:t>
            </w:r>
            <w:r>
              <w:rPr>
                <w:rFonts w:hint="eastAsia" w:ascii="仿宋_GB2312" w:hAnsi="宋体" w:eastAsia="仿宋_GB2312"/>
                <w:color w:val="auto"/>
                <w:kern w:val="0"/>
                <w:sz w:val="13"/>
                <w:szCs w:val="13"/>
                <w:highlight w:val="none"/>
                <w:lang w:val="en-US" w:eastAsia="zh-CN"/>
              </w:rPr>
              <w:t>或造成特别严重的社会影响。</w:t>
            </w:r>
          </w:p>
        </w:tc>
        <w:tc>
          <w:tcPr>
            <w:tcW w:w="3058" w:type="dxa"/>
            <w:tcBorders>
              <w:tl2br w:val="nil"/>
              <w:tr2bl w:val="nil"/>
            </w:tcBorders>
            <w:vAlign w:val="center"/>
          </w:tcPr>
          <w:p w14:paraId="62455D3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责令改正，处30万元的罚款，对单位直接负责的主管人员和其他直接责任人员处单位罚款数额百分之十的罚款；吊销资质证书。</w:t>
            </w:r>
          </w:p>
        </w:tc>
      </w:tr>
      <w:tr w14:paraId="6217541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8" w:hRule="atLeast"/>
          <w:jc w:val="center"/>
        </w:trPr>
        <w:tc>
          <w:tcPr>
            <w:tcW w:w="443" w:type="dxa"/>
            <w:gridSpan w:val="2"/>
            <w:vMerge w:val="restart"/>
            <w:tcBorders>
              <w:tl2br w:val="nil"/>
              <w:tr2bl w:val="nil"/>
            </w:tcBorders>
            <w:vAlign w:val="center"/>
          </w:tcPr>
          <w:p w14:paraId="6F6AF863">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Times New Roman"/>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89</w:t>
            </w:r>
          </w:p>
        </w:tc>
        <w:tc>
          <w:tcPr>
            <w:tcW w:w="1550" w:type="dxa"/>
            <w:vMerge w:val="restart"/>
            <w:tcBorders>
              <w:tl2br w:val="nil"/>
              <w:tr2bl w:val="nil"/>
            </w:tcBorders>
            <w:vAlign w:val="center"/>
          </w:tcPr>
          <w:p w14:paraId="3D0E7ADA">
            <w:pPr>
              <w:keepNext w:val="0"/>
              <w:keepLines w:val="0"/>
              <w:pageBreakBefore w:val="0"/>
              <w:widowControl/>
              <w:numPr>
                <w:ilvl w:val="0"/>
                <w:numId w:val="0"/>
              </w:numPr>
              <w:kinsoku/>
              <w:overflowPunct/>
              <w:topLinePunct w:val="0"/>
              <w:autoSpaceDE/>
              <w:autoSpaceDN/>
              <w:bidi w:val="0"/>
              <w:adjustRightInd/>
              <w:snapToGrid/>
              <w:spacing w:beforeAutospacing="0" w:afterAutospacing="0" w:line="260" w:lineRule="exact"/>
              <w:ind w:left="0" w:leftChars="0" w:right="0" w:rightChars="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lang w:val="en-US" w:eastAsia="zh-CN"/>
              </w:rPr>
              <w:t>（二）</w:t>
            </w:r>
            <w:r>
              <w:rPr>
                <w:rFonts w:hint="eastAsia" w:ascii="仿宋_GB2312" w:hAnsi="宋体" w:eastAsia="仿宋_GB2312"/>
                <w:color w:val="auto"/>
                <w:kern w:val="0"/>
                <w:sz w:val="13"/>
                <w:szCs w:val="13"/>
                <w:highlight w:val="none"/>
              </w:rPr>
              <w:t>设计单位未根据勘察成果文件进行工程设计的；</w:t>
            </w:r>
          </w:p>
          <w:p w14:paraId="20BC25B0">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lang w:eastAsia="zh-CN"/>
              </w:rPr>
              <w:t>（</w:t>
            </w:r>
            <w:r>
              <w:rPr>
                <w:rFonts w:hint="eastAsia" w:ascii="仿宋_GB2312" w:hAnsi="宋体" w:eastAsia="仿宋_GB2312"/>
                <w:color w:val="auto"/>
                <w:kern w:val="0"/>
                <w:sz w:val="13"/>
                <w:szCs w:val="13"/>
                <w:highlight w:val="none"/>
                <w:lang w:val="en-US" w:eastAsia="zh-CN"/>
              </w:rPr>
              <w:t>三</w:t>
            </w:r>
            <w:r>
              <w:rPr>
                <w:rFonts w:hint="eastAsia" w:ascii="仿宋_GB2312" w:hAnsi="宋体" w:eastAsia="仿宋_GB2312"/>
                <w:color w:val="auto"/>
                <w:kern w:val="0"/>
                <w:sz w:val="13"/>
                <w:szCs w:val="13"/>
                <w:highlight w:val="none"/>
                <w:lang w:eastAsia="zh-CN"/>
              </w:rPr>
              <w:t>）</w:t>
            </w:r>
            <w:r>
              <w:rPr>
                <w:rFonts w:hint="eastAsia" w:ascii="仿宋_GB2312" w:hAnsi="宋体" w:eastAsia="仿宋_GB2312"/>
                <w:color w:val="auto"/>
                <w:kern w:val="0"/>
                <w:sz w:val="13"/>
                <w:szCs w:val="13"/>
                <w:highlight w:val="none"/>
              </w:rPr>
              <w:t>设计单位指定建筑材料、建筑构配件的生产厂、供应商的；</w:t>
            </w:r>
          </w:p>
          <w:p w14:paraId="1A336650">
            <w:pPr>
              <w:keepNext w:val="0"/>
              <w:keepLines w:val="0"/>
              <w:pageBreakBefore w:val="0"/>
              <w:widowControl/>
              <w:numPr>
                <w:ilvl w:val="0"/>
                <w:numId w:val="0"/>
              </w:numPr>
              <w:kinsoku/>
              <w:overflowPunct/>
              <w:topLinePunct w:val="0"/>
              <w:autoSpaceDE/>
              <w:autoSpaceDN/>
              <w:bidi w:val="0"/>
              <w:adjustRightInd/>
              <w:snapToGrid/>
              <w:spacing w:beforeAutospacing="0" w:afterAutospacing="0" w:line="260" w:lineRule="exact"/>
              <w:ind w:left="0" w:leftChars="0" w:right="0" w:rightChars="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（四）设计单位未按照工程建设强制性标准进行设计的。</w:t>
            </w:r>
          </w:p>
          <w:p w14:paraId="2209DF07">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宋体" w:hAnsi="宋体" w:cs="宋体"/>
                <w:color w:val="auto"/>
                <w:kern w:val="0"/>
                <w:sz w:val="13"/>
                <w:szCs w:val="13"/>
                <w:highlight w:val="none"/>
              </w:rPr>
            </w:pPr>
          </w:p>
        </w:tc>
        <w:tc>
          <w:tcPr>
            <w:tcW w:w="4820" w:type="dxa"/>
            <w:vMerge w:val="restart"/>
            <w:tcBorders>
              <w:tl2br w:val="nil"/>
              <w:tr2bl w:val="nil"/>
            </w:tcBorders>
            <w:vAlign w:val="center"/>
          </w:tcPr>
          <w:p w14:paraId="61E3B39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hint="default" w:ascii="仿宋_GB2312" w:hAnsi="宋体" w:eastAsia="仿宋_GB2312"/>
                <w:color w:val="auto"/>
                <w:kern w:val="0"/>
                <w:sz w:val="13"/>
                <w:szCs w:val="13"/>
                <w:highlight w:val="none"/>
                <w:lang w:val="en-US" w:eastAsia="zh-CN"/>
              </w:rPr>
            </w:pPr>
            <w:r>
              <w:rPr>
                <w:rFonts w:hint="eastAsia" w:ascii="仿宋_GB2312" w:hAnsi="宋体" w:eastAsia="仿宋_GB2312"/>
                <w:color w:val="auto"/>
                <w:kern w:val="0"/>
                <w:sz w:val="13"/>
                <w:szCs w:val="13"/>
                <w:highlight w:val="none"/>
              </w:rPr>
              <w:t>《建设工程质量管理条例》第六十三条</w:t>
            </w:r>
            <w:r>
              <w:rPr>
                <w:rFonts w:hint="eastAsia" w:ascii="仿宋_GB2312" w:hAnsi="宋体" w:eastAsia="仿宋_GB2312"/>
                <w:color w:val="auto"/>
                <w:kern w:val="0"/>
                <w:sz w:val="13"/>
                <w:szCs w:val="13"/>
                <w:highlight w:val="none"/>
                <w:lang w:val="en-US" w:eastAsia="zh-CN"/>
              </w:rPr>
              <w:t>第一款</w:t>
            </w:r>
            <w:r>
              <w:rPr>
                <w:rFonts w:hint="eastAsia" w:ascii="仿宋_GB2312" w:hAnsi="宋体" w:eastAsia="仿宋_GB2312"/>
                <w:color w:val="auto"/>
                <w:kern w:val="0"/>
                <w:sz w:val="13"/>
                <w:szCs w:val="13"/>
                <w:highlight w:val="none"/>
              </w:rPr>
              <w:t>(二)</w:t>
            </w:r>
            <w:r>
              <w:rPr>
                <w:rFonts w:hint="eastAsia" w:ascii="仿宋_GB2312" w:hAnsi="宋体" w:eastAsia="仿宋_GB2312"/>
                <w:color w:val="auto"/>
                <w:kern w:val="0"/>
                <w:sz w:val="13"/>
                <w:szCs w:val="13"/>
                <w:highlight w:val="none"/>
                <w:lang w:eastAsia="zh-CN"/>
              </w:rPr>
              <w:t>（</w:t>
            </w:r>
            <w:r>
              <w:rPr>
                <w:rFonts w:hint="eastAsia" w:ascii="仿宋_GB2312" w:hAnsi="宋体" w:eastAsia="仿宋_GB2312"/>
                <w:color w:val="auto"/>
                <w:kern w:val="0"/>
                <w:sz w:val="13"/>
                <w:szCs w:val="13"/>
                <w:highlight w:val="none"/>
                <w:lang w:val="en-US" w:eastAsia="zh-CN"/>
              </w:rPr>
              <w:t>三</w:t>
            </w:r>
            <w:r>
              <w:rPr>
                <w:rFonts w:hint="eastAsia" w:ascii="仿宋_GB2312" w:hAnsi="宋体" w:eastAsia="仿宋_GB2312"/>
                <w:color w:val="auto"/>
                <w:kern w:val="0"/>
                <w:sz w:val="13"/>
                <w:szCs w:val="13"/>
                <w:highlight w:val="none"/>
                <w:lang w:eastAsia="zh-CN"/>
              </w:rPr>
              <w:t>）（</w:t>
            </w:r>
            <w:r>
              <w:rPr>
                <w:rFonts w:hint="eastAsia" w:ascii="仿宋_GB2312" w:hAnsi="宋体" w:eastAsia="仿宋_GB2312"/>
                <w:color w:val="auto"/>
                <w:kern w:val="0"/>
                <w:sz w:val="13"/>
                <w:szCs w:val="13"/>
                <w:highlight w:val="none"/>
                <w:lang w:val="en-US" w:eastAsia="zh-CN"/>
              </w:rPr>
              <w:t>四</w:t>
            </w:r>
            <w:r>
              <w:rPr>
                <w:rFonts w:hint="eastAsia" w:ascii="仿宋_GB2312" w:hAnsi="宋体" w:eastAsia="仿宋_GB2312"/>
                <w:color w:val="auto"/>
                <w:kern w:val="0"/>
                <w:sz w:val="13"/>
                <w:szCs w:val="13"/>
                <w:highlight w:val="none"/>
                <w:lang w:eastAsia="zh-CN"/>
              </w:rPr>
              <w:t>）</w:t>
            </w:r>
            <w:r>
              <w:rPr>
                <w:rFonts w:hint="eastAsia" w:ascii="仿宋_GB2312" w:hAnsi="宋体" w:eastAsia="仿宋_GB2312"/>
                <w:color w:val="auto"/>
                <w:kern w:val="0"/>
                <w:sz w:val="13"/>
                <w:szCs w:val="13"/>
                <w:highlight w:val="none"/>
              </w:rPr>
              <w:t>项</w:t>
            </w:r>
            <w:r>
              <w:rPr>
                <w:rFonts w:hint="eastAsia" w:ascii="仿宋_GB2312" w:hAnsi="宋体" w:eastAsia="仿宋_GB2312"/>
                <w:color w:val="auto"/>
                <w:kern w:val="0"/>
                <w:sz w:val="13"/>
                <w:szCs w:val="13"/>
                <w:highlight w:val="none"/>
                <w:lang w:eastAsia="zh-CN"/>
              </w:rPr>
              <w:t>、</w:t>
            </w:r>
            <w:r>
              <w:rPr>
                <w:rFonts w:hint="eastAsia" w:ascii="仿宋_GB2312" w:hAnsi="宋体" w:eastAsia="仿宋_GB2312"/>
                <w:color w:val="auto"/>
                <w:kern w:val="0"/>
                <w:sz w:val="13"/>
                <w:szCs w:val="13"/>
                <w:highlight w:val="none"/>
                <w:lang w:val="en-US" w:eastAsia="zh-CN"/>
              </w:rPr>
              <w:t>第二款</w:t>
            </w:r>
          </w:p>
          <w:p w14:paraId="4396F32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rPr>
              <w:t>违反本条例规定，有下列行为之一的，责令改正，处10万元以上30万元以下的罚款：</w:t>
            </w:r>
          </w:p>
          <w:p w14:paraId="2086E1FA">
            <w:pPr>
              <w:keepNext w:val="0"/>
              <w:keepLines w:val="0"/>
              <w:pageBreakBefore w:val="0"/>
              <w:widowControl/>
              <w:numPr>
                <w:ilvl w:val="0"/>
                <w:numId w:val="0"/>
              </w:numPr>
              <w:kinsoku/>
              <w:overflowPunct/>
              <w:topLinePunct w:val="0"/>
              <w:autoSpaceDE/>
              <w:autoSpaceDN/>
              <w:bidi w:val="0"/>
              <w:adjustRightInd/>
              <w:snapToGrid/>
              <w:spacing w:beforeAutospacing="0" w:afterAutospacing="0" w:line="260" w:lineRule="exact"/>
              <w:ind w:left="0" w:leftChars="0" w:right="0" w:rightChars="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lang w:val="en-US" w:eastAsia="zh-CN"/>
              </w:rPr>
              <w:t>（二）</w:t>
            </w:r>
            <w:r>
              <w:rPr>
                <w:rFonts w:hint="eastAsia" w:ascii="仿宋_GB2312" w:hAnsi="宋体" w:eastAsia="仿宋_GB2312"/>
                <w:color w:val="auto"/>
                <w:kern w:val="0"/>
                <w:sz w:val="13"/>
                <w:szCs w:val="13"/>
                <w:highlight w:val="none"/>
              </w:rPr>
              <w:t>设计单位未根据勘察成果文件进行工程设计的；</w:t>
            </w:r>
          </w:p>
          <w:p w14:paraId="2D08244F">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lang w:eastAsia="zh-CN"/>
              </w:rPr>
              <w:t>（</w:t>
            </w:r>
            <w:r>
              <w:rPr>
                <w:rFonts w:hint="eastAsia" w:ascii="仿宋_GB2312" w:hAnsi="宋体" w:eastAsia="仿宋_GB2312"/>
                <w:color w:val="auto"/>
                <w:kern w:val="0"/>
                <w:sz w:val="13"/>
                <w:szCs w:val="13"/>
                <w:highlight w:val="none"/>
                <w:lang w:val="en-US" w:eastAsia="zh-CN"/>
              </w:rPr>
              <w:t>三</w:t>
            </w:r>
            <w:r>
              <w:rPr>
                <w:rFonts w:hint="eastAsia" w:ascii="仿宋_GB2312" w:hAnsi="宋体" w:eastAsia="仿宋_GB2312"/>
                <w:color w:val="auto"/>
                <w:kern w:val="0"/>
                <w:sz w:val="13"/>
                <w:szCs w:val="13"/>
                <w:highlight w:val="none"/>
                <w:lang w:eastAsia="zh-CN"/>
              </w:rPr>
              <w:t>）</w:t>
            </w:r>
            <w:r>
              <w:rPr>
                <w:rFonts w:hint="eastAsia" w:ascii="仿宋_GB2312" w:hAnsi="宋体" w:eastAsia="仿宋_GB2312"/>
                <w:color w:val="auto"/>
                <w:kern w:val="0"/>
                <w:sz w:val="13"/>
                <w:szCs w:val="13"/>
                <w:highlight w:val="none"/>
              </w:rPr>
              <w:t>设计单位指定建筑材料、建筑构配件的生产厂、供应商的；</w:t>
            </w:r>
          </w:p>
          <w:p w14:paraId="405B99DF">
            <w:pPr>
              <w:keepNext w:val="0"/>
              <w:keepLines w:val="0"/>
              <w:pageBreakBefore w:val="0"/>
              <w:widowControl/>
              <w:numPr>
                <w:ilvl w:val="-1"/>
                <w:numId w:val="0"/>
              </w:numPr>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（四）设计单位未按照工程建设强制性标准进行设计的。</w:t>
            </w:r>
          </w:p>
          <w:p w14:paraId="6D43793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有前款所列行为，造成工程质量事故的，责令停业整顿，降低资质等级；情节严重的，吊销资质证书；造成损失的，依法承担赔偿责任。</w:t>
            </w:r>
          </w:p>
          <w:p w14:paraId="3C16BF6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p w14:paraId="5E4D033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《建设工程质量管理条例》第七十三条</w:t>
            </w:r>
          </w:p>
          <w:p w14:paraId="2F3FEE6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宋体" w:hAnsi="宋体" w:cs="宋体"/>
                <w:color w:val="auto"/>
                <w:kern w:val="0"/>
                <w:sz w:val="13"/>
                <w:szCs w:val="13"/>
                <w:highlight w:val="none"/>
              </w:rPr>
            </w:pPr>
            <w:r>
              <w:rPr>
                <w:rFonts w:hint="eastAsia" w:ascii="仿宋_GB2312" w:hAnsi="宋体" w:eastAsia="仿宋_GB2312"/>
                <w:color w:val="auto"/>
                <w:kern w:val="0"/>
                <w:sz w:val="13"/>
                <w:szCs w:val="13"/>
                <w:highlight w:val="none"/>
              </w:rPr>
              <w:t>依照本条例规定，给予单位罚款处罚的，对单位直接负责的主管人员和其他直接责任人员处单位罚款数额百分之五以上百分之十以下的罚款</w:t>
            </w:r>
            <w:r>
              <w:rPr>
                <w:rFonts w:hint="eastAsia" w:ascii="宋体" w:hAnsi="宋体" w:cs="Arial"/>
                <w:color w:val="auto"/>
                <w:spacing w:val="8"/>
                <w:kern w:val="0"/>
                <w:sz w:val="13"/>
                <w:szCs w:val="13"/>
                <w:highlight w:val="none"/>
              </w:rPr>
              <w:t>。</w:t>
            </w:r>
          </w:p>
        </w:tc>
        <w:tc>
          <w:tcPr>
            <w:tcW w:w="823" w:type="dxa"/>
            <w:tcBorders>
              <w:tl2br w:val="nil"/>
              <w:tr2bl w:val="nil"/>
            </w:tcBorders>
            <w:vAlign w:val="center"/>
          </w:tcPr>
          <w:p w14:paraId="53C1D5F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vAlign w:val="center"/>
          </w:tcPr>
          <w:p w14:paraId="1F70A2A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初次违法，危害后果轻微，主动消除或减轻违法行为危害后果的。</w:t>
            </w:r>
          </w:p>
        </w:tc>
        <w:tc>
          <w:tcPr>
            <w:tcW w:w="3058" w:type="dxa"/>
            <w:tcBorders>
              <w:tl2br w:val="nil"/>
              <w:tr2bl w:val="nil"/>
            </w:tcBorders>
            <w:vAlign w:val="center"/>
          </w:tcPr>
          <w:p w14:paraId="7603D23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责令改正，处10万元以上12万元以下的罚款，对单位直接负责的主管人员和其他直接责任人员处单位罚款数额百分之五以上百分之六以下的罚款。</w:t>
            </w:r>
          </w:p>
        </w:tc>
      </w:tr>
      <w:tr w14:paraId="1E545C7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8" w:hRule="atLeast"/>
          <w:jc w:val="center"/>
        </w:trPr>
        <w:tc>
          <w:tcPr>
            <w:tcW w:w="443" w:type="dxa"/>
            <w:gridSpan w:val="2"/>
            <w:vMerge w:val="continue"/>
            <w:tcBorders>
              <w:tl2br w:val="nil"/>
              <w:tr2bl w:val="nil"/>
            </w:tcBorders>
            <w:vAlign w:val="center"/>
          </w:tcPr>
          <w:p w14:paraId="39D517F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22247E0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vAlign w:val="center"/>
          </w:tcPr>
          <w:p w14:paraId="6B8240A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vMerge w:val="restart"/>
            <w:tcBorders>
              <w:tl2br w:val="nil"/>
              <w:tr2bl w:val="nil"/>
            </w:tcBorders>
            <w:vAlign w:val="center"/>
          </w:tcPr>
          <w:p w14:paraId="48BE170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一般情节</w:t>
            </w:r>
          </w:p>
        </w:tc>
        <w:tc>
          <w:tcPr>
            <w:tcW w:w="3437" w:type="dxa"/>
            <w:gridSpan w:val="2"/>
            <w:tcBorders>
              <w:tl2br w:val="nil"/>
              <w:tr2bl w:val="nil"/>
            </w:tcBorders>
            <w:vAlign w:val="center"/>
          </w:tcPr>
          <w:p w14:paraId="0E05E75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（1）造成一般危害后果的。</w:t>
            </w:r>
          </w:p>
        </w:tc>
        <w:tc>
          <w:tcPr>
            <w:tcW w:w="3058" w:type="dxa"/>
            <w:tcBorders>
              <w:tl2br w:val="nil"/>
              <w:tr2bl w:val="nil"/>
            </w:tcBorders>
            <w:vAlign w:val="center"/>
          </w:tcPr>
          <w:p w14:paraId="47F1F04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责令改正，处12万元以上25万元以下的罚款，对单位直接负责的主管人员和其他直接责任人员处单位罚款数额百分之六以上百分之八点五以下的罚款。</w:t>
            </w:r>
          </w:p>
        </w:tc>
      </w:tr>
      <w:tr w14:paraId="7D6C83A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8" w:hRule="atLeast"/>
          <w:jc w:val="center"/>
        </w:trPr>
        <w:tc>
          <w:tcPr>
            <w:tcW w:w="443" w:type="dxa"/>
            <w:gridSpan w:val="2"/>
            <w:vMerge w:val="continue"/>
            <w:tcBorders>
              <w:tl2br w:val="nil"/>
              <w:tr2bl w:val="nil"/>
            </w:tcBorders>
            <w:vAlign w:val="center"/>
          </w:tcPr>
          <w:p w14:paraId="4A9A359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1E63A7A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vAlign w:val="center"/>
          </w:tcPr>
          <w:p w14:paraId="097014E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vMerge w:val="continue"/>
            <w:tcBorders>
              <w:tl2br w:val="nil"/>
              <w:tr2bl w:val="nil"/>
            </w:tcBorders>
            <w:vAlign w:val="center"/>
          </w:tcPr>
          <w:p w14:paraId="7483BAE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3437" w:type="dxa"/>
            <w:gridSpan w:val="2"/>
            <w:tcBorders>
              <w:tl2br w:val="nil"/>
              <w:tr2bl w:val="nil"/>
            </w:tcBorders>
            <w:vAlign w:val="center"/>
          </w:tcPr>
          <w:p w14:paraId="0626D53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（2）造成一般质量、安全事故的。</w:t>
            </w:r>
          </w:p>
        </w:tc>
        <w:tc>
          <w:tcPr>
            <w:tcW w:w="3058" w:type="dxa"/>
            <w:tcBorders>
              <w:tl2br w:val="nil"/>
              <w:tr2bl w:val="nil"/>
            </w:tcBorders>
            <w:vAlign w:val="center"/>
          </w:tcPr>
          <w:p w14:paraId="60A214E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责令改正，处25万元以上30万元以下的罚款，对单位直接负责的主管人员和其他直接责任人员处单位罚款数额百分之八点五以上百分之十以下的罚款。</w:t>
            </w:r>
          </w:p>
        </w:tc>
      </w:tr>
      <w:tr w14:paraId="57F73C0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16" w:hRule="atLeast"/>
          <w:jc w:val="center"/>
        </w:trPr>
        <w:tc>
          <w:tcPr>
            <w:tcW w:w="443" w:type="dxa"/>
            <w:gridSpan w:val="2"/>
            <w:vMerge w:val="continue"/>
            <w:tcBorders>
              <w:tl2br w:val="nil"/>
              <w:tr2bl w:val="nil"/>
            </w:tcBorders>
            <w:vAlign w:val="center"/>
          </w:tcPr>
          <w:p w14:paraId="192C89C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36EAF19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vAlign w:val="center"/>
          </w:tcPr>
          <w:p w14:paraId="56F1032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vMerge w:val="restart"/>
            <w:tcBorders>
              <w:tl2br w:val="nil"/>
              <w:tr2bl w:val="nil"/>
            </w:tcBorders>
            <w:vAlign w:val="center"/>
          </w:tcPr>
          <w:p w14:paraId="7AADB43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从重情节</w:t>
            </w:r>
          </w:p>
        </w:tc>
        <w:tc>
          <w:tcPr>
            <w:tcW w:w="3437" w:type="dxa"/>
            <w:gridSpan w:val="2"/>
            <w:tcBorders>
              <w:tl2br w:val="nil"/>
              <w:tr2bl w:val="nil"/>
            </w:tcBorders>
            <w:vAlign w:val="center"/>
          </w:tcPr>
          <w:p w14:paraId="24522B3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p>
          <w:p w14:paraId="3B5FF76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（1）造成</w:t>
            </w:r>
            <w:r>
              <w:rPr>
                <w:rFonts w:ascii="仿宋_GB2312" w:hAnsi="宋体" w:eastAsia="仿宋_GB2312"/>
                <w:color w:val="auto"/>
                <w:kern w:val="0"/>
                <w:sz w:val="13"/>
                <w:szCs w:val="13"/>
                <w:highlight w:val="none"/>
              </w:rPr>
              <w:t>3</w:t>
            </w:r>
            <w:r>
              <w:rPr>
                <w:rFonts w:hint="eastAsia" w:ascii="仿宋_GB2312" w:hAnsi="宋体" w:eastAsia="仿宋_GB2312"/>
                <w:color w:val="auto"/>
                <w:kern w:val="0"/>
                <w:sz w:val="13"/>
                <w:szCs w:val="13"/>
                <w:highlight w:val="none"/>
              </w:rPr>
              <w:t>人以上</w:t>
            </w:r>
            <w:r>
              <w:rPr>
                <w:rFonts w:ascii="仿宋_GB2312" w:hAnsi="宋体" w:eastAsia="仿宋_GB2312"/>
                <w:color w:val="auto"/>
                <w:kern w:val="0"/>
                <w:sz w:val="13"/>
                <w:szCs w:val="13"/>
                <w:highlight w:val="none"/>
              </w:rPr>
              <w:t>5</w:t>
            </w:r>
            <w:r>
              <w:rPr>
                <w:rFonts w:hint="eastAsia" w:ascii="仿宋_GB2312" w:hAnsi="宋体" w:eastAsia="仿宋_GB2312"/>
                <w:color w:val="auto"/>
                <w:kern w:val="0"/>
                <w:sz w:val="13"/>
                <w:szCs w:val="13"/>
                <w:highlight w:val="none"/>
              </w:rPr>
              <w:t>人以下死亡，或者</w:t>
            </w:r>
            <w:r>
              <w:rPr>
                <w:rFonts w:ascii="仿宋_GB2312" w:hAnsi="宋体" w:eastAsia="仿宋_GB2312"/>
                <w:color w:val="auto"/>
                <w:kern w:val="0"/>
                <w:sz w:val="13"/>
                <w:szCs w:val="13"/>
                <w:highlight w:val="none"/>
              </w:rPr>
              <w:t>10</w:t>
            </w:r>
            <w:r>
              <w:rPr>
                <w:rFonts w:hint="eastAsia" w:ascii="仿宋_GB2312" w:hAnsi="宋体" w:eastAsia="仿宋_GB2312"/>
                <w:color w:val="auto"/>
                <w:kern w:val="0"/>
                <w:sz w:val="13"/>
                <w:szCs w:val="13"/>
                <w:highlight w:val="none"/>
              </w:rPr>
              <w:t>人以上</w:t>
            </w:r>
            <w:r>
              <w:rPr>
                <w:rFonts w:ascii="仿宋_GB2312" w:hAnsi="宋体" w:eastAsia="仿宋_GB2312"/>
                <w:color w:val="auto"/>
                <w:kern w:val="0"/>
                <w:sz w:val="13"/>
                <w:szCs w:val="13"/>
                <w:highlight w:val="none"/>
              </w:rPr>
              <w:t>20</w:t>
            </w:r>
            <w:r>
              <w:rPr>
                <w:rFonts w:hint="eastAsia" w:ascii="仿宋_GB2312" w:hAnsi="宋体" w:eastAsia="仿宋_GB2312"/>
                <w:color w:val="auto"/>
                <w:kern w:val="0"/>
                <w:sz w:val="13"/>
                <w:szCs w:val="13"/>
                <w:highlight w:val="none"/>
              </w:rPr>
              <w:t>人以下重伤，或者</w:t>
            </w:r>
            <w:r>
              <w:rPr>
                <w:rFonts w:ascii="仿宋_GB2312" w:hAnsi="宋体" w:eastAsia="仿宋_GB2312"/>
                <w:color w:val="auto"/>
                <w:kern w:val="0"/>
                <w:sz w:val="13"/>
                <w:szCs w:val="13"/>
                <w:highlight w:val="none"/>
              </w:rPr>
              <w:t>1000</w:t>
            </w:r>
            <w:r>
              <w:rPr>
                <w:rFonts w:hint="eastAsia" w:ascii="仿宋_GB2312" w:hAnsi="宋体" w:eastAsia="仿宋_GB2312"/>
                <w:color w:val="auto"/>
                <w:kern w:val="0"/>
                <w:sz w:val="13"/>
                <w:szCs w:val="13"/>
                <w:highlight w:val="none"/>
              </w:rPr>
              <w:t>万元以上</w:t>
            </w:r>
            <w:r>
              <w:rPr>
                <w:rFonts w:ascii="仿宋_GB2312" w:hAnsi="宋体" w:eastAsia="仿宋_GB2312"/>
                <w:color w:val="auto"/>
                <w:kern w:val="0"/>
                <w:sz w:val="13"/>
                <w:szCs w:val="13"/>
                <w:highlight w:val="none"/>
              </w:rPr>
              <w:t>2000</w:t>
            </w:r>
            <w:r>
              <w:rPr>
                <w:rFonts w:hint="eastAsia" w:ascii="仿宋_GB2312" w:hAnsi="宋体" w:eastAsia="仿宋_GB2312"/>
                <w:color w:val="auto"/>
                <w:kern w:val="0"/>
                <w:sz w:val="13"/>
                <w:szCs w:val="13"/>
                <w:highlight w:val="none"/>
              </w:rPr>
              <w:t>万元以下直接经济损失的。</w:t>
            </w:r>
          </w:p>
        </w:tc>
        <w:tc>
          <w:tcPr>
            <w:tcW w:w="3058" w:type="dxa"/>
            <w:tcBorders>
              <w:tl2br w:val="nil"/>
              <w:tr2bl w:val="nil"/>
            </w:tcBorders>
            <w:vAlign w:val="center"/>
          </w:tcPr>
          <w:p w14:paraId="7EAEA8D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责令改正，处30万元的罚款，对单位直接负责的主管人员和其他直接责任人员处单位罚款数额百分之十的罚款；责令停业整顿60—90日。</w:t>
            </w:r>
          </w:p>
        </w:tc>
      </w:tr>
      <w:tr w14:paraId="6DB484A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8" w:hRule="atLeast"/>
          <w:jc w:val="center"/>
        </w:trPr>
        <w:tc>
          <w:tcPr>
            <w:tcW w:w="443" w:type="dxa"/>
            <w:gridSpan w:val="2"/>
            <w:vMerge w:val="continue"/>
            <w:tcBorders>
              <w:tl2br w:val="nil"/>
              <w:tr2bl w:val="nil"/>
            </w:tcBorders>
            <w:vAlign w:val="center"/>
          </w:tcPr>
          <w:p w14:paraId="1EFEEFF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596ADA8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vAlign w:val="center"/>
          </w:tcPr>
          <w:p w14:paraId="26A8A81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vMerge w:val="continue"/>
            <w:tcBorders>
              <w:tl2br w:val="nil"/>
              <w:tr2bl w:val="nil"/>
            </w:tcBorders>
            <w:vAlign w:val="center"/>
          </w:tcPr>
          <w:p w14:paraId="224C8B9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3437" w:type="dxa"/>
            <w:gridSpan w:val="2"/>
            <w:tcBorders>
              <w:tl2br w:val="nil"/>
              <w:tr2bl w:val="nil"/>
            </w:tcBorders>
            <w:vAlign w:val="center"/>
          </w:tcPr>
          <w:p w14:paraId="1A46105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（2）造成</w:t>
            </w:r>
            <w:r>
              <w:rPr>
                <w:rFonts w:ascii="仿宋_GB2312" w:hAnsi="宋体" w:eastAsia="仿宋_GB2312"/>
                <w:color w:val="auto"/>
                <w:kern w:val="0"/>
                <w:sz w:val="13"/>
                <w:szCs w:val="13"/>
                <w:highlight w:val="none"/>
              </w:rPr>
              <w:t>5</w:t>
            </w:r>
            <w:r>
              <w:rPr>
                <w:rFonts w:hint="eastAsia" w:ascii="仿宋_GB2312" w:hAnsi="宋体" w:eastAsia="仿宋_GB2312"/>
                <w:color w:val="auto"/>
                <w:kern w:val="0"/>
                <w:sz w:val="13"/>
                <w:szCs w:val="13"/>
                <w:highlight w:val="none"/>
              </w:rPr>
              <w:t>人以上</w:t>
            </w:r>
            <w:r>
              <w:rPr>
                <w:rFonts w:ascii="仿宋_GB2312" w:hAnsi="宋体" w:eastAsia="仿宋_GB2312"/>
                <w:color w:val="auto"/>
                <w:kern w:val="0"/>
                <w:sz w:val="13"/>
                <w:szCs w:val="13"/>
                <w:highlight w:val="none"/>
              </w:rPr>
              <w:t>7</w:t>
            </w:r>
            <w:r>
              <w:rPr>
                <w:rFonts w:hint="eastAsia" w:ascii="仿宋_GB2312" w:hAnsi="宋体" w:eastAsia="仿宋_GB2312"/>
                <w:color w:val="auto"/>
                <w:kern w:val="0"/>
                <w:sz w:val="13"/>
                <w:szCs w:val="13"/>
                <w:highlight w:val="none"/>
              </w:rPr>
              <w:t>人以下死亡，或者</w:t>
            </w:r>
            <w:r>
              <w:rPr>
                <w:rFonts w:ascii="仿宋_GB2312" w:hAnsi="宋体" w:eastAsia="仿宋_GB2312"/>
                <w:color w:val="auto"/>
                <w:kern w:val="0"/>
                <w:sz w:val="13"/>
                <w:szCs w:val="13"/>
                <w:highlight w:val="none"/>
              </w:rPr>
              <w:t>20</w:t>
            </w:r>
            <w:r>
              <w:rPr>
                <w:rFonts w:hint="eastAsia" w:ascii="仿宋_GB2312" w:hAnsi="宋体" w:eastAsia="仿宋_GB2312"/>
                <w:color w:val="auto"/>
                <w:kern w:val="0"/>
                <w:sz w:val="13"/>
                <w:szCs w:val="13"/>
                <w:highlight w:val="none"/>
              </w:rPr>
              <w:t>人以上</w:t>
            </w:r>
            <w:r>
              <w:rPr>
                <w:rFonts w:ascii="仿宋_GB2312" w:hAnsi="宋体" w:eastAsia="仿宋_GB2312"/>
                <w:color w:val="auto"/>
                <w:kern w:val="0"/>
                <w:sz w:val="13"/>
                <w:szCs w:val="13"/>
                <w:highlight w:val="none"/>
              </w:rPr>
              <w:t>30</w:t>
            </w:r>
            <w:r>
              <w:rPr>
                <w:rFonts w:hint="eastAsia" w:ascii="仿宋_GB2312" w:hAnsi="宋体" w:eastAsia="仿宋_GB2312"/>
                <w:color w:val="auto"/>
                <w:kern w:val="0"/>
                <w:sz w:val="13"/>
                <w:szCs w:val="13"/>
                <w:highlight w:val="none"/>
              </w:rPr>
              <w:t>人以下重伤，或者</w:t>
            </w:r>
            <w:r>
              <w:rPr>
                <w:rFonts w:ascii="仿宋_GB2312" w:hAnsi="宋体" w:eastAsia="仿宋_GB2312"/>
                <w:color w:val="auto"/>
                <w:kern w:val="0"/>
                <w:sz w:val="13"/>
                <w:szCs w:val="13"/>
                <w:highlight w:val="none"/>
              </w:rPr>
              <w:t>2000</w:t>
            </w:r>
            <w:r>
              <w:rPr>
                <w:rFonts w:hint="eastAsia" w:ascii="仿宋_GB2312" w:hAnsi="宋体" w:eastAsia="仿宋_GB2312"/>
                <w:color w:val="auto"/>
                <w:kern w:val="0"/>
                <w:sz w:val="13"/>
                <w:szCs w:val="13"/>
                <w:highlight w:val="none"/>
              </w:rPr>
              <w:t>万元以上</w:t>
            </w:r>
            <w:r>
              <w:rPr>
                <w:rFonts w:ascii="仿宋_GB2312" w:hAnsi="宋体" w:eastAsia="仿宋_GB2312"/>
                <w:color w:val="auto"/>
                <w:kern w:val="0"/>
                <w:sz w:val="13"/>
                <w:szCs w:val="13"/>
                <w:highlight w:val="none"/>
              </w:rPr>
              <w:t>3000</w:t>
            </w:r>
            <w:r>
              <w:rPr>
                <w:rFonts w:hint="eastAsia" w:ascii="仿宋_GB2312" w:hAnsi="宋体" w:eastAsia="仿宋_GB2312"/>
                <w:color w:val="auto"/>
                <w:kern w:val="0"/>
                <w:sz w:val="13"/>
                <w:szCs w:val="13"/>
                <w:highlight w:val="none"/>
              </w:rPr>
              <w:t>万元以下直接经济损失的。</w:t>
            </w:r>
          </w:p>
        </w:tc>
        <w:tc>
          <w:tcPr>
            <w:tcW w:w="3058" w:type="dxa"/>
            <w:tcBorders>
              <w:tl2br w:val="nil"/>
              <w:tr2bl w:val="nil"/>
            </w:tcBorders>
            <w:vAlign w:val="center"/>
          </w:tcPr>
          <w:p w14:paraId="572D444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责令改正，处30万元的罚款，对单位直接负责的主管人员和其他直接责任人员处单位罚款数额百分之十的罚款；责令停业整顿90—120日。</w:t>
            </w:r>
          </w:p>
        </w:tc>
      </w:tr>
      <w:tr w14:paraId="7366AA0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8" w:hRule="atLeast"/>
          <w:jc w:val="center"/>
        </w:trPr>
        <w:tc>
          <w:tcPr>
            <w:tcW w:w="443" w:type="dxa"/>
            <w:gridSpan w:val="2"/>
            <w:vMerge w:val="continue"/>
            <w:tcBorders>
              <w:tl2br w:val="nil"/>
              <w:tr2bl w:val="nil"/>
            </w:tcBorders>
            <w:vAlign w:val="center"/>
          </w:tcPr>
          <w:p w14:paraId="33CCEAA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4F392E3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vAlign w:val="center"/>
          </w:tcPr>
          <w:p w14:paraId="0C3F36F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vMerge w:val="continue"/>
            <w:tcBorders>
              <w:tl2br w:val="nil"/>
              <w:tr2bl w:val="nil"/>
            </w:tcBorders>
            <w:vAlign w:val="center"/>
          </w:tcPr>
          <w:p w14:paraId="7764404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3437" w:type="dxa"/>
            <w:gridSpan w:val="2"/>
            <w:tcBorders>
              <w:tl2br w:val="nil"/>
              <w:tr2bl w:val="nil"/>
            </w:tcBorders>
            <w:vAlign w:val="center"/>
          </w:tcPr>
          <w:p w14:paraId="5C8D1F3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（3）造成</w:t>
            </w:r>
            <w:r>
              <w:rPr>
                <w:rFonts w:ascii="仿宋_GB2312" w:hAnsi="宋体" w:eastAsia="仿宋_GB2312"/>
                <w:color w:val="auto"/>
                <w:kern w:val="0"/>
                <w:sz w:val="13"/>
                <w:szCs w:val="13"/>
                <w:highlight w:val="none"/>
              </w:rPr>
              <w:t>7</w:t>
            </w:r>
            <w:r>
              <w:rPr>
                <w:rFonts w:hint="eastAsia" w:ascii="仿宋_GB2312" w:hAnsi="宋体" w:eastAsia="仿宋_GB2312"/>
                <w:color w:val="auto"/>
                <w:kern w:val="0"/>
                <w:sz w:val="13"/>
                <w:szCs w:val="13"/>
                <w:highlight w:val="none"/>
              </w:rPr>
              <w:t>人以上</w:t>
            </w:r>
            <w:r>
              <w:rPr>
                <w:rFonts w:ascii="仿宋_GB2312" w:hAnsi="宋体" w:eastAsia="仿宋_GB2312"/>
                <w:color w:val="auto"/>
                <w:kern w:val="0"/>
                <w:sz w:val="13"/>
                <w:szCs w:val="13"/>
                <w:highlight w:val="none"/>
              </w:rPr>
              <w:t>10</w:t>
            </w:r>
            <w:r>
              <w:rPr>
                <w:rFonts w:hint="eastAsia" w:ascii="仿宋_GB2312" w:hAnsi="宋体" w:eastAsia="仿宋_GB2312"/>
                <w:color w:val="auto"/>
                <w:kern w:val="0"/>
                <w:sz w:val="13"/>
                <w:szCs w:val="13"/>
                <w:highlight w:val="none"/>
              </w:rPr>
              <w:t>人以下死亡，或者</w:t>
            </w:r>
            <w:r>
              <w:rPr>
                <w:rFonts w:ascii="仿宋_GB2312" w:hAnsi="宋体" w:eastAsia="仿宋_GB2312"/>
                <w:color w:val="auto"/>
                <w:kern w:val="0"/>
                <w:sz w:val="13"/>
                <w:szCs w:val="13"/>
                <w:highlight w:val="none"/>
              </w:rPr>
              <w:t>30</w:t>
            </w:r>
            <w:r>
              <w:rPr>
                <w:rFonts w:hint="eastAsia" w:ascii="仿宋_GB2312" w:hAnsi="宋体" w:eastAsia="仿宋_GB2312"/>
                <w:color w:val="auto"/>
                <w:kern w:val="0"/>
                <w:sz w:val="13"/>
                <w:szCs w:val="13"/>
                <w:highlight w:val="none"/>
              </w:rPr>
              <w:t>人以上</w:t>
            </w:r>
            <w:r>
              <w:rPr>
                <w:rFonts w:ascii="仿宋_GB2312" w:hAnsi="宋体" w:eastAsia="仿宋_GB2312"/>
                <w:color w:val="auto"/>
                <w:kern w:val="0"/>
                <w:sz w:val="13"/>
                <w:szCs w:val="13"/>
                <w:highlight w:val="none"/>
              </w:rPr>
              <w:t>50</w:t>
            </w:r>
            <w:r>
              <w:rPr>
                <w:rFonts w:hint="eastAsia" w:ascii="仿宋_GB2312" w:hAnsi="宋体" w:eastAsia="仿宋_GB2312"/>
                <w:color w:val="auto"/>
                <w:kern w:val="0"/>
                <w:sz w:val="13"/>
                <w:szCs w:val="13"/>
                <w:highlight w:val="none"/>
              </w:rPr>
              <w:t>人以下重伤，或者</w:t>
            </w:r>
            <w:r>
              <w:rPr>
                <w:rFonts w:ascii="仿宋_GB2312" w:hAnsi="宋体" w:eastAsia="仿宋_GB2312"/>
                <w:color w:val="auto"/>
                <w:kern w:val="0"/>
                <w:sz w:val="13"/>
                <w:szCs w:val="13"/>
                <w:highlight w:val="none"/>
              </w:rPr>
              <w:t>3000</w:t>
            </w:r>
            <w:r>
              <w:rPr>
                <w:rFonts w:hint="eastAsia" w:ascii="仿宋_GB2312" w:hAnsi="宋体" w:eastAsia="仿宋_GB2312"/>
                <w:color w:val="auto"/>
                <w:kern w:val="0"/>
                <w:sz w:val="13"/>
                <w:szCs w:val="13"/>
                <w:highlight w:val="none"/>
              </w:rPr>
              <w:t>万元以上</w:t>
            </w:r>
            <w:r>
              <w:rPr>
                <w:rFonts w:ascii="仿宋_GB2312" w:hAnsi="宋体" w:eastAsia="仿宋_GB2312"/>
                <w:color w:val="auto"/>
                <w:kern w:val="0"/>
                <w:sz w:val="13"/>
                <w:szCs w:val="13"/>
                <w:highlight w:val="none"/>
              </w:rPr>
              <w:t>5000</w:t>
            </w:r>
            <w:r>
              <w:rPr>
                <w:rFonts w:hint="eastAsia" w:ascii="仿宋_GB2312" w:hAnsi="宋体" w:eastAsia="仿宋_GB2312"/>
                <w:color w:val="auto"/>
                <w:kern w:val="0"/>
                <w:sz w:val="13"/>
                <w:szCs w:val="13"/>
                <w:highlight w:val="none"/>
              </w:rPr>
              <w:t>万元以下直接经济损失的。</w:t>
            </w:r>
          </w:p>
        </w:tc>
        <w:tc>
          <w:tcPr>
            <w:tcW w:w="3058" w:type="dxa"/>
            <w:tcBorders>
              <w:tl2br w:val="nil"/>
              <w:tr2bl w:val="nil"/>
            </w:tcBorders>
            <w:vAlign w:val="center"/>
          </w:tcPr>
          <w:p w14:paraId="4FF68B3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责令改正，处30万元的罚款，对单位直接负责的主管人员和其他直接责任人员处单位罚款数额百分之十的罚款；责令停业整顿120—180日。</w:t>
            </w:r>
          </w:p>
        </w:tc>
      </w:tr>
      <w:tr w14:paraId="00AAA3D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48" w:hRule="atLeast"/>
          <w:jc w:val="center"/>
        </w:trPr>
        <w:tc>
          <w:tcPr>
            <w:tcW w:w="443" w:type="dxa"/>
            <w:gridSpan w:val="2"/>
            <w:vMerge w:val="continue"/>
            <w:tcBorders>
              <w:tl2br w:val="nil"/>
              <w:tr2bl w:val="nil"/>
            </w:tcBorders>
            <w:vAlign w:val="center"/>
          </w:tcPr>
          <w:p w14:paraId="5CF34E6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1B3F2FB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vAlign w:val="center"/>
          </w:tcPr>
          <w:p w14:paraId="5CC445B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vMerge w:val="continue"/>
            <w:tcBorders>
              <w:tl2br w:val="nil"/>
              <w:tr2bl w:val="nil"/>
            </w:tcBorders>
            <w:vAlign w:val="center"/>
          </w:tcPr>
          <w:p w14:paraId="212CEBC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3437" w:type="dxa"/>
            <w:gridSpan w:val="2"/>
            <w:tcBorders>
              <w:tl2br w:val="nil"/>
              <w:tr2bl w:val="nil"/>
            </w:tcBorders>
            <w:vAlign w:val="center"/>
          </w:tcPr>
          <w:p w14:paraId="0733C92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（4）造成重大质量安全事故；或造成分部工程存在严重缺陷，经返修和加固处理仍不能满足安全使用要求。</w:t>
            </w:r>
          </w:p>
        </w:tc>
        <w:tc>
          <w:tcPr>
            <w:tcW w:w="3058" w:type="dxa"/>
            <w:tcBorders>
              <w:tl2br w:val="nil"/>
              <w:tr2bl w:val="nil"/>
            </w:tcBorders>
            <w:vAlign w:val="center"/>
          </w:tcPr>
          <w:p w14:paraId="523167C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责令改正，处30万元的罚款，对单位直接负责的主管人员和其他直接责任人员处单位罚款数额百分之十的罚款；降低资质等级。</w:t>
            </w:r>
          </w:p>
        </w:tc>
      </w:tr>
      <w:tr w14:paraId="04DD3DA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410" w:hRule="atLeast"/>
          <w:jc w:val="center"/>
        </w:trPr>
        <w:tc>
          <w:tcPr>
            <w:tcW w:w="443" w:type="dxa"/>
            <w:gridSpan w:val="2"/>
            <w:vMerge w:val="continue"/>
            <w:tcBorders>
              <w:tl2br w:val="nil"/>
              <w:tr2bl w:val="nil"/>
            </w:tcBorders>
            <w:vAlign w:val="center"/>
          </w:tcPr>
          <w:p w14:paraId="1880DA7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6800BBC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vAlign w:val="center"/>
          </w:tcPr>
          <w:p w14:paraId="2389300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vMerge w:val="continue"/>
            <w:tcBorders>
              <w:tl2br w:val="nil"/>
              <w:tr2bl w:val="nil"/>
            </w:tcBorders>
            <w:vAlign w:val="center"/>
          </w:tcPr>
          <w:p w14:paraId="2FFE2DA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3437" w:type="dxa"/>
            <w:gridSpan w:val="2"/>
            <w:tcBorders>
              <w:tl2br w:val="nil"/>
              <w:tr2bl w:val="nil"/>
            </w:tcBorders>
            <w:vAlign w:val="center"/>
          </w:tcPr>
          <w:p w14:paraId="6435215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rPr>
              <w:t>（5）造成特别重大质量安全事故；或造成单位（子单位）工程存在严重缺陷，经返修和加固处理仍不能满足安全使用要求</w:t>
            </w:r>
            <w:r>
              <w:rPr>
                <w:rFonts w:hint="eastAsia" w:ascii="仿宋_GB2312" w:hAnsi="宋体" w:eastAsia="仿宋_GB2312"/>
                <w:color w:val="auto"/>
                <w:kern w:val="0"/>
                <w:sz w:val="13"/>
                <w:szCs w:val="13"/>
                <w:highlight w:val="none"/>
                <w:lang w:eastAsia="zh-CN"/>
              </w:rPr>
              <w:t>；</w:t>
            </w:r>
            <w:r>
              <w:rPr>
                <w:rFonts w:hint="eastAsia" w:ascii="仿宋_GB2312" w:hAnsi="宋体" w:eastAsia="仿宋_GB2312"/>
                <w:color w:val="auto"/>
                <w:kern w:val="0"/>
                <w:sz w:val="13"/>
                <w:szCs w:val="13"/>
                <w:highlight w:val="none"/>
                <w:lang w:val="en-US" w:eastAsia="zh-CN"/>
              </w:rPr>
              <w:t>或造成特别严重的社会影响。</w:t>
            </w:r>
          </w:p>
        </w:tc>
        <w:tc>
          <w:tcPr>
            <w:tcW w:w="3058" w:type="dxa"/>
            <w:tcBorders>
              <w:tl2br w:val="nil"/>
              <w:tr2bl w:val="nil"/>
            </w:tcBorders>
            <w:vAlign w:val="center"/>
          </w:tcPr>
          <w:p w14:paraId="4E4663B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责令改正，处30万元的罚款，对单位直接负责的主管人员和其他直接责任人员处单位罚款数额百分之十的罚款；吊销资质证书。</w:t>
            </w:r>
          </w:p>
        </w:tc>
      </w:tr>
      <w:tr w14:paraId="6982694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16" w:hRule="atLeast"/>
          <w:jc w:val="center"/>
        </w:trPr>
        <w:tc>
          <w:tcPr>
            <w:tcW w:w="443" w:type="dxa"/>
            <w:gridSpan w:val="2"/>
            <w:vMerge w:val="restart"/>
            <w:tcBorders>
              <w:tl2br w:val="nil"/>
              <w:tr2bl w:val="nil"/>
            </w:tcBorders>
            <w:vAlign w:val="center"/>
          </w:tcPr>
          <w:p w14:paraId="7260CE52">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Times New Roman"/>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90</w:t>
            </w:r>
          </w:p>
        </w:tc>
        <w:tc>
          <w:tcPr>
            <w:tcW w:w="1550" w:type="dxa"/>
            <w:vMerge w:val="restart"/>
            <w:tcBorders>
              <w:tl2br w:val="nil"/>
              <w:tr2bl w:val="nil"/>
            </w:tcBorders>
            <w:vAlign w:val="center"/>
          </w:tcPr>
          <w:p w14:paraId="4783ACB5">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（1）施工单位偷工减料；</w:t>
            </w:r>
          </w:p>
          <w:p w14:paraId="608B124F">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（2）施工单位使用不合格的建筑材料；</w:t>
            </w:r>
          </w:p>
          <w:p w14:paraId="1FD94B32">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（3）施工单位使用不合格的建筑构配件；</w:t>
            </w:r>
          </w:p>
          <w:p w14:paraId="30D72855">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（4）施工单位使用不合格的设备</w:t>
            </w:r>
          </w:p>
          <w:p w14:paraId="2719B5DE">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宋体" w:hAnsi="宋体" w:cs="宋体"/>
                <w:color w:val="auto"/>
                <w:kern w:val="0"/>
                <w:sz w:val="13"/>
                <w:szCs w:val="13"/>
                <w:highlight w:val="none"/>
              </w:rPr>
            </w:pPr>
            <w:r>
              <w:rPr>
                <w:rFonts w:hint="eastAsia" w:ascii="仿宋_GB2312" w:hAnsi="宋体" w:eastAsia="仿宋_GB2312"/>
                <w:color w:val="auto"/>
                <w:kern w:val="0"/>
                <w:sz w:val="13"/>
                <w:szCs w:val="13"/>
                <w:highlight w:val="none"/>
              </w:rPr>
              <w:t>（5）其他不按照工程设计图纸或者施工技术标准施工的行为</w:t>
            </w:r>
          </w:p>
        </w:tc>
        <w:tc>
          <w:tcPr>
            <w:tcW w:w="4820" w:type="dxa"/>
            <w:vMerge w:val="restart"/>
            <w:tcBorders>
              <w:tl2br w:val="nil"/>
              <w:tr2bl w:val="nil"/>
            </w:tcBorders>
            <w:vAlign w:val="center"/>
          </w:tcPr>
          <w:p w14:paraId="429CF8B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《建设工程质量管理条例》第六十四条</w:t>
            </w:r>
          </w:p>
          <w:p w14:paraId="7DF01C8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违反本条例规定，施工单位在施工中偷工减料的，使用不合格的建筑材料、建筑构配件和设备的，或者有不按照工程设计图纸或者施工技术标准施工的其他行为的，责令改正，处工程合同价款百分之二以上百分之四以下的罚款；造成建设工程质量不符合规定的质量标准的，负责返工、修理，并赔偿因此造成的损失；情节严重的，责令停业整顿，降低资质等级或者吊销资质证书。</w:t>
            </w:r>
          </w:p>
          <w:p w14:paraId="07FEA05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p w14:paraId="514F767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《建设工程质量管理条例》第七十三条</w:t>
            </w:r>
          </w:p>
          <w:p w14:paraId="491458D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宋体" w:hAnsi="宋体" w:cs="宋体"/>
                <w:bCs/>
                <w:color w:val="auto"/>
                <w:kern w:val="0"/>
                <w:sz w:val="13"/>
                <w:szCs w:val="13"/>
                <w:highlight w:val="none"/>
              </w:rPr>
            </w:pPr>
            <w:r>
              <w:rPr>
                <w:rFonts w:hint="eastAsia" w:ascii="仿宋_GB2312" w:hAnsi="宋体" w:eastAsia="仿宋_GB2312"/>
                <w:color w:val="auto"/>
                <w:kern w:val="0"/>
                <w:sz w:val="13"/>
                <w:szCs w:val="13"/>
                <w:highlight w:val="none"/>
              </w:rPr>
              <w:t>依照本条例规定，给予单位罚款处罚的，对单位直接负责的主管人员和其他直接责任人员处单位罚款数额百分之五以上百分之十以下的罚款。</w:t>
            </w:r>
          </w:p>
        </w:tc>
        <w:tc>
          <w:tcPr>
            <w:tcW w:w="823" w:type="dxa"/>
            <w:tcBorders>
              <w:tl2br w:val="nil"/>
              <w:tr2bl w:val="nil"/>
            </w:tcBorders>
            <w:vAlign w:val="center"/>
          </w:tcPr>
          <w:p w14:paraId="19AA6D3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vAlign w:val="center"/>
          </w:tcPr>
          <w:p w14:paraId="18AFAD8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初次违法，危害后果轻微，主动消除或减轻违法行为危害后果的。</w:t>
            </w:r>
          </w:p>
        </w:tc>
        <w:tc>
          <w:tcPr>
            <w:tcW w:w="3058" w:type="dxa"/>
            <w:tcBorders>
              <w:tl2br w:val="nil"/>
              <w:tr2bl w:val="nil"/>
            </w:tcBorders>
            <w:vAlign w:val="center"/>
          </w:tcPr>
          <w:p w14:paraId="4CF27B1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责令改正，对施工单位处工程合同价款百分之二以上百分之二点二以下的罚款，对单位直接负责的主管人员和其他直接责任人员处单位罚款数额百分之五以上百分之六以下的罚款。</w:t>
            </w:r>
          </w:p>
        </w:tc>
      </w:tr>
      <w:tr w14:paraId="76AF45F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16" w:hRule="atLeast"/>
          <w:jc w:val="center"/>
        </w:trPr>
        <w:tc>
          <w:tcPr>
            <w:tcW w:w="443" w:type="dxa"/>
            <w:gridSpan w:val="2"/>
            <w:vMerge w:val="continue"/>
            <w:tcBorders>
              <w:tl2br w:val="nil"/>
              <w:tr2bl w:val="nil"/>
            </w:tcBorders>
            <w:vAlign w:val="center"/>
          </w:tcPr>
          <w:p w14:paraId="228FBF3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50372A3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tcPr>
          <w:p w14:paraId="05FFE25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vMerge w:val="restart"/>
            <w:tcBorders>
              <w:tl2br w:val="nil"/>
              <w:tr2bl w:val="nil"/>
            </w:tcBorders>
            <w:vAlign w:val="center"/>
          </w:tcPr>
          <w:p w14:paraId="1C181D6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一般情节</w:t>
            </w:r>
          </w:p>
        </w:tc>
        <w:tc>
          <w:tcPr>
            <w:tcW w:w="3437" w:type="dxa"/>
            <w:gridSpan w:val="2"/>
            <w:tcBorders>
              <w:tl2br w:val="nil"/>
              <w:tr2bl w:val="nil"/>
            </w:tcBorders>
            <w:vAlign w:val="center"/>
          </w:tcPr>
          <w:p w14:paraId="1E427D6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（1）造成一般危害后果的。</w:t>
            </w:r>
          </w:p>
        </w:tc>
        <w:tc>
          <w:tcPr>
            <w:tcW w:w="3058" w:type="dxa"/>
            <w:tcBorders>
              <w:tl2br w:val="nil"/>
              <w:tr2bl w:val="nil"/>
            </w:tcBorders>
            <w:vAlign w:val="center"/>
          </w:tcPr>
          <w:p w14:paraId="78F03A2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责令改正，对施工单位处工程合同价款百分之二点二以上百分之三点五以下的罚款，对单位直接负责的主管人员和其他直接责任人员处单位罚款数额百分之六以上百分之八点五以下的罚款。</w:t>
            </w:r>
          </w:p>
        </w:tc>
      </w:tr>
      <w:tr w14:paraId="5411EB91">
        <w:tblPrEx>
          <w:tblCellMar>
            <w:top w:w="0" w:type="dxa"/>
            <w:left w:w="0" w:type="dxa"/>
            <w:bottom w:w="0" w:type="dxa"/>
            <w:right w:w="0" w:type="dxa"/>
          </w:tblCellMar>
        </w:tblPrEx>
        <w:trPr>
          <w:gridAfter w:val="1"/>
          <w:wAfter w:w="6" w:type="dxa"/>
          <w:trHeight w:val="316" w:hRule="atLeast"/>
          <w:jc w:val="center"/>
        </w:trPr>
        <w:tc>
          <w:tcPr>
            <w:tcW w:w="443" w:type="dxa"/>
            <w:gridSpan w:val="2"/>
            <w:vMerge w:val="continue"/>
            <w:tcBorders>
              <w:tl2br w:val="nil"/>
              <w:tr2bl w:val="nil"/>
            </w:tcBorders>
            <w:vAlign w:val="center"/>
          </w:tcPr>
          <w:p w14:paraId="38C3A73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1567AF8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tcPr>
          <w:p w14:paraId="4B49F85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vMerge w:val="continue"/>
            <w:tcBorders>
              <w:tl2br w:val="nil"/>
              <w:tr2bl w:val="nil"/>
            </w:tcBorders>
            <w:vAlign w:val="center"/>
          </w:tcPr>
          <w:p w14:paraId="1ADF582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3437" w:type="dxa"/>
            <w:gridSpan w:val="2"/>
            <w:tcBorders>
              <w:tl2br w:val="nil"/>
              <w:tr2bl w:val="nil"/>
            </w:tcBorders>
            <w:vAlign w:val="center"/>
          </w:tcPr>
          <w:p w14:paraId="3F96EC1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（2）造成一般质量事故的。</w:t>
            </w:r>
          </w:p>
          <w:p w14:paraId="71DC964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p>
        </w:tc>
        <w:tc>
          <w:tcPr>
            <w:tcW w:w="3058" w:type="dxa"/>
            <w:tcBorders>
              <w:tl2br w:val="nil"/>
              <w:tr2bl w:val="nil"/>
            </w:tcBorders>
            <w:vAlign w:val="center"/>
          </w:tcPr>
          <w:p w14:paraId="150EF48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责令改正，对施工单位处工程合同价款百分之三点五以上百分之四以下的罚款，对单位直接负责的主管人员和其他直接责任人员处单位罚款数额百分之八点五以上百分之十以下的罚款。</w:t>
            </w:r>
          </w:p>
        </w:tc>
      </w:tr>
      <w:tr w14:paraId="0F4780E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94" w:hRule="atLeast"/>
          <w:jc w:val="center"/>
        </w:trPr>
        <w:tc>
          <w:tcPr>
            <w:tcW w:w="443" w:type="dxa"/>
            <w:gridSpan w:val="2"/>
            <w:vMerge w:val="continue"/>
            <w:tcBorders>
              <w:tl2br w:val="nil"/>
              <w:tr2bl w:val="nil"/>
            </w:tcBorders>
            <w:vAlign w:val="center"/>
          </w:tcPr>
          <w:p w14:paraId="59C9611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721E9D5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vAlign w:val="center"/>
          </w:tcPr>
          <w:p w14:paraId="2C3108A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vMerge w:val="restart"/>
            <w:tcBorders>
              <w:tl2br w:val="nil"/>
              <w:tr2bl w:val="nil"/>
            </w:tcBorders>
            <w:vAlign w:val="center"/>
          </w:tcPr>
          <w:p w14:paraId="2B324DE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从重情节</w:t>
            </w:r>
          </w:p>
        </w:tc>
        <w:tc>
          <w:tcPr>
            <w:tcW w:w="3437" w:type="dxa"/>
            <w:gridSpan w:val="2"/>
            <w:tcBorders>
              <w:tl2br w:val="nil"/>
              <w:tr2bl w:val="nil"/>
            </w:tcBorders>
            <w:vAlign w:val="center"/>
          </w:tcPr>
          <w:p w14:paraId="318CFA1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（1）造成较大质量事故（</w:t>
            </w:r>
            <w:r>
              <w:rPr>
                <w:rFonts w:ascii="仿宋_GB2312" w:hAnsi="宋体" w:eastAsia="仿宋_GB2312"/>
                <w:color w:val="auto"/>
                <w:kern w:val="0"/>
                <w:sz w:val="13"/>
                <w:szCs w:val="13"/>
                <w:highlight w:val="none"/>
              </w:rPr>
              <w:t>3</w:t>
            </w:r>
            <w:r>
              <w:rPr>
                <w:rFonts w:hint="eastAsia" w:ascii="仿宋_GB2312" w:hAnsi="宋体" w:eastAsia="仿宋_GB2312"/>
                <w:color w:val="auto"/>
                <w:kern w:val="0"/>
                <w:sz w:val="13"/>
                <w:szCs w:val="13"/>
                <w:highlight w:val="none"/>
              </w:rPr>
              <w:t>人以上</w:t>
            </w:r>
            <w:r>
              <w:rPr>
                <w:rFonts w:ascii="仿宋_GB2312" w:hAnsi="宋体" w:eastAsia="仿宋_GB2312"/>
                <w:color w:val="auto"/>
                <w:kern w:val="0"/>
                <w:sz w:val="13"/>
                <w:szCs w:val="13"/>
                <w:highlight w:val="none"/>
              </w:rPr>
              <w:t>5</w:t>
            </w:r>
            <w:r>
              <w:rPr>
                <w:rFonts w:hint="eastAsia" w:ascii="仿宋_GB2312" w:hAnsi="宋体" w:eastAsia="仿宋_GB2312"/>
                <w:color w:val="auto"/>
                <w:kern w:val="0"/>
                <w:sz w:val="13"/>
                <w:szCs w:val="13"/>
                <w:highlight w:val="none"/>
              </w:rPr>
              <w:t>人以下死亡，或者</w:t>
            </w:r>
            <w:r>
              <w:rPr>
                <w:rFonts w:ascii="仿宋_GB2312" w:hAnsi="宋体" w:eastAsia="仿宋_GB2312"/>
                <w:color w:val="auto"/>
                <w:kern w:val="0"/>
                <w:sz w:val="13"/>
                <w:szCs w:val="13"/>
                <w:highlight w:val="none"/>
              </w:rPr>
              <w:t>10</w:t>
            </w:r>
            <w:r>
              <w:rPr>
                <w:rFonts w:hint="eastAsia" w:ascii="仿宋_GB2312" w:hAnsi="宋体" w:eastAsia="仿宋_GB2312"/>
                <w:color w:val="auto"/>
                <w:kern w:val="0"/>
                <w:sz w:val="13"/>
                <w:szCs w:val="13"/>
                <w:highlight w:val="none"/>
              </w:rPr>
              <w:t>人以上</w:t>
            </w:r>
            <w:r>
              <w:rPr>
                <w:rFonts w:ascii="仿宋_GB2312" w:hAnsi="宋体" w:eastAsia="仿宋_GB2312"/>
                <w:color w:val="auto"/>
                <w:kern w:val="0"/>
                <w:sz w:val="13"/>
                <w:szCs w:val="13"/>
                <w:highlight w:val="none"/>
              </w:rPr>
              <w:t>20</w:t>
            </w:r>
            <w:r>
              <w:rPr>
                <w:rFonts w:hint="eastAsia" w:ascii="仿宋_GB2312" w:hAnsi="宋体" w:eastAsia="仿宋_GB2312"/>
                <w:color w:val="auto"/>
                <w:kern w:val="0"/>
                <w:sz w:val="13"/>
                <w:szCs w:val="13"/>
                <w:highlight w:val="none"/>
              </w:rPr>
              <w:t>人以下重伤，或者</w:t>
            </w:r>
            <w:r>
              <w:rPr>
                <w:rFonts w:ascii="仿宋_GB2312" w:hAnsi="宋体" w:eastAsia="仿宋_GB2312"/>
                <w:color w:val="auto"/>
                <w:kern w:val="0"/>
                <w:sz w:val="13"/>
                <w:szCs w:val="13"/>
                <w:highlight w:val="none"/>
              </w:rPr>
              <w:t>1000</w:t>
            </w:r>
            <w:r>
              <w:rPr>
                <w:rFonts w:hint="eastAsia" w:ascii="仿宋_GB2312" w:hAnsi="宋体" w:eastAsia="仿宋_GB2312"/>
                <w:color w:val="auto"/>
                <w:kern w:val="0"/>
                <w:sz w:val="13"/>
                <w:szCs w:val="13"/>
                <w:highlight w:val="none"/>
              </w:rPr>
              <w:t>万元以上</w:t>
            </w:r>
            <w:r>
              <w:rPr>
                <w:rFonts w:ascii="仿宋_GB2312" w:hAnsi="宋体" w:eastAsia="仿宋_GB2312"/>
                <w:color w:val="auto"/>
                <w:kern w:val="0"/>
                <w:sz w:val="13"/>
                <w:szCs w:val="13"/>
                <w:highlight w:val="none"/>
              </w:rPr>
              <w:t>2000</w:t>
            </w:r>
            <w:r>
              <w:rPr>
                <w:rFonts w:hint="eastAsia" w:ascii="仿宋_GB2312" w:hAnsi="宋体" w:eastAsia="仿宋_GB2312"/>
                <w:color w:val="auto"/>
                <w:kern w:val="0"/>
                <w:sz w:val="13"/>
                <w:szCs w:val="13"/>
                <w:highlight w:val="none"/>
              </w:rPr>
              <w:t>万元以下直接经济损失）；或造成重要的检验批达不到设计要求。</w:t>
            </w:r>
          </w:p>
        </w:tc>
        <w:tc>
          <w:tcPr>
            <w:tcW w:w="3058" w:type="dxa"/>
            <w:tcBorders>
              <w:tl2br w:val="nil"/>
              <w:tr2bl w:val="nil"/>
            </w:tcBorders>
            <w:vAlign w:val="center"/>
          </w:tcPr>
          <w:p w14:paraId="34E07F23">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责令改正，对施工单位处工程合同价款百分之四的罚款，对单位直接负责的主管人员和其他直接责任人员处单位罚款数额百分之十的罚款；责令停业整顿</w:t>
            </w:r>
            <w:r>
              <w:rPr>
                <w:rFonts w:hint="eastAsia" w:ascii="仿宋_GB2312" w:hAnsi="宋体" w:eastAsia="仿宋_GB2312"/>
                <w:color w:val="auto"/>
                <w:kern w:val="0"/>
                <w:sz w:val="13"/>
                <w:szCs w:val="13"/>
                <w:highlight w:val="none"/>
                <w:lang w:eastAsia="zh-CN"/>
              </w:rPr>
              <w:t>60日-</w:t>
            </w:r>
            <w:r>
              <w:rPr>
                <w:rFonts w:hint="eastAsia" w:ascii="仿宋_GB2312" w:hAnsi="宋体" w:eastAsia="仿宋_GB2312"/>
                <w:color w:val="auto"/>
                <w:kern w:val="0"/>
                <w:sz w:val="13"/>
                <w:szCs w:val="13"/>
                <w:highlight w:val="none"/>
              </w:rPr>
              <w:t>90日。</w:t>
            </w:r>
          </w:p>
        </w:tc>
      </w:tr>
      <w:tr w14:paraId="1E9789F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94" w:hRule="atLeast"/>
          <w:jc w:val="center"/>
        </w:trPr>
        <w:tc>
          <w:tcPr>
            <w:tcW w:w="443" w:type="dxa"/>
            <w:gridSpan w:val="2"/>
            <w:vMerge w:val="continue"/>
            <w:tcBorders>
              <w:tl2br w:val="nil"/>
              <w:tr2bl w:val="nil"/>
            </w:tcBorders>
            <w:vAlign w:val="center"/>
          </w:tcPr>
          <w:p w14:paraId="6C29C89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4EA88DA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vAlign w:val="center"/>
          </w:tcPr>
          <w:p w14:paraId="5FAE7E8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vMerge w:val="continue"/>
            <w:tcBorders>
              <w:tl2br w:val="nil"/>
              <w:tr2bl w:val="nil"/>
            </w:tcBorders>
            <w:vAlign w:val="center"/>
          </w:tcPr>
          <w:p w14:paraId="160406F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3437" w:type="dxa"/>
            <w:gridSpan w:val="2"/>
            <w:tcBorders>
              <w:tl2br w:val="nil"/>
              <w:tr2bl w:val="nil"/>
            </w:tcBorders>
            <w:vAlign w:val="center"/>
          </w:tcPr>
          <w:p w14:paraId="50AEC26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（2）造成较大质量事故（</w:t>
            </w:r>
            <w:r>
              <w:rPr>
                <w:rFonts w:ascii="仿宋_GB2312" w:hAnsi="宋体" w:eastAsia="仿宋_GB2312"/>
                <w:color w:val="auto"/>
                <w:kern w:val="0"/>
                <w:sz w:val="13"/>
                <w:szCs w:val="13"/>
                <w:highlight w:val="none"/>
              </w:rPr>
              <w:t>5</w:t>
            </w:r>
            <w:r>
              <w:rPr>
                <w:rFonts w:hint="eastAsia" w:ascii="仿宋_GB2312" w:hAnsi="宋体" w:eastAsia="仿宋_GB2312"/>
                <w:color w:val="auto"/>
                <w:kern w:val="0"/>
                <w:sz w:val="13"/>
                <w:szCs w:val="13"/>
                <w:highlight w:val="none"/>
              </w:rPr>
              <w:t>人以上</w:t>
            </w:r>
            <w:r>
              <w:rPr>
                <w:rFonts w:ascii="仿宋_GB2312" w:hAnsi="宋体" w:eastAsia="仿宋_GB2312"/>
                <w:color w:val="auto"/>
                <w:kern w:val="0"/>
                <w:sz w:val="13"/>
                <w:szCs w:val="13"/>
                <w:highlight w:val="none"/>
              </w:rPr>
              <w:t>7</w:t>
            </w:r>
            <w:r>
              <w:rPr>
                <w:rFonts w:hint="eastAsia" w:ascii="仿宋_GB2312" w:hAnsi="宋体" w:eastAsia="仿宋_GB2312"/>
                <w:color w:val="auto"/>
                <w:kern w:val="0"/>
                <w:sz w:val="13"/>
                <w:szCs w:val="13"/>
                <w:highlight w:val="none"/>
              </w:rPr>
              <w:t>人以下死亡，或者</w:t>
            </w:r>
            <w:r>
              <w:rPr>
                <w:rFonts w:ascii="仿宋_GB2312" w:hAnsi="宋体" w:eastAsia="仿宋_GB2312"/>
                <w:color w:val="auto"/>
                <w:kern w:val="0"/>
                <w:sz w:val="13"/>
                <w:szCs w:val="13"/>
                <w:highlight w:val="none"/>
              </w:rPr>
              <w:t>20</w:t>
            </w:r>
            <w:r>
              <w:rPr>
                <w:rFonts w:hint="eastAsia" w:ascii="仿宋_GB2312" w:hAnsi="宋体" w:eastAsia="仿宋_GB2312"/>
                <w:color w:val="auto"/>
                <w:kern w:val="0"/>
                <w:sz w:val="13"/>
                <w:szCs w:val="13"/>
                <w:highlight w:val="none"/>
              </w:rPr>
              <w:t>人以上</w:t>
            </w:r>
            <w:r>
              <w:rPr>
                <w:rFonts w:ascii="仿宋_GB2312" w:hAnsi="宋体" w:eastAsia="仿宋_GB2312"/>
                <w:color w:val="auto"/>
                <w:kern w:val="0"/>
                <w:sz w:val="13"/>
                <w:szCs w:val="13"/>
                <w:highlight w:val="none"/>
              </w:rPr>
              <w:t>30</w:t>
            </w:r>
            <w:r>
              <w:rPr>
                <w:rFonts w:hint="eastAsia" w:ascii="仿宋_GB2312" w:hAnsi="宋体" w:eastAsia="仿宋_GB2312"/>
                <w:color w:val="auto"/>
                <w:kern w:val="0"/>
                <w:sz w:val="13"/>
                <w:szCs w:val="13"/>
                <w:highlight w:val="none"/>
              </w:rPr>
              <w:t>人以下重伤，或者</w:t>
            </w:r>
            <w:r>
              <w:rPr>
                <w:rFonts w:ascii="仿宋_GB2312" w:hAnsi="宋体" w:eastAsia="仿宋_GB2312"/>
                <w:color w:val="auto"/>
                <w:kern w:val="0"/>
                <w:sz w:val="13"/>
                <w:szCs w:val="13"/>
                <w:highlight w:val="none"/>
              </w:rPr>
              <w:t>2000</w:t>
            </w:r>
            <w:r>
              <w:rPr>
                <w:rFonts w:hint="eastAsia" w:ascii="仿宋_GB2312" w:hAnsi="宋体" w:eastAsia="仿宋_GB2312"/>
                <w:color w:val="auto"/>
                <w:kern w:val="0"/>
                <w:sz w:val="13"/>
                <w:szCs w:val="13"/>
                <w:highlight w:val="none"/>
              </w:rPr>
              <w:t>万元以上</w:t>
            </w:r>
            <w:r>
              <w:rPr>
                <w:rFonts w:ascii="仿宋_GB2312" w:hAnsi="宋体" w:eastAsia="仿宋_GB2312"/>
                <w:color w:val="auto"/>
                <w:kern w:val="0"/>
                <w:sz w:val="13"/>
                <w:szCs w:val="13"/>
                <w:highlight w:val="none"/>
              </w:rPr>
              <w:t>3000</w:t>
            </w:r>
            <w:r>
              <w:rPr>
                <w:rFonts w:hint="eastAsia" w:ascii="仿宋_GB2312" w:hAnsi="宋体" w:eastAsia="仿宋_GB2312"/>
                <w:color w:val="auto"/>
                <w:kern w:val="0"/>
                <w:sz w:val="13"/>
                <w:szCs w:val="13"/>
                <w:highlight w:val="none"/>
              </w:rPr>
              <w:t>万元以下直接经济损失）；或造成重要的分项工程质量不符合要求。</w:t>
            </w:r>
          </w:p>
        </w:tc>
        <w:tc>
          <w:tcPr>
            <w:tcW w:w="3058" w:type="dxa"/>
            <w:tcBorders>
              <w:tl2br w:val="nil"/>
              <w:tr2bl w:val="nil"/>
            </w:tcBorders>
            <w:vAlign w:val="center"/>
          </w:tcPr>
          <w:p w14:paraId="6FDDE07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责令改正，对施工单位处工程合同价款百分之四的罚款，对单位直接负责的主管人员和其他直接责任人员处单位罚款数额百分之十的罚款；责令停业整顿</w:t>
            </w:r>
            <w:r>
              <w:rPr>
                <w:rFonts w:hint="eastAsia" w:ascii="仿宋_GB2312" w:hAnsi="宋体" w:eastAsia="仿宋_GB2312"/>
                <w:color w:val="auto"/>
                <w:kern w:val="0"/>
                <w:sz w:val="13"/>
                <w:szCs w:val="13"/>
                <w:highlight w:val="none"/>
                <w:lang w:eastAsia="zh-CN"/>
              </w:rPr>
              <w:t>90日-</w:t>
            </w:r>
            <w:r>
              <w:rPr>
                <w:rFonts w:hint="eastAsia" w:ascii="仿宋_GB2312" w:hAnsi="宋体" w:eastAsia="仿宋_GB2312"/>
                <w:color w:val="auto"/>
                <w:kern w:val="0"/>
                <w:sz w:val="13"/>
                <w:szCs w:val="13"/>
                <w:highlight w:val="none"/>
              </w:rPr>
              <w:t>120日。</w:t>
            </w:r>
          </w:p>
        </w:tc>
      </w:tr>
      <w:tr w14:paraId="12B850C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472" w:hRule="atLeast"/>
          <w:jc w:val="center"/>
        </w:trPr>
        <w:tc>
          <w:tcPr>
            <w:tcW w:w="443" w:type="dxa"/>
            <w:gridSpan w:val="2"/>
            <w:vMerge w:val="continue"/>
            <w:tcBorders>
              <w:tl2br w:val="nil"/>
              <w:tr2bl w:val="nil"/>
            </w:tcBorders>
            <w:vAlign w:val="center"/>
          </w:tcPr>
          <w:p w14:paraId="2589BF4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3D72C6E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vAlign w:val="center"/>
          </w:tcPr>
          <w:p w14:paraId="390AD59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vMerge w:val="continue"/>
            <w:tcBorders>
              <w:tl2br w:val="nil"/>
              <w:tr2bl w:val="nil"/>
            </w:tcBorders>
            <w:vAlign w:val="center"/>
          </w:tcPr>
          <w:p w14:paraId="4FE5928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3437" w:type="dxa"/>
            <w:gridSpan w:val="2"/>
            <w:tcBorders>
              <w:tl2br w:val="nil"/>
              <w:tr2bl w:val="nil"/>
            </w:tcBorders>
            <w:vAlign w:val="center"/>
          </w:tcPr>
          <w:p w14:paraId="18DE749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（3）造成较大质量事故（</w:t>
            </w:r>
            <w:r>
              <w:rPr>
                <w:rFonts w:ascii="仿宋_GB2312" w:hAnsi="宋体" w:eastAsia="仿宋_GB2312"/>
                <w:color w:val="auto"/>
                <w:kern w:val="0"/>
                <w:sz w:val="13"/>
                <w:szCs w:val="13"/>
                <w:highlight w:val="none"/>
              </w:rPr>
              <w:t>7</w:t>
            </w:r>
            <w:r>
              <w:rPr>
                <w:rFonts w:hint="eastAsia" w:ascii="仿宋_GB2312" w:hAnsi="宋体" w:eastAsia="仿宋_GB2312"/>
                <w:color w:val="auto"/>
                <w:kern w:val="0"/>
                <w:sz w:val="13"/>
                <w:szCs w:val="13"/>
                <w:highlight w:val="none"/>
              </w:rPr>
              <w:t>人以上</w:t>
            </w:r>
            <w:r>
              <w:rPr>
                <w:rFonts w:ascii="仿宋_GB2312" w:hAnsi="宋体" w:eastAsia="仿宋_GB2312"/>
                <w:color w:val="auto"/>
                <w:kern w:val="0"/>
                <w:sz w:val="13"/>
                <w:szCs w:val="13"/>
                <w:highlight w:val="none"/>
              </w:rPr>
              <w:t>10</w:t>
            </w:r>
            <w:r>
              <w:rPr>
                <w:rFonts w:hint="eastAsia" w:ascii="仿宋_GB2312" w:hAnsi="宋体" w:eastAsia="仿宋_GB2312"/>
                <w:color w:val="auto"/>
                <w:kern w:val="0"/>
                <w:sz w:val="13"/>
                <w:szCs w:val="13"/>
                <w:highlight w:val="none"/>
              </w:rPr>
              <w:t>人以下死亡，或者</w:t>
            </w:r>
            <w:r>
              <w:rPr>
                <w:rFonts w:ascii="仿宋_GB2312" w:hAnsi="宋体" w:eastAsia="仿宋_GB2312"/>
                <w:color w:val="auto"/>
                <w:kern w:val="0"/>
                <w:sz w:val="13"/>
                <w:szCs w:val="13"/>
                <w:highlight w:val="none"/>
              </w:rPr>
              <w:t>30</w:t>
            </w:r>
            <w:r>
              <w:rPr>
                <w:rFonts w:hint="eastAsia" w:ascii="仿宋_GB2312" w:hAnsi="宋体" w:eastAsia="仿宋_GB2312"/>
                <w:color w:val="auto"/>
                <w:kern w:val="0"/>
                <w:sz w:val="13"/>
                <w:szCs w:val="13"/>
                <w:highlight w:val="none"/>
              </w:rPr>
              <w:t>人以上</w:t>
            </w:r>
            <w:r>
              <w:rPr>
                <w:rFonts w:ascii="仿宋_GB2312" w:hAnsi="宋体" w:eastAsia="仿宋_GB2312"/>
                <w:color w:val="auto"/>
                <w:kern w:val="0"/>
                <w:sz w:val="13"/>
                <w:szCs w:val="13"/>
                <w:highlight w:val="none"/>
              </w:rPr>
              <w:t>50</w:t>
            </w:r>
            <w:r>
              <w:rPr>
                <w:rFonts w:hint="eastAsia" w:ascii="仿宋_GB2312" w:hAnsi="宋体" w:eastAsia="仿宋_GB2312"/>
                <w:color w:val="auto"/>
                <w:kern w:val="0"/>
                <w:sz w:val="13"/>
                <w:szCs w:val="13"/>
                <w:highlight w:val="none"/>
              </w:rPr>
              <w:t>人以下重伤，或者</w:t>
            </w:r>
            <w:r>
              <w:rPr>
                <w:rFonts w:ascii="仿宋_GB2312" w:hAnsi="宋体" w:eastAsia="仿宋_GB2312"/>
                <w:color w:val="auto"/>
                <w:kern w:val="0"/>
                <w:sz w:val="13"/>
                <w:szCs w:val="13"/>
                <w:highlight w:val="none"/>
              </w:rPr>
              <w:t>3000</w:t>
            </w:r>
            <w:r>
              <w:rPr>
                <w:rFonts w:hint="eastAsia" w:ascii="仿宋_GB2312" w:hAnsi="宋体" w:eastAsia="仿宋_GB2312"/>
                <w:color w:val="auto"/>
                <w:kern w:val="0"/>
                <w:sz w:val="13"/>
                <w:szCs w:val="13"/>
                <w:highlight w:val="none"/>
              </w:rPr>
              <w:t>万元以上</w:t>
            </w:r>
            <w:r>
              <w:rPr>
                <w:rFonts w:ascii="仿宋_GB2312" w:hAnsi="宋体" w:eastAsia="仿宋_GB2312"/>
                <w:color w:val="auto"/>
                <w:kern w:val="0"/>
                <w:sz w:val="13"/>
                <w:szCs w:val="13"/>
                <w:highlight w:val="none"/>
              </w:rPr>
              <w:t>5000</w:t>
            </w:r>
            <w:r>
              <w:rPr>
                <w:rFonts w:hint="eastAsia" w:ascii="仿宋_GB2312" w:hAnsi="宋体" w:eastAsia="仿宋_GB2312"/>
                <w:color w:val="auto"/>
                <w:kern w:val="0"/>
                <w:sz w:val="13"/>
                <w:szCs w:val="13"/>
                <w:highlight w:val="none"/>
              </w:rPr>
              <w:t>万元以下直接经济损失）；或造成重要分部工程质量不符合要求，经返修或加固处理才能满足安全使用要求。</w:t>
            </w:r>
          </w:p>
        </w:tc>
        <w:tc>
          <w:tcPr>
            <w:tcW w:w="3058" w:type="dxa"/>
            <w:tcBorders>
              <w:tl2br w:val="nil"/>
              <w:tr2bl w:val="nil"/>
            </w:tcBorders>
            <w:vAlign w:val="center"/>
          </w:tcPr>
          <w:p w14:paraId="3D9AB483">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p>
          <w:p w14:paraId="45A7194A">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p>
          <w:p w14:paraId="38001F52">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责令改正，对施工单位处工程合同价款百分之四的罚款，对单位直接负责的主管人员和其他直接责任人员处单位罚款数额百分之十的罚款；责令停业整顿</w:t>
            </w:r>
            <w:r>
              <w:rPr>
                <w:rFonts w:hint="eastAsia" w:ascii="仿宋_GB2312" w:hAnsi="宋体" w:eastAsia="仿宋_GB2312"/>
                <w:color w:val="auto"/>
                <w:kern w:val="0"/>
                <w:sz w:val="13"/>
                <w:szCs w:val="13"/>
                <w:highlight w:val="none"/>
                <w:lang w:eastAsia="zh-CN"/>
              </w:rPr>
              <w:t>120日-</w:t>
            </w:r>
            <w:r>
              <w:rPr>
                <w:rFonts w:hint="eastAsia" w:ascii="仿宋_GB2312" w:hAnsi="宋体" w:eastAsia="仿宋_GB2312"/>
                <w:color w:val="auto"/>
                <w:kern w:val="0"/>
                <w:sz w:val="13"/>
                <w:szCs w:val="13"/>
                <w:highlight w:val="none"/>
              </w:rPr>
              <w:t>180日。</w:t>
            </w:r>
          </w:p>
        </w:tc>
      </w:tr>
      <w:tr w14:paraId="57E6FB4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38" w:hRule="atLeast"/>
          <w:jc w:val="center"/>
        </w:trPr>
        <w:tc>
          <w:tcPr>
            <w:tcW w:w="443" w:type="dxa"/>
            <w:gridSpan w:val="2"/>
            <w:vMerge w:val="continue"/>
            <w:tcBorders>
              <w:tl2br w:val="nil"/>
              <w:tr2bl w:val="nil"/>
            </w:tcBorders>
            <w:vAlign w:val="center"/>
          </w:tcPr>
          <w:p w14:paraId="25C335D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383072C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vAlign w:val="center"/>
          </w:tcPr>
          <w:p w14:paraId="1F93717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vMerge w:val="continue"/>
            <w:tcBorders>
              <w:tl2br w:val="nil"/>
              <w:tr2bl w:val="nil"/>
            </w:tcBorders>
            <w:vAlign w:val="center"/>
          </w:tcPr>
          <w:p w14:paraId="509FC5D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3437" w:type="dxa"/>
            <w:gridSpan w:val="2"/>
            <w:tcBorders>
              <w:tl2br w:val="nil"/>
              <w:tr2bl w:val="nil"/>
            </w:tcBorders>
            <w:vAlign w:val="center"/>
          </w:tcPr>
          <w:p w14:paraId="39A7BF8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（4）造成重大质量事故；或造成分部工程存在严重缺陷，经返修和加固处理仍不能满足安全使用要求。</w:t>
            </w:r>
          </w:p>
        </w:tc>
        <w:tc>
          <w:tcPr>
            <w:tcW w:w="3058" w:type="dxa"/>
            <w:tcBorders>
              <w:tl2br w:val="nil"/>
              <w:tr2bl w:val="nil"/>
            </w:tcBorders>
            <w:vAlign w:val="center"/>
          </w:tcPr>
          <w:p w14:paraId="132FF51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责令改正，对施工单位处工程合同价款百分之四的罚款，对单位直接负责的主管人员和其他直接责任人员处单位罚款数额百分之十的罚款；降低资质等级。</w:t>
            </w:r>
          </w:p>
        </w:tc>
      </w:tr>
      <w:tr w14:paraId="2DA99D3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543" w:hRule="atLeast"/>
          <w:jc w:val="center"/>
        </w:trPr>
        <w:tc>
          <w:tcPr>
            <w:tcW w:w="443" w:type="dxa"/>
            <w:gridSpan w:val="2"/>
            <w:vMerge w:val="continue"/>
            <w:tcBorders>
              <w:tl2br w:val="nil"/>
              <w:tr2bl w:val="nil"/>
            </w:tcBorders>
            <w:vAlign w:val="center"/>
          </w:tcPr>
          <w:p w14:paraId="265D9B9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1C02423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vAlign w:val="center"/>
          </w:tcPr>
          <w:p w14:paraId="15C0B80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vMerge w:val="continue"/>
            <w:tcBorders>
              <w:tl2br w:val="nil"/>
              <w:tr2bl w:val="nil"/>
            </w:tcBorders>
            <w:vAlign w:val="center"/>
          </w:tcPr>
          <w:p w14:paraId="7A96A86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3437" w:type="dxa"/>
            <w:gridSpan w:val="2"/>
            <w:tcBorders>
              <w:tl2br w:val="nil"/>
              <w:tr2bl w:val="nil"/>
            </w:tcBorders>
            <w:vAlign w:val="center"/>
          </w:tcPr>
          <w:p w14:paraId="59E9A81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rPr>
              <w:t>（5）造成特别重大质量事故；或造成单位（子单位）工程存在严重缺陷，经返修和加固处理仍不能满足安全使用要求</w:t>
            </w:r>
            <w:r>
              <w:rPr>
                <w:rFonts w:hint="eastAsia" w:ascii="仿宋_GB2312" w:hAnsi="宋体" w:eastAsia="仿宋_GB2312"/>
                <w:color w:val="auto"/>
                <w:kern w:val="0"/>
                <w:sz w:val="13"/>
                <w:szCs w:val="13"/>
                <w:highlight w:val="none"/>
                <w:lang w:eastAsia="zh-CN"/>
              </w:rPr>
              <w:t>；</w:t>
            </w:r>
            <w:r>
              <w:rPr>
                <w:rFonts w:hint="eastAsia" w:ascii="仿宋_GB2312" w:hAnsi="宋体" w:eastAsia="仿宋_GB2312"/>
                <w:color w:val="auto"/>
                <w:kern w:val="0"/>
                <w:sz w:val="13"/>
                <w:szCs w:val="13"/>
                <w:highlight w:val="none"/>
                <w:lang w:val="en-US" w:eastAsia="zh-CN"/>
              </w:rPr>
              <w:t>或造成特别严重的社会影响。</w:t>
            </w:r>
          </w:p>
        </w:tc>
        <w:tc>
          <w:tcPr>
            <w:tcW w:w="3058" w:type="dxa"/>
            <w:tcBorders>
              <w:tl2br w:val="nil"/>
              <w:tr2bl w:val="nil"/>
            </w:tcBorders>
            <w:vAlign w:val="center"/>
          </w:tcPr>
          <w:p w14:paraId="69D9714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责令改正，对施工单位处工程合同价款百分之四的罚款，对单位直接负责的主管人员和其他直接责任人员处单位罚款数额百分之十的罚款；吊销资质证书。</w:t>
            </w:r>
          </w:p>
        </w:tc>
      </w:tr>
      <w:tr w14:paraId="3E6F412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0" w:hRule="atLeast"/>
          <w:jc w:val="center"/>
        </w:trPr>
        <w:tc>
          <w:tcPr>
            <w:tcW w:w="443" w:type="dxa"/>
            <w:gridSpan w:val="2"/>
            <w:vMerge w:val="restart"/>
            <w:tcBorders>
              <w:tl2br w:val="nil"/>
              <w:tr2bl w:val="nil"/>
            </w:tcBorders>
            <w:vAlign w:val="center"/>
          </w:tcPr>
          <w:p w14:paraId="6FC3D876">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Times New Roman"/>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91</w:t>
            </w:r>
          </w:p>
        </w:tc>
        <w:tc>
          <w:tcPr>
            <w:tcW w:w="1550" w:type="dxa"/>
            <w:vMerge w:val="restart"/>
            <w:tcBorders>
              <w:tl2br w:val="nil"/>
              <w:tr2bl w:val="nil"/>
            </w:tcBorders>
            <w:vAlign w:val="center"/>
          </w:tcPr>
          <w:p w14:paraId="5C1DAA02">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p>
          <w:p w14:paraId="5C59B888">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p>
          <w:p w14:paraId="4358E1BF">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p w14:paraId="3A88BF1C">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宋体" w:hAnsi="宋体" w:cs="宋体"/>
                <w:color w:val="auto"/>
                <w:kern w:val="0"/>
                <w:sz w:val="13"/>
                <w:szCs w:val="13"/>
                <w:highlight w:val="none"/>
              </w:rPr>
            </w:pPr>
            <w:r>
              <w:rPr>
                <w:rFonts w:hint="eastAsia" w:ascii="仿宋_GB2312" w:hAnsi="宋体" w:eastAsia="仿宋_GB2312"/>
                <w:color w:val="auto"/>
                <w:kern w:val="0"/>
                <w:sz w:val="13"/>
                <w:szCs w:val="13"/>
                <w:highlight w:val="none"/>
              </w:rPr>
              <w:t>施工单位未对建筑材料、建筑构配件、设备和商品混凝土进行检验，或者未对涉及结构安全的试块、试件以及有关材料取样检测</w:t>
            </w:r>
          </w:p>
        </w:tc>
        <w:tc>
          <w:tcPr>
            <w:tcW w:w="4820" w:type="dxa"/>
            <w:vMerge w:val="restart"/>
            <w:tcBorders>
              <w:tl2br w:val="nil"/>
              <w:tr2bl w:val="nil"/>
            </w:tcBorders>
            <w:vAlign w:val="center"/>
          </w:tcPr>
          <w:p w14:paraId="5AE6876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《建设工程质量管理条例》第六十五条</w:t>
            </w:r>
          </w:p>
          <w:p w14:paraId="70BC6F5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违反本条例规定，施工单位未对建筑材料、建筑构配件、设备和商品混凝土进行检验，或者未对涉及结构安全的试块、试件以及有关材料取样检测的，责令改正，处10万元以上20万元以下的罚款；情节严重的，责令停业整顿，降低资质等级或者吊销资质证书；造成损失的，依法承担赔偿责任。</w:t>
            </w:r>
          </w:p>
          <w:p w14:paraId="52C579A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p w14:paraId="2A07933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《建设工程质量管理条例》第七十三条</w:t>
            </w:r>
          </w:p>
          <w:p w14:paraId="74FCF5D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宋体" w:hAnsi="宋体" w:cs="宋体"/>
                <w:bCs/>
                <w:color w:val="auto"/>
                <w:kern w:val="0"/>
                <w:sz w:val="13"/>
                <w:szCs w:val="13"/>
                <w:highlight w:val="none"/>
              </w:rPr>
            </w:pPr>
            <w:r>
              <w:rPr>
                <w:rFonts w:hint="eastAsia" w:ascii="仿宋_GB2312" w:hAnsi="宋体" w:eastAsia="仿宋_GB2312"/>
                <w:color w:val="auto"/>
                <w:kern w:val="0"/>
                <w:sz w:val="13"/>
                <w:szCs w:val="13"/>
                <w:highlight w:val="none"/>
              </w:rPr>
              <w:t>依照本条例规定，给予单位罚款处罚的，对单位直接负责的主管人员和其他直接责任人员处单位罚款数额百分之五以上百分之十以下的罚款。</w:t>
            </w:r>
          </w:p>
        </w:tc>
        <w:tc>
          <w:tcPr>
            <w:tcW w:w="823" w:type="dxa"/>
            <w:tcBorders>
              <w:tl2br w:val="nil"/>
              <w:tr2bl w:val="nil"/>
            </w:tcBorders>
            <w:vAlign w:val="center"/>
          </w:tcPr>
          <w:p w14:paraId="3F162B3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vAlign w:val="center"/>
          </w:tcPr>
          <w:p w14:paraId="25B5E08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初次违法，危害后果轻微，主动消除或减轻违法行为危害后果的。</w:t>
            </w:r>
          </w:p>
        </w:tc>
        <w:tc>
          <w:tcPr>
            <w:tcW w:w="3058" w:type="dxa"/>
            <w:tcBorders>
              <w:tl2br w:val="nil"/>
              <w:tr2bl w:val="nil"/>
            </w:tcBorders>
            <w:vAlign w:val="center"/>
          </w:tcPr>
          <w:p w14:paraId="22AFB54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责令改正，处10万元以上12万元以下的罚款，对单位直接负责的主管人员和其他直接责任人员处单位罚款数额百分之五以上百分之六以下的罚款。</w:t>
            </w:r>
          </w:p>
        </w:tc>
      </w:tr>
      <w:tr w14:paraId="0020BA1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8" w:hRule="atLeast"/>
          <w:jc w:val="center"/>
        </w:trPr>
        <w:tc>
          <w:tcPr>
            <w:tcW w:w="443" w:type="dxa"/>
            <w:gridSpan w:val="2"/>
            <w:vMerge w:val="continue"/>
            <w:tcBorders>
              <w:tl2br w:val="nil"/>
              <w:tr2bl w:val="nil"/>
            </w:tcBorders>
            <w:vAlign w:val="center"/>
          </w:tcPr>
          <w:p w14:paraId="2B56F0B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7A5FE71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tcPr>
          <w:p w14:paraId="63BFAC2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vMerge w:val="restart"/>
            <w:tcBorders>
              <w:tl2br w:val="nil"/>
              <w:tr2bl w:val="nil"/>
            </w:tcBorders>
            <w:vAlign w:val="center"/>
          </w:tcPr>
          <w:p w14:paraId="38CE49A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一般情节</w:t>
            </w:r>
          </w:p>
        </w:tc>
        <w:tc>
          <w:tcPr>
            <w:tcW w:w="3437" w:type="dxa"/>
            <w:gridSpan w:val="2"/>
            <w:tcBorders>
              <w:tl2br w:val="nil"/>
              <w:tr2bl w:val="nil"/>
            </w:tcBorders>
            <w:vAlign w:val="center"/>
          </w:tcPr>
          <w:p w14:paraId="385484C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（1）造成一般危害后果的。</w:t>
            </w:r>
          </w:p>
        </w:tc>
        <w:tc>
          <w:tcPr>
            <w:tcW w:w="3058" w:type="dxa"/>
            <w:tcBorders>
              <w:tl2br w:val="nil"/>
              <w:tr2bl w:val="nil"/>
            </w:tcBorders>
            <w:vAlign w:val="center"/>
          </w:tcPr>
          <w:p w14:paraId="1E71651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处12万元以上17万元以下的罚款，责令改正，对单位直接负责的主管人员和其他直接责任人员处单位罚款数额百分之六以上百分之八点五以下的罚款。</w:t>
            </w:r>
          </w:p>
        </w:tc>
      </w:tr>
      <w:tr w14:paraId="5B3D286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8" w:hRule="atLeast"/>
          <w:jc w:val="center"/>
        </w:trPr>
        <w:tc>
          <w:tcPr>
            <w:tcW w:w="443" w:type="dxa"/>
            <w:gridSpan w:val="2"/>
            <w:vMerge w:val="continue"/>
            <w:tcBorders>
              <w:tl2br w:val="nil"/>
              <w:tr2bl w:val="nil"/>
            </w:tcBorders>
            <w:vAlign w:val="center"/>
          </w:tcPr>
          <w:p w14:paraId="3E0340C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01A5A57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tcPr>
          <w:p w14:paraId="62C50C5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vMerge w:val="continue"/>
            <w:tcBorders>
              <w:tl2br w:val="nil"/>
              <w:tr2bl w:val="nil"/>
            </w:tcBorders>
            <w:vAlign w:val="center"/>
          </w:tcPr>
          <w:p w14:paraId="38BFF05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3437" w:type="dxa"/>
            <w:gridSpan w:val="2"/>
            <w:tcBorders>
              <w:tl2br w:val="nil"/>
              <w:tr2bl w:val="nil"/>
            </w:tcBorders>
            <w:vAlign w:val="center"/>
          </w:tcPr>
          <w:p w14:paraId="12D9FA0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（2）造成一般质量事故的。</w:t>
            </w:r>
          </w:p>
          <w:p w14:paraId="2A19E01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p>
        </w:tc>
        <w:tc>
          <w:tcPr>
            <w:tcW w:w="3058" w:type="dxa"/>
            <w:tcBorders>
              <w:tl2br w:val="nil"/>
              <w:tr2bl w:val="nil"/>
            </w:tcBorders>
            <w:vAlign w:val="center"/>
          </w:tcPr>
          <w:p w14:paraId="7ABAD5B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责令改正，处17万元以上20万元以下的罚款，对单位直接负责的主管人员和其他直接责任人员处单位罚款数额百分之八点五以上百分之十以下的罚款。</w:t>
            </w:r>
          </w:p>
        </w:tc>
      </w:tr>
      <w:tr w14:paraId="2340D8E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94" w:hRule="atLeast"/>
          <w:jc w:val="center"/>
        </w:trPr>
        <w:tc>
          <w:tcPr>
            <w:tcW w:w="443" w:type="dxa"/>
            <w:gridSpan w:val="2"/>
            <w:vMerge w:val="continue"/>
            <w:tcBorders>
              <w:tl2br w:val="nil"/>
              <w:tr2bl w:val="nil"/>
            </w:tcBorders>
            <w:vAlign w:val="center"/>
          </w:tcPr>
          <w:p w14:paraId="5703781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7A31FAE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vAlign w:val="center"/>
          </w:tcPr>
          <w:p w14:paraId="05E3528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vMerge w:val="restart"/>
            <w:tcBorders>
              <w:tl2br w:val="nil"/>
              <w:tr2bl w:val="nil"/>
            </w:tcBorders>
            <w:vAlign w:val="center"/>
          </w:tcPr>
          <w:p w14:paraId="63933AC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从重情节</w:t>
            </w:r>
          </w:p>
        </w:tc>
        <w:tc>
          <w:tcPr>
            <w:tcW w:w="3437" w:type="dxa"/>
            <w:gridSpan w:val="2"/>
            <w:tcBorders>
              <w:tl2br w:val="nil"/>
              <w:tr2bl w:val="nil"/>
            </w:tcBorders>
            <w:vAlign w:val="center"/>
          </w:tcPr>
          <w:p w14:paraId="49ACBB1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（1）造成较大质量事故（</w:t>
            </w:r>
            <w:r>
              <w:rPr>
                <w:rFonts w:ascii="仿宋_GB2312" w:hAnsi="宋体" w:eastAsia="仿宋_GB2312"/>
                <w:color w:val="auto"/>
                <w:kern w:val="0"/>
                <w:sz w:val="13"/>
                <w:szCs w:val="13"/>
                <w:highlight w:val="none"/>
              </w:rPr>
              <w:t>3</w:t>
            </w:r>
            <w:r>
              <w:rPr>
                <w:rFonts w:hint="eastAsia" w:ascii="仿宋_GB2312" w:hAnsi="宋体" w:eastAsia="仿宋_GB2312"/>
                <w:color w:val="auto"/>
                <w:kern w:val="0"/>
                <w:sz w:val="13"/>
                <w:szCs w:val="13"/>
                <w:highlight w:val="none"/>
              </w:rPr>
              <w:t>人以上</w:t>
            </w:r>
            <w:r>
              <w:rPr>
                <w:rFonts w:ascii="仿宋_GB2312" w:hAnsi="宋体" w:eastAsia="仿宋_GB2312"/>
                <w:color w:val="auto"/>
                <w:kern w:val="0"/>
                <w:sz w:val="13"/>
                <w:szCs w:val="13"/>
                <w:highlight w:val="none"/>
              </w:rPr>
              <w:t>5</w:t>
            </w:r>
            <w:r>
              <w:rPr>
                <w:rFonts w:hint="eastAsia" w:ascii="仿宋_GB2312" w:hAnsi="宋体" w:eastAsia="仿宋_GB2312"/>
                <w:color w:val="auto"/>
                <w:kern w:val="0"/>
                <w:sz w:val="13"/>
                <w:szCs w:val="13"/>
                <w:highlight w:val="none"/>
              </w:rPr>
              <w:t>人以下死亡，或者</w:t>
            </w:r>
            <w:r>
              <w:rPr>
                <w:rFonts w:ascii="仿宋_GB2312" w:hAnsi="宋体" w:eastAsia="仿宋_GB2312"/>
                <w:color w:val="auto"/>
                <w:kern w:val="0"/>
                <w:sz w:val="13"/>
                <w:szCs w:val="13"/>
                <w:highlight w:val="none"/>
              </w:rPr>
              <w:t>10</w:t>
            </w:r>
            <w:r>
              <w:rPr>
                <w:rFonts w:hint="eastAsia" w:ascii="仿宋_GB2312" w:hAnsi="宋体" w:eastAsia="仿宋_GB2312"/>
                <w:color w:val="auto"/>
                <w:kern w:val="0"/>
                <w:sz w:val="13"/>
                <w:szCs w:val="13"/>
                <w:highlight w:val="none"/>
              </w:rPr>
              <w:t>人以上</w:t>
            </w:r>
            <w:r>
              <w:rPr>
                <w:rFonts w:ascii="仿宋_GB2312" w:hAnsi="宋体" w:eastAsia="仿宋_GB2312"/>
                <w:color w:val="auto"/>
                <w:kern w:val="0"/>
                <w:sz w:val="13"/>
                <w:szCs w:val="13"/>
                <w:highlight w:val="none"/>
              </w:rPr>
              <w:t>20</w:t>
            </w:r>
            <w:r>
              <w:rPr>
                <w:rFonts w:hint="eastAsia" w:ascii="仿宋_GB2312" w:hAnsi="宋体" w:eastAsia="仿宋_GB2312"/>
                <w:color w:val="auto"/>
                <w:kern w:val="0"/>
                <w:sz w:val="13"/>
                <w:szCs w:val="13"/>
                <w:highlight w:val="none"/>
              </w:rPr>
              <w:t>人以下重伤，或者</w:t>
            </w:r>
            <w:r>
              <w:rPr>
                <w:rFonts w:ascii="仿宋_GB2312" w:hAnsi="宋体" w:eastAsia="仿宋_GB2312"/>
                <w:color w:val="auto"/>
                <w:kern w:val="0"/>
                <w:sz w:val="13"/>
                <w:szCs w:val="13"/>
                <w:highlight w:val="none"/>
              </w:rPr>
              <w:t>1000</w:t>
            </w:r>
            <w:r>
              <w:rPr>
                <w:rFonts w:hint="eastAsia" w:ascii="仿宋_GB2312" w:hAnsi="宋体" w:eastAsia="仿宋_GB2312"/>
                <w:color w:val="auto"/>
                <w:kern w:val="0"/>
                <w:sz w:val="13"/>
                <w:szCs w:val="13"/>
                <w:highlight w:val="none"/>
              </w:rPr>
              <w:t>万元以上</w:t>
            </w:r>
            <w:r>
              <w:rPr>
                <w:rFonts w:ascii="仿宋_GB2312" w:hAnsi="宋体" w:eastAsia="仿宋_GB2312"/>
                <w:color w:val="auto"/>
                <w:kern w:val="0"/>
                <w:sz w:val="13"/>
                <w:szCs w:val="13"/>
                <w:highlight w:val="none"/>
              </w:rPr>
              <w:t>2000</w:t>
            </w:r>
            <w:r>
              <w:rPr>
                <w:rFonts w:hint="eastAsia" w:ascii="仿宋_GB2312" w:hAnsi="宋体" w:eastAsia="仿宋_GB2312"/>
                <w:color w:val="auto"/>
                <w:kern w:val="0"/>
                <w:sz w:val="13"/>
                <w:szCs w:val="13"/>
                <w:highlight w:val="none"/>
              </w:rPr>
              <w:t>万元以下直接经济损失）；或造成重要的检验批达不到设计要求。</w:t>
            </w:r>
          </w:p>
        </w:tc>
        <w:tc>
          <w:tcPr>
            <w:tcW w:w="3058" w:type="dxa"/>
            <w:tcBorders>
              <w:tl2br w:val="nil"/>
              <w:tr2bl w:val="nil"/>
            </w:tcBorders>
            <w:vAlign w:val="center"/>
          </w:tcPr>
          <w:p w14:paraId="6A8F4175">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责令改正，处20万元的罚款，对单位直接负责的主管人员和其他直接责任人员处单位罚款数额百分之十的罚款；责令停业整顿</w:t>
            </w:r>
            <w:r>
              <w:rPr>
                <w:rFonts w:hint="eastAsia" w:ascii="仿宋_GB2312" w:hAnsi="宋体" w:eastAsia="仿宋_GB2312"/>
                <w:color w:val="auto"/>
                <w:kern w:val="0"/>
                <w:sz w:val="13"/>
                <w:szCs w:val="13"/>
                <w:highlight w:val="none"/>
                <w:lang w:eastAsia="zh-CN"/>
              </w:rPr>
              <w:t>60日-</w:t>
            </w:r>
            <w:r>
              <w:rPr>
                <w:rFonts w:hint="eastAsia" w:ascii="仿宋_GB2312" w:hAnsi="宋体" w:eastAsia="仿宋_GB2312"/>
                <w:color w:val="auto"/>
                <w:kern w:val="0"/>
                <w:sz w:val="13"/>
                <w:szCs w:val="13"/>
                <w:highlight w:val="none"/>
              </w:rPr>
              <w:t>90日。</w:t>
            </w:r>
          </w:p>
        </w:tc>
      </w:tr>
      <w:tr w14:paraId="2017D98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94" w:hRule="atLeast"/>
          <w:jc w:val="center"/>
        </w:trPr>
        <w:tc>
          <w:tcPr>
            <w:tcW w:w="443" w:type="dxa"/>
            <w:gridSpan w:val="2"/>
            <w:vMerge w:val="continue"/>
            <w:tcBorders>
              <w:tl2br w:val="nil"/>
              <w:tr2bl w:val="nil"/>
            </w:tcBorders>
            <w:vAlign w:val="center"/>
          </w:tcPr>
          <w:p w14:paraId="12BDF4B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5C03633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vAlign w:val="center"/>
          </w:tcPr>
          <w:p w14:paraId="1AD0458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vMerge w:val="continue"/>
            <w:tcBorders>
              <w:tl2br w:val="nil"/>
              <w:tr2bl w:val="nil"/>
            </w:tcBorders>
            <w:vAlign w:val="center"/>
          </w:tcPr>
          <w:p w14:paraId="325799C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3437" w:type="dxa"/>
            <w:gridSpan w:val="2"/>
            <w:tcBorders>
              <w:tl2br w:val="nil"/>
              <w:tr2bl w:val="nil"/>
            </w:tcBorders>
            <w:vAlign w:val="center"/>
          </w:tcPr>
          <w:p w14:paraId="5417305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（2）造成较大质量事故（</w:t>
            </w:r>
            <w:r>
              <w:rPr>
                <w:rFonts w:ascii="仿宋_GB2312" w:hAnsi="宋体" w:eastAsia="仿宋_GB2312"/>
                <w:color w:val="auto"/>
                <w:kern w:val="0"/>
                <w:sz w:val="13"/>
                <w:szCs w:val="13"/>
                <w:highlight w:val="none"/>
              </w:rPr>
              <w:t>5</w:t>
            </w:r>
            <w:r>
              <w:rPr>
                <w:rFonts w:hint="eastAsia" w:ascii="仿宋_GB2312" w:hAnsi="宋体" w:eastAsia="仿宋_GB2312"/>
                <w:color w:val="auto"/>
                <w:kern w:val="0"/>
                <w:sz w:val="13"/>
                <w:szCs w:val="13"/>
                <w:highlight w:val="none"/>
              </w:rPr>
              <w:t>人以上</w:t>
            </w:r>
            <w:r>
              <w:rPr>
                <w:rFonts w:ascii="仿宋_GB2312" w:hAnsi="宋体" w:eastAsia="仿宋_GB2312"/>
                <w:color w:val="auto"/>
                <w:kern w:val="0"/>
                <w:sz w:val="13"/>
                <w:szCs w:val="13"/>
                <w:highlight w:val="none"/>
              </w:rPr>
              <w:t>7</w:t>
            </w:r>
            <w:r>
              <w:rPr>
                <w:rFonts w:hint="eastAsia" w:ascii="仿宋_GB2312" w:hAnsi="宋体" w:eastAsia="仿宋_GB2312"/>
                <w:color w:val="auto"/>
                <w:kern w:val="0"/>
                <w:sz w:val="13"/>
                <w:szCs w:val="13"/>
                <w:highlight w:val="none"/>
              </w:rPr>
              <w:t>人以下死亡，或者</w:t>
            </w:r>
            <w:r>
              <w:rPr>
                <w:rFonts w:ascii="仿宋_GB2312" w:hAnsi="宋体" w:eastAsia="仿宋_GB2312"/>
                <w:color w:val="auto"/>
                <w:kern w:val="0"/>
                <w:sz w:val="13"/>
                <w:szCs w:val="13"/>
                <w:highlight w:val="none"/>
              </w:rPr>
              <w:t>20</w:t>
            </w:r>
            <w:r>
              <w:rPr>
                <w:rFonts w:hint="eastAsia" w:ascii="仿宋_GB2312" w:hAnsi="宋体" w:eastAsia="仿宋_GB2312"/>
                <w:color w:val="auto"/>
                <w:kern w:val="0"/>
                <w:sz w:val="13"/>
                <w:szCs w:val="13"/>
                <w:highlight w:val="none"/>
              </w:rPr>
              <w:t>人以上</w:t>
            </w:r>
            <w:r>
              <w:rPr>
                <w:rFonts w:ascii="仿宋_GB2312" w:hAnsi="宋体" w:eastAsia="仿宋_GB2312"/>
                <w:color w:val="auto"/>
                <w:kern w:val="0"/>
                <w:sz w:val="13"/>
                <w:szCs w:val="13"/>
                <w:highlight w:val="none"/>
              </w:rPr>
              <w:t>30</w:t>
            </w:r>
            <w:r>
              <w:rPr>
                <w:rFonts w:hint="eastAsia" w:ascii="仿宋_GB2312" w:hAnsi="宋体" w:eastAsia="仿宋_GB2312"/>
                <w:color w:val="auto"/>
                <w:kern w:val="0"/>
                <w:sz w:val="13"/>
                <w:szCs w:val="13"/>
                <w:highlight w:val="none"/>
              </w:rPr>
              <w:t>人以下重伤，或者</w:t>
            </w:r>
            <w:r>
              <w:rPr>
                <w:rFonts w:ascii="仿宋_GB2312" w:hAnsi="宋体" w:eastAsia="仿宋_GB2312"/>
                <w:color w:val="auto"/>
                <w:kern w:val="0"/>
                <w:sz w:val="13"/>
                <w:szCs w:val="13"/>
                <w:highlight w:val="none"/>
              </w:rPr>
              <w:t>2000</w:t>
            </w:r>
            <w:r>
              <w:rPr>
                <w:rFonts w:hint="eastAsia" w:ascii="仿宋_GB2312" w:hAnsi="宋体" w:eastAsia="仿宋_GB2312"/>
                <w:color w:val="auto"/>
                <w:kern w:val="0"/>
                <w:sz w:val="13"/>
                <w:szCs w:val="13"/>
                <w:highlight w:val="none"/>
              </w:rPr>
              <w:t>万元以上</w:t>
            </w:r>
            <w:r>
              <w:rPr>
                <w:rFonts w:ascii="仿宋_GB2312" w:hAnsi="宋体" w:eastAsia="仿宋_GB2312"/>
                <w:color w:val="auto"/>
                <w:kern w:val="0"/>
                <w:sz w:val="13"/>
                <w:szCs w:val="13"/>
                <w:highlight w:val="none"/>
              </w:rPr>
              <w:t>3000</w:t>
            </w:r>
            <w:r>
              <w:rPr>
                <w:rFonts w:hint="eastAsia" w:ascii="仿宋_GB2312" w:hAnsi="宋体" w:eastAsia="仿宋_GB2312"/>
                <w:color w:val="auto"/>
                <w:kern w:val="0"/>
                <w:sz w:val="13"/>
                <w:szCs w:val="13"/>
                <w:highlight w:val="none"/>
              </w:rPr>
              <w:t>万元以下直接经济损失）；或造成重要的分项工程质量不符合要求。</w:t>
            </w:r>
          </w:p>
        </w:tc>
        <w:tc>
          <w:tcPr>
            <w:tcW w:w="3058" w:type="dxa"/>
            <w:tcBorders>
              <w:tl2br w:val="nil"/>
              <w:tr2bl w:val="nil"/>
            </w:tcBorders>
            <w:vAlign w:val="center"/>
          </w:tcPr>
          <w:p w14:paraId="1C4162C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责令改正，处20万元的罚款，对单位直接负责的主管人员和其他直接责任人员处单位罚款数额百分之十的罚款；责令停业整顿</w:t>
            </w:r>
            <w:r>
              <w:rPr>
                <w:rFonts w:hint="eastAsia" w:ascii="仿宋_GB2312" w:hAnsi="宋体" w:eastAsia="仿宋_GB2312"/>
                <w:color w:val="auto"/>
                <w:kern w:val="0"/>
                <w:sz w:val="13"/>
                <w:szCs w:val="13"/>
                <w:highlight w:val="none"/>
                <w:lang w:eastAsia="zh-CN"/>
              </w:rPr>
              <w:t>90日-</w:t>
            </w:r>
            <w:r>
              <w:rPr>
                <w:rFonts w:hint="eastAsia" w:ascii="仿宋_GB2312" w:hAnsi="宋体" w:eastAsia="仿宋_GB2312"/>
                <w:color w:val="auto"/>
                <w:kern w:val="0"/>
                <w:sz w:val="13"/>
                <w:szCs w:val="13"/>
                <w:highlight w:val="none"/>
              </w:rPr>
              <w:t>120日。</w:t>
            </w:r>
          </w:p>
        </w:tc>
      </w:tr>
      <w:tr w14:paraId="37538FF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472" w:hRule="atLeast"/>
          <w:jc w:val="center"/>
        </w:trPr>
        <w:tc>
          <w:tcPr>
            <w:tcW w:w="443" w:type="dxa"/>
            <w:gridSpan w:val="2"/>
            <w:vMerge w:val="continue"/>
            <w:tcBorders>
              <w:tl2br w:val="nil"/>
              <w:tr2bl w:val="nil"/>
            </w:tcBorders>
            <w:vAlign w:val="center"/>
          </w:tcPr>
          <w:p w14:paraId="45AB662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5D0517C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vAlign w:val="center"/>
          </w:tcPr>
          <w:p w14:paraId="012601D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vMerge w:val="continue"/>
            <w:tcBorders>
              <w:tl2br w:val="nil"/>
              <w:tr2bl w:val="nil"/>
            </w:tcBorders>
            <w:vAlign w:val="center"/>
          </w:tcPr>
          <w:p w14:paraId="410756D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3437" w:type="dxa"/>
            <w:gridSpan w:val="2"/>
            <w:tcBorders>
              <w:tl2br w:val="nil"/>
              <w:tr2bl w:val="nil"/>
            </w:tcBorders>
            <w:vAlign w:val="center"/>
          </w:tcPr>
          <w:p w14:paraId="06A9CFE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（3）造成较大质量事故（</w:t>
            </w:r>
            <w:r>
              <w:rPr>
                <w:rFonts w:ascii="仿宋_GB2312" w:hAnsi="宋体" w:eastAsia="仿宋_GB2312"/>
                <w:color w:val="auto"/>
                <w:kern w:val="0"/>
                <w:sz w:val="13"/>
                <w:szCs w:val="13"/>
                <w:highlight w:val="none"/>
              </w:rPr>
              <w:t>7</w:t>
            </w:r>
            <w:r>
              <w:rPr>
                <w:rFonts w:hint="eastAsia" w:ascii="仿宋_GB2312" w:hAnsi="宋体" w:eastAsia="仿宋_GB2312"/>
                <w:color w:val="auto"/>
                <w:kern w:val="0"/>
                <w:sz w:val="13"/>
                <w:szCs w:val="13"/>
                <w:highlight w:val="none"/>
              </w:rPr>
              <w:t>人以上</w:t>
            </w:r>
            <w:r>
              <w:rPr>
                <w:rFonts w:ascii="仿宋_GB2312" w:hAnsi="宋体" w:eastAsia="仿宋_GB2312"/>
                <w:color w:val="auto"/>
                <w:kern w:val="0"/>
                <w:sz w:val="13"/>
                <w:szCs w:val="13"/>
                <w:highlight w:val="none"/>
              </w:rPr>
              <w:t>10</w:t>
            </w:r>
            <w:r>
              <w:rPr>
                <w:rFonts w:hint="eastAsia" w:ascii="仿宋_GB2312" w:hAnsi="宋体" w:eastAsia="仿宋_GB2312"/>
                <w:color w:val="auto"/>
                <w:kern w:val="0"/>
                <w:sz w:val="13"/>
                <w:szCs w:val="13"/>
                <w:highlight w:val="none"/>
              </w:rPr>
              <w:t>人以下死亡，或者</w:t>
            </w:r>
            <w:r>
              <w:rPr>
                <w:rFonts w:ascii="仿宋_GB2312" w:hAnsi="宋体" w:eastAsia="仿宋_GB2312"/>
                <w:color w:val="auto"/>
                <w:kern w:val="0"/>
                <w:sz w:val="13"/>
                <w:szCs w:val="13"/>
                <w:highlight w:val="none"/>
              </w:rPr>
              <w:t>30</w:t>
            </w:r>
            <w:r>
              <w:rPr>
                <w:rFonts w:hint="eastAsia" w:ascii="仿宋_GB2312" w:hAnsi="宋体" w:eastAsia="仿宋_GB2312"/>
                <w:color w:val="auto"/>
                <w:kern w:val="0"/>
                <w:sz w:val="13"/>
                <w:szCs w:val="13"/>
                <w:highlight w:val="none"/>
              </w:rPr>
              <w:t>人以上</w:t>
            </w:r>
            <w:r>
              <w:rPr>
                <w:rFonts w:ascii="仿宋_GB2312" w:hAnsi="宋体" w:eastAsia="仿宋_GB2312"/>
                <w:color w:val="auto"/>
                <w:kern w:val="0"/>
                <w:sz w:val="13"/>
                <w:szCs w:val="13"/>
                <w:highlight w:val="none"/>
              </w:rPr>
              <w:t>50</w:t>
            </w:r>
            <w:r>
              <w:rPr>
                <w:rFonts w:hint="eastAsia" w:ascii="仿宋_GB2312" w:hAnsi="宋体" w:eastAsia="仿宋_GB2312"/>
                <w:color w:val="auto"/>
                <w:kern w:val="0"/>
                <w:sz w:val="13"/>
                <w:szCs w:val="13"/>
                <w:highlight w:val="none"/>
              </w:rPr>
              <w:t>人以下重伤，或者</w:t>
            </w:r>
            <w:r>
              <w:rPr>
                <w:rFonts w:ascii="仿宋_GB2312" w:hAnsi="宋体" w:eastAsia="仿宋_GB2312"/>
                <w:color w:val="auto"/>
                <w:kern w:val="0"/>
                <w:sz w:val="13"/>
                <w:szCs w:val="13"/>
                <w:highlight w:val="none"/>
              </w:rPr>
              <w:t>3000</w:t>
            </w:r>
            <w:r>
              <w:rPr>
                <w:rFonts w:hint="eastAsia" w:ascii="仿宋_GB2312" w:hAnsi="宋体" w:eastAsia="仿宋_GB2312"/>
                <w:color w:val="auto"/>
                <w:kern w:val="0"/>
                <w:sz w:val="13"/>
                <w:szCs w:val="13"/>
                <w:highlight w:val="none"/>
              </w:rPr>
              <w:t>万元以上</w:t>
            </w:r>
            <w:r>
              <w:rPr>
                <w:rFonts w:ascii="仿宋_GB2312" w:hAnsi="宋体" w:eastAsia="仿宋_GB2312"/>
                <w:color w:val="auto"/>
                <w:kern w:val="0"/>
                <w:sz w:val="13"/>
                <w:szCs w:val="13"/>
                <w:highlight w:val="none"/>
              </w:rPr>
              <w:t>5000</w:t>
            </w:r>
            <w:r>
              <w:rPr>
                <w:rFonts w:hint="eastAsia" w:ascii="仿宋_GB2312" w:hAnsi="宋体" w:eastAsia="仿宋_GB2312"/>
                <w:color w:val="auto"/>
                <w:kern w:val="0"/>
                <w:sz w:val="13"/>
                <w:szCs w:val="13"/>
                <w:highlight w:val="none"/>
              </w:rPr>
              <w:t>万元以下直接经济损失）；或造成重要分部工程质量不符合要求，经返修或加固处理才能满足安全使用要求。</w:t>
            </w:r>
          </w:p>
        </w:tc>
        <w:tc>
          <w:tcPr>
            <w:tcW w:w="3058" w:type="dxa"/>
            <w:tcBorders>
              <w:tl2br w:val="nil"/>
              <w:tr2bl w:val="nil"/>
            </w:tcBorders>
            <w:vAlign w:val="center"/>
          </w:tcPr>
          <w:p w14:paraId="7BDD6FB6">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责令改正，处20万元的罚款，对单位直接负责的主管人员和其他直接责任人员处单位罚款数额百分之十的罚款；责令停业整顿</w:t>
            </w:r>
            <w:r>
              <w:rPr>
                <w:rFonts w:hint="eastAsia" w:ascii="仿宋_GB2312" w:hAnsi="宋体" w:eastAsia="仿宋_GB2312"/>
                <w:color w:val="auto"/>
                <w:kern w:val="0"/>
                <w:sz w:val="13"/>
                <w:szCs w:val="13"/>
                <w:highlight w:val="none"/>
                <w:lang w:eastAsia="zh-CN"/>
              </w:rPr>
              <w:t>120日-</w:t>
            </w:r>
            <w:r>
              <w:rPr>
                <w:rFonts w:hint="eastAsia" w:ascii="仿宋_GB2312" w:hAnsi="宋体" w:eastAsia="仿宋_GB2312"/>
                <w:color w:val="auto"/>
                <w:kern w:val="0"/>
                <w:sz w:val="13"/>
                <w:szCs w:val="13"/>
                <w:highlight w:val="none"/>
              </w:rPr>
              <w:t>180日。</w:t>
            </w:r>
          </w:p>
        </w:tc>
      </w:tr>
      <w:tr w14:paraId="5E6C524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56" w:hRule="atLeast"/>
          <w:jc w:val="center"/>
        </w:trPr>
        <w:tc>
          <w:tcPr>
            <w:tcW w:w="443" w:type="dxa"/>
            <w:gridSpan w:val="2"/>
            <w:vMerge w:val="continue"/>
            <w:tcBorders>
              <w:tl2br w:val="nil"/>
              <w:tr2bl w:val="nil"/>
            </w:tcBorders>
            <w:vAlign w:val="center"/>
          </w:tcPr>
          <w:p w14:paraId="695C5A4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50B9C31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vAlign w:val="center"/>
          </w:tcPr>
          <w:p w14:paraId="7D9F616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vMerge w:val="continue"/>
            <w:tcBorders>
              <w:tl2br w:val="nil"/>
              <w:tr2bl w:val="nil"/>
            </w:tcBorders>
            <w:vAlign w:val="center"/>
          </w:tcPr>
          <w:p w14:paraId="7AFB4A7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3437" w:type="dxa"/>
            <w:gridSpan w:val="2"/>
            <w:tcBorders>
              <w:tl2br w:val="nil"/>
              <w:tr2bl w:val="nil"/>
            </w:tcBorders>
            <w:vAlign w:val="center"/>
          </w:tcPr>
          <w:p w14:paraId="11DAFE3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（4）造成重大质量事故；或造成分部工程存在严重缺陷，经返修和加固处理仍不能满足安全使用要求。</w:t>
            </w:r>
          </w:p>
        </w:tc>
        <w:tc>
          <w:tcPr>
            <w:tcW w:w="3058" w:type="dxa"/>
            <w:tcBorders>
              <w:tl2br w:val="nil"/>
              <w:tr2bl w:val="nil"/>
            </w:tcBorders>
            <w:vAlign w:val="center"/>
          </w:tcPr>
          <w:p w14:paraId="35BCD06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责令改正，处20万元的罚款，对单位直接负责的主管人员和其他直接责任人员处单位罚款数额百分之十的罚款；降低资质等级。</w:t>
            </w:r>
          </w:p>
        </w:tc>
      </w:tr>
      <w:tr w14:paraId="699352A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587" w:hRule="atLeast"/>
          <w:jc w:val="center"/>
        </w:trPr>
        <w:tc>
          <w:tcPr>
            <w:tcW w:w="443" w:type="dxa"/>
            <w:gridSpan w:val="2"/>
            <w:vMerge w:val="continue"/>
            <w:tcBorders>
              <w:tl2br w:val="nil"/>
              <w:tr2bl w:val="nil"/>
            </w:tcBorders>
            <w:vAlign w:val="center"/>
          </w:tcPr>
          <w:p w14:paraId="472D6E6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396C0E5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vAlign w:val="center"/>
          </w:tcPr>
          <w:p w14:paraId="7048D3B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vMerge w:val="continue"/>
            <w:tcBorders>
              <w:tl2br w:val="nil"/>
              <w:tr2bl w:val="nil"/>
            </w:tcBorders>
            <w:vAlign w:val="center"/>
          </w:tcPr>
          <w:p w14:paraId="1776100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3437" w:type="dxa"/>
            <w:gridSpan w:val="2"/>
            <w:tcBorders>
              <w:tl2br w:val="nil"/>
              <w:tr2bl w:val="nil"/>
            </w:tcBorders>
            <w:vAlign w:val="center"/>
          </w:tcPr>
          <w:p w14:paraId="17DBCAF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rPr>
              <w:t>（5）造成特别重大质量事故；或造成单位（子单位）工程存在严重缺陷，经返修和加固处理仍不能满足安全使用要求</w:t>
            </w:r>
            <w:r>
              <w:rPr>
                <w:rFonts w:hint="eastAsia" w:ascii="仿宋_GB2312" w:hAnsi="宋体" w:eastAsia="仿宋_GB2312"/>
                <w:color w:val="auto"/>
                <w:kern w:val="0"/>
                <w:sz w:val="13"/>
                <w:szCs w:val="13"/>
                <w:highlight w:val="none"/>
                <w:lang w:eastAsia="zh-CN"/>
              </w:rPr>
              <w:t>；</w:t>
            </w:r>
            <w:r>
              <w:rPr>
                <w:rFonts w:hint="eastAsia" w:ascii="仿宋_GB2312" w:hAnsi="宋体" w:eastAsia="仿宋_GB2312"/>
                <w:color w:val="auto"/>
                <w:kern w:val="0"/>
                <w:sz w:val="13"/>
                <w:szCs w:val="13"/>
                <w:highlight w:val="none"/>
                <w:lang w:val="en-US" w:eastAsia="zh-CN"/>
              </w:rPr>
              <w:t>或造成特别严重的社会影响。</w:t>
            </w:r>
          </w:p>
        </w:tc>
        <w:tc>
          <w:tcPr>
            <w:tcW w:w="3058" w:type="dxa"/>
            <w:tcBorders>
              <w:tl2br w:val="nil"/>
              <w:tr2bl w:val="nil"/>
            </w:tcBorders>
            <w:vAlign w:val="center"/>
          </w:tcPr>
          <w:p w14:paraId="2DA084D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责令改正，处20万元的罚款，对单位直接负责的主管人员和其他直接责任人员处单位罚款数额百分之十的罚款；吊销资质证书。</w:t>
            </w:r>
          </w:p>
        </w:tc>
      </w:tr>
      <w:tr w14:paraId="19486E9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8" w:hRule="atLeast"/>
          <w:jc w:val="center"/>
        </w:trPr>
        <w:tc>
          <w:tcPr>
            <w:tcW w:w="443" w:type="dxa"/>
            <w:gridSpan w:val="2"/>
            <w:vMerge w:val="restart"/>
            <w:tcBorders>
              <w:tl2br w:val="nil"/>
              <w:tr2bl w:val="nil"/>
            </w:tcBorders>
            <w:vAlign w:val="center"/>
          </w:tcPr>
          <w:p w14:paraId="7014F35E">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Times New Roman"/>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92</w:t>
            </w:r>
          </w:p>
        </w:tc>
        <w:tc>
          <w:tcPr>
            <w:tcW w:w="1550" w:type="dxa"/>
            <w:vMerge w:val="restart"/>
            <w:tcBorders>
              <w:tl2br w:val="nil"/>
              <w:tr2bl w:val="nil"/>
            </w:tcBorders>
            <w:vAlign w:val="center"/>
          </w:tcPr>
          <w:p w14:paraId="5BBA0E0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p w14:paraId="731FDC21">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宋体" w:hAnsi="宋体" w:cs="宋体"/>
                <w:color w:val="auto"/>
                <w:kern w:val="0"/>
                <w:sz w:val="13"/>
                <w:szCs w:val="13"/>
                <w:highlight w:val="none"/>
              </w:rPr>
            </w:pPr>
            <w:r>
              <w:rPr>
                <w:rFonts w:hint="eastAsia" w:ascii="仿宋_GB2312" w:hAnsi="宋体" w:eastAsia="仿宋_GB2312"/>
                <w:color w:val="auto"/>
                <w:kern w:val="0"/>
                <w:sz w:val="13"/>
                <w:szCs w:val="13"/>
                <w:highlight w:val="none"/>
              </w:rPr>
              <w:t>施工单位不履行保修义务或者拖延履行保修义务</w:t>
            </w:r>
          </w:p>
        </w:tc>
        <w:tc>
          <w:tcPr>
            <w:tcW w:w="4820" w:type="dxa"/>
            <w:vMerge w:val="restart"/>
            <w:tcBorders>
              <w:tl2br w:val="nil"/>
              <w:tr2bl w:val="nil"/>
            </w:tcBorders>
            <w:vAlign w:val="center"/>
          </w:tcPr>
          <w:p w14:paraId="72EA9B18">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《建设工程质量管理条例》第六十六条</w:t>
            </w:r>
          </w:p>
          <w:p w14:paraId="2250D452">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违反本条例规定，施工单位不履行保修义务或者拖延履行保修义务的，责令改正，处10万元以上20万元以下的罚款，并对在保修期内因质量缺陷造成的损失承担赔偿责任。</w:t>
            </w:r>
          </w:p>
          <w:p w14:paraId="1058A492">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p>
          <w:p w14:paraId="2C2DA06D">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《建设工程质量管理条例》第七十三条</w:t>
            </w:r>
          </w:p>
          <w:p w14:paraId="086123AD">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宋体" w:hAnsi="宋体" w:cs="宋体"/>
                <w:color w:val="auto"/>
                <w:kern w:val="0"/>
                <w:sz w:val="13"/>
                <w:szCs w:val="13"/>
                <w:highlight w:val="none"/>
              </w:rPr>
            </w:pPr>
            <w:r>
              <w:rPr>
                <w:rFonts w:hint="eastAsia" w:ascii="仿宋_GB2312" w:hAnsi="宋体" w:eastAsia="仿宋_GB2312"/>
                <w:color w:val="auto"/>
                <w:kern w:val="0"/>
                <w:sz w:val="13"/>
                <w:szCs w:val="13"/>
                <w:highlight w:val="none"/>
              </w:rPr>
              <w:t>依照本条例规定，给予单位罚款处罚的，对单位直接负责的主管人员和其他直接责任人员处单位罚款数额百分之五以上百分之十以下的罚款。</w:t>
            </w:r>
          </w:p>
        </w:tc>
        <w:tc>
          <w:tcPr>
            <w:tcW w:w="823" w:type="dxa"/>
            <w:tcBorders>
              <w:tl2br w:val="nil"/>
              <w:tr2bl w:val="nil"/>
            </w:tcBorders>
            <w:vAlign w:val="center"/>
          </w:tcPr>
          <w:p w14:paraId="062FF35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vAlign w:val="center"/>
          </w:tcPr>
          <w:p w14:paraId="730AB42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施工单位拖延履行保修义务15日以下的。</w:t>
            </w:r>
          </w:p>
        </w:tc>
        <w:tc>
          <w:tcPr>
            <w:tcW w:w="3058" w:type="dxa"/>
            <w:tcBorders>
              <w:tl2br w:val="nil"/>
              <w:tr2bl w:val="nil"/>
            </w:tcBorders>
            <w:vAlign w:val="center"/>
          </w:tcPr>
          <w:p w14:paraId="51CDECF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责令改正，处10万元以上12万元以下的罚款，对单位直接负责的主管人员和其他直接责任人员处单位罚款数额百分之五以上百分之六以下的罚款。</w:t>
            </w:r>
          </w:p>
        </w:tc>
      </w:tr>
      <w:tr w14:paraId="77E5E66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8" w:hRule="atLeast"/>
          <w:jc w:val="center"/>
        </w:trPr>
        <w:tc>
          <w:tcPr>
            <w:tcW w:w="443" w:type="dxa"/>
            <w:gridSpan w:val="2"/>
            <w:vMerge w:val="continue"/>
            <w:tcBorders>
              <w:tl2br w:val="nil"/>
              <w:tr2bl w:val="nil"/>
            </w:tcBorders>
            <w:vAlign w:val="center"/>
          </w:tcPr>
          <w:p w14:paraId="4D14C8B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6F7C0EA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tcPr>
          <w:p w14:paraId="69AC2DC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tcBorders>
              <w:tl2br w:val="nil"/>
              <w:tr2bl w:val="nil"/>
            </w:tcBorders>
            <w:vAlign w:val="center"/>
          </w:tcPr>
          <w:p w14:paraId="2B47102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一般情节</w:t>
            </w:r>
          </w:p>
        </w:tc>
        <w:tc>
          <w:tcPr>
            <w:tcW w:w="3437" w:type="dxa"/>
            <w:gridSpan w:val="2"/>
            <w:tcBorders>
              <w:tl2br w:val="nil"/>
              <w:tr2bl w:val="nil"/>
            </w:tcBorders>
            <w:vAlign w:val="center"/>
          </w:tcPr>
          <w:p w14:paraId="5EF4BC4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施工单位拖延履行保修义务15日以上30日以下的。</w:t>
            </w:r>
          </w:p>
        </w:tc>
        <w:tc>
          <w:tcPr>
            <w:tcW w:w="3058" w:type="dxa"/>
            <w:tcBorders>
              <w:tl2br w:val="nil"/>
              <w:tr2bl w:val="nil"/>
            </w:tcBorders>
            <w:vAlign w:val="center"/>
          </w:tcPr>
          <w:p w14:paraId="63CDB17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责令改正，处12万元以上17万元以下的罚款，对单位直接负责的主管人员和其他直接责任人员处单位罚款数额百分之六以上百分之八点五以下的罚款。</w:t>
            </w:r>
          </w:p>
        </w:tc>
      </w:tr>
      <w:tr w14:paraId="24A4633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16" w:hRule="atLeast"/>
          <w:jc w:val="center"/>
        </w:trPr>
        <w:tc>
          <w:tcPr>
            <w:tcW w:w="443" w:type="dxa"/>
            <w:gridSpan w:val="2"/>
            <w:vMerge w:val="continue"/>
            <w:tcBorders>
              <w:tl2br w:val="nil"/>
              <w:tr2bl w:val="nil"/>
            </w:tcBorders>
            <w:vAlign w:val="center"/>
          </w:tcPr>
          <w:p w14:paraId="07BE2AB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1694DFF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vAlign w:val="center"/>
          </w:tcPr>
          <w:p w14:paraId="7C13E81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tcBorders>
              <w:tl2br w:val="nil"/>
              <w:tr2bl w:val="nil"/>
            </w:tcBorders>
            <w:vAlign w:val="center"/>
          </w:tcPr>
          <w:p w14:paraId="2AF18E9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从重情节</w:t>
            </w:r>
          </w:p>
        </w:tc>
        <w:tc>
          <w:tcPr>
            <w:tcW w:w="3437" w:type="dxa"/>
            <w:gridSpan w:val="2"/>
            <w:tcBorders>
              <w:tl2br w:val="nil"/>
              <w:tr2bl w:val="nil"/>
            </w:tcBorders>
            <w:vAlign w:val="center"/>
          </w:tcPr>
          <w:p w14:paraId="02CA880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施工单位拖延履行保修义务30日以上或不履行保修义务的。</w:t>
            </w:r>
          </w:p>
        </w:tc>
        <w:tc>
          <w:tcPr>
            <w:tcW w:w="3058" w:type="dxa"/>
            <w:tcBorders>
              <w:tl2br w:val="nil"/>
              <w:tr2bl w:val="nil"/>
            </w:tcBorders>
            <w:vAlign w:val="center"/>
          </w:tcPr>
          <w:p w14:paraId="67C0179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责令改正，处17万元以上20万元以下的罚款，对单位直接负责的主管人员和其他直接责任人员处单位罚款数额百分之八点五以上百分之十以下的罚款。</w:t>
            </w:r>
          </w:p>
          <w:p w14:paraId="30ABCE8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p>
        </w:tc>
      </w:tr>
      <w:tr w14:paraId="5431FBE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8" w:hRule="atLeast"/>
          <w:jc w:val="center"/>
        </w:trPr>
        <w:tc>
          <w:tcPr>
            <w:tcW w:w="443" w:type="dxa"/>
            <w:gridSpan w:val="2"/>
            <w:vMerge w:val="restart"/>
            <w:tcBorders>
              <w:tl2br w:val="nil"/>
              <w:tr2bl w:val="nil"/>
            </w:tcBorders>
            <w:vAlign w:val="center"/>
          </w:tcPr>
          <w:p w14:paraId="19F66A99">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Times New Roman"/>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93</w:t>
            </w:r>
          </w:p>
        </w:tc>
        <w:tc>
          <w:tcPr>
            <w:tcW w:w="1550" w:type="dxa"/>
            <w:vMerge w:val="restart"/>
            <w:tcBorders>
              <w:tl2br w:val="nil"/>
              <w:tr2bl w:val="nil"/>
            </w:tcBorders>
            <w:vAlign w:val="center"/>
          </w:tcPr>
          <w:p w14:paraId="2821ECA1">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p>
          <w:p w14:paraId="66277BAC">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p>
          <w:p w14:paraId="1DE266A0">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p>
          <w:p w14:paraId="2410824A">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rPr>
              <w:t>工程监理单位有下列行为之一的</w:t>
            </w:r>
            <w:r>
              <w:rPr>
                <w:rFonts w:hint="eastAsia" w:ascii="仿宋_GB2312" w:hAnsi="宋体" w:eastAsia="仿宋_GB2312"/>
                <w:color w:val="auto"/>
                <w:kern w:val="0"/>
                <w:sz w:val="13"/>
                <w:szCs w:val="13"/>
                <w:highlight w:val="none"/>
                <w:lang w:eastAsia="zh-CN"/>
              </w:rPr>
              <w:t>：</w:t>
            </w:r>
          </w:p>
          <w:p w14:paraId="6DE7496C">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（一）与建设单位或者施工单位串通，弄虚作假、降低工程质量的；</w:t>
            </w:r>
          </w:p>
          <w:p w14:paraId="43E7784B">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（二）将不合格的建设工程、建筑材料、建筑构配件和设备按照合格签字的。</w:t>
            </w:r>
          </w:p>
          <w:p w14:paraId="65D0499F">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p>
          <w:p w14:paraId="63388DD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宋体" w:hAnsi="宋体" w:cs="宋体"/>
                <w:color w:val="auto"/>
                <w:kern w:val="0"/>
                <w:sz w:val="13"/>
                <w:szCs w:val="13"/>
                <w:highlight w:val="none"/>
              </w:rPr>
            </w:pPr>
          </w:p>
        </w:tc>
        <w:tc>
          <w:tcPr>
            <w:tcW w:w="4820" w:type="dxa"/>
            <w:vMerge w:val="restart"/>
            <w:tcBorders>
              <w:tl2br w:val="nil"/>
              <w:tr2bl w:val="nil"/>
            </w:tcBorders>
            <w:vAlign w:val="center"/>
          </w:tcPr>
          <w:p w14:paraId="31A8532A">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《建设工程质量管理条例》第六十七条</w:t>
            </w:r>
          </w:p>
          <w:p w14:paraId="227FAD7F">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工程监理单位有下列行为之一的，责令改正，处</w:t>
            </w:r>
            <w:r>
              <w:rPr>
                <w:rFonts w:hint="eastAsia" w:ascii="仿宋_GB2312" w:hAnsi="宋体" w:eastAsia="仿宋_GB2312"/>
                <w:color w:val="auto"/>
                <w:kern w:val="0"/>
                <w:sz w:val="13"/>
                <w:szCs w:val="13"/>
                <w:highlight w:val="none"/>
                <w:lang w:val="en-US" w:eastAsia="zh-CN"/>
              </w:rPr>
              <w:t>50</w:t>
            </w:r>
            <w:r>
              <w:rPr>
                <w:rFonts w:hint="eastAsia" w:ascii="仿宋_GB2312" w:hAnsi="宋体" w:eastAsia="仿宋_GB2312"/>
                <w:color w:val="auto"/>
                <w:kern w:val="0"/>
                <w:sz w:val="13"/>
                <w:szCs w:val="13"/>
                <w:highlight w:val="none"/>
              </w:rPr>
              <w:t>万元以上</w:t>
            </w:r>
            <w:r>
              <w:rPr>
                <w:rFonts w:hint="eastAsia" w:ascii="仿宋_GB2312" w:hAnsi="宋体" w:eastAsia="仿宋_GB2312"/>
                <w:color w:val="auto"/>
                <w:kern w:val="0"/>
                <w:sz w:val="13"/>
                <w:szCs w:val="13"/>
                <w:highlight w:val="none"/>
                <w:lang w:val="en-US" w:eastAsia="zh-CN"/>
              </w:rPr>
              <w:t>100</w:t>
            </w:r>
            <w:r>
              <w:rPr>
                <w:rFonts w:hint="eastAsia" w:ascii="仿宋_GB2312" w:hAnsi="宋体" w:eastAsia="仿宋_GB2312"/>
                <w:color w:val="auto"/>
                <w:kern w:val="0"/>
                <w:sz w:val="13"/>
                <w:szCs w:val="13"/>
                <w:highlight w:val="none"/>
              </w:rPr>
              <w:t>万元以下的罚款，降低资质等级或者吊销资质证书；有违法所得的，予以没收；造成损失的，承担连带赔偿责任：</w:t>
            </w:r>
          </w:p>
          <w:p w14:paraId="475F0FDB">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（一）与建设单位或者施工单位串通，弄虚作假、降低工程质量的；</w:t>
            </w:r>
          </w:p>
          <w:p w14:paraId="6712C1D4">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（二）将不合格的建设工程、建筑材料、建筑构配件和设备按照合格签字的。</w:t>
            </w:r>
          </w:p>
          <w:p w14:paraId="51AA89AD">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hint="eastAsia" w:ascii="仿宋_GB2312" w:hAnsi="宋体" w:eastAsia="仿宋_GB2312"/>
                <w:color w:val="auto"/>
                <w:kern w:val="0"/>
                <w:sz w:val="13"/>
                <w:szCs w:val="13"/>
                <w:highlight w:val="none"/>
              </w:rPr>
            </w:pPr>
          </w:p>
          <w:p w14:paraId="7F4F1ED7">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《建设工程质量管理条例》第七十三条</w:t>
            </w:r>
          </w:p>
          <w:p w14:paraId="529F60B1">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宋体" w:hAnsi="宋体" w:cs="宋体"/>
                <w:color w:val="auto"/>
                <w:kern w:val="0"/>
                <w:sz w:val="13"/>
                <w:szCs w:val="13"/>
                <w:highlight w:val="none"/>
              </w:rPr>
            </w:pPr>
            <w:r>
              <w:rPr>
                <w:rFonts w:hint="eastAsia" w:ascii="仿宋_GB2312" w:hAnsi="宋体" w:eastAsia="仿宋_GB2312"/>
                <w:color w:val="auto"/>
                <w:kern w:val="0"/>
                <w:sz w:val="13"/>
                <w:szCs w:val="13"/>
                <w:highlight w:val="none"/>
              </w:rPr>
              <w:t>依照本条例规定，给予单位罚款处罚的，对单位直接负责的主管人员和其他直接责任人员处单位罚款数额百分之五以上百分之十以下的罚款。</w:t>
            </w:r>
          </w:p>
        </w:tc>
        <w:tc>
          <w:tcPr>
            <w:tcW w:w="823" w:type="dxa"/>
            <w:tcBorders>
              <w:tl2br w:val="nil"/>
              <w:tr2bl w:val="nil"/>
            </w:tcBorders>
            <w:vAlign w:val="center"/>
          </w:tcPr>
          <w:p w14:paraId="0D0F479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vAlign w:val="center"/>
          </w:tcPr>
          <w:p w14:paraId="2A205DA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初次违法，危害后果轻微，主动消除或减轻违法行为危害后果的。</w:t>
            </w:r>
          </w:p>
        </w:tc>
        <w:tc>
          <w:tcPr>
            <w:tcW w:w="3058" w:type="dxa"/>
            <w:tcBorders>
              <w:tl2br w:val="nil"/>
              <w:tr2bl w:val="nil"/>
            </w:tcBorders>
            <w:vAlign w:val="center"/>
          </w:tcPr>
          <w:p w14:paraId="48FA540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责令改正，处50万元以上60万元以下的罚款，对单位直接负责的主管人员和其他直接责任人员处单位罚款数额百分之五以上百分之六以下的罚款；有违法所得的，予以没收。</w:t>
            </w:r>
          </w:p>
        </w:tc>
      </w:tr>
      <w:tr w14:paraId="496BD53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16" w:hRule="atLeast"/>
          <w:jc w:val="center"/>
        </w:trPr>
        <w:tc>
          <w:tcPr>
            <w:tcW w:w="443" w:type="dxa"/>
            <w:gridSpan w:val="2"/>
            <w:vMerge w:val="continue"/>
            <w:tcBorders>
              <w:tl2br w:val="nil"/>
              <w:tr2bl w:val="nil"/>
            </w:tcBorders>
            <w:vAlign w:val="center"/>
          </w:tcPr>
          <w:p w14:paraId="2762F4C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06D7B36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tcPr>
          <w:p w14:paraId="5C97D19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tcBorders>
              <w:tl2br w:val="nil"/>
              <w:tr2bl w:val="nil"/>
            </w:tcBorders>
            <w:vAlign w:val="center"/>
          </w:tcPr>
          <w:p w14:paraId="1DC76F1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一般情节</w:t>
            </w:r>
          </w:p>
        </w:tc>
        <w:tc>
          <w:tcPr>
            <w:tcW w:w="3437" w:type="dxa"/>
            <w:gridSpan w:val="2"/>
            <w:tcBorders>
              <w:tl2br w:val="nil"/>
              <w:tr2bl w:val="nil"/>
            </w:tcBorders>
            <w:vAlign w:val="center"/>
          </w:tcPr>
          <w:p w14:paraId="76559D7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不具有从轻、</w:t>
            </w:r>
            <w:r>
              <w:rPr>
                <w:rFonts w:hint="eastAsia" w:ascii="仿宋_GB2312" w:hAnsi="宋体" w:eastAsia="仿宋_GB2312"/>
                <w:color w:val="auto"/>
                <w:kern w:val="0"/>
                <w:sz w:val="13"/>
                <w:szCs w:val="13"/>
                <w:highlight w:val="none"/>
                <w:lang w:eastAsia="zh-CN"/>
              </w:rPr>
              <w:t>从重情节</w:t>
            </w:r>
            <w:r>
              <w:rPr>
                <w:rFonts w:hint="eastAsia" w:ascii="仿宋_GB2312" w:hAnsi="宋体" w:eastAsia="仿宋_GB2312"/>
                <w:color w:val="auto"/>
                <w:kern w:val="0"/>
                <w:sz w:val="13"/>
                <w:szCs w:val="13"/>
                <w:highlight w:val="none"/>
              </w:rPr>
              <w:t>的。</w:t>
            </w:r>
          </w:p>
        </w:tc>
        <w:tc>
          <w:tcPr>
            <w:tcW w:w="3058" w:type="dxa"/>
            <w:tcBorders>
              <w:tl2br w:val="nil"/>
              <w:tr2bl w:val="nil"/>
            </w:tcBorders>
            <w:vAlign w:val="center"/>
          </w:tcPr>
          <w:p w14:paraId="09D230D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责令改正，处60万元以上85万元以下的罚款，对单位直接负责的主管人员和其他直接责任人员处单位罚款数额百分之六以上百分之八点五以下的罚款；有违法所得的，予以没收。</w:t>
            </w:r>
          </w:p>
        </w:tc>
      </w:tr>
      <w:tr w14:paraId="1CDB02E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16" w:hRule="atLeast"/>
          <w:jc w:val="center"/>
        </w:trPr>
        <w:tc>
          <w:tcPr>
            <w:tcW w:w="443" w:type="dxa"/>
            <w:gridSpan w:val="2"/>
            <w:vMerge w:val="continue"/>
            <w:tcBorders>
              <w:tl2br w:val="nil"/>
              <w:tr2bl w:val="nil"/>
            </w:tcBorders>
            <w:vAlign w:val="center"/>
          </w:tcPr>
          <w:p w14:paraId="4DD58EF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01C7E9D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tcPr>
          <w:p w14:paraId="13007FC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vMerge w:val="restart"/>
            <w:tcBorders>
              <w:tl2br w:val="nil"/>
              <w:tr2bl w:val="nil"/>
            </w:tcBorders>
            <w:vAlign w:val="center"/>
          </w:tcPr>
          <w:p w14:paraId="7E0C6F8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从重情节</w:t>
            </w:r>
          </w:p>
        </w:tc>
        <w:tc>
          <w:tcPr>
            <w:tcW w:w="3437" w:type="dxa"/>
            <w:gridSpan w:val="2"/>
            <w:tcBorders>
              <w:tl2br w:val="nil"/>
              <w:tr2bl w:val="nil"/>
            </w:tcBorders>
            <w:vAlign w:val="center"/>
          </w:tcPr>
          <w:p w14:paraId="1BE5329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（1）造成一般或较大质量事故的。</w:t>
            </w:r>
          </w:p>
        </w:tc>
        <w:tc>
          <w:tcPr>
            <w:tcW w:w="3058" w:type="dxa"/>
            <w:tcBorders>
              <w:tl2br w:val="nil"/>
              <w:tr2bl w:val="nil"/>
            </w:tcBorders>
            <w:vAlign w:val="center"/>
          </w:tcPr>
          <w:p w14:paraId="369A452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责令改正，处85万元以上100万元以下的罚款，对单位直接负责的主管人员和其他直接责任人员处单位罚款数额百分之八点五以上百分之十以下的罚款；有违法所得的，予以没收。</w:t>
            </w:r>
          </w:p>
        </w:tc>
      </w:tr>
      <w:tr w14:paraId="2EB20F9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78" w:hRule="atLeast"/>
          <w:jc w:val="center"/>
        </w:trPr>
        <w:tc>
          <w:tcPr>
            <w:tcW w:w="443" w:type="dxa"/>
            <w:gridSpan w:val="2"/>
            <w:vMerge w:val="continue"/>
            <w:tcBorders>
              <w:tl2br w:val="nil"/>
              <w:tr2bl w:val="nil"/>
            </w:tcBorders>
            <w:vAlign w:val="center"/>
          </w:tcPr>
          <w:p w14:paraId="623F579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2AE9315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tcPr>
          <w:p w14:paraId="51D691F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vMerge w:val="continue"/>
            <w:tcBorders>
              <w:tl2br w:val="nil"/>
              <w:tr2bl w:val="nil"/>
            </w:tcBorders>
            <w:vAlign w:val="center"/>
          </w:tcPr>
          <w:p w14:paraId="2B66F39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3437" w:type="dxa"/>
            <w:gridSpan w:val="2"/>
            <w:tcBorders>
              <w:tl2br w:val="nil"/>
              <w:tr2bl w:val="nil"/>
            </w:tcBorders>
            <w:vAlign w:val="center"/>
          </w:tcPr>
          <w:p w14:paraId="1DEEA7D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（2）造成重大质量事故；或造成分部工程存在严重缺陷，经返修和加固处理仍不能满足安全使用要求。</w:t>
            </w:r>
          </w:p>
        </w:tc>
        <w:tc>
          <w:tcPr>
            <w:tcW w:w="3058" w:type="dxa"/>
            <w:tcBorders>
              <w:tl2br w:val="nil"/>
              <w:tr2bl w:val="nil"/>
            </w:tcBorders>
            <w:vAlign w:val="center"/>
          </w:tcPr>
          <w:p w14:paraId="78FB09B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责令改正，处100万元的罚款，对单位直接负责的主管人员和其他直接责任人员处单位罚款数额百分之十的罚款，降低资质等级；有违法所得的，予以没收。</w:t>
            </w:r>
          </w:p>
        </w:tc>
      </w:tr>
      <w:tr w14:paraId="750E6A9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569" w:hRule="atLeast"/>
          <w:jc w:val="center"/>
        </w:trPr>
        <w:tc>
          <w:tcPr>
            <w:tcW w:w="443" w:type="dxa"/>
            <w:gridSpan w:val="2"/>
            <w:vMerge w:val="continue"/>
            <w:tcBorders>
              <w:tl2br w:val="nil"/>
              <w:tr2bl w:val="nil"/>
            </w:tcBorders>
            <w:vAlign w:val="center"/>
          </w:tcPr>
          <w:p w14:paraId="1D3C4E7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17966F9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tcPr>
          <w:p w14:paraId="5F2DC18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vMerge w:val="continue"/>
            <w:tcBorders>
              <w:tl2br w:val="nil"/>
              <w:tr2bl w:val="nil"/>
            </w:tcBorders>
            <w:vAlign w:val="center"/>
          </w:tcPr>
          <w:p w14:paraId="387E94F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3437" w:type="dxa"/>
            <w:gridSpan w:val="2"/>
            <w:tcBorders>
              <w:tl2br w:val="nil"/>
              <w:tr2bl w:val="nil"/>
            </w:tcBorders>
            <w:vAlign w:val="center"/>
          </w:tcPr>
          <w:p w14:paraId="14E4D31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rPr>
              <w:t>（3）造成特别重大质量；或造成单位（子单位）工程存在严重缺陷，经返修和加固处理仍不能满足安全使用要求</w:t>
            </w:r>
            <w:r>
              <w:rPr>
                <w:rFonts w:hint="eastAsia" w:ascii="仿宋_GB2312" w:hAnsi="宋体" w:eastAsia="仿宋_GB2312"/>
                <w:color w:val="auto"/>
                <w:kern w:val="0"/>
                <w:sz w:val="13"/>
                <w:szCs w:val="13"/>
                <w:highlight w:val="none"/>
                <w:lang w:eastAsia="zh-CN"/>
              </w:rPr>
              <w:t>；</w:t>
            </w:r>
            <w:r>
              <w:rPr>
                <w:rFonts w:hint="eastAsia" w:ascii="仿宋_GB2312" w:hAnsi="宋体" w:eastAsia="仿宋_GB2312"/>
                <w:color w:val="auto"/>
                <w:kern w:val="0"/>
                <w:sz w:val="13"/>
                <w:szCs w:val="13"/>
                <w:highlight w:val="none"/>
                <w:lang w:val="en-US" w:eastAsia="zh-CN"/>
              </w:rPr>
              <w:t>或造成特别严重的社会影响。</w:t>
            </w:r>
          </w:p>
        </w:tc>
        <w:tc>
          <w:tcPr>
            <w:tcW w:w="3058" w:type="dxa"/>
            <w:tcBorders>
              <w:tl2br w:val="nil"/>
              <w:tr2bl w:val="nil"/>
            </w:tcBorders>
            <w:vAlign w:val="center"/>
          </w:tcPr>
          <w:p w14:paraId="6AE31AE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责令改正，处100万元的罚款，对单位直接负责的主管人员和其他直接责任人员处单位罚款数额百分之十的罚款，吊销资质证书；有违法所得的，予以没收。</w:t>
            </w:r>
          </w:p>
        </w:tc>
      </w:tr>
      <w:tr w14:paraId="0BCDFB3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8" w:hRule="atLeast"/>
          <w:jc w:val="center"/>
        </w:trPr>
        <w:tc>
          <w:tcPr>
            <w:tcW w:w="443" w:type="dxa"/>
            <w:gridSpan w:val="2"/>
            <w:vMerge w:val="restart"/>
            <w:tcBorders>
              <w:tl2br w:val="nil"/>
              <w:tr2bl w:val="nil"/>
            </w:tcBorders>
            <w:vAlign w:val="center"/>
          </w:tcPr>
          <w:p w14:paraId="30B65969">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Times New Roman"/>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94</w:t>
            </w:r>
          </w:p>
        </w:tc>
        <w:tc>
          <w:tcPr>
            <w:tcW w:w="1550" w:type="dxa"/>
            <w:vMerge w:val="restart"/>
            <w:tcBorders>
              <w:tl2br w:val="nil"/>
              <w:tr2bl w:val="nil"/>
            </w:tcBorders>
            <w:vAlign w:val="center"/>
          </w:tcPr>
          <w:p w14:paraId="376B20A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left"/>
              <w:rPr>
                <w:rFonts w:ascii="仿宋_GB2312" w:hAnsi="宋体" w:eastAsia="仿宋_GB2312"/>
                <w:color w:val="auto"/>
                <w:kern w:val="0"/>
                <w:sz w:val="13"/>
                <w:szCs w:val="13"/>
                <w:highlight w:val="none"/>
              </w:rPr>
            </w:pPr>
          </w:p>
          <w:p w14:paraId="6F4E540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left"/>
              <w:rPr>
                <w:rFonts w:ascii="仿宋_GB2312" w:hAnsi="宋体" w:eastAsia="仿宋_GB2312"/>
                <w:color w:val="auto"/>
                <w:kern w:val="0"/>
                <w:sz w:val="13"/>
                <w:szCs w:val="13"/>
                <w:highlight w:val="none"/>
              </w:rPr>
            </w:pPr>
          </w:p>
          <w:p w14:paraId="0688E8D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left"/>
              <w:rPr>
                <w:rFonts w:ascii="仿宋_GB2312" w:hAnsi="宋体" w:eastAsia="仿宋_GB2312"/>
                <w:color w:val="auto"/>
                <w:kern w:val="0"/>
                <w:sz w:val="13"/>
                <w:szCs w:val="13"/>
                <w:highlight w:val="none"/>
              </w:rPr>
            </w:pPr>
          </w:p>
          <w:p w14:paraId="04E1C1F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p>
          <w:p w14:paraId="1B5E102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宋体" w:hAnsi="宋体" w:cs="宋体"/>
                <w:color w:val="auto"/>
                <w:kern w:val="0"/>
                <w:sz w:val="13"/>
                <w:szCs w:val="13"/>
                <w:highlight w:val="none"/>
              </w:rPr>
            </w:pPr>
            <w:r>
              <w:rPr>
                <w:rFonts w:hint="eastAsia" w:ascii="仿宋_GB2312" w:hAnsi="宋体" w:eastAsia="仿宋_GB2312"/>
                <w:color w:val="auto"/>
                <w:kern w:val="0"/>
                <w:sz w:val="13"/>
                <w:szCs w:val="13"/>
                <w:highlight w:val="none"/>
              </w:rPr>
              <w:t>工程监理单位与被监理工程的施工承包单位以及建筑材料、建筑构配件和设备供应单位有隶属关系或者其他利害关系承担该项建设工程的监理业务</w:t>
            </w:r>
          </w:p>
        </w:tc>
        <w:tc>
          <w:tcPr>
            <w:tcW w:w="4820" w:type="dxa"/>
            <w:vMerge w:val="restart"/>
            <w:tcBorders>
              <w:tl2br w:val="nil"/>
              <w:tr2bl w:val="nil"/>
            </w:tcBorders>
            <w:vAlign w:val="center"/>
          </w:tcPr>
          <w:p w14:paraId="6CBE0235">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p w14:paraId="6FD43F0E">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《建设工程质量管理条例》第六十八条</w:t>
            </w:r>
          </w:p>
          <w:p w14:paraId="542C6B95">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违反本条例规定，工程监理单位与被监理工程的施工承包单位以及建筑材料、建筑构配件和设备供应单位有隶属关系或者其他利害关系承担该项建设工程的监理业务的，责令改正，处5万元以上10万元以下的罚款，降低资质等级或者吊销资质证书；有违法所得的，予以没收。</w:t>
            </w:r>
          </w:p>
          <w:p w14:paraId="1274AF97">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p w14:paraId="1EFDE598">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rPr>
              <w:t>《建设工程质量管理条例》第七十三条</w:t>
            </w:r>
          </w:p>
          <w:p w14:paraId="018F354A">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宋体" w:hAnsi="宋体" w:cs="宋体"/>
                <w:color w:val="auto"/>
                <w:kern w:val="0"/>
                <w:sz w:val="13"/>
                <w:szCs w:val="13"/>
                <w:highlight w:val="none"/>
              </w:rPr>
            </w:pPr>
            <w:r>
              <w:rPr>
                <w:rFonts w:hint="eastAsia" w:ascii="仿宋_GB2312" w:hAnsi="宋体" w:eastAsia="仿宋_GB2312"/>
                <w:color w:val="auto"/>
                <w:kern w:val="0"/>
                <w:sz w:val="13"/>
                <w:szCs w:val="13"/>
                <w:highlight w:val="none"/>
              </w:rPr>
              <w:t>依照本条例规定，给予单位罚款处罚的，对单位直接负责的主管人员和其他直接责任人员处单位罚款数额百分之五以上百分之十以下的罚款。</w:t>
            </w:r>
          </w:p>
        </w:tc>
        <w:tc>
          <w:tcPr>
            <w:tcW w:w="823" w:type="dxa"/>
            <w:tcBorders>
              <w:tl2br w:val="nil"/>
              <w:tr2bl w:val="nil"/>
            </w:tcBorders>
            <w:vAlign w:val="center"/>
          </w:tcPr>
          <w:p w14:paraId="0B79358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vAlign w:val="center"/>
          </w:tcPr>
          <w:p w14:paraId="7A3C736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初次违法，危害后果轻微，主动消除或减轻违法行为危害后果的。</w:t>
            </w:r>
          </w:p>
        </w:tc>
        <w:tc>
          <w:tcPr>
            <w:tcW w:w="3058" w:type="dxa"/>
            <w:tcBorders>
              <w:tl2br w:val="nil"/>
              <w:tr2bl w:val="nil"/>
            </w:tcBorders>
            <w:vAlign w:val="center"/>
          </w:tcPr>
          <w:p w14:paraId="164762D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责令改正，处5万元以上6万元以下的罚款，对单位直接负责的主管人员和其他直接责任人员处单位罚款数额百分之五以上百分之六以下的罚款；有违法所得的，予以没收。</w:t>
            </w:r>
          </w:p>
        </w:tc>
      </w:tr>
      <w:tr w14:paraId="013863D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16" w:hRule="atLeast"/>
          <w:jc w:val="center"/>
        </w:trPr>
        <w:tc>
          <w:tcPr>
            <w:tcW w:w="443" w:type="dxa"/>
            <w:gridSpan w:val="2"/>
            <w:vMerge w:val="continue"/>
            <w:tcBorders>
              <w:tl2br w:val="nil"/>
              <w:tr2bl w:val="nil"/>
            </w:tcBorders>
            <w:vAlign w:val="center"/>
          </w:tcPr>
          <w:p w14:paraId="5162844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200FCFD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tcPr>
          <w:p w14:paraId="4848B06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tcBorders>
              <w:tl2br w:val="nil"/>
              <w:tr2bl w:val="nil"/>
            </w:tcBorders>
            <w:vAlign w:val="center"/>
          </w:tcPr>
          <w:p w14:paraId="4B29A8E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一般情节</w:t>
            </w:r>
          </w:p>
        </w:tc>
        <w:tc>
          <w:tcPr>
            <w:tcW w:w="3437" w:type="dxa"/>
            <w:gridSpan w:val="2"/>
            <w:tcBorders>
              <w:tl2br w:val="nil"/>
              <w:tr2bl w:val="nil"/>
            </w:tcBorders>
            <w:vAlign w:val="center"/>
          </w:tcPr>
          <w:p w14:paraId="4DDB10B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不具有从轻、</w:t>
            </w:r>
            <w:r>
              <w:rPr>
                <w:rFonts w:hint="eastAsia" w:ascii="仿宋_GB2312" w:hAnsi="宋体" w:eastAsia="仿宋_GB2312"/>
                <w:color w:val="auto"/>
                <w:kern w:val="0"/>
                <w:sz w:val="13"/>
                <w:szCs w:val="13"/>
                <w:highlight w:val="none"/>
                <w:lang w:eastAsia="zh-CN"/>
              </w:rPr>
              <w:t>从重情节</w:t>
            </w:r>
            <w:r>
              <w:rPr>
                <w:rFonts w:hint="eastAsia" w:ascii="仿宋_GB2312" w:hAnsi="宋体" w:eastAsia="仿宋_GB2312"/>
                <w:color w:val="auto"/>
                <w:kern w:val="0"/>
                <w:sz w:val="13"/>
                <w:szCs w:val="13"/>
                <w:highlight w:val="none"/>
              </w:rPr>
              <w:t>的。</w:t>
            </w:r>
          </w:p>
        </w:tc>
        <w:tc>
          <w:tcPr>
            <w:tcW w:w="3058" w:type="dxa"/>
            <w:tcBorders>
              <w:tl2br w:val="nil"/>
              <w:tr2bl w:val="nil"/>
            </w:tcBorders>
            <w:vAlign w:val="center"/>
          </w:tcPr>
          <w:p w14:paraId="03E55F8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责令改正，处6万元以上8.5万元以下的罚款，对单位直接负责的主管人员和其他直接责任人员处单位罚款数额百分之六以上百分之八点五以下的罚款；有违法所得的，予以没收。</w:t>
            </w:r>
          </w:p>
        </w:tc>
      </w:tr>
      <w:tr w14:paraId="13354CA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16" w:hRule="atLeast"/>
          <w:jc w:val="center"/>
        </w:trPr>
        <w:tc>
          <w:tcPr>
            <w:tcW w:w="443" w:type="dxa"/>
            <w:gridSpan w:val="2"/>
            <w:vMerge w:val="continue"/>
            <w:tcBorders>
              <w:tl2br w:val="nil"/>
              <w:tr2bl w:val="nil"/>
            </w:tcBorders>
            <w:vAlign w:val="center"/>
          </w:tcPr>
          <w:p w14:paraId="03C6A8E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15F0154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vAlign w:val="center"/>
          </w:tcPr>
          <w:p w14:paraId="23B3BCC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vMerge w:val="restart"/>
            <w:tcBorders>
              <w:tl2br w:val="nil"/>
              <w:tr2bl w:val="nil"/>
            </w:tcBorders>
            <w:vAlign w:val="center"/>
          </w:tcPr>
          <w:p w14:paraId="4E25840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从重情节</w:t>
            </w:r>
          </w:p>
        </w:tc>
        <w:tc>
          <w:tcPr>
            <w:tcW w:w="3437" w:type="dxa"/>
            <w:gridSpan w:val="2"/>
            <w:tcBorders>
              <w:tl2br w:val="nil"/>
              <w:tr2bl w:val="nil"/>
            </w:tcBorders>
            <w:vAlign w:val="center"/>
          </w:tcPr>
          <w:p w14:paraId="3773077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（1）造成一般或较大质量事故的。</w:t>
            </w:r>
          </w:p>
        </w:tc>
        <w:tc>
          <w:tcPr>
            <w:tcW w:w="3058" w:type="dxa"/>
            <w:tcBorders>
              <w:tl2br w:val="nil"/>
              <w:tr2bl w:val="nil"/>
            </w:tcBorders>
            <w:vAlign w:val="center"/>
          </w:tcPr>
          <w:p w14:paraId="1E670AF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责令改正，处8.5万元以上10万元以下的罚款，对单位直接负责的主管人员和其他直接责任人员处单位罚款数额百分之八点五以上百分之十以下的罚款；有违法所得的，予以没收。</w:t>
            </w:r>
          </w:p>
        </w:tc>
      </w:tr>
      <w:tr w14:paraId="304F949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12" w:hRule="atLeast"/>
          <w:jc w:val="center"/>
        </w:trPr>
        <w:tc>
          <w:tcPr>
            <w:tcW w:w="443" w:type="dxa"/>
            <w:gridSpan w:val="2"/>
            <w:vMerge w:val="continue"/>
            <w:tcBorders>
              <w:tl2br w:val="nil"/>
              <w:tr2bl w:val="nil"/>
            </w:tcBorders>
            <w:vAlign w:val="center"/>
          </w:tcPr>
          <w:p w14:paraId="00833FA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69B6661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vAlign w:val="center"/>
          </w:tcPr>
          <w:p w14:paraId="01E47F3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vMerge w:val="continue"/>
            <w:tcBorders>
              <w:tl2br w:val="nil"/>
              <w:tr2bl w:val="nil"/>
            </w:tcBorders>
            <w:vAlign w:val="center"/>
          </w:tcPr>
          <w:p w14:paraId="0C800D0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3437" w:type="dxa"/>
            <w:gridSpan w:val="2"/>
            <w:tcBorders>
              <w:tl2br w:val="nil"/>
              <w:tr2bl w:val="nil"/>
            </w:tcBorders>
            <w:vAlign w:val="center"/>
          </w:tcPr>
          <w:p w14:paraId="3B7C116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（2）造成重大质量事故；或造成分部工程存在严重缺陷，经返修和加固处理仍不能满足安全使用要求。</w:t>
            </w:r>
          </w:p>
        </w:tc>
        <w:tc>
          <w:tcPr>
            <w:tcW w:w="3058" w:type="dxa"/>
            <w:tcBorders>
              <w:tl2br w:val="nil"/>
              <w:tr2bl w:val="nil"/>
            </w:tcBorders>
            <w:vAlign w:val="center"/>
          </w:tcPr>
          <w:p w14:paraId="55C64AB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责令改正，处10万元的罚款，对单位直接负责的主管人员和其他直接责任人员处单位罚款数额百分之十的罚款有违法所得的，予以没收；降低资质等级。</w:t>
            </w:r>
          </w:p>
        </w:tc>
      </w:tr>
      <w:tr w14:paraId="19776AB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475" w:hRule="atLeast"/>
          <w:jc w:val="center"/>
        </w:trPr>
        <w:tc>
          <w:tcPr>
            <w:tcW w:w="443" w:type="dxa"/>
            <w:gridSpan w:val="2"/>
            <w:vMerge w:val="continue"/>
            <w:tcBorders>
              <w:tl2br w:val="nil"/>
              <w:tr2bl w:val="nil"/>
            </w:tcBorders>
            <w:vAlign w:val="center"/>
          </w:tcPr>
          <w:p w14:paraId="1939E9A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130DAB2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vAlign w:val="center"/>
          </w:tcPr>
          <w:p w14:paraId="364B53B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vMerge w:val="continue"/>
            <w:tcBorders>
              <w:tl2br w:val="nil"/>
              <w:tr2bl w:val="nil"/>
            </w:tcBorders>
            <w:vAlign w:val="center"/>
          </w:tcPr>
          <w:p w14:paraId="2076F86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3437" w:type="dxa"/>
            <w:gridSpan w:val="2"/>
            <w:tcBorders>
              <w:tl2br w:val="nil"/>
              <w:tr2bl w:val="nil"/>
            </w:tcBorders>
            <w:vAlign w:val="center"/>
          </w:tcPr>
          <w:p w14:paraId="4CB1246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rPr>
              <w:t>（3）造成特别重大质量；或造成单位（子单位）工程存在严重缺陷，经返修和加固处理仍不能满足安全使用要</w:t>
            </w:r>
            <w:r>
              <w:rPr>
                <w:rFonts w:hint="eastAsia" w:ascii="仿宋_GB2312" w:hAnsi="宋体" w:eastAsia="仿宋_GB2312"/>
                <w:color w:val="auto"/>
                <w:kern w:val="0"/>
                <w:sz w:val="13"/>
                <w:szCs w:val="13"/>
                <w:highlight w:val="none"/>
                <w:lang w:eastAsia="zh-CN"/>
              </w:rPr>
              <w:t>；</w:t>
            </w:r>
            <w:r>
              <w:rPr>
                <w:rFonts w:hint="eastAsia" w:ascii="仿宋_GB2312" w:hAnsi="宋体" w:eastAsia="仿宋_GB2312"/>
                <w:color w:val="auto"/>
                <w:kern w:val="0"/>
                <w:sz w:val="13"/>
                <w:szCs w:val="13"/>
                <w:highlight w:val="none"/>
                <w:lang w:val="en-US" w:eastAsia="zh-CN"/>
              </w:rPr>
              <w:t>或造成特别严重的社会影响。</w:t>
            </w:r>
          </w:p>
        </w:tc>
        <w:tc>
          <w:tcPr>
            <w:tcW w:w="3058" w:type="dxa"/>
            <w:tcBorders>
              <w:tl2br w:val="nil"/>
              <w:tr2bl w:val="nil"/>
            </w:tcBorders>
            <w:vAlign w:val="center"/>
          </w:tcPr>
          <w:p w14:paraId="5FC9AEF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责令改正，处10万元的罚款，对单位直接负责的主管人员和其他直接责任人员处单位罚款数额百分之十的罚款；有违法所得的，予以没收；吊销资质证书。</w:t>
            </w:r>
          </w:p>
        </w:tc>
      </w:tr>
      <w:tr w14:paraId="61AC907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8" w:hRule="atLeast"/>
          <w:jc w:val="center"/>
        </w:trPr>
        <w:tc>
          <w:tcPr>
            <w:tcW w:w="443" w:type="dxa"/>
            <w:gridSpan w:val="2"/>
            <w:vMerge w:val="restart"/>
            <w:tcBorders>
              <w:tl2br w:val="nil"/>
              <w:tr2bl w:val="nil"/>
            </w:tcBorders>
            <w:vAlign w:val="center"/>
          </w:tcPr>
          <w:p w14:paraId="2B4AB510">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Times New Roman"/>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95</w:t>
            </w:r>
          </w:p>
        </w:tc>
        <w:tc>
          <w:tcPr>
            <w:tcW w:w="1550" w:type="dxa"/>
            <w:vMerge w:val="restart"/>
            <w:tcBorders>
              <w:tl2br w:val="nil"/>
              <w:tr2bl w:val="nil"/>
            </w:tcBorders>
            <w:vAlign w:val="center"/>
          </w:tcPr>
          <w:p w14:paraId="211C3D9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p>
          <w:p w14:paraId="3697B68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p>
          <w:p w14:paraId="43B00D1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p>
          <w:p w14:paraId="193183D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p w14:paraId="6994FA0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涉及建筑主体或者承重结构变动的装修工程，没有设计方案擅自施工的；</w:t>
            </w:r>
          </w:p>
          <w:p w14:paraId="4AB15FB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宋体" w:hAnsi="宋体" w:cs="宋体"/>
                <w:color w:val="auto"/>
                <w:kern w:val="0"/>
                <w:sz w:val="13"/>
                <w:szCs w:val="13"/>
                <w:highlight w:val="none"/>
              </w:rPr>
            </w:pPr>
            <w:r>
              <w:rPr>
                <w:rFonts w:hint="eastAsia" w:ascii="仿宋_GB2312" w:hAnsi="宋体" w:eastAsia="仿宋_GB2312"/>
                <w:color w:val="auto"/>
                <w:kern w:val="0"/>
                <w:sz w:val="13"/>
                <w:szCs w:val="13"/>
                <w:highlight w:val="none"/>
              </w:rPr>
              <w:t>房屋建筑使用者在装修过程中擅自变动房屋建筑主体和承重结构的</w:t>
            </w:r>
          </w:p>
        </w:tc>
        <w:tc>
          <w:tcPr>
            <w:tcW w:w="4820" w:type="dxa"/>
            <w:vMerge w:val="restart"/>
            <w:tcBorders>
              <w:tl2br w:val="nil"/>
              <w:tr2bl w:val="nil"/>
            </w:tcBorders>
            <w:vAlign w:val="center"/>
          </w:tcPr>
          <w:p w14:paraId="030F38B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p w14:paraId="6689FF0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p w14:paraId="5EDC296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p w14:paraId="14149C0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p w14:paraId="1F21F6E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rPr>
              <w:t>《建设工程质量管理条例》第六十九条</w:t>
            </w:r>
          </w:p>
          <w:p w14:paraId="372BEDD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违反本条例规定，涉及建筑主体或者承重结构变动的装修工程，没有设计方案擅自施工的，责令改正，处50万元以上100万元以下的罚款；房屋建筑使用者在装修过程中擅自变动房屋建筑主体和承重结构的，责令改正，处5万元以上10万元以下的罚款；</w:t>
            </w:r>
          </w:p>
          <w:p w14:paraId="21AD4D6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有前款所列行为，造成损失的，依法承担赔偿责任。</w:t>
            </w:r>
          </w:p>
          <w:p w14:paraId="2888824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p w14:paraId="6F18F16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《建设工程质量管理条例》第七十三条</w:t>
            </w:r>
          </w:p>
          <w:p w14:paraId="0A8DE30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依照本条例规定，给予单位罚款处罚的，对单位直接负责的主管人员和其他直接责任人员处单位罚款数额百分之五以上百分之十以下的罚款。</w:t>
            </w:r>
          </w:p>
          <w:p w14:paraId="1A493AFD">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ascii="宋体" w:hAnsi="宋体" w:cs="宋体"/>
                <w:color w:val="auto"/>
                <w:kern w:val="0"/>
                <w:sz w:val="13"/>
                <w:szCs w:val="13"/>
                <w:highlight w:val="none"/>
              </w:rPr>
            </w:pPr>
          </w:p>
        </w:tc>
        <w:tc>
          <w:tcPr>
            <w:tcW w:w="823" w:type="dxa"/>
            <w:vMerge w:val="restart"/>
            <w:tcBorders>
              <w:tl2br w:val="nil"/>
              <w:tr2bl w:val="nil"/>
            </w:tcBorders>
            <w:vAlign w:val="center"/>
          </w:tcPr>
          <w:p w14:paraId="14740BE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vAlign w:val="center"/>
          </w:tcPr>
          <w:p w14:paraId="5230058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（1）涉及建筑主体或者承重结构变动的装修工程，没有设计方案擅自施工，未造成质量事故，不需要加固补强的。</w:t>
            </w:r>
          </w:p>
        </w:tc>
        <w:tc>
          <w:tcPr>
            <w:tcW w:w="3058" w:type="dxa"/>
            <w:tcBorders>
              <w:tl2br w:val="nil"/>
              <w:tr2bl w:val="nil"/>
            </w:tcBorders>
            <w:vAlign w:val="center"/>
          </w:tcPr>
          <w:p w14:paraId="4264CDD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责令改正，处50万元以上65万元以下的罚款，对单位直接负责的主管人员和其他直接责任人员处单位罚款数额百分之五以上百分之六点五以下的罚款。</w:t>
            </w:r>
          </w:p>
        </w:tc>
      </w:tr>
      <w:tr w14:paraId="4BD2692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0" w:hRule="atLeast"/>
          <w:jc w:val="center"/>
        </w:trPr>
        <w:tc>
          <w:tcPr>
            <w:tcW w:w="443" w:type="dxa"/>
            <w:gridSpan w:val="2"/>
            <w:vMerge w:val="continue"/>
            <w:tcBorders>
              <w:tl2br w:val="nil"/>
              <w:tr2bl w:val="nil"/>
            </w:tcBorders>
            <w:vAlign w:val="center"/>
          </w:tcPr>
          <w:p w14:paraId="53E9C99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2D7A619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宋体" w:hAnsi="宋体" w:cs="Arial"/>
                <w:color w:val="auto"/>
                <w:spacing w:val="8"/>
                <w:kern w:val="0"/>
                <w:sz w:val="13"/>
                <w:szCs w:val="13"/>
                <w:highlight w:val="none"/>
              </w:rPr>
            </w:pPr>
          </w:p>
        </w:tc>
        <w:tc>
          <w:tcPr>
            <w:tcW w:w="4820" w:type="dxa"/>
            <w:vMerge w:val="continue"/>
            <w:tcBorders>
              <w:tl2br w:val="nil"/>
              <w:tr2bl w:val="nil"/>
            </w:tcBorders>
            <w:vAlign w:val="center"/>
          </w:tcPr>
          <w:p w14:paraId="3E7D3A7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宋体" w:hAnsi="宋体" w:cs="宋体"/>
                <w:color w:val="auto"/>
                <w:kern w:val="0"/>
                <w:sz w:val="13"/>
                <w:szCs w:val="13"/>
                <w:highlight w:val="none"/>
              </w:rPr>
            </w:pPr>
          </w:p>
        </w:tc>
        <w:tc>
          <w:tcPr>
            <w:tcW w:w="823" w:type="dxa"/>
            <w:vMerge w:val="continue"/>
            <w:tcBorders>
              <w:tl2br w:val="nil"/>
              <w:tr2bl w:val="nil"/>
            </w:tcBorders>
            <w:vAlign w:val="center"/>
          </w:tcPr>
          <w:p w14:paraId="3ECCE97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3437" w:type="dxa"/>
            <w:gridSpan w:val="2"/>
            <w:tcBorders>
              <w:tl2br w:val="nil"/>
              <w:tr2bl w:val="nil"/>
            </w:tcBorders>
            <w:vAlign w:val="center"/>
          </w:tcPr>
          <w:p w14:paraId="2D4C473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（2）房屋建筑使用者在装修过程中擅自变动房屋建筑主体和承重结构，未造成质量事故，不需要加固补强的。</w:t>
            </w:r>
          </w:p>
        </w:tc>
        <w:tc>
          <w:tcPr>
            <w:tcW w:w="3058" w:type="dxa"/>
            <w:tcBorders>
              <w:tl2br w:val="nil"/>
              <w:tr2bl w:val="nil"/>
            </w:tcBorders>
            <w:vAlign w:val="center"/>
          </w:tcPr>
          <w:p w14:paraId="3013A9F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责令改正，处5万元以上6.5万元以下的罚款，对单位直接负责的主管人员和其他直接责任人员处单位罚款数额百分之五以上百分之六点五以下的罚款。</w:t>
            </w:r>
          </w:p>
        </w:tc>
      </w:tr>
      <w:tr w14:paraId="65B01E8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16" w:hRule="atLeast"/>
          <w:jc w:val="center"/>
        </w:trPr>
        <w:tc>
          <w:tcPr>
            <w:tcW w:w="443" w:type="dxa"/>
            <w:gridSpan w:val="2"/>
            <w:vMerge w:val="continue"/>
            <w:tcBorders>
              <w:tl2br w:val="nil"/>
              <w:tr2bl w:val="nil"/>
            </w:tcBorders>
            <w:vAlign w:val="center"/>
          </w:tcPr>
          <w:p w14:paraId="28B6229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5EF0806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tcPr>
          <w:p w14:paraId="37EDD5E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vMerge w:val="restart"/>
            <w:tcBorders>
              <w:tl2br w:val="nil"/>
              <w:tr2bl w:val="nil"/>
            </w:tcBorders>
            <w:vAlign w:val="center"/>
          </w:tcPr>
          <w:p w14:paraId="24212A4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一般情节</w:t>
            </w:r>
          </w:p>
        </w:tc>
        <w:tc>
          <w:tcPr>
            <w:tcW w:w="3437" w:type="dxa"/>
            <w:gridSpan w:val="2"/>
            <w:tcBorders>
              <w:tl2br w:val="nil"/>
              <w:tr2bl w:val="nil"/>
            </w:tcBorders>
            <w:vAlign w:val="center"/>
          </w:tcPr>
          <w:p w14:paraId="35A95D1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（1）涉及建筑主体或者承重结构变动的装修工程，没有设计方案擅自施工，造成一般质量事故；或不满足结构安全，需局部加固补强的。</w:t>
            </w:r>
          </w:p>
        </w:tc>
        <w:tc>
          <w:tcPr>
            <w:tcW w:w="3058" w:type="dxa"/>
            <w:tcBorders>
              <w:tl2br w:val="nil"/>
              <w:tr2bl w:val="nil"/>
            </w:tcBorders>
            <w:vAlign w:val="center"/>
          </w:tcPr>
          <w:p w14:paraId="5A792D1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责令改正，处65万元以上85万元以下的罚款，对单位直接负责的主管人员和其他直接责任人员处单位罚款数额百分之六点五以上百分之八点五以下的罚款。</w:t>
            </w:r>
          </w:p>
        </w:tc>
      </w:tr>
      <w:tr w14:paraId="10AD930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16" w:hRule="atLeast"/>
          <w:jc w:val="center"/>
        </w:trPr>
        <w:tc>
          <w:tcPr>
            <w:tcW w:w="443" w:type="dxa"/>
            <w:gridSpan w:val="2"/>
            <w:vMerge w:val="continue"/>
            <w:tcBorders>
              <w:tl2br w:val="nil"/>
              <w:tr2bl w:val="nil"/>
            </w:tcBorders>
            <w:vAlign w:val="center"/>
          </w:tcPr>
          <w:p w14:paraId="4CE0015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5BAB2CE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tcPr>
          <w:p w14:paraId="19DC328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vMerge w:val="continue"/>
            <w:tcBorders>
              <w:tl2br w:val="nil"/>
              <w:tr2bl w:val="nil"/>
            </w:tcBorders>
            <w:vAlign w:val="center"/>
          </w:tcPr>
          <w:p w14:paraId="636B7DF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3437" w:type="dxa"/>
            <w:gridSpan w:val="2"/>
            <w:tcBorders>
              <w:tl2br w:val="nil"/>
              <w:tr2bl w:val="nil"/>
            </w:tcBorders>
            <w:vAlign w:val="center"/>
          </w:tcPr>
          <w:p w14:paraId="03C2E0F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（2）房屋建筑使用者在装修过程中擅自变动房屋建筑主体和承重结构，造成一般质量事故；或不满足结构安全，需局部加固补强的。</w:t>
            </w:r>
          </w:p>
        </w:tc>
        <w:tc>
          <w:tcPr>
            <w:tcW w:w="3058" w:type="dxa"/>
            <w:tcBorders>
              <w:tl2br w:val="nil"/>
              <w:tr2bl w:val="nil"/>
            </w:tcBorders>
            <w:vAlign w:val="center"/>
          </w:tcPr>
          <w:p w14:paraId="137CAD9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责令改正，处6.5万元以上8.5万元以下的罚款，对单位直接负责的主管人员和其他直接责任人员处单位罚款数额百分之六点五以上百分之八点五以下的罚款。</w:t>
            </w:r>
          </w:p>
        </w:tc>
      </w:tr>
      <w:tr w14:paraId="583B040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548" w:hRule="atLeast"/>
          <w:jc w:val="center"/>
        </w:trPr>
        <w:tc>
          <w:tcPr>
            <w:tcW w:w="443" w:type="dxa"/>
            <w:gridSpan w:val="2"/>
            <w:vMerge w:val="continue"/>
            <w:tcBorders>
              <w:tl2br w:val="nil"/>
              <w:tr2bl w:val="nil"/>
            </w:tcBorders>
            <w:vAlign w:val="center"/>
          </w:tcPr>
          <w:p w14:paraId="57BB557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7A35905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tcPr>
          <w:p w14:paraId="1DF4A12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vMerge w:val="restart"/>
            <w:tcBorders>
              <w:tl2br w:val="nil"/>
              <w:tr2bl w:val="nil"/>
            </w:tcBorders>
            <w:vAlign w:val="center"/>
          </w:tcPr>
          <w:p w14:paraId="69F751A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从重情节</w:t>
            </w:r>
          </w:p>
        </w:tc>
        <w:tc>
          <w:tcPr>
            <w:tcW w:w="3437" w:type="dxa"/>
            <w:gridSpan w:val="2"/>
            <w:tcBorders>
              <w:tl2br w:val="nil"/>
              <w:tr2bl w:val="nil"/>
            </w:tcBorders>
            <w:vAlign w:val="center"/>
          </w:tcPr>
          <w:p w14:paraId="000CBC5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（1）涉及建筑主体或者承重结构变动的装修工程，没有设计方案擅自施工，造成较大以上质量事故；或影响结构安全，需全面加固处理的。</w:t>
            </w:r>
          </w:p>
        </w:tc>
        <w:tc>
          <w:tcPr>
            <w:tcW w:w="3058" w:type="dxa"/>
            <w:tcBorders>
              <w:tl2br w:val="nil"/>
              <w:tr2bl w:val="nil"/>
            </w:tcBorders>
            <w:vAlign w:val="center"/>
          </w:tcPr>
          <w:p w14:paraId="2B35691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责令改正，处85万元以上100万元以下的罚款，对单位直接负责的主管人员和其他直接责任人员处单位罚款数额百分之八点五以上百分之十以下的罚款。</w:t>
            </w:r>
          </w:p>
        </w:tc>
      </w:tr>
      <w:tr w14:paraId="10F5787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505" w:hRule="atLeast"/>
          <w:jc w:val="center"/>
        </w:trPr>
        <w:tc>
          <w:tcPr>
            <w:tcW w:w="443" w:type="dxa"/>
            <w:gridSpan w:val="2"/>
            <w:vMerge w:val="continue"/>
            <w:tcBorders>
              <w:tl2br w:val="nil"/>
              <w:tr2bl w:val="nil"/>
            </w:tcBorders>
            <w:vAlign w:val="center"/>
          </w:tcPr>
          <w:p w14:paraId="0DE93E2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2745527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tcPr>
          <w:p w14:paraId="7FD023C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vMerge w:val="continue"/>
            <w:tcBorders>
              <w:tl2br w:val="nil"/>
              <w:tr2bl w:val="nil"/>
            </w:tcBorders>
            <w:vAlign w:val="center"/>
          </w:tcPr>
          <w:p w14:paraId="0D335BF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3437" w:type="dxa"/>
            <w:gridSpan w:val="2"/>
            <w:tcBorders>
              <w:tl2br w:val="nil"/>
              <w:tr2bl w:val="nil"/>
            </w:tcBorders>
            <w:vAlign w:val="center"/>
          </w:tcPr>
          <w:p w14:paraId="1BC2D13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rPr>
              <w:t>（2）房屋建筑使用者在装修过程中擅自变动房屋建筑主体和承重结构，造成较大以上质量事故；或影响结构安全，需全面加固处理的</w:t>
            </w:r>
            <w:r>
              <w:rPr>
                <w:rFonts w:hint="eastAsia" w:ascii="仿宋_GB2312" w:hAnsi="宋体" w:eastAsia="仿宋_GB2312"/>
                <w:color w:val="auto"/>
                <w:kern w:val="0"/>
                <w:sz w:val="13"/>
                <w:szCs w:val="13"/>
                <w:highlight w:val="none"/>
                <w:lang w:eastAsia="zh-CN"/>
              </w:rPr>
              <w:t>；</w:t>
            </w:r>
            <w:r>
              <w:rPr>
                <w:rFonts w:hint="eastAsia" w:ascii="仿宋_GB2312" w:hAnsi="宋体" w:eastAsia="仿宋_GB2312"/>
                <w:color w:val="auto"/>
                <w:kern w:val="0"/>
                <w:sz w:val="13"/>
                <w:szCs w:val="13"/>
                <w:highlight w:val="none"/>
                <w:lang w:val="en-US" w:eastAsia="zh-CN"/>
              </w:rPr>
              <w:t>或造成特别严重的社会影响。</w:t>
            </w:r>
          </w:p>
        </w:tc>
        <w:tc>
          <w:tcPr>
            <w:tcW w:w="3058" w:type="dxa"/>
            <w:tcBorders>
              <w:tl2br w:val="nil"/>
              <w:tr2bl w:val="nil"/>
            </w:tcBorders>
            <w:vAlign w:val="center"/>
          </w:tcPr>
          <w:p w14:paraId="3A5D80D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责令改正，处8.5万元以上10万元以下的罚款，对单位直接负责的主管人员和其他直接责任人员处单位罚款数额百分之八点五以上百分之十以下的罚款。</w:t>
            </w:r>
          </w:p>
        </w:tc>
      </w:tr>
      <w:tr w14:paraId="3E7E78F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0" w:hRule="atLeast"/>
          <w:jc w:val="center"/>
        </w:trPr>
        <w:tc>
          <w:tcPr>
            <w:tcW w:w="443" w:type="dxa"/>
            <w:gridSpan w:val="2"/>
            <w:vMerge w:val="restart"/>
            <w:tcBorders>
              <w:tl2br w:val="nil"/>
              <w:tr2bl w:val="nil"/>
            </w:tcBorders>
            <w:vAlign w:val="center"/>
          </w:tcPr>
          <w:p w14:paraId="71C71432">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Times New Roman"/>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96</w:t>
            </w:r>
          </w:p>
        </w:tc>
        <w:tc>
          <w:tcPr>
            <w:tcW w:w="1550" w:type="dxa"/>
            <w:vMerge w:val="restart"/>
            <w:tcBorders>
              <w:tl2br w:val="nil"/>
              <w:tr2bl w:val="nil"/>
            </w:tcBorders>
            <w:vAlign w:val="center"/>
          </w:tcPr>
          <w:p w14:paraId="5F78EF0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注册建筑师、注册结构工程师、监理工程师等注册执业人员因过错造成质量事故的</w:t>
            </w:r>
          </w:p>
        </w:tc>
        <w:tc>
          <w:tcPr>
            <w:tcW w:w="4820" w:type="dxa"/>
            <w:vMerge w:val="restart"/>
            <w:tcBorders>
              <w:tl2br w:val="nil"/>
              <w:tr2bl w:val="nil"/>
            </w:tcBorders>
            <w:vAlign w:val="center"/>
          </w:tcPr>
          <w:p w14:paraId="7C3ED07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《建设工程质量管理条例》第七十二条</w:t>
            </w:r>
          </w:p>
          <w:p w14:paraId="25789E9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违反本条例规定，注册建筑师、注册结构工程师、监理工程师等注册执业人员因过错造成质量事故的，责令停止执业1年；造成重大质量事故的，吊销执业资格证书，5年以内不予注册；情节特别恶劣的，终身不予注册。</w:t>
            </w:r>
          </w:p>
        </w:tc>
        <w:tc>
          <w:tcPr>
            <w:tcW w:w="823" w:type="dxa"/>
            <w:tcBorders>
              <w:tl2br w:val="nil"/>
              <w:tr2bl w:val="nil"/>
            </w:tcBorders>
            <w:vAlign w:val="center"/>
          </w:tcPr>
          <w:p w14:paraId="72A1D64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vAlign w:val="center"/>
          </w:tcPr>
          <w:p w14:paraId="7E69924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造成一般质量事故或者其他较严重后果的。</w:t>
            </w:r>
          </w:p>
        </w:tc>
        <w:tc>
          <w:tcPr>
            <w:tcW w:w="3058" w:type="dxa"/>
            <w:tcBorders>
              <w:tl2br w:val="nil"/>
              <w:tr2bl w:val="nil"/>
            </w:tcBorders>
            <w:vAlign w:val="center"/>
          </w:tcPr>
          <w:p w14:paraId="024DD65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责令停止执业1年。</w:t>
            </w:r>
          </w:p>
        </w:tc>
      </w:tr>
      <w:tr w14:paraId="78156ED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0" w:hRule="atLeast"/>
          <w:jc w:val="center"/>
        </w:trPr>
        <w:tc>
          <w:tcPr>
            <w:tcW w:w="443" w:type="dxa"/>
            <w:gridSpan w:val="2"/>
            <w:vMerge w:val="continue"/>
            <w:tcBorders>
              <w:tl2br w:val="nil"/>
              <w:tr2bl w:val="nil"/>
            </w:tcBorders>
            <w:vAlign w:val="center"/>
          </w:tcPr>
          <w:p w14:paraId="6B71BA3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15E4E15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tcPr>
          <w:p w14:paraId="0C63A1A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tcBorders>
              <w:tl2br w:val="nil"/>
              <w:tr2bl w:val="nil"/>
            </w:tcBorders>
            <w:vAlign w:val="center"/>
          </w:tcPr>
          <w:p w14:paraId="2F47A5A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一般情节</w:t>
            </w:r>
          </w:p>
        </w:tc>
        <w:tc>
          <w:tcPr>
            <w:tcW w:w="3437" w:type="dxa"/>
            <w:gridSpan w:val="2"/>
            <w:tcBorders>
              <w:tl2br w:val="nil"/>
              <w:tr2bl w:val="nil"/>
            </w:tcBorders>
            <w:vAlign w:val="center"/>
          </w:tcPr>
          <w:p w14:paraId="082D8C9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造成</w:t>
            </w:r>
            <w:r>
              <w:rPr>
                <w:rFonts w:hint="eastAsia" w:ascii="仿宋_GB2312" w:hAnsi="宋体" w:eastAsia="仿宋_GB2312"/>
                <w:color w:val="auto"/>
                <w:kern w:val="0"/>
                <w:sz w:val="13"/>
                <w:szCs w:val="13"/>
                <w:highlight w:val="none"/>
                <w:lang w:val="en-US" w:eastAsia="zh-CN"/>
              </w:rPr>
              <w:t>重</w:t>
            </w:r>
            <w:r>
              <w:rPr>
                <w:rFonts w:hint="eastAsia" w:ascii="仿宋_GB2312" w:hAnsi="宋体" w:eastAsia="仿宋_GB2312"/>
                <w:color w:val="auto"/>
                <w:kern w:val="0"/>
                <w:sz w:val="13"/>
                <w:szCs w:val="13"/>
                <w:highlight w:val="none"/>
              </w:rPr>
              <w:t>大质量事故或者其他严重后果的。</w:t>
            </w:r>
          </w:p>
        </w:tc>
        <w:tc>
          <w:tcPr>
            <w:tcW w:w="3058" w:type="dxa"/>
            <w:tcBorders>
              <w:tl2br w:val="nil"/>
              <w:tr2bl w:val="nil"/>
            </w:tcBorders>
            <w:vAlign w:val="center"/>
          </w:tcPr>
          <w:p w14:paraId="6F2B1FB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吊销执业资格证书，5年内不予注册。</w:t>
            </w:r>
          </w:p>
        </w:tc>
      </w:tr>
      <w:tr w14:paraId="1E4BBB9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0" w:hRule="atLeast"/>
          <w:jc w:val="center"/>
        </w:trPr>
        <w:tc>
          <w:tcPr>
            <w:tcW w:w="443" w:type="dxa"/>
            <w:gridSpan w:val="2"/>
            <w:vMerge w:val="continue"/>
            <w:tcBorders>
              <w:tl2br w:val="nil"/>
              <w:tr2bl w:val="nil"/>
            </w:tcBorders>
            <w:vAlign w:val="center"/>
          </w:tcPr>
          <w:p w14:paraId="64A7D91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5F30054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vAlign w:val="center"/>
          </w:tcPr>
          <w:p w14:paraId="4D4AA6B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tcBorders>
              <w:tl2br w:val="nil"/>
              <w:tr2bl w:val="nil"/>
            </w:tcBorders>
            <w:vAlign w:val="center"/>
          </w:tcPr>
          <w:p w14:paraId="03C2BE9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从重情节</w:t>
            </w:r>
          </w:p>
        </w:tc>
        <w:tc>
          <w:tcPr>
            <w:tcW w:w="3437" w:type="dxa"/>
            <w:gridSpan w:val="2"/>
            <w:tcBorders>
              <w:tl2br w:val="nil"/>
              <w:tr2bl w:val="nil"/>
            </w:tcBorders>
            <w:vAlign w:val="center"/>
          </w:tcPr>
          <w:p w14:paraId="3B0689A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造成特别重大质量事故或者其他特别严重后果的。</w:t>
            </w:r>
          </w:p>
        </w:tc>
        <w:tc>
          <w:tcPr>
            <w:tcW w:w="3058" w:type="dxa"/>
            <w:tcBorders>
              <w:tl2br w:val="nil"/>
              <w:tr2bl w:val="nil"/>
            </w:tcBorders>
            <w:vAlign w:val="center"/>
          </w:tcPr>
          <w:p w14:paraId="7638C15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吊销执业资格证书，终身不予注册。</w:t>
            </w:r>
          </w:p>
        </w:tc>
      </w:tr>
      <w:tr w14:paraId="639CA8A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0" w:hRule="atLeast"/>
          <w:jc w:val="center"/>
        </w:trPr>
        <w:tc>
          <w:tcPr>
            <w:tcW w:w="443" w:type="dxa"/>
            <w:gridSpan w:val="2"/>
            <w:vMerge w:val="restart"/>
            <w:tcBorders>
              <w:tl2br w:val="nil"/>
              <w:tr2bl w:val="nil"/>
            </w:tcBorders>
            <w:vAlign w:val="center"/>
          </w:tcPr>
          <w:p w14:paraId="1B5DF380">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Times New Roman"/>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97</w:t>
            </w:r>
          </w:p>
        </w:tc>
        <w:tc>
          <w:tcPr>
            <w:tcW w:w="1550" w:type="dxa"/>
            <w:vMerge w:val="restart"/>
            <w:tcBorders>
              <w:tl2br w:val="nil"/>
              <w:tr2bl w:val="nil"/>
            </w:tcBorders>
            <w:vAlign w:val="center"/>
          </w:tcPr>
          <w:p w14:paraId="601CBF9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方正书宋简体" w:eastAsia="仿宋_GB2312"/>
                <w:color w:val="auto"/>
                <w:kern w:val="0"/>
                <w:sz w:val="13"/>
                <w:szCs w:val="13"/>
                <w:highlight w:val="none"/>
              </w:rPr>
            </w:pPr>
            <w:r>
              <w:rPr>
                <w:rFonts w:hint="eastAsia" w:ascii="仿宋_GB2312" w:hAnsi="宋体" w:eastAsia="仿宋_GB2312"/>
                <w:color w:val="auto"/>
                <w:kern w:val="0"/>
                <w:sz w:val="13"/>
                <w:szCs w:val="13"/>
                <w:highlight w:val="none"/>
              </w:rPr>
              <w:t>建设单位</w:t>
            </w:r>
            <w:r>
              <w:rPr>
                <w:rFonts w:hint="eastAsia" w:ascii="仿宋_GB2312" w:hAnsi="方正书宋简体" w:eastAsia="仿宋_GB2312"/>
                <w:color w:val="auto"/>
                <w:kern w:val="0"/>
                <w:sz w:val="13"/>
                <w:szCs w:val="13"/>
                <w:highlight w:val="none"/>
              </w:rPr>
              <w:t>将备案机关决定重新组织竣工验收的工程，在重新组织竣工验收前，擅自使用</w:t>
            </w:r>
          </w:p>
        </w:tc>
        <w:tc>
          <w:tcPr>
            <w:tcW w:w="4820" w:type="dxa"/>
            <w:vMerge w:val="restart"/>
            <w:tcBorders>
              <w:tl2br w:val="nil"/>
              <w:tr2bl w:val="nil"/>
            </w:tcBorders>
            <w:vAlign w:val="center"/>
          </w:tcPr>
          <w:p w14:paraId="20ED8651">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w:t>
            </w:r>
            <w:r>
              <w:rPr>
                <w:rFonts w:hint="eastAsia" w:ascii="仿宋_GB2312" w:hAnsi="宋体" w:eastAsia="仿宋_GB2312"/>
                <w:color w:val="auto"/>
                <w:kern w:val="0"/>
                <w:sz w:val="13"/>
                <w:szCs w:val="13"/>
                <w:highlight w:val="none"/>
                <w:lang w:val="en-US" w:eastAsia="zh-CN"/>
              </w:rPr>
              <w:t>房屋建筑工程和市政基础设施工程竣工验收备案管理暂行办法</w:t>
            </w:r>
            <w:r>
              <w:rPr>
                <w:rFonts w:hint="eastAsia" w:ascii="仿宋_GB2312" w:hAnsi="宋体" w:eastAsia="仿宋_GB2312"/>
                <w:color w:val="auto"/>
                <w:kern w:val="0"/>
                <w:sz w:val="13"/>
                <w:szCs w:val="13"/>
                <w:highlight w:val="none"/>
              </w:rPr>
              <w:t>》第十条</w:t>
            </w:r>
          </w:p>
          <w:p w14:paraId="19325A3A">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建设单位将备案机关决定重新组织竣工验收的工程，在重新组织竣工验收前，擅自使用的，备案机关责令停止使用，处工程合同价款2％以上4％以下罚款。</w:t>
            </w:r>
          </w:p>
        </w:tc>
        <w:tc>
          <w:tcPr>
            <w:tcW w:w="823" w:type="dxa"/>
            <w:tcBorders>
              <w:tl2br w:val="nil"/>
              <w:tr2bl w:val="nil"/>
            </w:tcBorders>
            <w:vAlign w:val="center"/>
          </w:tcPr>
          <w:p w14:paraId="59D0B19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vAlign w:val="center"/>
          </w:tcPr>
          <w:p w14:paraId="7C1630B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初次违法，危害后果轻微，主动消除或减轻违法行为危害后果的。</w:t>
            </w:r>
          </w:p>
        </w:tc>
        <w:tc>
          <w:tcPr>
            <w:tcW w:w="3058" w:type="dxa"/>
            <w:tcBorders>
              <w:tl2br w:val="nil"/>
              <w:tr2bl w:val="nil"/>
            </w:tcBorders>
            <w:vAlign w:val="center"/>
          </w:tcPr>
          <w:p w14:paraId="1E83060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责令停止使用，处工程合同价款2％以上2.2％以下罚款。</w:t>
            </w:r>
          </w:p>
        </w:tc>
      </w:tr>
      <w:tr w14:paraId="4A0B951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0" w:hRule="atLeast"/>
          <w:jc w:val="center"/>
        </w:trPr>
        <w:tc>
          <w:tcPr>
            <w:tcW w:w="443" w:type="dxa"/>
            <w:gridSpan w:val="2"/>
            <w:vMerge w:val="continue"/>
            <w:tcBorders>
              <w:tl2br w:val="nil"/>
              <w:tr2bl w:val="nil"/>
            </w:tcBorders>
            <w:vAlign w:val="center"/>
          </w:tcPr>
          <w:p w14:paraId="026A4D6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00A1C41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方正书宋简体" w:eastAsia="仿宋_GB2312"/>
                <w:color w:val="auto"/>
                <w:kern w:val="0"/>
                <w:sz w:val="13"/>
                <w:szCs w:val="13"/>
                <w:highlight w:val="none"/>
              </w:rPr>
            </w:pPr>
          </w:p>
        </w:tc>
        <w:tc>
          <w:tcPr>
            <w:tcW w:w="4820" w:type="dxa"/>
            <w:vMerge w:val="continue"/>
            <w:tcBorders>
              <w:tl2br w:val="nil"/>
              <w:tr2bl w:val="nil"/>
            </w:tcBorders>
            <w:vAlign w:val="center"/>
          </w:tcPr>
          <w:p w14:paraId="43C44EC6">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方正书宋简体" w:eastAsia="仿宋_GB2312"/>
                <w:color w:val="auto"/>
                <w:kern w:val="0"/>
                <w:sz w:val="13"/>
                <w:szCs w:val="13"/>
                <w:highlight w:val="none"/>
              </w:rPr>
            </w:pPr>
          </w:p>
        </w:tc>
        <w:tc>
          <w:tcPr>
            <w:tcW w:w="823" w:type="dxa"/>
            <w:tcBorders>
              <w:tl2br w:val="nil"/>
              <w:tr2bl w:val="nil"/>
            </w:tcBorders>
            <w:vAlign w:val="center"/>
          </w:tcPr>
          <w:p w14:paraId="6C6B60F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一般情节</w:t>
            </w:r>
          </w:p>
        </w:tc>
        <w:tc>
          <w:tcPr>
            <w:tcW w:w="3437" w:type="dxa"/>
            <w:gridSpan w:val="2"/>
            <w:tcBorders>
              <w:tl2br w:val="nil"/>
              <w:tr2bl w:val="nil"/>
            </w:tcBorders>
            <w:vAlign w:val="center"/>
          </w:tcPr>
          <w:p w14:paraId="1B9B5C4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不具有从轻、</w:t>
            </w:r>
            <w:r>
              <w:rPr>
                <w:rFonts w:hint="eastAsia" w:ascii="仿宋_GB2312" w:hAnsi="宋体" w:eastAsia="仿宋_GB2312"/>
                <w:color w:val="auto"/>
                <w:kern w:val="0"/>
                <w:sz w:val="13"/>
                <w:szCs w:val="13"/>
                <w:highlight w:val="none"/>
                <w:lang w:eastAsia="zh-CN"/>
              </w:rPr>
              <w:t>从重情节</w:t>
            </w:r>
            <w:r>
              <w:rPr>
                <w:rFonts w:hint="eastAsia" w:ascii="仿宋_GB2312" w:hAnsi="宋体" w:eastAsia="仿宋_GB2312"/>
                <w:color w:val="auto"/>
                <w:kern w:val="0"/>
                <w:sz w:val="13"/>
                <w:szCs w:val="13"/>
                <w:highlight w:val="none"/>
              </w:rPr>
              <w:t>的。</w:t>
            </w:r>
          </w:p>
        </w:tc>
        <w:tc>
          <w:tcPr>
            <w:tcW w:w="3058" w:type="dxa"/>
            <w:tcBorders>
              <w:tl2br w:val="nil"/>
              <w:tr2bl w:val="nil"/>
            </w:tcBorders>
            <w:vAlign w:val="center"/>
          </w:tcPr>
          <w:p w14:paraId="3A4B736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责令停止使用，处工程合同价款2.2％以上3.5％以下罚款。</w:t>
            </w:r>
          </w:p>
        </w:tc>
      </w:tr>
      <w:tr w14:paraId="3C2F402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472" w:hRule="atLeast"/>
          <w:jc w:val="center"/>
        </w:trPr>
        <w:tc>
          <w:tcPr>
            <w:tcW w:w="443" w:type="dxa"/>
            <w:gridSpan w:val="2"/>
            <w:vMerge w:val="continue"/>
            <w:tcBorders>
              <w:tl2br w:val="nil"/>
              <w:tr2bl w:val="nil"/>
            </w:tcBorders>
            <w:vAlign w:val="center"/>
          </w:tcPr>
          <w:p w14:paraId="1E4486A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762B56C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方正书宋简体" w:eastAsia="仿宋_GB2312"/>
                <w:color w:val="auto"/>
                <w:kern w:val="0"/>
                <w:sz w:val="13"/>
                <w:szCs w:val="13"/>
                <w:highlight w:val="none"/>
              </w:rPr>
            </w:pPr>
          </w:p>
        </w:tc>
        <w:tc>
          <w:tcPr>
            <w:tcW w:w="4820" w:type="dxa"/>
            <w:vMerge w:val="continue"/>
            <w:tcBorders>
              <w:tl2br w:val="nil"/>
              <w:tr2bl w:val="nil"/>
            </w:tcBorders>
            <w:vAlign w:val="center"/>
          </w:tcPr>
          <w:p w14:paraId="5B520C66">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方正书宋简体" w:eastAsia="仿宋_GB2312"/>
                <w:color w:val="auto"/>
                <w:kern w:val="0"/>
                <w:sz w:val="13"/>
                <w:szCs w:val="13"/>
                <w:highlight w:val="none"/>
              </w:rPr>
            </w:pPr>
          </w:p>
        </w:tc>
        <w:tc>
          <w:tcPr>
            <w:tcW w:w="823" w:type="dxa"/>
            <w:tcBorders>
              <w:tl2br w:val="nil"/>
              <w:tr2bl w:val="nil"/>
            </w:tcBorders>
            <w:vAlign w:val="center"/>
          </w:tcPr>
          <w:p w14:paraId="6B1D219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从重情节</w:t>
            </w:r>
          </w:p>
        </w:tc>
        <w:tc>
          <w:tcPr>
            <w:tcW w:w="3437" w:type="dxa"/>
            <w:gridSpan w:val="2"/>
            <w:tcBorders>
              <w:tl2br w:val="nil"/>
              <w:tr2bl w:val="nil"/>
            </w:tcBorders>
            <w:vAlign w:val="center"/>
          </w:tcPr>
          <w:p w14:paraId="4CEC926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lang w:val="en-US" w:eastAsia="zh-CN"/>
              </w:rPr>
              <w:t>有下列情形之一的：</w:t>
            </w:r>
            <w:r>
              <w:rPr>
                <w:rFonts w:hint="eastAsia" w:ascii="仿宋_GB2312" w:hAnsi="宋体" w:eastAsia="仿宋_GB2312"/>
                <w:color w:val="auto"/>
                <w:kern w:val="0"/>
                <w:sz w:val="13"/>
                <w:szCs w:val="13"/>
                <w:highlight w:val="none"/>
              </w:rPr>
              <w:t>（1）曾因该违法行为被依法查处，再次实施该违法行为的；</w:t>
            </w:r>
          </w:p>
          <w:p w14:paraId="263F618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（2）造成工程质量事故的；</w:t>
            </w:r>
          </w:p>
          <w:p w14:paraId="5029F2B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（3）经有关部门确认，存在商业贿赂情形的。</w:t>
            </w:r>
          </w:p>
          <w:p w14:paraId="5BBD125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（4）其他依法应予从重处罚的情形</w:t>
            </w:r>
          </w:p>
        </w:tc>
        <w:tc>
          <w:tcPr>
            <w:tcW w:w="3058" w:type="dxa"/>
            <w:tcBorders>
              <w:tl2br w:val="nil"/>
              <w:tr2bl w:val="nil"/>
            </w:tcBorders>
            <w:vAlign w:val="center"/>
          </w:tcPr>
          <w:p w14:paraId="4EF4E4D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责令停止使用，处工程合同价款3.5％以上4％以下罚款。</w:t>
            </w:r>
          </w:p>
        </w:tc>
      </w:tr>
      <w:tr w14:paraId="4D1D542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0" w:hRule="atLeast"/>
          <w:jc w:val="center"/>
        </w:trPr>
        <w:tc>
          <w:tcPr>
            <w:tcW w:w="443" w:type="dxa"/>
            <w:gridSpan w:val="2"/>
            <w:vMerge w:val="restart"/>
            <w:tcBorders>
              <w:tl2br w:val="nil"/>
              <w:tr2bl w:val="nil"/>
            </w:tcBorders>
            <w:vAlign w:val="center"/>
          </w:tcPr>
          <w:p w14:paraId="018915A2">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Times New Roman"/>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98</w:t>
            </w:r>
          </w:p>
        </w:tc>
        <w:tc>
          <w:tcPr>
            <w:tcW w:w="1550" w:type="dxa"/>
            <w:vMerge w:val="restart"/>
            <w:tcBorders>
              <w:tl2br w:val="nil"/>
              <w:tr2bl w:val="nil"/>
            </w:tcBorders>
            <w:vAlign w:val="center"/>
          </w:tcPr>
          <w:p w14:paraId="7D0B3FC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方正书宋简体" w:eastAsia="仿宋_GB2312"/>
                <w:color w:val="auto"/>
                <w:kern w:val="0"/>
                <w:sz w:val="13"/>
                <w:szCs w:val="13"/>
                <w:highlight w:val="none"/>
              </w:rPr>
            </w:pPr>
            <w:r>
              <w:rPr>
                <w:rFonts w:hint="eastAsia" w:ascii="仿宋_GB2312" w:hAnsi="方正书宋简体" w:eastAsia="仿宋_GB2312"/>
                <w:color w:val="auto"/>
                <w:kern w:val="0"/>
                <w:sz w:val="13"/>
                <w:szCs w:val="13"/>
                <w:highlight w:val="none"/>
              </w:rPr>
              <w:t>建设单位采用虚假证明文件办理工程竣工验收备案</w:t>
            </w:r>
          </w:p>
        </w:tc>
        <w:tc>
          <w:tcPr>
            <w:tcW w:w="4820" w:type="dxa"/>
            <w:vMerge w:val="restart"/>
            <w:tcBorders>
              <w:tl2br w:val="nil"/>
              <w:tr2bl w:val="nil"/>
            </w:tcBorders>
            <w:vAlign w:val="center"/>
          </w:tcPr>
          <w:p w14:paraId="504AD82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0" w:firstLineChars="0"/>
              <w:jc w:val="left"/>
              <w:rPr>
                <w:rFonts w:hint="eastAsia" w:ascii="仿宋_GB2312" w:hAnsi="宋体" w:eastAsia="仿宋_GB2312"/>
                <w:color w:val="auto"/>
                <w:kern w:val="0"/>
                <w:sz w:val="13"/>
                <w:szCs w:val="13"/>
                <w:highlight w:val="none"/>
                <w:lang w:val="en-US" w:eastAsia="zh-CN"/>
              </w:rPr>
            </w:pPr>
            <w:r>
              <w:rPr>
                <w:rFonts w:hint="eastAsia" w:ascii="仿宋_GB2312" w:hAnsi="宋体" w:eastAsia="仿宋_GB2312"/>
                <w:color w:val="auto"/>
                <w:kern w:val="0"/>
                <w:sz w:val="13"/>
                <w:szCs w:val="13"/>
                <w:highlight w:val="none"/>
              </w:rPr>
              <w:t>《</w:t>
            </w:r>
            <w:r>
              <w:rPr>
                <w:rFonts w:hint="eastAsia" w:ascii="仿宋_GB2312" w:hAnsi="宋体" w:eastAsia="仿宋_GB2312"/>
                <w:color w:val="auto"/>
                <w:kern w:val="0"/>
                <w:sz w:val="13"/>
                <w:szCs w:val="13"/>
                <w:highlight w:val="none"/>
                <w:lang w:val="en-US" w:eastAsia="zh-CN"/>
              </w:rPr>
              <w:t>房屋建筑工程和市政基础设施工程竣工验收备案管理暂行办法</w:t>
            </w:r>
            <w:r>
              <w:rPr>
                <w:rFonts w:hint="eastAsia" w:ascii="仿宋_GB2312" w:hAnsi="宋体" w:eastAsia="仿宋_GB2312"/>
                <w:color w:val="auto"/>
                <w:kern w:val="0"/>
                <w:sz w:val="13"/>
                <w:szCs w:val="13"/>
                <w:highlight w:val="none"/>
              </w:rPr>
              <w:t>》第十一条</w:t>
            </w:r>
          </w:p>
          <w:p w14:paraId="336A982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建设单位采用虚假证明文件办理工程竣工验收备案的，工程竣工验收无效，备案机关责令停止使用，重新组织竣工验收，处20万元以上50万元以下罚款；构成犯罪的，依法追究刑事责任。</w:t>
            </w:r>
          </w:p>
          <w:p w14:paraId="42D141B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p>
          <w:p w14:paraId="380045F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p>
        </w:tc>
        <w:tc>
          <w:tcPr>
            <w:tcW w:w="823" w:type="dxa"/>
            <w:tcBorders>
              <w:tl2br w:val="nil"/>
              <w:tr2bl w:val="nil"/>
            </w:tcBorders>
            <w:vAlign w:val="center"/>
          </w:tcPr>
          <w:p w14:paraId="46E3456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vAlign w:val="center"/>
          </w:tcPr>
          <w:p w14:paraId="1E741ED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初次违法，危害后果轻微，主动消除或减轻违法行为危害后果的。</w:t>
            </w:r>
          </w:p>
        </w:tc>
        <w:tc>
          <w:tcPr>
            <w:tcW w:w="3058" w:type="dxa"/>
            <w:tcBorders>
              <w:tl2br w:val="nil"/>
              <w:tr2bl w:val="nil"/>
            </w:tcBorders>
            <w:vAlign w:val="center"/>
          </w:tcPr>
          <w:p w14:paraId="336D9EB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责令停止使用，重新组织竣工验收，处20万元以上25万元以下罚款。</w:t>
            </w:r>
          </w:p>
        </w:tc>
      </w:tr>
      <w:tr w14:paraId="24612FA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0" w:hRule="atLeast"/>
          <w:jc w:val="center"/>
        </w:trPr>
        <w:tc>
          <w:tcPr>
            <w:tcW w:w="443" w:type="dxa"/>
            <w:gridSpan w:val="2"/>
            <w:vMerge w:val="continue"/>
            <w:tcBorders>
              <w:tl2br w:val="nil"/>
              <w:tr2bl w:val="nil"/>
            </w:tcBorders>
            <w:vAlign w:val="center"/>
          </w:tcPr>
          <w:p w14:paraId="4D5B479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7076752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tcPr>
          <w:p w14:paraId="695F3C5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tcBorders>
              <w:tl2br w:val="nil"/>
              <w:tr2bl w:val="nil"/>
            </w:tcBorders>
            <w:vAlign w:val="center"/>
          </w:tcPr>
          <w:p w14:paraId="7B442F6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一般情节</w:t>
            </w:r>
          </w:p>
        </w:tc>
        <w:tc>
          <w:tcPr>
            <w:tcW w:w="3437" w:type="dxa"/>
            <w:gridSpan w:val="2"/>
            <w:tcBorders>
              <w:tl2br w:val="nil"/>
              <w:tr2bl w:val="nil"/>
            </w:tcBorders>
            <w:vAlign w:val="center"/>
          </w:tcPr>
          <w:p w14:paraId="63B567A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不具有从轻、</w:t>
            </w:r>
            <w:r>
              <w:rPr>
                <w:rFonts w:hint="eastAsia" w:ascii="仿宋_GB2312" w:hAnsi="宋体" w:eastAsia="仿宋_GB2312"/>
                <w:color w:val="auto"/>
                <w:kern w:val="0"/>
                <w:sz w:val="13"/>
                <w:szCs w:val="13"/>
                <w:highlight w:val="none"/>
                <w:lang w:eastAsia="zh-CN"/>
              </w:rPr>
              <w:t>从重情节</w:t>
            </w:r>
            <w:r>
              <w:rPr>
                <w:rFonts w:hint="eastAsia" w:ascii="仿宋_GB2312" w:hAnsi="宋体" w:eastAsia="仿宋_GB2312"/>
                <w:color w:val="auto"/>
                <w:kern w:val="0"/>
                <w:sz w:val="13"/>
                <w:szCs w:val="13"/>
                <w:highlight w:val="none"/>
              </w:rPr>
              <w:t>的</w:t>
            </w:r>
          </w:p>
        </w:tc>
        <w:tc>
          <w:tcPr>
            <w:tcW w:w="3058" w:type="dxa"/>
            <w:tcBorders>
              <w:tl2br w:val="nil"/>
              <w:tr2bl w:val="nil"/>
            </w:tcBorders>
            <w:vAlign w:val="center"/>
          </w:tcPr>
          <w:p w14:paraId="415A93F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责令停止使用，重新组织竣工验收，处25万元以上40万元以下罚款。</w:t>
            </w:r>
          </w:p>
        </w:tc>
      </w:tr>
      <w:tr w14:paraId="32F0F27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472" w:hRule="atLeast"/>
          <w:jc w:val="center"/>
        </w:trPr>
        <w:tc>
          <w:tcPr>
            <w:tcW w:w="443" w:type="dxa"/>
            <w:gridSpan w:val="2"/>
            <w:vMerge w:val="continue"/>
            <w:tcBorders>
              <w:tl2br w:val="nil"/>
              <w:tr2bl w:val="nil"/>
            </w:tcBorders>
            <w:vAlign w:val="center"/>
          </w:tcPr>
          <w:p w14:paraId="6F6C63E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02927F9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vAlign w:val="center"/>
          </w:tcPr>
          <w:p w14:paraId="3C6424F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tcBorders>
              <w:tl2br w:val="nil"/>
              <w:tr2bl w:val="nil"/>
            </w:tcBorders>
            <w:vAlign w:val="center"/>
          </w:tcPr>
          <w:p w14:paraId="3542340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从重情节</w:t>
            </w:r>
          </w:p>
        </w:tc>
        <w:tc>
          <w:tcPr>
            <w:tcW w:w="3437" w:type="dxa"/>
            <w:gridSpan w:val="2"/>
            <w:tcBorders>
              <w:tl2br w:val="nil"/>
              <w:tr2bl w:val="nil"/>
            </w:tcBorders>
            <w:vAlign w:val="center"/>
          </w:tcPr>
          <w:p w14:paraId="4DE87D9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lang w:val="en-US" w:eastAsia="zh-CN"/>
              </w:rPr>
              <w:t>有下列情形之一的：</w:t>
            </w:r>
            <w:r>
              <w:rPr>
                <w:rFonts w:hint="eastAsia" w:ascii="仿宋_GB2312" w:hAnsi="宋体" w:eastAsia="仿宋_GB2312"/>
                <w:color w:val="auto"/>
                <w:kern w:val="0"/>
                <w:sz w:val="13"/>
                <w:szCs w:val="13"/>
                <w:highlight w:val="none"/>
              </w:rPr>
              <w:t>（1）曾因该违法行为被依法查处，再次实施该违法行为的；</w:t>
            </w:r>
          </w:p>
          <w:p w14:paraId="3BC94F8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（2）造成工程质量事故的；</w:t>
            </w:r>
          </w:p>
          <w:p w14:paraId="49476B2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（3）经有关部门确认，存在商业贿赂情形的；</w:t>
            </w:r>
          </w:p>
          <w:p w14:paraId="6815ED0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（4）其他依法应予从重处罚的情形。</w:t>
            </w:r>
          </w:p>
        </w:tc>
        <w:tc>
          <w:tcPr>
            <w:tcW w:w="3058" w:type="dxa"/>
            <w:tcBorders>
              <w:tl2br w:val="nil"/>
              <w:tr2bl w:val="nil"/>
            </w:tcBorders>
            <w:vAlign w:val="center"/>
          </w:tcPr>
          <w:p w14:paraId="6AC3BA2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责令停止使用，重新组织竣工验收，处40万元以上50万元以下罚款。</w:t>
            </w:r>
          </w:p>
        </w:tc>
      </w:tr>
      <w:tr w14:paraId="2F9D2F4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0" w:hRule="atLeast"/>
          <w:jc w:val="center"/>
        </w:trPr>
        <w:tc>
          <w:tcPr>
            <w:tcW w:w="443" w:type="dxa"/>
            <w:gridSpan w:val="2"/>
            <w:vMerge w:val="restart"/>
            <w:tcBorders>
              <w:tl2br w:val="nil"/>
              <w:tr2bl w:val="nil"/>
            </w:tcBorders>
            <w:vAlign w:val="center"/>
          </w:tcPr>
          <w:p w14:paraId="3C44522A">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Times New Roman"/>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99</w:t>
            </w:r>
          </w:p>
        </w:tc>
        <w:tc>
          <w:tcPr>
            <w:tcW w:w="1550" w:type="dxa"/>
            <w:vMerge w:val="restart"/>
            <w:tcBorders>
              <w:tl2br w:val="nil"/>
              <w:tr2bl w:val="nil"/>
            </w:tcBorders>
            <w:vAlign w:val="center"/>
          </w:tcPr>
          <w:p w14:paraId="7F8C42E0">
            <w:pPr>
              <w:keepNext w:val="0"/>
              <w:keepLines w:val="0"/>
              <w:pageBreakBefore w:val="0"/>
              <w:widowControl/>
              <w:numPr>
                <w:ilvl w:val="0"/>
                <w:numId w:val="0"/>
              </w:numPr>
              <w:kinsoku/>
              <w:overflowPunct/>
              <w:topLinePunct w:val="0"/>
              <w:autoSpaceDE/>
              <w:autoSpaceDN/>
              <w:bidi w:val="0"/>
              <w:adjustRightInd/>
              <w:snapToGrid/>
              <w:spacing w:beforeAutospacing="0" w:afterAutospacing="0" w:line="260" w:lineRule="exact"/>
              <w:ind w:left="0" w:leftChars="0" w:right="0" w:rightChars="0"/>
              <w:jc w:val="left"/>
              <w:rPr>
                <w:rFonts w:hint="eastAsia" w:ascii="仿宋_GB2312" w:hAnsi="宋体" w:eastAsia="仿宋_GB2312"/>
                <w:color w:val="auto"/>
                <w:kern w:val="0"/>
                <w:sz w:val="13"/>
                <w:szCs w:val="13"/>
                <w:highlight w:val="none"/>
                <w:lang w:val="en-US" w:eastAsia="zh-CN"/>
              </w:rPr>
            </w:pPr>
            <w:r>
              <w:rPr>
                <w:rFonts w:hint="eastAsia" w:ascii="仿宋_GB2312" w:hAnsi="宋体" w:eastAsia="仿宋_GB2312"/>
                <w:color w:val="auto"/>
                <w:kern w:val="0"/>
                <w:sz w:val="13"/>
                <w:szCs w:val="13"/>
                <w:highlight w:val="none"/>
                <w:lang w:val="en-US" w:eastAsia="zh-CN"/>
              </w:rPr>
              <w:t>施工单位有下列行为之一的：</w:t>
            </w:r>
          </w:p>
          <w:p w14:paraId="7D4E7E75">
            <w:pPr>
              <w:keepNext w:val="0"/>
              <w:keepLines w:val="0"/>
              <w:pageBreakBefore w:val="0"/>
              <w:widowControl/>
              <w:numPr>
                <w:ilvl w:val="0"/>
                <w:numId w:val="0"/>
              </w:numPr>
              <w:kinsoku/>
              <w:overflowPunct/>
              <w:topLinePunct w:val="0"/>
              <w:autoSpaceDE/>
              <w:autoSpaceDN/>
              <w:bidi w:val="0"/>
              <w:adjustRightInd/>
              <w:snapToGrid/>
              <w:spacing w:beforeAutospacing="0" w:afterAutospacing="0" w:line="260" w:lineRule="exact"/>
              <w:ind w:left="0" w:leftChars="0" w:right="0" w:rightChars="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lang w:eastAsia="zh-CN"/>
              </w:rPr>
              <w:t>（</w:t>
            </w:r>
            <w:r>
              <w:rPr>
                <w:rFonts w:hint="eastAsia" w:ascii="仿宋_GB2312" w:hAnsi="宋体" w:eastAsia="仿宋_GB2312"/>
                <w:color w:val="auto"/>
                <w:kern w:val="0"/>
                <w:sz w:val="13"/>
                <w:szCs w:val="13"/>
                <w:highlight w:val="none"/>
                <w:lang w:val="en-US" w:eastAsia="zh-CN"/>
              </w:rPr>
              <w:t>一</w:t>
            </w:r>
            <w:r>
              <w:rPr>
                <w:rFonts w:hint="eastAsia" w:ascii="仿宋_GB2312" w:hAnsi="宋体" w:eastAsia="仿宋_GB2312"/>
                <w:color w:val="auto"/>
                <w:kern w:val="0"/>
                <w:sz w:val="13"/>
                <w:szCs w:val="13"/>
                <w:highlight w:val="none"/>
                <w:lang w:eastAsia="zh-CN"/>
              </w:rPr>
              <w:t>）</w:t>
            </w:r>
            <w:r>
              <w:rPr>
                <w:rFonts w:hint="eastAsia" w:ascii="仿宋_GB2312" w:hAnsi="宋体" w:eastAsia="仿宋_GB2312"/>
                <w:color w:val="auto"/>
                <w:kern w:val="0"/>
                <w:sz w:val="13"/>
                <w:szCs w:val="13"/>
                <w:highlight w:val="none"/>
              </w:rPr>
              <w:t>工程竣工验收后，不向建设单位出具质量保修书的；</w:t>
            </w:r>
          </w:p>
          <w:p w14:paraId="7193F50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方正书宋简体" w:eastAsia="仿宋_GB2312"/>
                <w:color w:val="auto"/>
                <w:kern w:val="0"/>
                <w:sz w:val="13"/>
                <w:szCs w:val="13"/>
                <w:highlight w:val="none"/>
              </w:rPr>
            </w:pPr>
            <w:r>
              <w:rPr>
                <w:rFonts w:hint="eastAsia" w:ascii="仿宋_GB2312" w:hAnsi="宋体" w:eastAsia="仿宋_GB2312"/>
                <w:color w:val="auto"/>
                <w:kern w:val="0"/>
                <w:sz w:val="13"/>
                <w:szCs w:val="13"/>
                <w:highlight w:val="none"/>
                <w:lang w:eastAsia="zh-CN"/>
              </w:rPr>
              <w:t>（</w:t>
            </w:r>
            <w:r>
              <w:rPr>
                <w:rFonts w:hint="eastAsia" w:ascii="仿宋_GB2312" w:hAnsi="宋体" w:eastAsia="仿宋_GB2312"/>
                <w:color w:val="auto"/>
                <w:kern w:val="0"/>
                <w:sz w:val="13"/>
                <w:szCs w:val="13"/>
                <w:highlight w:val="none"/>
                <w:lang w:val="en-US" w:eastAsia="zh-CN"/>
              </w:rPr>
              <w:t>二</w:t>
            </w:r>
            <w:r>
              <w:rPr>
                <w:rFonts w:hint="eastAsia" w:ascii="仿宋_GB2312" w:hAnsi="宋体" w:eastAsia="仿宋_GB2312"/>
                <w:color w:val="auto"/>
                <w:kern w:val="0"/>
                <w:sz w:val="13"/>
                <w:szCs w:val="13"/>
                <w:highlight w:val="none"/>
                <w:lang w:eastAsia="zh-CN"/>
              </w:rPr>
              <w:t>）</w:t>
            </w:r>
            <w:r>
              <w:rPr>
                <w:rFonts w:hint="eastAsia" w:ascii="仿宋_GB2312" w:hAnsi="宋体" w:eastAsia="仿宋_GB2312"/>
                <w:color w:val="auto"/>
                <w:kern w:val="0"/>
                <w:sz w:val="13"/>
                <w:szCs w:val="13"/>
                <w:highlight w:val="none"/>
              </w:rPr>
              <w:t>质量保修的内容、期限违反本办法规定的。</w:t>
            </w:r>
          </w:p>
        </w:tc>
        <w:tc>
          <w:tcPr>
            <w:tcW w:w="4820" w:type="dxa"/>
            <w:vMerge w:val="restart"/>
            <w:tcBorders>
              <w:tl2br w:val="nil"/>
              <w:tr2bl w:val="nil"/>
            </w:tcBorders>
            <w:vAlign w:val="center"/>
          </w:tcPr>
          <w:p w14:paraId="69DCD20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《房屋建筑工程质量保修办法》第十八条</w:t>
            </w:r>
          </w:p>
          <w:p w14:paraId="751863D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施工单位有下列行为之一的，由建设行政主管部门责令改正，并处1万元以上3万元以下的罚款。</w:t>
            </w:r>
          </w:p>
          <w:p w14:paraId="22DE0D5B">
            <w:pPr>
              <w:keepNext w:val="0"/>
              <w:keepLines w:val="0"/>
              <w:pageBreakBefore w:val="0"/>
              <w:widowControl/>
              <w:numPr>
                <w:ilvl w:val="0"/>
                <w:numId w:val="0"/>
              </w:numPr>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lang w:eastAsia="zh-CN"/>
              </w:rPr>
              <w:t>（</w:t>
            </w:r>
            <w:r>
              <w:rPr>
                <w:rFonts w:hint="eastAsia" w:ascii="仿宋_GB2312" w:hAnsi="宋体" w:eastAsia="仿宋_GB2312"/>
                <w:color w:val="auto"/>
                <w:kern w:val="0"/>
                <w:sz w:val="13"/>
                <w:szCs w:val="13"/>
                <w:highlight w:val="none"/>
                <w:lang w:val="en-US" w:eastAsia="zh-CN"/>
              </w:rPr>
              <w:t>一</w:t>
            </w:r>
            <w:r>
              <w:rPr>
                <w:rFonts w:hint="eastAsia" w:ascii="仿宋_GB2312" w:hAnsi="宋体" w:eastAsia="仿宋_GB2312"/>
                <w:color w:val="auto"/>
                <w:kern w:val="0"/>
                <w:sz w:val="13"/>
                <w:szCs w:val="13"/>
                <w:highlight w:val="none"/>
                <w:lang w:eastAsia="zh-CN"/>
              </w:rPr>
              <w:t>）</w:t>
            </w:r>
            <w:r>
              <w:rPr>
                <w:rFonts w:hint="eastAsia" w:ascii="仿宋_GB2312" w:hAnsi="宋体" w:eastAsia="仿宋_GB2312"/>
                <w:color w:val="auto"/>
                <w:kern w:val="0"/>
                <w:sz w:val="13"/>
                <w:szCs w:val="13"/>
                <w:highlight w:val="none"/>
              </w:rPr>
              <w:t>工程竣工验收后，不向建设单位出具质量保修书的；</w:t>
            </w:r>
          </w:p>
          <w:p w14:paraId="66FC908D">
            <w:pPr>
              <w:keepNext w:val="0"/>
              <w:keepLines w:val="0"/>
              <w:pageBreakBefore w:val="0"/>
              <w:widowControl/>
              <w:numPr>
                <w:ilvl w:val="0"/>
                <w:numId w:val="0"/>
              </w:numPr>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lang w:eastAsia="zh-CN"/>
              </w:rPr>
              <w:t>（</w:t>
            </w:r>
            <w:r>
              <w:rPr>
                <w:rFonts w:hint="eastAsia" w:ascii="仿宋_GB2312" w:hAnsi="宋体" w:eastAsia="仿宋_GB2312"/>
                <w:color w:val="auto"/>
                <w:kern w:val="0"/>
                <w:sz w:val="13"/>
                <w:szCs w:val="13"/>
                <w:highlight w:val="none"/>
                <w:lang w:val="en-US" w:eastAsia="zh-CN"/>
              </w:rPr>
              <w:t>二</w:t>
            </w:r>
            <w:r>
              <w:rPr>
                <w:rFonts w:hint="eastAsia" w:ascii="仿宋_GB2312" w:hAnsi="宋体" w:eastAsia="仿宋_GB2312"/>
                <w:color w:val="auto"/>
                <w:kern w:val="0"/>
                <w:sz w:val="13"/>
                <w:szCs w:val="13"/>
                <w:highlight w:val="none"/>
                <w:lang w:eastAsia="zh-CN"/>
              </w:rPr>
              <w:t>）</w:t>
            </w:r>
            <w:r>
              <w:rPr>
                <w:rFonts w:hint="eastAsia" w:ascii="仿宋_GB2312" w:hAnsi="宋体" w:eastAsia="仿宋_GB2312"/>
                <w:color w:val="auto"/>
                <w:kern w:val="0"/>
                <w:sz w:val="13"/>
                <w:szCs w:val="13"/>
                <w:highlight w:val="none"/>
              </w:rPr>
              <w:t>质量保修的内容、期限违反本办法规定的。</w:t>
            </w:r>
          </w:p>
        </w:tc>
        <w:tc>
          <w:tcPr>
            <w:tcW w:w="823" w:type="dxa"/>
            <w:tcBorders>
              <w:tl2br w:val="nil"/>
              <w:tr2bl w:val="nil"/>
            </w:tcBorders>
            <w:vAlign w:val="center"/>
          </w:tcPr>
          <w:p w14:paraId="09DE037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rPr>
                <w:rFonts w:hint="eastAsia" w:ascii="仿宋_GB2312" w:hAnsi="方正书宋简体" w:eastAsia="仿宋_GB2312"/>
                <w:color w:val="auto"/>
                <w:kern w:val="0"/>
                <w:sz w:val="13"/>
                <w:szCs w:val="13"/>
                <w:highlight w:val="none"/>
                <w:lang w:eastAsia="zh-CN"/>
              </w:rPr>
            </w:pPr>
            <w:r>
              <w:rPr>
                <w:rFonts w:hint="eastAsia" w:ascii="仿宋_GB2312" w:hAnsi="方正书宋简体" w:eastAsia="仿宋_GB2312"/>
                <w:color w:val="auto"/>
                <w:kern w:val="0"/>
                <w:sz w:val="13"/>
                <w:szCs w:val="13"/>
                <w:highlight w:val="none"/>
                <w:lang w:eastAsia="zh-CN"/>
              </w:rPr>
              <w:t>从轻情节</w:t>
            </w:r>
          </w:p>
        </w:tc>
        <w:tc>
          <w:tcPr>
            <w:tcW w:w="3437" w:type="dxa"/>
            <w:gridSpan w:val="2"/>
            <w:tcBorders>
              <w:tl2br w:val="nil"/>
              <w:tr2bl w:val="nil"/>
            </w:tcBorders>
            <w:vAlign w:val="center"/>
          </w:tcPr>
          <w:p w14:paraId="7DAB4B0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初次违法，危害后果轻微，主动消除或减轻违法行为危害后果的。</w:t>
            </w:r>
          </w:p>
        </w:tc>
        <w:tc>
          <w:tcPr>
            <w:tcW w:w="3058" w:type="dxa"/>
            <w:tcBorders>
              <w:tl2br w:val="nil"/>
              <w:tr2bl w:val="nil"/>
            </w:tcBorders>
            <w:vAlign w:val="center"/>
          </w:tcPr>
          <w:p w14:paraId="604C6D4E">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责令改正，处1万元以上1.5万元以下的罚款。</w:t>
            </w:r>
          </w:p>
        </w:tc>
      </w:tr>
      <w:tr w14:paraId="04F3E3C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90" w:hRule="atLeast"/>
          <w:jc w:val="center"/>
        </w:trPr>
        <w:tc>
          <w:tcPr>
            <w:tcW w:w="443" w:type="dxa"/>
            <w:gridSpan w:val="2"/>
            <w:vMerge w:val="continue"/>
            <w:tcBorders>
              <w:tl2br w:val="nil"/>
              <w:tr2bl w:val="nil"/>
            </w:tcBorders>
            <w:vAlign w:val="center"/>
          </w:tcPr>
          <w:p w14:paraId="662BD2F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7F84608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方正书宋简体" w:eastAsia="仿宋_GB2312"/>
                <w:color w:val="auto"/>
                <w:kern w:val="0"/>
                <w:sz w:val="13"/>
                <w:szCs w:val="13"/>
                <w:highlight w:val="none"/>
              </w:rPr>
            </w:pPr>
          </w:p>
        </w:tc>
        <w:tc>
          <w:tcPr>
            <w:tcW w:w="4820" w:type="dxa"/>
            <w:vMerge w:val="continue"/>
            <w:tcBorders>
              <w:tl2br w:val="nil"/>
              <w:tr2bl w:val="nil"/>
            </w:tcBorders>
            <w:vAlign w:val="center"/>
          </w:tcPr>
          <w:p w14:paraId="16310E6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823" w:type="dxa"/>
            <w:tcBorders>
              <w:tl2br w:val="nil"/>
              <w:tr2bl w:val="nil"/>
            </w:tcBorders>
            <w:vAlign w:val="center"/>
          </w:tcPr>
          <w:p w14:paraId="4BF1893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rPr>
                <w:rFonts w:hint="eastAsia" w:ascii="仿宋_GB2312" w:hAnsi="方正书宋简体" w:eastAsia="仿宋_GB2312"/>
                <w:color w:val="auto"/>
                <w:kern w:val="0"/>
                <w:sz w:val="13"/>
                <w:szCs w:val="13"/>
                <w:highlight w:val="none"/>
                <w:lang w:eastAsia="zh-CN"/>
              </w:rPr>
            </w:pPr>
            <w:r>
              <w:rPr>
                <w:rFonts w:hint="eastAsia" w:ascii="仿宋_GB2312" w:hAnsi="方正书宋简体" w:eastAsia="仿宋_GB2312"/>
                <w:color w:val="auto"/>
                <w:kern w:val="0"/>
                <w:sz w:val="13"/>
                <w:szCs w:val="13"/>
                <w:highlight w:val="none"/>
                <w:lang w:eastAsia="zh-CN"/>
              </w:rPr>
              <w:t>一般情节</w:t>
            </w:r>
          </w:p>
        </w:tc>
        <w:tc>
          <w:tcPr>
            <w:tcW w:w="3437" w:type="dxa"/>
            <w:gridSpan w:val="2"/>
            <w:tcBorders>
              <w:tl2br w:val="nil"/>
              <w:tr2bl w:val="nil"/>
            </w:tcBorders>
            <w:vAlign w:val="center"/>
          </w:tcPr>
          <w:p w14:paraId="45DDE2A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不具有从轻、</w:t>
            </w:r>
            <w:r>
              <w:rPr>
                <w:rFonts w:hint="eastAsia" w:ascii="仿宋_GB2312" w:hAnsi="宋体" w:eastAsia="仿宋_GB2312"/>
                <w:color w:val="auto"/>
                <w:kern w:val="0"/>
                <w:sz w:val="13"/>
                <w:szCs w:val="13"/>
                <w:highlight w:val="none"/>
                <w:lang w:eastAsia="zh-CN"/>
              </w:rPr>
              <w:t>从重情节</w:t>
            </w:r>
            <w:r>
              <w:rPr>
                <w:rFonts w:hint="eastAsia" w:ascii="仿宋_GB2312" w:hAnsi="宋体" w:eastAsia="仿宋_GB2312"/>
                <w:color w:val="auto"/>
                <w:kern w:val="0"/>
                <w:sz w:val="13"/>
                <w:szCs w:val="13"/>
                <w:highlight w:val="none"/>
              </w:rPr>
              <w:t>的。</w:t>
            </w:r>
          </w:p>
        </w:tc>
        <w:tc>
          <w:tcPr>
            <w:tcW w:w="3058" w:type="dxa"/>
            <w:tcBorders>
              <w:tl2br w:val="nil"/>
              <w:tr2bl w:val="nil"/>
            </w:tcBorders>
            <w:vAlign w:val="center"/>
          </w:tcPr>
          <w:p w14:paraId="6C62F0C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责令改正，处1.5万元以上2.5万元以下的罚款。</w:t>
            </w:r>
          </w:p>
        </w:tc>
      </w:tr>
      <w:tr w14:paraId="3BA9408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472" w:hRule="atLeast"/>
          <w:jc w:val="center"/>
        </w:trPr>
        <w:tc>
          <w:tcPr>
            <w:tcW w:w="443" w:type="dxa"/>
            <w:gridSpan w:val="2"/>
            <w:vMerge w:val="continue"/>
            <w:tcBorders>
              <w:tl2br w:val="nil"/>
              <w:tr2bl w:val="nil"/>
            </w:tcBorders>
            <w:vAlign w:val="center"/>
          </w:tcPr>
          <w:p w14:paraId="3F8D11D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453E60A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方正书宋简体" w:eastAsia="仿宋_GB2312"/>
                <w:color w:val="auto"/>
                <w:kern w:val="0"/>
                <w:sz w:val="13"/>
                <w:szCs w:val="13"/>
                <w:highlight w:val="none"/>
              </w:rPr>
            </w:pPr>
          </w:p>
        </w:tc>
        <w:tc>
          <w:tcPr>
            <w:tcW w:w="4820" w:type="dxa"/>
            <w:vMerge w:val="continue"/>
            <w:tcBorders>
              <w:tl2br w:val="nil"/>
              <w:tr2bl w:val="nil"/>
            </w:tcBorders>
            <w:vAlign w:val="center"/>
          </w:tcPr>
          <w:p w14:paraId="030F648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823" w:type="dxa"/>
            <w:tcBorders>
              <w:tl2br w:val="nil"/>
              <w:tr2bl w:val="nil"/>
            </w:tcBorders>
            <w:vAlign w:val="center"/>
          </w:tcPr>
          <w:p w14:paraId="5A6482A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rPr>
                <w:rFonts w:hint="eastAsia" w:ascii="仿宋_GB2312" w:hAnsi="方正书宋简体" w:eastAsia="仿宋_GB2312"/>
                <w:color w:val="auto"/>
                <w:kern w:val="0"/>
                <w:sz w:val="13"/>
                <w:szCs w:val="13"/>
                <w:highlight w:val="none"/>
                <w:lang w:eastAsia="zh-CN"/>
              </w:rPr>
            </w:pPr>
            <w:r>
              <w:rPr>
                <w:rFonts w:hint="eastAsia" w:ascii="仿宋_GB2312" w:hAnsi="方正书宋简体" w:eastAsia="仿宋_GB2312"/>
                <w:color w:val="auto"/>
                <w:kern w:val="0"/>
                <w:sz w:val="13"/>
                <w:szCs w:val="13"/>
                <w:highlight w:val="none"/>
                <w:lang w:eastAsia="zh-CN"/>
              </w:rPr>
              <w:t>从重情节</w:t>
            </w:r>
          </w:p>
        </w:tc>
        <w:tc>
          <w:tcPr>
            <w:tcW w:w="3437" w:type="dxa"/>
            <w:gridSpan w:val="2"/>
            <w:tcBorders>
              <w:tl2br w:val="nil"/>
              <w:tr2bl w:val="nil"/>
            </w:tcBorders>
            <w:vAlign w:val="center"/>
          </w:tcPr>
          <w:p w14:paraId="34A2838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lang w:val="en-US" w:eastAsia="zh-CN"/>
              </w:rPr>
              <w:t>有下列情形之一的：</w:t>
            </w:r>
            <w:r>
              <w:rPr>
                <w:rFonts w:hint="eastAsia" w:ascii="仿宋_GB2312" w:hAnsi="宋体" w:eastAsia="仿宋_GB2312"/>
                <w:color w:val="auto"/>
                <w:kern w:val="0"/>
                <w:sz w:val="13"/>
                <w:szCs w:val="13"/>
                <w:highlight w:val="none"/>
              </w:rPr>
              <w:t>（1）经责令改正后，逾期未改正的；</w:t>
            </w:r>
          </w:p>
          <w:p w14:paraId="7326EBA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（2）曾因该违法行为被依法查处，再次实施该违法行为的；</w:t>
            </w:r>
          </w:p>
          <w:p w14:paraId="45AE132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（3）造成工程质量事故的；</w:t>
            </w:r>
          </w:p>
          <w:p w14:paraId="7D11937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（4）其他依法应予从重处罚的情形</w:t>
            </w:r>
          </w:p>
        </w:tc>
        <w:tc>
          <w:tcPr>
            <w:tcW w:w="3058" w:type="dxa"/>
            <w:tcBorders>
              <w:tl2br w:val="nil"/>
              <w:tr2bl w:val="nil"/>
            </w:tcBorders>
            <w:vAlign w:val="center"/>
          </w:tcPr>
          <w:p w14:paraId="6D3D3791">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责令改正，处2.5万元以上3万元以下的罚款。</w:t>
            </w:r>
          </w:p>
        </w:tc>
      </w:tr>
      <w:tr w14:paraId="06D6654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8" w:hRule="atLeast"/>
          <w:jc w:val="center"/>
        </w:trPr>
        <w:tc>
          <w:tcPr>
            <w:tcW w:w="443" w:type="dxa"/>
            <w:gridSpan w:val="2"/>
            <w:vMerge w:val="restart"/>
            <w:tcBorders>
              <w:tl2br w:val="nil"/>
              <w:tr2bl w:val="nil"/>
            </w:tcBorders>
            <w:vAlign w:val="center"/>
          </w:tcPr>
          <w:p w14:paraId="23630ADF">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Times New Roman"/>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100</w:t>
            </w:r>
          </w:p>
        </w:tc>
        <w:tc>
          <w:tcPr>
            <w:tcW w:w="1550" w:type="dxa"/>
            <w:vMerge w:val="restart"/>
            <w:tcBorders>
              <w:tl2br w:val="nil"/>
              <w:tr2bl w:val="nil"/>
            </w:tcBorders>
            <w:vAlign w:val="center"/>
          </w:tcPr>
          <w:p w14:paraId="0B330D77">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方正书宋简体" w:eastAsia="仿宋_GB2312"/>
                <w:color w:val="auto"/>
                <w:kern w:val="0"/>
                <w:sz w:val="13"/>
                <w:szCs w:val="13"/>
                <w:highlight w:val="none"/>
              </w:rPr>
            </w:pPr>
          </w:p>
          <w:p w14:paraId="2A6C121A">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方正书宋简体" w:eastAsia="仿宋_GB2312"/>
                <w:color w:val="auto"/>
                <w:kern w:val="0"/>
                <w:sz w:val="13"/>
                <w:szCs w:val="13"/>
                <w:highlight w:val="none"/>
              </w:rPr>
            </w:pPr>
          </w:p>
          <w:p w14:paraId="6CF54ABD">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方正书宋简体" w:eastAsia="仿宋_GB2312"/>
                <w:color w:val="auto"/>
                <w:kern w:val="0"/>
                <w:sz w:val="13"/>
                <w:szCs w:val="13"/>
                <w:highlight w:val="none"/>
              </w:rPr>
            </w:pPr>
          </w:p>
          <w:p w14:paraId="3C3806CF">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方正书宋简体" w:eastAsia="仿宋_GB2312"/>
                <w:color w:val="auto"/>
                <w:kern w:val="0"/>
                <w:sz w:val="13"/>
                <w:szCs w:val="13"/>
                <w:highlight w:val="none"/>
              </w:rPr>
            </w:pPr>
            <w:r>
              <w:rPr>
                <w:rFonts w:hint="eastAsia" w:ascii="仿宋_GB2312" w:hAnsi="宋体" w:eastAsia="仿宋_GB2312"/>
                <w:color w:val="auto"/>
                <w:kern w:val="0"/>
                <w:sz w:val="13"/>
                <w:szCs w:val="13"/>
                <w:highlight w:val="none"/>
              </w:rPr>
              <w:t>未取得相应资质、资质证书已过有效期或者超出资质许可范围从事建设工程质量检测活动</w:t>
            </w:r>
          </w:p>
        </w:tc>
        <w:tc>
          <w:tcPr>
            <w:tcW w:w="4820" w:type="dxa"/>
            <w:vMerge w:val="restart"/>
            <w:tcBorders>
              <w:tl2br w:val="nil"/>
              <w:tr2bl w:val="nil"/>
            </w:tcBorders>
            <w:vAlign w:val="center"/>
          </w:tcPr>
          <w:p w14:paraId="2383A9D4">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《建设工程质量检测管理办法》第三十九条　</w:t>
            </w:r>
          </w:p>
          <w:p w14:paraId="3A59D4D7">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违反本办法规定，未取得相应资质、资质证书已过有效期或者超出资质许可范围从事建设工程质量检测活动的，其检测报告无效，由县级以上地方人民政府住房和城乡建设主管部门处5万元以上10万元以下罚款；造成危害后果的，处10万元以上20万元以下罚款；构成犯罪的，依法追究刑事责任。</w:t>
            </w:r>
          </w:p>
          <w:p w14:paraId="7AB872F4">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hint="eastAsia" w:ascii="仿宋_GB2312" w:hAnsi="宋体" w:eastAsia="仿宋_GB2312"/>
                <w:color w:val="auto"/>
                <w:kern w:val="0"/>
                <w:sz w:val="13"/>
                <w:szCs w:val="13"/>
                <w:highlight w:val="none"/>
              </w:rPr>
            </w:pPr>
          </w:p>
          <w:p w14:paraId="1FF8EB12">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《建设工程质量检测管理办法》第四十八条　</w:t>
            </w:r>
          </w:p>
          <w:p w14:paraId="378DC357">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依照本办法规定，给予单位罚款处罚的，对单位直接负责的主管人员和其他直接责任人员处3万元以下罚款。</w:t>
            </w:r>
          </w:p>
        </w:tc>
        <w:tc>
          <w:tcPr>
            <w:tcW w:w="823" w:type="dxa"/>
            <w:tcBorders>
              <w:tl2br w:val="nil"/>
              <w:tr2bl w:val="nil"/>
            </w:tcBorders>
            <w:vAlign w:val="center"/>
          </w:tcPr>
          <w:p w14:paraId="3A07A08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vAlign w:val="center"/>
          </w:tcPr>
          <w:p w14:paraId="433F504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初次违法，主动消除或减轻违法行为危害后果的。</w:t>
            </w:r>
          </w:p>
        </w:tc>
        <w:tc>
          <w:tcPr>
            <w:tcW w:w="3058" w:type="dxa"/>
            <w:tcBorders>
              <w:tl2br w:val="nil"/>
              <w:tr2bl w:val="nil"/>
            </w:tcBorders>
            <w:vAlign w:val="center"/>
          </w:tcPr>
          <w:p w14:paraId="3F84E44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责令改正，处</w:t>
            </w:r>
            <w:r>
              <w:rPr>
                <w:rFonts w:hint="eastAsia" w:ascii="仿宋_GB2312" w:hAnsi="宋体" w:eastAsia="仿宋_GB2312"/>
                <w:color w:val="auto"/>
                <w:kern w:val="0"/>
                <w:sz w:val="13"/>
                <w:szCs w:val="13"/>
                <w:highlight w:val="none"/>
                <w:lang w:val="en-US" w:eastAsia="zh-CN"/>
              </w:rPr>
              <w:t>5</w:t>
            </w:r>
            <w:r>
              <w:rPr>
                <w:rFonts w:hint="eastAsia" w:ascii="仿宋_GB2312" w:hAnsi="宋体" w:eastAsia="仿宋_GB2312"/>
                <w:color w:val="auto"/>
                <w:kern w:val="0"/>
                <w:sz w:val="13"/>
                <w:szCs w:val="13"/>
                <w:highlight w:val="none"/>
              </w:rPr>
              <w:t>万元以上</w:t>
            </w:r>
            <w:r>
              <w:rPr>
                <w:rFonts w:hint="eastAsia" w:ascii="仿宋_GB2312" w:hAnsi="宋体" w:eastAsia="仿宋_GB2312"/>
                <w:color w:val="auto"/>
                <w:kern w:val="0"/>
                <w:sz w:val="13"/>
                <w:szCs w:val="13"/>
                <w:highlight w:val="none"/>
                <w:lang w:val="en-US" w:eastAsia="zh-CN"/>
              </w:rPr>
              <w:t>8</w:t>
            </w:r>
            <w:r>
              <w:rPr>
                <w:rFonts w:hint="eastAsia" w:ascii="仿宋_GB2312" w:hAnsi="宋体" w:eastAsia="仿宋_GB2312"/>
                <w:color w:val="auto"/>
                <w:kern w:val="0"/>
                <w:sz w:val="13"/>
                <w:szCs w:val="13"/>
                <w:highlight w:val="none"/>
              </w:rPr>
              <w:t>万元以下的罚款，对检测机构的直接负责的主管人员和其他直接责任人员处</w:t>
            </w:r>
            <w:r>
              <w:rPr>
                <w:rFonts w:hint="eastAsia" w:ascii="仿宋_GB2312" w:hAnsi="宋体" w:eastAsia="仿宋_GB2312"/>
                <w:color w:val="auto"/>
                <w:kern w:val="0"/>
                <w:sz w:val="13"/>
                <w:szCs w:val="13"/>
                <w:highlight w:val="none"/>
                <w:lang w:val="en-US" w:eastAsia="zh-CN"/>
              </w:rPr>
              <w:t>1万元以下</w:t>
            </w:r>
            <w:r>
              <w:rPr>
                <w:rFonts w:hint="eastAsia" w:ascii="仿宋_GB2312" w:hAnsi="宋体" w:eastAsia="仿宋_GB2312"/>
                <w:color w:val="auto"/>
                <w:kern w:val="0"/>
                <w:sz w:val="13"/>
                <w:szCs w:val="13"/>
                <w:highlight w:val="none"/>
              </w:rPr>
              <w:t>的罚款。</w:t>
            </w:r>
          </w:p>
        </w:tc>
      </w:tr>
      <w:tr w14:paraId="7F9DBDB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8" w:hRule="atLeast"/>
          <w:jc w:val="center"/>
        </w:trPr>
        <w:tc>
          <w:tcPr>
            <w:tcW w:w="443" w:type="dxa"/>
            <w:gridSpan w:val="2"/>
            <w:vMerge w:val="continue"/>
            <w:tcBorders>
              <w:tl2br w:val="nil"/>
              <w:tr2bl w:val="nil"/>
            </w:tcBorders>
            <w:vAlign w:val="center"/>
          </w:tcPr>
          <w:p w14:paraId="3227910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3BF146F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方正书宋简体" w:eastAsia="仿宋_GB2312"/>
                <w:color w:val="auto"/>
                <w:kern w:val="0"/>
                <w:sz w:val="13"/>
                <w:szCs w:val="13"/>
                <w:highlight w:val="none"/>
              </w:rPr>
            </w:pPr>
          </w:p>
        </w:tc>
        <w:tc>
          <w:tcPr>
            <w:tcW w:w="4820" w:type="dxa"/>
            <w:vMerge w:val="continue"/>
            <w:tcBorders>
              <w:tl2br w:val="nil"/>
              <w:tr2bl w:val="nil"/>
            </w:tcBorders>
          </w:tcPr>
          <w:p w14:paraId="5929B82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方正书宋简体" w:eastAsia="仿宋_GB2312"/>
                <w:color w:val="auto"/>
                <w:kern w:val="0"/>
                <w:sz w:val="13"/>
                <w:szCs w:val="13"/>
                <w:highlight w:val="none"/>
              </w:rPr>
            </w:pPr>
          </w:p>
        </w:tc>
        <w:tc>
          <w:tcPr>
            <w:tcW w:w="823" w:type="dxa"/>
            <w:tcBorders>
              <w:tl2br w:val="nil"/>
              <w:tr2bl w:val="nil"/>
            </w:tcBorders>
            <w:vAlign w:val="center"/>
          </w:tcPr>
          <w:p w14:paraId="0501D1B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一般情节</w:t>
            </w:r>
          </w:p>
        </w:tc>
        <w:tc>
          <w:tcPr>
            <w:tcW w:w="3437" w:type="dxa"/>
            <w:gridSpan w:val="2"/>
            <w:tcBorders>
              <w:tl2br w:val="nil"/>
              <w:tr2bl w:val="nil"/>
            </w:tcBorders>
            <w:vAlign w:val="center"/>
          </w:tcPr>
          <w:p w14:paraId="307F46A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不具有从轻、</w:t>
            </w:r>
            <w:r>
              <w:rPr>
                <w:rFonts w:hint="eastAsia" w:ascii="仿宋_GB2312" w:hAnsi="宋体" w:eastAsia="仿宋_GB2312"/>
                <w:color w:val="auto"/>
                <w:kern w:val="0"/>
                <w:sz w:val="13"/>
                <w:szCs w:val="13"/>
                <w:highlight w:val="none"/>
                <w:lang w:eastAsia="zh-CN"/>
              </w:rPr>
              <w:t>从重情节</w:t>
            </w:r>
            <w:r>
              <w:rPr>
                <w:rFonts w:hint="eastAsia" w:ascii="仿宋_GB2312" w:hAnsi="宋体" w:eastAsia="仿宋_GB2312"/>
                <w:color w:val="auto"/>
                <w:kern w:val="0"/>
                <w:sz w:val="13"/>
                <w:szCs w:val="13"/>
                <w:highlight w:val="none"/>
              </w:rPr>
              <w:t>的。</w:t>
            </w:r>
          </w:p>
        </w:tc>
        <w:tc>
          <w:tcPr>
            <w:tcW w:w="3058" w:type="dxa"/>
            <w:tcBorders>
              <w:tl2br w:val="nil"/>
              <w:tr2bl w:val="nil"/>
            </w:tcBorders>
            <w:vAlign w:val="center"/>
          </w:tcPr>
          <w:p w14:paraId="6C33E57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责令改正，处</w:t>
            </w:r>
            <w:r>
              <w:rPr>
                <w:rFonts w:hint="eastAsia" w:ascii="仿宋_GB2312" w:hAnsi="宋体" w:eastAsia="仿宋_GB2312"/>
                <w:color w:val="auto"/>
                <w:kern w:val="0"/>
                <w:sz w:val="13"/>
                <w:szCs w:val="13"/>
                <w:highlight w:val="none"/>
                <w:lang w:val="en-US" w:eastAsia="zh-CN"/>
              </w:rPr>
              <w:t>8</w:t>
            </w:r>
            <w:r>
              <w:rPr>
                <w:rFonts w:hint="eastAsia" w:ascii="仿宋_GB2312" w:hAnsi="宋体" w:eastAsia="仿宋_GB2312"/>
                <w:color w:val="auto"/>
                <w:kern w:val="0"/>
                <w:sz w:val="13"/>
                <w:szCs w:val="13"/>
                <w:highlight w:val="none"/>
              </w:rPr>
              <w:t>万元以上</w:t>
            </w:r>
            <w:r>
              <w:rPr>
                <w:rFonts w:hint="eastAsia" w:ascii="仿宋_GB2312" w:hAnsi="宋体" w:eastAsia="仿宋_GB2312"/>
                <w:color w:val="auto"/>
                <w:kern w:val="0"/>
                <w:sz w:val="13"/>
                <w:szCs w:val="13"/>
                <w:highlight w:val="none"/>
                <w:lang w:val="en-US" w:eastAsia="zh-CN"/>
              </w:rPr>
              <w:t>10</w:t>
            </w:r>
            <w:r>
              <w:rPr>
                <w:rFonts w:hint="eastAsia" w:ascii="仿宋_GB2312" w:hAnsi="宋体" w:eastAsia="仿宋_GB2312"/>
                <w:color w:val="auto"/>
                <w:kern w:val="0"/>
                <w:sz w:val="13"/>
                <w:szCs w:val="13"/>
                <w:highlight w:val="none"/>
              </w:rPr>
              <w:t>万元以下的罚款，对检测机构的直接负责的主管人员和其他直接责任人员处</w:t>
            </w:r>
            <w:r>
              <w:rPr>
                <w:rFonts w:hint="eastAsia" w:ascii="仿宋_GB2312" w:hAnsi="宋体" w:eastAsia="仿宋_GB2312"/>
                <w:color w:val="auto"/>
                <w:kern w:val="0"/>
                <w:sz w:val="13"/>
                <w:szCs w:val="13"/>
                <w:highlight w:val="none"/>
                <w:lang w:val="en-US" w:eastAsia="zh-CN"/>
              </w:rPr>
              <w:t>1万元以上2万元以下</w:t>
            </w:r>
            <w:r>
              <w:rPr>
                <w:rFonts w:hint="eastAsia" w:ascii="仿宋_GB2312" w:hAnsi="宋体" w:eastAsia="仿宋_GB2312"/>
                <w:color w:val="auto"/>
                <w:kern w:val="0"/>
                <w:sz w:val="13"/>
                <w:szCs w:val="13"/>
                <w:highlight w:val="none"/>
              </w:rPr>
              <w:t>的罚款。</w:t>
            </w:r>
          </w:p>
        </w:tc>
      </w:tr>
      <w:tr w14:paraId="2725E76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905" w:hRule="atLeast"/>
          <w:jc w:val="center"/>
        </w:trPr>
        <w:tc>
          <w:tcPr>
            <w:tcW w:w="443" w:type="dxa"/>
            <w:gridSpan w:val="2"/>
            <w:vMerge w:val="continue"/>
            <w:tcBorders>
              <w:tl2br w:val="nil"/>
              <w:tr2bl w:val="nil"/>
            </w:tcBorders>
            <w:vAlign w:val="center"/>
          </w:tcPr>
          <w:p w14:paraId="60F9A65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2A5D436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方正书宋简体" w:eastAsia="仿宋_GB2312"/>
                <w:color w:val="auto"/>
                <w:kern w:val="0"/>
                <w:sz w:val="13"/>
                <w:szCs w:val="13"/>
                <w:highlight w:val="none"/>
              </w:rPr>
            </w:pPr>
          </w:p>
        </w:tc>
        <w:tc>
          <w:tcPr>
            <w:tcW w:w="4820" w:type="dxa"/>
            <w:vMerge w:val="continue"/>
            <w:tcBorders>
              <w:tl2br w:val="nil"/>
              <w:tr2bl w:val="nil"/>
            </w:tcBorders>
            <w:vAlign w:val="center"/>
          </w:tcPr>
          <w:p w14:paraId="3601B31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方正书宋简体" w:eastAsia="仿宋_GB2312"/>
                <w:color w:val="auto"/>
                <w:kern w:val="0"/>
                <w:sz w:val="13"/>
                <w:szCs w:val="13"/>
                <w:highlight w:val="none"/>
              </w:rPr>
            </w:pPr>
          </w:p>
        </w:tc>
        <w:tc>
          <w:tcPr>
            <w:tcW w:w="823" w:type="dxa"/>
            <w:vMerge w:val="restart"/>
            <w:tcBorders>
              <w:tl2br w:val="nil"/>
              <w:tr2bl w:val="nil"/>
            </w:tcBorders>
            <w:vAlign w:val="center"/>
          </w:tcPr>
          <w:p w14:paraId="20DD075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从重情节</w:t>
            </w:r>
          </w:p>
        </w:tc>
        <w:tc>
          <w:tcPr>
            <w:tcW w:w="3437" w:type="dxa"/>
            <w:gridSpan w:val="2"/>
            <w:tcBorders>
              <w:tl2br w:val="nil"/>
              <w:tr2bl w:val="nil"/>
            </w:tcBorders>
            <w:vAlign w:val="center"/>
          </w:tcPr>
          <w:p w14:paraId="54F6DB3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lang w:val="en-US" w:eastAsia="zh-CN"/>
              </w:rPr>
              <w:t>有下列情形之一的：</w:t>
            </w:r>
            <w:r>
              <w:rPr>
                <w:rFonts w:hint="eastAsia" w:ascii="仿宋_GB2312" w:hAnsi="宋体" w:eastAsia="仿宋_GB2312"/>
                <w:color w:val="auto"/>
                <w:kern w:val="0"/>
                <w:sz w:val="13"/>
                <w:szCs w:val="13"/>
                <w:highlight w:val="none"/>
              </w:rPr>
              <w:t>（1）经责令改正后，逾期未改正的；</w:t>
            </w:r>
          </w:p>
          <w:p w14:paraId="0BEB136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（2）曾因该违法行为被依法查处，再次实施该违法行为的；</w:t>
            </w:r>
          </w:p>
        </w:tc>
        <w:tc>
          <w:tcPr>
            <w:tcW w:w="3058" w:type="dxa"/>
            <w:tcBorders>
              <w:tl2br w:val="nil"/>
              <w:tr2bl w:val="nil"/>
            </w:tcBorders>
            <w:vAlign w:val="center"/>
          </w:tcPr>
          <w:p w14:paraId="61D7E7F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责令改正，处</w:t>
            </w:r>
            <w:r>
              <w:rPr>
                <w:rFonts w:hint="eastAsia" w:ascii="仿宋_GB2312" w:hAnsi="宋体" w:eastAsia="仿宋_GB2312"/>
                <w:color w:val="auto"/>
                <w:kern w:val="0"/>
                <w:sz w:val="13"/>
                <w:szCs w:val="13"/>
                <w:highlight w:val="none"/>
                <w:lang w:val="en-US" w:eastAsia="zh-CN"/>
              </w:rPr>
              <w:t>10</w:t>
            </w:r>
            <w:r>
              <w:rPr>
                <w:rFonts w:hint="eastAsia" w:ascii="仿宋_GB2312" w:hAnsi="宋体" w:eastAsia="仿宋_GB2312"/>
                <w:color w:val="auto"/>
                <w:kern w:val="0"/>
                <w:sz w:val="13"/>
                <w:szCs w:val="13"/>
                <w:highlight w:val="none"/>
              </w:rPr>
              <w:t>万元以上</w:t>
            </w:r>
            <w:r>
              <w:rPr>
                <w:rFonts w:hint="eastAsia" w:ascii="仿宋_GB2312" w:hAnsi="宋体" w:eastAsia="仿宋_GB2312"/>
                <w:color w:val="auto"/>
                <w:kern w:val="0"/>
                <w:sz w:val="13"/>
                <w:szCs w:val="13"/>
                <w:highlight w:val="none"/>
                <w:lang w:val="en-US" w:eastAsia="zh-CN"/>
              </w:rPr>
              <w:t>15</w:t>
            </w:r>
            <w:r>
              <w:rPr>
                <w:rFonts w:hint="eastAsia" w:ascii="仿宋_GB2312" w:hAnsi="宋体" w:eastAsia="仿宋_GB2312"/>
                <w:color w:val="auto"/>
                <w:kern w:val="0"/>
                <w:sz w:val="13"/>
                <w:szCs w:val="13"/>
                <w:highlight w:val="none"/>
              </w:rPr>
              <w:t>万元以下的罚款，对检测机构的直接负责的主管人员和其他直接责任人员处</w:t>
            </w:r>
            <w:r>
              <w:rPr>
                <w:rFonts w:hint="eastAsia" w:ascii="仿宋_GB2312" w:hAnsi="宋体" w:eastAsia="仿宋_GB2312"/>
                <w:color w:val="auto"/>
                <w:kern w:val="0"/>
                <w:sz w:val="13"/>
                <w:szCs w:val="13"/>
                <w:highlight w:val="none"/>
                <w:lang w:val="en-US" w:eastAsia="zh-CN"/>
              </w:rPr>
              <w:t>3万元罚款</w:t>
            </w:r>
            <w:r>
              <w:rPr>
                <w:rFonts w:hint="eastAsia" w:ascii="仿宋_GB2312" w:hAnsi="宋体" w:eastAsia="仿宋_GB2312"/>
                <w:color w:val="auto"/>
                <w:kern w:val="0"/>
                <w:sz w:val="13"/>
                <w:szCs w:val="13"/>
                <w:highlight w:val="none"/>
              </w:rPr>
              <w:t>。</w:t>
            </w:r>
          </w:p>
        </w:tc>
      </w:tr>
      <w:tr w14:paraId="08DF1EF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905" w:hRule="atLeast"/>
          <w:jc w:val="center"/>
        </w:trPr>
        <w:tc>
          <w:tcPr>
            <w:tcW w:w="443" w:type="dxa"/>
            <w:gridSpan w:val="2"/>
            <w:vMerge w:val="continue"/>
            <w:tcBorders>
              <w:tl2br w:val="nil"/>
              <w:tr2bl w:val="nil"/>
            </w:tcBorders>
            <w:vAlign w:val="center"/>
          </w:tcPr>
          <w:p w14:paraId="2BF01E5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10" w:firstLineChars="100"/>
              <w:jc w:val="left"/>
              <w:rPr>
                <w:color w:val="auto"/>
                <w:highlight w:val="none"/>
              </w:rPr>
            </w:pPr>
          </w:p>
        </w:tc>
        <w:tc>
          <w:tcPr>
            <w:tcW w:w="1550" w:type="dxa"/>
            <w:vMerge w:val="continue"/>
            <w:tcBorders>
              <w:tl2br w:val="nil"/>
              <w:tr2bl w:val="nil"/>
            </w:tcBorders>
            <w:vAlign w:val="center"/>
          </w:tcPr>
          <w:p w14:paraId="1D686D1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10" w:firstLineChars="100"/>
              <w:jc w:val="left"/>
              <w:rPr>
                <w:color w:val="auto"/>
                <w:highlight w:val="none"/>
              </w:rPr>
            </w:pPr>
          </w:p>
        </w:tc>
        <w:tc>
          <w:tcPr>
            <w:tcW w:w="4820" w:type="dxa"/>
            <w:vMerge w:val="continue"/>
            <w:tcBorders>
              <w:tl2br w:val="nil"/>
              <w:tr2bl w:val="nil"/>
            </w:tcBorders>
            <w:vAlign w:val="center"/>
          </w:tcPr>
          <w:p w14:paraId="4F99567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10" w:firstLineChars="100"/>
              <w:jc w:val="left"/>
              <w:rPr>
                <w:color w:val="auto"/>
                <w:highlight w:val="none"/>
              </w:rPr>
            </w:pPr>
          </w:p>
        </w:tc>
        <w:tc>
          <w:tcPr>
            <w:tcW w:w="823" w:type="dxa"/>
            <w:vMerge w:val="continue"/>
            <w:tcBorders>
              <w:tl2br w:val="nil"/>
              <w:tr2bl w:val="nil"/>
            </w:tcBorders>
            <w:vAlign w:val="center"/>
          </w:tcPr>
          <w:p w14:paraId="40E8B3C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10" w:firstLineChars="100"/>
              <w:jc w:val="left"/>
              <w:rPr>
                <w:color w:val="auto"/>
                <w:highlight w:val="none"/>
              </w:rPr>
            </w:pPr>
          </w:p>
        </w:tc>
        <w:tc>
          <w:tcPr>
            <w:tcW w:w="3437" w:type="dxa"/>
            <w:gridSpan w:val="2"/>
            <w:tcBorders>
              <w:tl2br w:val="nil"/>
              <w:tr2bl w:val="nil"/>
            </w:tcBorders>
            <w:vAlign w:val="center"/>
          </w:tcPr>
          <w:p w14:paraId="6CCD8D9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lang w:val="en-US" w:eastAsia="zh-CN"/>
              </w:rPr>
              <w:t>有下列情形之一的：</w:t>
            </w:r>
            <w:r>
              <w:rPr>
                <w:rFonts w:hint="eastAsia" w:ascii="仿宋_GB2312" w:hAnsi="宋体" w:eastAsia="仿宋_GB2312"/>
                <w:color w:val="auto"/>
                <w:kern w:val="0"/>
                <w:sz w:val="13"/>
                <w:szCs w:val="13"/>
                <w:highlight w:val="none"/>
              </w:rPr>
              <w:t>（</w:t>
            </w:r>
            <w:r>
              <w:rPr>
                <w:rFonts w:hint="eastAsia" w:ascii="仿宋_GB2312" w:hAnsi="宋体" w:eastAsia="仿宋_GB2312"/>
                <w:color w:val="auto"/>
                <w:kern w:val="0"/>
                <w:sz w:val="13"/>
                <w:szCs w:val="13"/>
                <w:highlight w:val="none"/>
                <w:lang w:val="en-US" w:eastAsia="zh-CN"/>
              </w:rPr>
              <w:t>1</w:t>
            </w:r>
            <w:r>
              <w:rPr>
                <w:rFonts w:hint="eastAsia" w:ascii="仿宋_GB2312" w:hAnsi="宋体" w:eastAsia="仿宋_GB2312"/>
                <w:color w:val="auto"/>
                <w:kern w:val="0"/>
                <w:sz w:val="13"/>
                <w:szCs w:val="13"/>
                <w:highlight w:val="none"/>
              </w:rPr>
              <w:t>）造成工程质量事故的；</w:t>
            </w:r>
          </w:p>
          <w:p w14:paraId="57D330C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w:t>
            </w:r>
            <w:r>
              <w:rPr>
                <w:rFonts w:hint="eastAsia" w:ascii="仿宋_GB2312" w:hAnsi="宋体" w:eastAsia="仿宋_GB2312"/>
                <w:color w:val="auto"/>
                <w:kern w:val="0"/>
                <w:sz w:val="13"/>
                <w:szCs w:val="13"/>
                <w:highlight w:val="none"/>
                <w:lang w:val="en-US" w:eastAsia="zh-CN"/>
              </w:rPr>
              <w:t>2</w:t>
            </w:r>
            <w:r>
              <w:rPr>
                <w:rFonts w:hint="eastAsia" w:ascii="仿宋_GB2312" w:hAnsi="宋体" w:eastAsia="仿宋_GB2312"/>
                <w:color w:val="auto"/>
                <w:kern w:val="0"/>
                <w:sz w:val="13"/>
                <w:szCs w:val="13"/>
                <w:highlight w:val="none"/>
              </w:rPr>
              <w:t>）经有关部门确认，存在贿赂情形的；</w:t>
            </w:r>
          </w:p>
          <w:p w14:paraId="3EEAB42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w:t>
            </w:r>
            <w:r>
              <w:rPr>
                <w:rFonts w:hint="eastAsia" w:ascii="仿宋_GB2312" w:hAnsi="宋体" w:eastAsia="仿宋_GB2312"/>
                <w:color w:val="auto"/>
                <w:kern w:val="0"/>
                <w:sz w:val="13"/>
                <w:szCs w:val="13"/>
                <w:highlight w:val="none"/>
                <w:lang w:val="en-US" w:eastAsia="zh-CN"/>
              </w:rPr>
              <w:t>3</w:t>
            </w:r>
            <w:r>
              <w:rPr>
                <w:rFonts w:hint="eastAsia" w:ascii="仿宋_GB2312" w:hAnsi="宋体" w:eastAsia="仿宋_GB2312"/>
                <w:color w:val="auto"/>
                <w:kern w:val="0"/>
                <w:sz w:val="13"/>
                <w:szCs w:val="13"/>
                <w:highlight w:val="none"/>
              </w:rPr>
              <w:t>）其他依法应予从重处罚的情形。</w:t>
            </w:r>
          </w:p>
        </w:tc>
        <w:tc>
          <w:tcPr>
            <w:tcW w:w="3058" w:type="dxa"/>
            <w:tcBorders>
              <w:tl2br w:val="nil"/>
              <w:tr2bl w:val="nil"/>
            </w:tcBorders>
            <w:vAlign w:val="center"/>
          </w:tcPr>
          <w:p w14:paraId="3A42F41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责令改正，处</w:t>
            </w:r>
            <w:r>
              <w:rPr>
                <w:rFonts w:hint="eastAsia" w:ascii="仿宋_GB2312" w:hAnsi="宋体" w:eastAsia="仿宋_GB2312"/>
                <w:color w:val="auto"/>
                <w:kern w:val="0"/>
                <w:sz w:val="13"/>
                <w:szCs w:val="13"/>
                <w:highlight w:val="none"/>
                <w:lang w:val="en-US" w:eastAsia="zh-CN"/>
              </w:rPr>
              <w:t>15</w:t>
            </w:r>
            <w:r>
              <w:rPr>
                <w:rFonts w:hint="eastAsia" w:ascii="仿宋_GB2312" w:hAnsi="宋体" w:eastAsia="仿宋_GB2312"/>
                <w:color w:val="auto"/>
                <w:kern w:val="0"/>
                <w:sz w:val="13"/>
                <w:szCs w:val="13"/>
                <w:highlight w:val="none"/>
              </w:rPr>
              <w:t>万元以上</w:t>
            </w:r>
            <w:r>
              <w:rPr>
                <w:rFonts w:hint="eastAsia" w:ascii="仿宋_GB2312" w:hAnsi="宋体" w:eastAsia="仿宋_GB2312"/>
                <w:color w:val="auto"/>
                <w:kern w:val="0"/>
                <w:sz w:val="13"/>
                <w:szCs w:val="13"/>
                <w:highlight w:val="none"/>
                <w:lang w:val="en-US" w:eastAsia="zh-CN"/>
              </w:rPr>
              <w:t>20</w:t>
            </w:r>
            <w:r>
              <w:rPr>
                <w:rFonts w:hint="eastAsia" w:ascii="仿宋_GB2312" w:hAnsi="宋体" w:eastAsia="仿宋_GB2312"/>
                <w:color w:val="auto"/>
                <w:kern w:val="0"/>
                <w:sz w:val="13"/>
                <w:szCs w:val="13"/>
                <w:highlight w:val="none"/>
              </w:rPr>
              <w:t>万元以下的罚款，对检测机构的直接负责的主管人员和其他直接责任人员处</w:t>
            </w:r>
            <w:r>
              <w:rPr>
                <w:rFonts w:hint="eastAsia" w:ascii="仿宋_GB2312" w:hAnsi="宋体" w:eastAsia="仿宋_GB2312"/>
                <w:color w:val="auto"/>
                <w:kern w:val="0"/>
                <w:sz w:val="13"/>
                <w:szCs w:val="13"/>
                <w:highlight w:val="none"/>
                <w:lang w:val="en-US" w:eastAsia="zh-CN"/>
              </w:rPr>
              <w:t>3万元罚款</w:t>
            </w:r>
            <w:r>
              <w:rPr>
                <w:rFonts w:hint="eastAsia" w:ascii="仿宋_GB2312" w:hAnsi="宋体" w:eastAsia="仿宋_GB2312"/>
                <w:color w:val="auto"/>
                <w:kern w:val="0"/>
                <w:sz w:val="13"/>
                <w:szCs w:val="13"/>
                <w:highlight w:val="none"/>
              </w:rPr>
              <w:t>。</w:t>
            </w:r>
          </w:p>
        </w:tc>
      </w:tr>
      <w:tr w14:paraId="73E8BE7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16" w:hRule="atLeast"/>
          <w:jc w:val="center"/>
        </w:trPr>
        <w:tc>
          <w:tcPr>
            <w:tcW w:w="443" w:type="dxa"/>
            <w:gridSpan w:val="2"/>
            <w:vMerge w:val="restart"/>
            <w:tcBorders>
              <w:tl2br w:val="nil"/>
              <w:tr2bl w:val="nil"/>
            </w:tcBorders>
            <w:vAlign w:val="center"/>
          </w:tcPr>
          <w:p w14:paraId="2BEE8EFA">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Times New Roman"/>
                <w:color w:val="auto"/>
                <w:sz w:val="13"/>
                <w:szCs w:val="13"/>
                <w:highlight w:val="none"/>
                <w:lang w:val="en-US"/>
              </w:rPr>
            </w:pPr>
            <w:r>
              <w:rPr>
                <w:rFonts w:hint="default" w:ascii="仿宋_GB2312" w:hAnsi="宋体" w:eastAsia="仿宋_GB2312" w:cs="仿宋_GB2312"/>
                <w:i w:val="0"/>
                <w:color w:val="auto"/>
                <w:kern w:val="0"/>
                <w:sz w:val="13"/>
                <w:szCs w:val="13"/>
                <w:highlight w:val="none"/>
                <w:u w:val="none"/>
                <w:lang w:val="en-US" w:eastAsia="zh-CN" w:bidi="ar"/>
              </w:rPr>
              <w:t>1</w:t>
            </w:r>
            <w:r>
              <w:rPr>
                <w:rFonts w:hint="eastAsia" w:ascii="仿宋_GB2312" w:hAnsi="宋体" w:eastAsia="仿宋_GB2312" w:cs="仿宋_GB2312"/>
                <w:i w:val="0"/>
                <w:color w:val="auto"/>
                <w:kern w:val="0"/>
                <w:sz w:val="13"/>
                <w:szCs w:val="13"/>
                <w:highlight w:val="none"/>
                <w:u w:val="none"/>
                <w:lang w:val="en-US" w:eastAsia="zh-CN" w:bidi="ar"/>
              </w:rPr>
              <w:t>01</w:t>
            </w:r>
          </w:p>
        </w:tc>
        <w:tc>
          <w:tcPr>
            <w:tcW w:w="1550" w:type="dxa"/>
            <w:vMerge w:val="restart"/>
            <w:tcBorders>
              <w:tl2br w:val="nil"/>
              <w:tr2bl w:val="nil"/>
            </w:tcBorders>
            <w:vAlign w:val="center"/>
          </w:tcPr>
          <w:p w14:paraId="37DE5E12">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p>
          <w:p w14:paraId="09C014E2">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p>
          <w:p w14:paraId="2188B813">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检测机构以欺骗、贿赂等不正当手段取得资质证书</w:t>
            </w:r>
          </w:p>
        </w:tc>
        <w:tc>
          <w:tcPr>
            <w:tcW w:w="4820" w:type="dxa"/>
            <w:vMerge w:val="restart"/>
            <w:tcBorders>
              <w:tl2br w:val="nil"/>
              <w:tr2bl w:val="nil"/>
            </w:tcBorders>
            <w:vAlign w:val="center"/>
          </w:tcPr>
          <w:p w14:paraId="28717F75">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《建设工程质量检测管理办法》第四十一条　</w:t>
            </w:r>
          </w:p>
          <w:p w14:paraId="6E22F228">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以欺骗、贿赂等不正当手段取得资质证书的，由资质许可机关予以撤销；由县级以上地方人民政府住房和城乡建设主管部门给予警告或者通报批评，并处5万元以上10万元以下罚款；检测机构3年内不得再次申请资质；构成犯罪的，依法追究刑事责任。</w:t>
            </w:r>
          </w:p>
          <w:p w14:paraId="60B87B29">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p w14:paraId="5DBB17F2">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《建设工程质量检测管理办法》第四十八条　依照本办法规定，给予单位罚款处罚的，对单位直接负责的主管人员和其他直接责任人员处3万元以下罚款。</w:t>
            </w:r>
          </w:p>
        </w:tc>
        <w:tc>
          <w:tcPr>
            <w:tcW w:w="823" w:type="dxa"/>
            <w:tcBorders>
              <w:tl2br w:val="nil"/>
              <w:tr2bl w:val="nil"/>
            </w:tcBorders>
            <w:vAlign w:val="center"/>
          </w:tcPr>
          <w:p w14:paraId="7C1BEF0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vAlign w:val="center"/>
          </w:tcPr>
          <w:p w14:paraId="36B195C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初次违法，主动消除或减轻违法行为危害后果的。</w:t>
            </w:r>
          </w:p>
        </w:tc>
        <w:tc>
          <w:tcPr>
            <w:tcW w:w="3058" w:type="dxa"/>
            <w:tcBorders>
              <w:tl2br w:val="nil"/>
              <w:tr2bl w:val="nil"/>
            </w:tcBorders>
            <w:vAlign w:val="center"/>
          </w:tcPr>
          <w:p w14:paraId="499EB21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撤销其资质证书，3年内不得再次申请资质证书，</w:t>
            </w:r>
            <w:r>
              <w:rPr>
                <w:rFonts w:hint="eastAsia" w:ascii="仿宋_GB2312" w:hAnsi="宋体" w:eastAsia="仿宋_GB2312"/>
                <w:color w:val="auto"/>
                <w:kern w:val="0"/>
                <w:sz w:val="13"/>
                <w:szCs w:val="13"/>
                <w:highlight w:val="none"/>
                <w:lang w:val="en-US" w:eastAsia="zh-CN"/>
              </w:rPr>
              <w:t>给予警告并</w:t>
            </w:r>
            <w:r>
              <w:rPr>
                <w:rFonts w:hint="eastAsia" w:ascii="仿宋_GB2312" w:hAnsi="宋体" w:eastAsia="仿宋_GB2312"/>
                <w:color w:val="auto"/>
                <w:kern w:val="0"/>
                <w:sz w:val="13"/>
                <w:szCs w:val="13"/>
                <w:highlight w:val="none"/>
              </w:rPr>
              <w:t>处</w:t>
            </w:r>
            <w:r>
              <w:rPr>
                <w:rFonts w:hint="eastAsia" w:ascii="仿宋_GB2312" w:hAnsi="宋体" w:eastAsia="仿宋_GB2312"/>
                <w:color w:val="auto"/>
                <w:kern w:val="0"/>
                <w:sz w:val="13"/>
                <w:szCs w:val="13"/>
                <w:highlight w:val="none"/>
                <w:lang w:val="en-US" w:eastAsia="zh-CN"/>
              </w:rPr>
              <w:t>5</w:t>
            </w:r>
            <w:r>
              <w:rPr>
                <w:rFonts w:hint="eastAsia" w:ascii="仿宋_GB2312" w:hAnsi="宋体" w:eastAsia="仿宋_GB2312"/>
                <w:color w:val="auto"/>
                <w:kern w:val="0"/>
                <w:sz w:val="13"/>
                <w:szCs w:val="13"/>
                <w:highlight w:val="none"/>
              </w:rPr>
              <w:t>万元以上</w:t>
            </w:r>
            <w:r>
              <w:rPr>
                <w:rFonts w:hint="eastAsia" w:ascii="仿宋_GB2312" w:hAnsi="宋体" w:eastAsia="仿宋_GB2312"/>
                <w:color w:val="auto"/>
                <w:kern w:val="0"/>
                <w:sz w:val="13"/>
                <w:szCs w:val="13"/>
                <w:highlight w:val="none"/>
                <w:lang w:val="en-US" w:eastAsia="zh-CN"/>
              </w:rPr>
              <w:t>6</w:t>
            </w:r>
            <w:r>
              <w:rPr>
                <w:rFonts w:hint="eastAsia" w:ascii="仿宋_GB2312" w:hAnsi="宋体" w:eastAsia="仿宋_GB2312"/>
                <w:color w:val="auto"/>
                <w:kern w:val="0"/>
                <w:sz w:val="13"/>
                <w:szCs w:val="13"/>
                <w:highlight w:val="none"/>
              </w:rPr>
              <w:t>万元以下的罚款，对检测机构的直接负责的主管人员和其他直接责任人员处</w:t>
            </w:r>
            <w:r>
              <w:rPr>
                <w:rFonts w:hint="eastAsia" w:ascii="仿宋_GB2312" w:hAnsi="宋体" w:eastAsia="仿宋_GB2312"/>
                <w:color w:val="auto"/>
                <w:kern w:val="0"/>
                <w:sz w:val="13"/>
                <w:szCs w:val="13"/>
                <w:highlight w:val="none"/>
                <w:lang w:val="en-US" w:eastAsia="zh-CN"/>
              </w:rPr>
              <w:t>1万元以下</w:t>
            </w:r>
            <w:r>
              <w:rPr>
                <w:rFonts w:hint="eastAsia" w:ascii="仿宋_GB2312" w:hAnsi="宋体" w:eastAsia="仿宋_GB2312"/>
                <w:color w:val="auto"/>
                <w:kern w:val="0"/>
                <w:sz w:val="13"/>
                <w:szCs w:val="13"/>
                <w:highlight w:val="none"/>
              </w:rPr>
              <w:t>的罚款。</w:t>
            </w:r>
          </w:p>
        </w:tc>
      </w:tr>
      <w:tr w14:paraId="73BEF00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855" w:hRule="atLeast"/>
          <w:jc w:val="center"/>
        </w:trPr>
        <w:tc>
          <w:tcPr>
            <w:tcW w:w="443" w:type="dxa"/>
            <w:gridSpan w:val="2"/>
            <w:vMerge w:val="continue"/>
            <w:tcBorders>
              <w:tl2br w:val="nil"/>
              <w:tr2bl w:val="nil"/>
            </w:tcBorders>
            <w:vAlign w:val="center"/>
          </w:tcPr>
          <w:p w14:paraId="15437E6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70E141B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vAlign w:val="center"/>
          </w:tcPr>
          <w:p w14:paraId="481F422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tcBorders>
              <w:tl2br w:val="nil"/>
              <w:tr2bl w:val="nil"/>
            </w:tcBorders>
            <w:vAlign w:val="center"/>
          </w:tcPr>
          <w:p w14:paraId="787DF4D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一般情节</w:t>
            </w:r>
          </w:p>
        </w:tc>
        <w:tc>
          <w:tcPr>
            <w:tcW w:w="3437" w:type="dxa"/>
            <w:gridSpan w:val="2"/>
            <w:tcBorders>
              <w:tl2br w:val="nil"/>
              <w:tr2bl w:val="nil"/>
            </w:tcBorders>
            <w:vAlign w:val="center"/>
          </w:tcPr>
          <w:p w14:paraId="0ED5EF2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不具有从轻、</w:t>
            </w:r>
            <w:r>
              <w:rPr>
                <w:rFonts w:hint="eastAsia" w:ascii="仿宋_GB2312" w:hAnsi="宋体" w:eastAsia="仿宋_GB2312"/>
                <w:color w:val="auto"/>
                <w:kern w:val="0"/>
                <w:sz w:val="13"/>
                <w:szCs w:val="13"/>
                <w:highlight w:val="none"/>
                <w:lang w:eastAsia="zh-CN"/>
              </w:rPr>
              <w:t>从重情节</w:t>
            </w:r>
            <w:r>
              <w:rPr>
                <w:rFonts w:hint="eastAsia" w:ascii="仿宋_GB2312" w:hAnsi="宋体" w:eastAsia="仿宋_GB2312"/>
                <w:color w:val="auto"/>
                <w:kern w:val="0"/>
                <w:sz w:val="13"/>
                <w:szCs w:val="13"/>
                <w:highlight w:val="none"/>
              </w:rPr>
              <w:t>的。</w:t>
            </w:r>
          </w:p>
        </w:tc>
        <w:tc>
          <w:tcPr>
            <w:tcW w:w="3058" w:type="dxa"/>
            <w:tcBorders>
              <w:tl2br w:val="nil"/>
              <w:tr2bl w:val="nil"/>
            </w:tcBorders>
            <w:vAlign w:val="center"/>
          </w:tcPr>
          <w:p w14:paraId="2B65C55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撤销其资质证书，3年内不得再次申请资质证书，</w:t>
            </w:r>
            <w:r>
              <w:rPr>
                <w:rFonts w:hint="eastAsia" w:ascii="仿宋_GB2312" w:hAnsi="宋体" w:eastAsia="仿宋_GB2312"/>
                <w:color w:val="auto"/>
                <w:kern w:val="0"/>
                <w:sz w:val="13"/>
                <w:szCs w:val="13"/>
                <w:highlight w:val="none"/>
                <w:lang w:val="en-US" w:eastAsia="zh-CN"/>
              </w:rPr>
              <w:t>给予通报批评并</w:t>
            </w:r>
            <w:r>
              <w:rPr>
                <w:rFonts w:hint="eastAsia" w:ascii="仿宋_GB2312" w:hAnsi="宋体" w:eastAsia="仿宋_GB2312"/>
                <w:color w:val="auto"/>
                <w:kern w:val="0"/>
                <w:sz w:val="13"/>
                <w:szCs w:val="13"/>
                <w:highlight w:val="none"/>
              </w:rPr>
              <w:t>处</w:t>
            </w:r>
            <w:r>
              <w:rPr>
                <w:rFonts w:hint="eastAsia" w:ascii="仿宋_GB2312" w:hAnsi="宋体" w:eastAsia="仿宋_GB2312"/>
                <w:color w:val="auto"/>
                <w:kern w:val="0"/>
                <w:sz w:val="13"/>
                <w:szCs w:val="13"/>
                <w:highlight w:val="none"/>
                <w:lang w:val="en-US" w:eastAsia="zh-CN"/>
              </w:rPr>
              <w:t>6</w:t>
            </w:r>
            <w:r>
              <w:rPr>
                <w:rFonts w:hint="eastAsia" w:ascii="仿宋_GB2312" w:hAnsi="宋体" w:eastAsia="仿宋_GB2312"/>
                <w:color w:val="auto"/>
                <w:kern w:val="0"/>
                <w:sz w:val="13"/>
                <w:szCs w:val="13"/>
                <w:highlight w:val="none"/>
              </w:rPr>
              <w:t>万元以上</w:t>
            </w:r>
            <w:r>
              <w:rPr>
                <w:rFonts w:hint="eastAsia" w:ascii="仿宋_GB2312" w:hAnsi="宋体" w:eastAsia="仿宋_GB2312"/>
                <w:color w:val="auto"/>
                <w:kern w:val="0"/>
                <w:sz w:val="13"/>
                <w:szCs w:val="13"/>
                <w:highlight w:val="none"/>
                <w:lang w:val="en-US" w:eastAsia="zh-CN"/>
              </w:rPr>
              <w:t>8</w:t>
            </w:r>
            <w:r>
              <w:rPr>
                <w:rFonts w:hint="eastAsia" w:ascii="仿宋_GB2312" w:hAnsi="宋体" w:eastAsia="仿宋_GB2312"/>
                <w:color w:val="auto"/>
                <w:kern w:val="0"/>
                <w:sz w:val="13"/>
                <w:szCs w:val="13"/>
                <w:highlight w:val="none"/>
              </w:rPr>
              <w:t>万元以下的罚款，对检测机构的直接负责的主管人员和其他直接责任人员处</w:t>
            </w:r>
            <w:r>
              <w:rPr>
                <w:rFonts w:hint="eastAsia" w:ascii="仿宋_GB2312" w:hAnsi="宋体" w:eastAsia="仿宋_GB2312"/>
                <w:color w:val="auto"/>
                <w:kern w:val="0"/>
                <w:sz w:val="13"/>
                <w:szCs w:val="13"/>
                <w:highlight w:val="none"/>
                <w:lang w:val="en-US" w:eastAsia="zh-CN"/>
              </w:rPr>
              <w:t>1.万元以上2万元以下</w:t>
            </w:r>
            <w:r>
              <w:rPr>
                <w:rFonts w:hint="eastAsia" w:ascii="仿宋_GB2312" w:hAnsi="宋体" w:eastAsia="仿宋_GB2312"/>
                <w:color w:val="auto"/>
                <w:kern w:val="0"/>
                <w:sz w:val="13"/>
                <w:szCs w:val="13"/>
                <w:highlight w:val="none"/>
              </w:rPr>
              <w:t>的罚款。</w:t>
            </w:r>
          </w:p>
        </w:tc>
      </w:tr>
      <w:tr w14:paraId="65676A8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551" w:hRule="atLeast"/>
          <w:jc w:val="center"/>
        </w:trPr>
        <w:tc>
          <w:tcPr>
            <w:tcW w:w="443" w:type="dxa"/>
            <w:gridSpan w:val="2"/>
            <w:vMerge w:val="continue"/>
            <w:tcBorders>
              <w:tl2br w:val="nil"/>
              <w:tr2bl w:val="nil"/>
            </w:tcBorders>
            <w:vAlign w:val="center"/>
          </w:tcPr>
          <w:p w14:paraId="1A89573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01F05EC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vAlign w:val="center"/>
          </w:tcPr>
          <w:p w14:paraId="06F97E7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tcBorders>
              <w:tl2br w:val="nil"/>
              <w:tr2bl w:val="nil"/>
            </w:tcBorders>
            <w:vAlign w:val="center"/>
          </w:tcPr>
          <w:p w14:paraId="501BB07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从重情节</w:t>
            </w:r>
          </w:p>
        </w:tc>
        <w:tc>
          <w:tcPr>
            <w:tcW w:w="3437" w:type="dxa"/>
            <w:gridSpan w:val="2"/>
            <w:tcBorders>
              <w:tl2br w:val="nil"/>
              <w:tr2bl w:val="nil"/>
            </w:tcBorders>
            <w:vAlign w:val="center"/>
          </w:tcPr>
          <w:p w14:paraId="67B86B4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0" w:firstLineChars="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lang w:val="en-US" w:eastAsia="zh-CN"/>
              </w:rPr>
              <w:t>有下列情形之一的：</w:t>
            </w:r>
            <w:r>
              <w:rPr>
                <w:rFonts w:hint="eastAsia" w:ascii="仿宋_GB2312" w:hAnsi="宋体" w:eastAsia="仿宋_GB2312"/>
                <w:color w:val="auto"/>
                <w:kern w:val="0"/>
                <w:sz w:val="13"/>
                <w:szCs w:val="13"/>
                <w:highlight w:val="none"/>
              </w:rPr>
              <w:t>（1）曾因该违法行为被依法查处，再次实施该违法行为的；</w:t>
            </w:r>
          </w:p>
          <w:p w14:paraId="3D7B798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（2）造成工程质量事故的；</w:t>
            </w:r>
          </w:p>
          <w:p w14:paraId="2A42714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（3）经有关部门确认，存在贿赂情形的；</w:t>
            </w:r>
          </w:p>
          <w:p w14:paraId="378D12C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（4）其他依法应予从重处罚的情形。</w:t>
            </w:r>
          </w:p>
        </w:tc>
        <w:tc>
          <w:tcPr>
            <w:tcW w:w="3058" w:type="dxa"/>
            <w:tcBorders>
              <w:tl2br w:val="nil"/>
              <w:tr2bl w:val="nil"/>
            </w:tcBorders>
            <w:vAlign w:val="center"/>
          </w:tcPr>
          <w:p w14:paraId="0027421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撤销其资质证书，3年内不得再次申请资质证书，</w:t>
            </w:r>
            <w:r>
              <w:rPr>
                <w:rFonts w:hint="eastAsia" w:ascii="仿宋_GB2312" w:hAnsi="宋体" w:eastAsia="仿宋_GB2312"/>
                <w:color w:val="auto"/>
                <w:kern w:val="0"/>
                <w:sz w:val="13"/>
                <w:szCs w:val="13"/>
                <w:highlight w:val="none"/>
                <w:lang w:val="en-US" w:eastAsia="zh-CN"/>
              </w:rPr>
              <w:t>给予通报批评并</w:t>
            </w:r>
            <w:r>
              <w:rPr>
                <w:rFonts w:hint="eastAsia" w:ascii="仿宋_GB2312" w:hAnsi="宋体" w:eastAsia="仿宋_GB2312"/>
                <w:color w:val="auto"/>
                <w:kern w:val="0"/>
                <w:sz w:val="13"/>
                <w:szCs w:val="13"/>
                <w:highlight w:val="none"/>
              </w:rPr>
              <w:t>处</w:t>
            </w:r>
            <w:r>
              <w:rPr>
                <w:rFonts w:hint="eastAsia" w:ascii="仿宋_GB2312" w:hAnsi="宋体" w:eastAsia="仿宋_GB2312"/>
                <w:color w:val="auto"/>
                <w:kern w:val="0"/>
                <w:sz w:val="13"/>
                <w:szCs w:val="13"/>
                <w:highlight w:val="none"/>
                <w:lang w:val="en-US" w:eastAsia="zh-CN"/>
              </w:rPr>
              <w:t>8</w:t>
            </w:r>
            <w:r>
              <w:rPr>
                <w:rFonts w:hint="eastAsia" w:ascii="仿宋_GB2312" w:hAnsi="宋体" w:eastAsia="仿宋_GB2312"/>
                <w:color w:val="auto"/>
                <w:kern w:val="0"/>
                <w:sz w:val="13"/>
                <w:szCs w:val="13"/>
                <w:highlight w:val="none"/>
              </w:rPr>
              <w:t>万元以上</w:t>
            </w:r>
            <w:r>
              <w:rPr>
                <w:rFonts w:hint="eastAsia" w:ascii="仿宋_GB2312" w:hAnsi="宋体" w:eastAsia="仿宋_GB2312"/>
                <w:color w:val="auto"/>
                <w:kern w:val="0"/>
                <w:sz w:val="13"/>
                <w:szCs w:val="13"/>
                <w:highlight w:val="none"/>
                <w:lang w:val="en-US" w:eastAsia="zh-CN"/>
              </w:rPr>
              <w:t>10</w:t>
            </w:r>
            <w:r>
              <w:rPr>
                <w:rFonts w:hint="eastAsia" w:ascii="仿宋_GB2312" w:hAnsi="宋体" w:eastAsia="仿宋_GB2312"/>
                <w:color w:val="auto"/>
                <w:kern w:val="0"/>
                <w:sz w:val="13"/>
                <w:szCs w:val="13"/>
                <w:highlight w:val="none"/>
              </w:rPr>
              <w:t>万元以下的罚款，对检测机构的直接负责的主管人员和其他直接责任人员处</w:t>
            </w:r>
            <w:r>
              <w:rPr>
                <w:rFonts w:hint="eastAsia" w:ascii="仿宋_GB2312" w:hAnsi="宋体" w:eastAsia="仿宋_GB2312"/>
                <w:color w:val="auto"/>
                <w:kern w:val="0"/>
                <w:sz w:val="13"/>
                <w:szCs w:val="13"/>
                <w:highlight w:val="none"/>
                <w:lang w:val="en-US" w:eastAsia="zh-CN"/>
              </w:rPr>
              <w:t>2万元以上3万元以下</w:t>
            </w:r>
            <w:r>
              <w:rPr>
                <w:rFonts w:hint="eastAsia" w:ascii="仿宋_GB2312" w:hAnsi="宋体" w:eastAsia="仿宋_GB2312"/>
                <w:color w:val="auto"/>
                <w:kern w:val="0"/>
                <w:sz w:val="13"/>
                <w:szCs w:val="13"/>
                <w:highlight w:val="none"/>
              </w:rPr>
              <w:t>的罚款。</w:t>
            </w:r>
          </w:p>
        </w:tc>
      </w:tr>
      <w:tr w14:paraId="6CC3384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647" w:hRule="atLeast"/>
          <w:jc w:val="center"/>
        </w:trPr>
        <w:tc>
          <w:tcPr>
            <w:tcW w:w="443" w:type="dxa"/>
            <w:gridSpan w:val="2"/>
            <w:vMerge w:val="restart"/>
            <w:tcBorders>
              <w:tl2br w:val="nil"/>
              <w:tr2bl w:val="nil"/>
            </w:tcBorders>
            <w:vAlign w:val="center"/>
          </w:tcPr>
          <w:p w14:paraId="06377FD9">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Times New Roman"/>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102</w:t>
            </w:r>
          </w:p>
        </w:tc>
        <w:tc>
          <w:tcPr>
            <w:tcW w:w="1550" w:type="dxa"/>
            <w:vMerge w:val="restart"/>
            <w:tcBorders>
              <w:tl2br w:val="nil"/>
              <w:tr2bl w:val="nil"/>
            </w:tcBorders>
            <w:vAlign w:val="center"/>
          </w:tcPr>
          <w:p w14:paraId="7B3815A7">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rPr>
              <w:t>检测机构</w:t>
            </w:r>
            <w:r>
              <w:rPr>
                <w:rFonts w:hint="eastAsia" w:ascii="仿宋_GB2312" w:hAnsi="宋体" w:eastAsia="仿宋_GB2312"/>
                <w:color w:val="auto"/>
                <w:kern w:val="0"/>
                <w:sz w:val="13"/>
                <w:szCs w:val="13"/>
                <w:highlight w:val="none"/>
                <w:lang w:val="en-US" w:eastAsia="zh-CN"/>
              </w:rPr>
              <w:t>未</w:t>
            </w:r>
            <w:r>
              <w:rPr>
                <w:rFonts w:hint="eastAsia" w:ascii="仿宋_GB2312" w:hAnsi="宋体" w:eastAsia="仿宋_GB2312"/>
                <w:color w:val="auto"/>
                <w:kern w:val="0"/>
                <w:sz w:val="13"/>
                <w:szCs w:val="13"/>
                <w:highlight w:val="none"/>
              </w:rPr>
              <w:t>建立建设工程过程数据和结果数据、检测影像资料及检测报告记录与留存制度</w:t>
            </w:r>
            <w:r>
              <w:rPr>
                <w:rFonts w:hint="eastAsia" w:ascii="仿宋_GB2312" w:hAnsi="宋体" w:eastAsia="仿宋_GB2312"/>
                <w:color w:val="auto"/>
                <w:kern w:val="0"/>
                <w:sz w:val="13"/>
                <w:szCs w:val="13"/>
                <w:highlight w:val="none"/>
                <w:lang w:eastAsia="zh-CN"/>
              </w:rPr>
              <w:t>（</w:t>
            </w:r>
            <w:r>
              <w:rPr>
                <w:rFonts w:hint="eastAsia" w:ascii="仿宋_GB2312" w:hAnsi="宋体" w:eastAsia="仿宋_GB2312"/>
                <w:color w:val="auto"/>
                <w:kern w:val="0"/>
                <w:sz w:val="13"/>
                <w:szCs w:val="13"/>
                <w:highlight w:val="none"/>
                <w:lang w:val="en-US" w:eastAsia="zh-CN"/>
              </w:rPr>
              <w:t>非建设工程抗震活动中的违法行为</w:t>
            </w:r>
            <w:r>
              <w:rPr>
                <w:rFonts w:hint="eastAsia" w:ascii="仿宋_GB2312" w:hAnsi="宋体" w:eastAsia="仿宋_GB2312"/>
                <w:color w:val="auto"/>
                <w:kern w:val="0"/>
                <w:sz w:val="13"/>
                <w:szCs w:val="13"/>
                <w:highlight w:val="none"/>
                <w:lang w:eastAsia="zh-CN"/>
              </w:rPr>
              <w:t>）</w:t>
            </w:r>
          </w:p>
        </w:tc>
        <w:tc>
          <w:tcPr>
            <w:tcW w:w="4820" w:type="dxa"/>
            <w:vMerge w:val="restart"/>
            <w:tcBorders>
              <w:tl2br w:val="nil"/>
              <w:tr2bl w:val="nil"/>
            </w:tcBorders>
            <w:vAlign w:val="center"/>
          </w:tcPr>
          <w:p w14:paraId="260FEFF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《建设工程质量检测管理办法》第四十三条</w:t>
            </w:r>
            <w:r>
              <w:rPr>
                <w:rFonts w:hint="eastAsia" w:ascii="仿宋_GB2312" w:hAnsi="宋体" w:eastAsia="仿宋_GB2312"/>
                <w:color w:val="auto"/>
                <w:kern w:val="0"/>
                <w:sz w:val="13"/>
                <w:szCs w:val="13"/>
                <w:highlight w:val="none"/>
                <w:lang w:val="en-US" w:eastAsia="zh-CN"/>
              </w:rPr>
              <w:t>第一款</w:t>
            </w:r>
            <w:r>
              <w:rPr>
                <w:rFonts w:hint="eastAsia" w:ascii="仿宋_GB2312" w:hAnsi="宋体" w:eastAsia="仿宋_GB2312"/>
                <w:color w:val="auto"/>
                <w:kern w:val="0"/>
                <w:sz w:val="13"/>
                <w:szCs w:val="13"/>
                <w:highlight w:val="none"/>
              </w:rPr>
              <w:t>　检测机构违反本办法第二十二条、第三十条第六项规定的，由县级以上地方人民政府住房和城乡建设主管部门责令改正，处5万元以上10万元以下罚款；造成危害后果的，处10万元以上20万元以下罚款；构成犯罪的，依法追究刑事责任。</w:t>
            </w:r>
          </w:p>
          <w:p w14:paraId="027B1F7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检测机构在建设工程抗震活动中有前款行为的，依照《建设工程抗震管理条例》有关规定给予处罚。</w:t>
            </w:r>
          </w:p>
          <w:p w14:paraId="4B59EB2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rPr>
              <w:t>第二十二条　检测机构应当建立建设工程过程数据和结果数据、检测影像资料及检测报告记录与留存制度，对检测数据和检测报告的真实性、准确性负责</w:t>
            </w:r>
            <w:r>
              <w:rPr>
                <w:rFonts w:hint="eastAsia" w:ascii="仿宋_GB2312" w:hAnsi="宋体" w:eastAsia="仿宋_GB2312"/>
                <w:color w:val="auto"/>
                <w:kern w:val="0"/>
                <w:sz w:val="13"/>
                <w:szCs w:val="13"/>
                <w:highlight w:val="none"/>
                <w:lang w:eastAsia="zh-CN"/>
              </w:rPr>
              <w:t>。</w:t>
            </w:r>
          </w:p>
          <w:p w14:paraId="08A131D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第三十条　检测机构不得有下列行为：</w:t>
            </w:r>
          </w:p>
          <w:p w14:paraId="5A19702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color w:val="auto"/>
                <w:highlight w:val="none"/>
              </w:rPr>
            </w:pPr>
            <w:r>
              <w:rPr>
                <w:rFonts w:hint="eastAsia" w:ascii="仿宋_GB2312" w:hAnsi="宋体" w:eastAsia="仿宋_GB2312"/>
                <w:color w:val="auto"/>
                <w:kern w:val="0"/>
                <w:sz w:val="13"/>
                <w:szCs w:val="13"/>
                <w:highlight w:val="none"/>
                <w:lang w:eastAsia="zh-CN"/>
              </w:rPr>
              <w:t>（六）出具虚假的检测数据或者检测报告。</w:t>
            </w:r>
          </w:p>
          <w:p w14:paraId="2DF4B08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rPr>
            </w:pPr>
          </w:p>
          <w:p w14:paraId="33299F7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hint="eastAsia"/>
                <w:color w:val="auto"/>
                <w:highlight w:val="none"/>
                <w:lang w:eastAsia="zh-CN"/>
              </w:rPr>
            </w:pPr>
            <w:r>
              <w:rPr>
                <w:rFonts w:hint="eastAsia" w:ascii="仿宋_GB2312" w:hAnsi="宋体" w:eastAsia="仿宋_GB2312"/>
                <w:color w:val="auto"/>
                <w:kern w:val="0"/>
                <w:sz w:val="13"/>
                <w:szCs w:val="13"/>
                <w:highlight w:val="none"/>
              </w:rPr>
              <w:t>《建设工程质量检测管理办法》第四十八条　依照本办法规定，给予单位罚款处罚的，对单位直接负责的主管人员和其他直接责任人员处3万元以下罚款。</w:t>
            </w:r>
          </w:p>
        </w:tc>
        <w:tc>
          <w:tcPr>
            <w:tcW w:w="823" w:type="dxa"/>
            <w:tcBorders>
              <w:tl2br w:val="nil"/>
              <w:tr2bl w:val="nil"/>
            </w:tcBorders>
            <w:vAlign w:val="center"/>
          </w:tcPr>
          <w:p w14:paraId="37C3DBB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vAlign w:val="center"/>
          </w:tcPr>
          <w:p w14:paraId="55D904B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初次违法，主动消除或减轻违法行为危害后果的。</w:t>
            </w:r>
          </w:p>
        </w:tc>
        <w:tc>
          <w:tcPr>
            <w:tcW w:w="3058" w:type="dxa"/>
            <w:tcBorders>
              <w:tl2br w:val="nil"/>
              <w:tr2bl w:val="nil"/>
            </w:tcBorders>
            <w:vAlign w:val="center"/>
          </w:tcPr>
          <w:p w14:paraId="0ED28CA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责令改正，处</w:t>
            </w:r>
            <w:r>
              <w:rPr>
                <w:rFonts w:hint="eastAsia" w:ascii="仿宋_GB2312" w:hAnsi="宋体" w:eastAsia="仿宋_GB2312"/>
                <w:color w:val="auto"/>
                <w:kern w:val="0"/>
                <w:sz w:val="13"/>
                <w:szCs w:val="13"/>
                <w:highlight w:val="none"/>
                <w:lang w:val="en-US" w:eastAsia="zh-CN"/>
              </w:rPr>
              <w:t>5</w:t>
            </w:r>
            <w:r>
              <w:rPr>
                <w:rFonts w:hint="eastAsia" w:ascii="仿宋_GB2312" w:hAnsi="宋体" w:eastAsia="仿宋_GB2312"/>
                <w:color w:val="auto"/>
                <w:kern w:val="0"/>
                <w:sz w:val="13"/>
                <w:szCs w:val="13"/>
                <w:highlight w:val="none"/>
              </w:rPr>
              <w:t>万元以上</w:t>
            </w:r>
            <w:r>
              <w:rPr>
                <w:rFonts w:hint="eastAsia" w:ascii="仿宋_GB2312" w:hAnsi="宋体" w:eastAsia="仿宋_GB2312"/>
                <w:color w:val="auto"/>
                <w:kern w:val="0"/>
                <w:sz w:val="13"/>
                <w:szCs w:val="13"/>
                <w:highlight w:val="none"/>
                <w:lang w:val="en-US" w:eastAsia="zh-CN"/>
              </w:rPr>
              <w:t>8</w:t>
            </w:r>
            <w:r>
              <w:rPr>
                <w:rFonts w:hint="eastAsia" w:ascii="仿宋_GB2312" w:hAnsi="宋体" w:eastAsia="仿宋_GB2312"/>
                <w:color w:val="auto"/>
                <w:kern w:val="0"/>
                <w:sz w:val="13"/>
                <w:szCs w:val="13"/>
                <w:highlight w:val="none"/>
              </w:rPr>
              <w:t>万元以下的罚款，对检测机构的直接负责的主管人员和其他直接责任人员处</w:t>
            </w:r>
            <w:r>
              <w:rPr>
                <w:rFonts w:hint="eastAsia" w:ascii="仿宋_GB2312" w:hAnsi="宋体" w:eastAsia="仿宋_GB2312"/>
                <w:color w:val="auto"/>
                <w:kern w:val="0"/>
                <w:sz w:val="13"/>
                <w:szCs w:val="13"/>
                <w:highlight w:val="none"/>
                <w:lang w:val="en-US" w:eastAsia="zh-CN"/>
              </w:rPr>
              <w:t>1万元以下</w:t>
            </w:r>
            <w:r>
              <w:rPr>
                <w:rFonts w:hint="eastAsia" w:ascii="仿宋_GB2312" w:hAnsi="宋体" w:eastAsia="仿宋_GB2312"/>
                <w:color w:val="auto"/>
                <w:kern w:val="0"/>
                <w:sz w:val="13"/>
                <w:szCs w:val="13"/>
                <w:highlight w:val="none"/>
              </w:rPr>
              <w:t>的罚款。</w:t>
            </w:r>
          </w:p>
        </w:tc>
      </w:tr>
      <w:tr w14:paraId="78E509B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066" w:hRule="atLeast"/>
          <w:jc w:val="center"/>
        </w:trPr>
        <w:tc>
          <w:tcPr>
            <w:tcW w:w="443" w:type="dxa"/>
            <w:gridSpan w:val="2"/>
            <w:vMerge w:val="continue"/>
            <w:tcBorders>
              <w:tl2br w:val="nil"/>
              <w:tr2bl w:val="nil"/>
            </w:tcBorders>
            <w:vAlign w:val="center"/>
          </w:tcPr>
          <w:p w14:paraId="29FB71E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1D20015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vAlign w:val="center"/>
          </w:tcPr>
          <w:p w14:paraId="4B577B5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tcBorders>
              <w:tl2br w:val="nil"/>
              <w:tr2bl w:val="nil"/>
            </w:tcBorders>
            <w:vAlign w:val="center"/>
          </w:tcPr>
          <w:p w14:paraId="7A750E6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一般情节</w:t>
            </w:r>
          </w:p>
        </w:tc>
        <w:tc>
          <w:tcPr>
            <w:tcW w:w="3437" w:type="dxa"/>
            <w:gridSpan w:val="2"/>
            <w:tcBorders>
              <w:tl2br w:val="nil"/>
              <w:tr2bl w:val="nil"/>
            </w:tcBorders>
            <w:vAlign w:val="center"/>
          </w:tcPr>
          <w:p w14:paraId="390B5C0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不具有从轻、</w:t>
            </w:r>
            <w:r>
              <w:rPr>
                <w:rFonts w:hint="eastAsia" w:ascii="仿宋_GB2312" w:hAnsi="宋体" w:eastAsia="仿宋_GB2312"/>
                <w:color w:val="auto"/>
                <w:kern w:val="0"/>
                <w:sz w:val="13"/>
                <w:szCs w:val="13"/>
                <w:highlight w:val="none"/>
                <w:lang w:eastAsia="zh-CN"/>
              </w:rPr>
              <w:t>从重情节</w:t>
            </w:r>
            <w:r>
              <w:rPr>
                <w:rFonts w:hint="eastAsia" w:ascii="仿宋_GB2312" w:hAnsi="宋体" w:eastAsia="仿宋_GB2312"/>
                <w:color w:val="auto"/>
                <w:kern w:val="0"/>
                <w:sz w:val="13"/>
                <w:szCs w:val="13"/>
                <w:highlight w:val="none"/>
              </w:rPr>
              <w:t>的。</w:t>
            </w:r>
          </w:p>
        </w:tc>
        <w:tc>
          <w:tcPr>
            <w:tcW w:w="3058" w:type="dxa"/>
            <w:tcBorders>
              <w:tl2br w:val="nil"/>
              <w:tr2bl w:val="nil"/>
            </w:tcBorders>
            <w:vAlign w:val="center"/>
          </w:tcPr>
          <w:p w14:paraId="0F04BD2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责令改正，处</w:t>
            </w:r>
            <w:r>
              <w:rPr>
                <w:rFonts w:hint="eastAsia" w:ascii="仿宋_GB2312" w:hAnsi="宋体" w:eastAsia="仿宋_GB2312"/>
                <w:color w:val="auto"/>
                <w:kern w:val="0"/>
                <w:sz w:val="13"/>
                <w:szCs w:val="13"/>
                <w:highlight w:val="none"/>
                <w:lang w:val="en-US" w:eastAsia="zh-CN"/>
              </w:rPr>
              <w:t>8</w:t>
            </w:r>
            <w:r>
              <w:rPr>
                <w:rFonts w:hint="eastAsia" w:ascii="仿宋_GB2312" w:hAnsi="宋体" w:eastAsia="仿宋_GB2312"/>
                <w:color w:val="auto"/>
                <w:kern w:val="0"/>
                <w:sz w:val="13"/>
                <w:szCs w:val="13"/>
                <w:highlight w:val="none"/>
              </w:rPr>
              <w:t>万元以上</w:t>
            </w:r>
            <w:r>
              <w:rPr>
                <w:rFonts w:hint="eastAsia" w:ascii="仿宋_GB2312" w:hAnsi="宋体" w:eastAsia="仿宋_GB2312"/>
                <w:color w:val="auto"/>
                <w:kern w:val="0"/>
                <w:sz w:val="13"/>
                <w:szCs w:val="13"/>
                <w:highlight w:val="none"/>
                <w:lang w:val="en-US" w:eastAsia="zh-CN"/>
              </w:rPr>
              <w:t>10</w:t>
            </w:r>
            <w:r>
              <w:rPr>
                <w:rFonts w:hint="eastAsia" w:ascii="仿宋_GB2312" w:hAnsi="宋体" w:eastAsia="仿宋_GB2312"/>
                <w:color w:val="auto"/>
                <w:kern w:val="0"/>
                <w:sz w:val="13"/>
                <w:szCs w:val="13"/>
                <w:highlight w:val="none"/>
              </w:rPr>
              <w:t>万元以下的罚款，对检测机构的直接负责的主管人员和其他直接责任人员处</w:t>
            </w:r>
            <w:r>
              <w:rPr>
                <w:rFonts w:hint="eastAsia" w:ascii="仿宋_GB2312" w:hAnsi="宋体" w:eastAsia="仿宋_GB2312"/>
                <w:color w:val="auto"/>
                <w:kern w:val="0"/>
                <w:sz w:val="13"/>
                <w:szCs w:val="13"/>
                <w:highlight w:val="none"/>
                <w:lang w:val="en-US" w:eastAsia="zh-CN"/>
              </w:rPr>
              <w:t>1.万元以上2万元以下</w:t>
            </w:r>
            <w:r>
              <w:rPr>
                <w:rFonts w:hint="eastAsia" w:ascii="仿宋_GB2312" w:hAnsi="宋体" w:eastAsia="仿宋_GB2312"/>
                <w:color w:val="auto"/>
                <w:kern w:val="0"/>
                <w:sz w:val="13"/>
                <w:szCs w:val="13"/>
                <w:highlight w:val="none"/>
              </w:rPr>
              <w:t>的罚款。</w:t>
            </w:r>
          </w:p>
        </w:tc>
      </w:tr>
      <w:tr w14:paraId="6232303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645" w:hRule="atLeast"/>
          <w:jc w:val="center"/>
        </w:trPr>
        <w:tc>
          <w:tcPr>
            <w:tcW w:w="443" w:type="dxa"/>
            <w:gridSpan w:val="2"/>
            <w:vMerge w:val="continue"/>
            <w:tcBorders>
              <w:tl2br w:val="nil"/>
              <w:tr2bl w:val="nil"/>
            </w:tcBorders>
            <w:vAlign w:val="center"/>
          </w:tcPr>
          <w:p w14:paraId="6E38D9C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7772875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vAlign w:val="center"/>
          </w:tcPr>
          <w:p w14:paraId="4846207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vMerge w:val="restart"/>
            <w:tcBorders>
              <w:tl2br w:val="nil"/>
              <w:tr2bl w:val="nil"/>
            </w:tcBorders>
            <w:vAlign w:val="center"/>
          </w:tcPr>
          <w:p w14:paraId="268AA61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从重情节</w:t>
            </w:r>
          </w:p>
        </w:tc>
        <w:tc>
          <w:tcPr>
            <w:tcW w:w="3437" w:type="dxa"/>
            <w:gridSpan w:val="2"/>
            <w:tcBorders>
              <w:tl2br w:val="nil"/>
              <w:tr2bl w:val="nil"/>
            </w:tcBorders>
            <w:vAlign w:val="center"/>
          </w:tcPr>
          <w:p w14:paraId="7739D0D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lang w:val="en-US" w:eastAsia="zh-CN"/>
              </w:rPr>
              <w:t>有下列情形之一的：</w:t>
            </w:r>
            <w:r>
              <w:rPr>
                <w:rFonts w:hint="eastAsia" w:ascii="仿宋_GB2312" w:hAnsi="宋体" w:eastAsia="仿宋_GB2312"/>
                <w:color w:val="auto"/>
                <w:kern w:val="0"/>
                <w:sz w:val="13"/>
                <w:szCs w:val="13"/>
                <w:highlight w:val="none"/>
              </w:rPr>
              <w:t>（1）经责令改正后，逾期未改正的；</w:t>
            </w:r>
          </w:p>
          <w:p w14:paraId="4327F26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（2）2年内2次及以上同类型违法；</w:t>
            </w:r>
          </w:p>
          <w:p w14:paraId="5A3C33D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w:t>
            </w:r>
            <w:r>
              <w:rPr>
                <w:rFonts w:hint="eastAsia" w:ascii="仿宋_GB2312" w:hAnsi="宋体" w:eastAsia="仿宋_GB2312"/>
                <w:color w:val="auto"/>
                <w:kern w:val="0"/>
                <w:sz w:val="13"/>
                <w:szCs w:val="13"/>
                <w:highlight w:val="none"/>
                <w:lang w:val="en-US" w:eastAsia="zh-CN"/>
              </w:rPr>
              <w:t>3</w:t>
            </w:r>
            <w:r>
              <w:rPr>
                <w:rFonts w:hint="eastAsia" w:ascii="仿宋_GB2312" w:hAnsi="宋体" w:eastAsia="仿宋_GB2312"/>
                <w:color w:val="auto"/>
                <w:kern w:val="0"/>
                <w:sz w:val="13"/>
                <w:szCs w:val="13"/>
                <w:highlight w:val="none"/>
                <w:lang w:eastAsia="zh-CN"/>
              </w:rPr>
              <w:t>）</w:t>
            </w:r>
            <w:r>
              <w:rPr>
                <w:rFonts w:hint="eastAsia" w:ascii="仿宋_GB2312" w:hAnsi="宋体" w:eastAsia="仿宋_GB2312"/>
                <w:color w:val="auto"/>
                <w:kern w:val="0"/>
                <w:sz w:val="13"/>
                <w:szCs w:val="13"/>
                <w:highlight w:val="none"/>
              </w:rPr>
              <w:t>曾因该违法行为被依法查处，再次实施该违法行为的</w:t>
            </w:r>
          </w:p>
          <w:p w14:paraId="62D83E6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（4）法律法规规定的其他应当从重处罚的情形。</w:t>
            </w:r>
          </w:p>
        </w:tc>
        <w:tc>
          <w:tcPr>
            <w:tcW w:w="3058" w:type="dxa"/>
            <w:tcBorders>
              <w:tl2br w:val="nil"/>
              <w:tr2bl w:val="nil"/>
            </w:tcBorders>
            <w:vAlign w:val="center"/>
          </w:tcPr>
          <w:p w14:paraId="29ADC5B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责令改正，处</w:t>
            </w:r>
            <w:r>
              <w:rPr>
                <w:rFonts w:hint="eastAsia" w:ascii="仿宋_GB2312" w:hAnsi="宋体" w:eastAsia="仿宋_GB2312"/>
                <w:color w:val="auto"/>
                <w:kern w:val="0"/>
                <w:sz w:val="13"/>
                <w:szCs w:val="13"/>
                <w:highlight w:val="none"/>
                <w:lang w:val="en-US" w:eastAsia="zh-CN"/>
              </w:rPr>
              <w:t>10</w:t>
            </w:r>
            <w:r>
              <w:rPr>
                <w:rFonts w:hint="eastAsia" w:ascii="仿宋_GB2312" w:hAnsi="宋体" w:eastAsia="仿宋_GB2312"/>
                <w:color w:val="auto"/>
                <w:kern w:val="0"/>
                <w:sz w:val="13"/>
                <w:szCs w:val="13"/>
                <w:highlight w:val="none"/>
              </w:rPr>
              <w:t>万元以上</w:t>
            </w:r>
            <w:r>
              <w:rPr>
                <w:rFonts w:hint="eastAsia" w:ascii="仿宋_GB2312" w:hAnsi="宋体" w:eastAsia="仿宋_GB2312"/>
                <w:color w:val="auto"/>
                <w:kern w:val="0"/>
                <w:sz w:val="13"/>
                <w:szCs w:val="13"/>
                <w:highlight w:val="none"/>
                <w:lang w:val="en-US" w:eastAsia="zh-CN"/>
              </w:rPr>
              <w:t>15</w:t>
            </w:r>
            <w:r>
              <w:rPr>
                <w:rFonts w:hint="eastAsia" w:ascii="仿宋_GB2312" w:hAnsi="宋体" w:eastAsia="仿宋_GB2312"/>
                <w:color w:val="auto"/>
                <w:kern w:val="0"/>
                <w:sz w:val="13"/>
                <w:szCs w:val="13"/>
                <w:highlight w:val="none"/>
              </w:rPr>
              <w:t>万元以下的罚款，对检测机构的直接负责的主管人员和其他直接责任人员处</w:t>
            </w:r>
            <w:r>
              <w:rPr>
                <w:rFonts w:hint="eastAsia" w:ascii="仿宋_GB2312" w:hAnsi="宋体" w:eastAsia="仿宋_GB2312"/>
                <w:color w:val="auto"/>
                <w:kern w:val="0"/>
                <w:sz w:val="13"/>
                <w:szCs w:val="13"/>
                <w:highlight w:val="none"/>
                <w:lang w:val="en-US" w:eastAsia="zh-CN"/>
              </w:rPr>
              <w:t>3万元罚款</w:t>
            </w:r>
            <w:r>
              <w:rPr>
                <w:rFonts w:hint="eastAsia" w:ascii="仿宋_GB2312" w:hAnsi="宋体" w:eastAsia="仿宋_GB2312"/>
                <w:color w:val="auto"/>
                <w:kern w:val="0"/>
                <w:sz w:val="13"/>
                <w:szCs w:val="13"/>
                <w:highlight w:val="none"/>
              </w:rPr>
              <w:t>。</w:t>
            </w:r>
          </w:p>
        </w:tc>
      </w:tr>
      <w:tr w14:paraId="518ABF4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645" w:hRule="atLeast"/>
          <w:jc w:val="center"/>
        </w:trPr>
        <w:tc>
          <w:tcPr>
            <w:tcW w:w="443" w:type="dxa"/>
            <w:gridSpan w:val="2"/>
            <w:vMerge w:val="continue"/>
            <w:tcBorders>
              <w:tl2br w:val="nil"/>
              <w:tr2bl w:val="nil"/>
            </w:tcBorders>
            <w:vAlign w:val="center"/>
          </w:tcPr>
          <w:p w14:paraId="32D0761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10" w:firstLineChars="100"/>
              <w:jc w:val="left"/>
              <w:rPr>
                <w:color w:val="auto"/>
                <w:highlight w:val="none"/>
              </w:rPr>
            </w:pPr>
          </w:p>
        </w:tc>
        <w:tc>
          <w:tcPr>
            <w:tcW w:w="1550" w:type="dxa"/>
            <w:vMerge w:val="continue"/>
            <w:tcBorders>
              <w:tl2br w:val="nil"/>
              <w:tr2bl w:val="nil"/>
            </w:tcBorders>
            <w:vAlign w:val="center"/>
          </w:tcPr>
          <w:p w14:paraId="0AF50F5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10" w:firstLineChars="100"/>
              <w:jc w:val="left"/>
              <w:rPr>
                <w:color w:val="auto"/>
                <w:highlight w:val="none"/>
              </w:rPr>
            </w:pPr>
          </w:p>
        </w:tc>
        <w:tc>
          <w:tcPr>
            <w:tcW w:w="4820" w:type="dxa"/>
            <w:vMerge w:val="continue"/>
            <w:tcBorders>
              <w:tl2br w:val="nil"/>
              <w:tr2bl w:val="nil"/>
            </w:tcBorders>
            <w:vAlign w:val="center"/>
          </w:tcPr>
          <w:p w14:paraId="6F61BB0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10" w:firstLineChars="100"/>
              <w:jc w:val="left"/>
              <w:rPr>
                <w:color w:val="auto"/>
                <w:highlight w:val="none"/>
              </w:rPr>
            </w:pPr>
          </w:p>
        </w:tc>
        <w:tc>
          <w:tcPr>
            <w:tcW w:w="823" w:type="dxa"/>
            <w:vMerge w:val="continue"/>
            <w:tcBorders>
              <w:tl2br w:val="nil"/>
              <w:tr2bl w:val="nil"/>
            </w:tcBorders>
            <w:vAlign w:val="center"/>
          </w:tcPr>
          <w:p w14:paraId="07B3B9F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10" w:firstLineChars="100"/>
              <w:jc w:val="left"/>
              <w:rPr>
                <w:color w:val="auto"/>
                <w:highlight w:val="none"/>
              </w:rPr>
            </w:pPr>
          </w:p>
        </w:tc>
        <w:tc>
          <w:tcPr>
            <w:tcW w:w="3437" w:type="dxa"/>
            <w:gridSpan w:val="2"/>
            <w:tcBorders>
              <w:tl2br w:val="nil"/>
              <w:tr2bl w:val="nil"/>
            </w:tcBorders>
            <w:vAlign w:val="center"/>
          </w:tcPr>
          <w:p w14:paraId="650E325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lang w:eastAsia="zh-CN"/>
              </w:rPr>
              <w:t>（</w:t>
            </w:r>
            <w:r>
              <w:rPr>
                <w:rFonts w:hint="eastAsia" w:ascii="仿宋_GB2312" w:hAnsi="宋体" w:eastAsia="仿宋_GB2312"/>
                <w:color w:val="auto"/>
                <w:kern w:val="0"/>
                <w:sz w:val="13"/>
                <w:szCs w:val="13"/>
                <w:highlight w:val="none"/>
                <w:lang w:val="en-US" w:eastAsia="zh-CN"/>
              </w:rPr>
              <w:t>1</w:t>
            </w:r>
            <w:r>
              <w:rPr>
                <w:rFonts w:hint="eastAsia" w:ascii="仿宋_GB2312" w:hAnsi="宋体" w:eastAsia="仿宋_GB2312"/>
                <w:color w:val="auto"/>
                <w:kern w:val="0"/>
                <w:sz w:val="13"/>
                <w:szCs w:val="13"/>
                <w:highlight w:val="none"/>
                <w:lang w:eastAsia="zh-CN"/>
              </w:rPr>
              <w:t>）</w:t>
            </w:r>
            <w:r>
              <w:rPr>
                <w:rFonts w:hint="eastAsia" w:ascii="仿宋_GB2312" w:hAnsi="宋体" w:eastAsia="仿宋_GB2312"/>
                <w:color w:val="auto"/>
                <w:kern w:val="0"/>
                <w:sz w:val="13"/>
                <w:szCs w:val="13"/>
                <w:highlight w:val="none"/>
              </w:rPr>
              <w:t>造成质量、安全事故，或造成其他严重危害后果的；</w:t>
            </w:r>
          </w:p>
          <w:p w14:paraId="3F0A378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w:t>
            </w:r>
            <w:r>
              <w:rPr>
                <w:rFonts w:hint="eastAsia" w:ascii="仿宋_GB2312" w:hAnsi="宋体" w:eastAsia="仿宋_GB2312"/>
                <w:color w:val="auto"/>
                <w:kern w:val="0"/>
                <w:sz w:val="13"/>
                <w:szCs w:val="13"/>
                <w:highlight w:val="none"/>
                <w:lang w:val="en-US" w:eastAsia="zh-CN"/>
              </w:rPr>
              <w:t>2</w:t>
            </w:r>
            <w:r>
              <w:rPr>
                <w:rFonts w:hint="eastAsia" w:ascii="仿宋_GB2312" w:hAnsi="宋体" w:eastAsia="仿宋_GB2312"/>
                <w:color w:val="auto"/>
                <w:kern w:val="0"/>
                <w:sz w:val="13"/>
                <w:szCs w:val="13"/>
                <w:highlight w:val="none"/>
              </w:rPr>
              <w:t>）足以影响建设市场秩序和社会稳定的；</w:t>
            </w:r>
          </w:p>
          <w:p w14:paraId="2BC19D9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w:t>
            </w:r>
            <w:r>
              <w:rPr>
                <w:rFonts w:hint="eastAsia" w:ascii="仿宋_GB2312" w:hAnsi="宋体" w:eastAsia="仿宋_GB2312"/>
                <w:color w:val="auto"/>
                <w:kern w:val="0"/>
                <w:sz w:val="13"/>
                <w:szCs w:val="13"/>
                <w:highlight w:val="none"/>
                <w:lang w:val="en-US" w:eastAsia="zh-CN"/>
              </w:rPr>
              <w:t>3</w:t>
            </w:r>
            <w:r>
              <w:rPr>
                <w:rFonts w:hint="eastAsia" w:ascii="仿宋_GB2312" w:hAnsi="宋体" w:eastAsia="仿宋_GB2312"/>
                <w:color w:val="auto"/>
                <w:kern w:val="0"/>
                <w:sz w:val="13"/>
                <w:szCs w:val="13"/>
                <w:highlight w:val="none"/>
              </w:rPr>
              <w:t>）经有关部门确认，存在贿赂情形的；</w:t>
            </w:r>
          </w:p>
          <w:p w14:paraId="093C423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w:t>
            </w:r>
            <w:r>
              <w:rPr>
                <w:rFonts w:hint="eastAsia" w:ascii="仿宋_GB2312" w:hAnsi="宋体" w:eastAsia="仿宋_GB2312"/>
                <w:color w:val="auto"/>
                <w:kern w:val="0"/>
                <w:sz w:val="13"/>
                <w:szCs w:val="13"/>
                <w:highlight w:val="none"/>
                <w:lang w:val="en-US" w:eastAsia="zh-CN"/>
              </w:rPr>
              <w:t>4</w:t>
            </w:r>
            <w:r>
              <w:rPr>
                <w:rFonts w:hint="eastAsia" w:ascii="仿宋_GB2312" w:hAnsi="宋体" w:eastAsia="仿宋_GB2312"/>
                <w:color w:val="auto"/>
                <w:kern w:val="0"/>
                <w:sz w:val="13"/>
                <w:szCs w:val="13"/>
                <w:highlight w:val="none"/>
              </w:rPr>
              <w:t>）其他依法应予从重处罚的情形。</w:t>
            </w:r>
          </w:p>
        </w:tc>
        <w:tc>
          <w:tcPr>
            <w:tcW w:w="3058" w:type="dxa"/>
            <w:tcBorders>
              <w:tl2br w:val="nil"/>
              <w:tr2bl w:val="nil"/>
            </w:tcBorders>
            <w:vAlign w:val="center"/>
          </w:tcPr>
          <w:p w14:paraId="72A4C2B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责令改正，处</w:t>
            </w:r>
            <w:r>
              <w:rPr>
                <w:rFonts w:hint="eastAsia" w:ascii="仿宋_GB2312" w:hAnsi="宋体" w:eastAsia="仿宋_GB2312"/>
                <w:color w:val="auto"/>
                <w:kern w:val="0"/>
                <w:sz w:val="13"/>
                <w:szCs w:val="13"/>
                <w:highlight w:val="none"/>
                <w:lang w:val="en-US" w:eastAsia="zh-CN"/>
              </w:rPr>
              <w:t>15</w:t>
            </w:r>
            <w:r>
              <w:rPr>
                <w:rFonts w:hint="eastAsia" w:ascii="仿宋_GB2312" w:hAnsi="宋体" w:eastAsia="仿宋_GB2312"/>
                <w:color w:val="auto"/>
                <w:kern w:val="0"/>
                <w:sz w:val="13"/>
                <w:szCs w:val="13"/>
                <w:highlight w:val="none"/>
              </w:rPr>
              <w:t>万元以上</w:t>
            </w:r>
            <w:r>
              <w:rPr>
                <w:rFonts w:hint="eastAsia" w:ascii="仿宋_GB2312" w:hAnsi="宋体" w:eastAsia="仿宋_GB2312"/>
                <w:color w:val="auto"/>
                <w:kern w:val="0"/>
                <w:sz w:val="13"/>
                <w:szCs w:val="13"/>
                <w:highlight w:val="none"/>
                <w:lang w:val="en-US" w:eastAsia="zh-CN"/>
              </w:rPr>
              <w:t>20</w:t>
            </w:r>
            <w:r>
              <w:rPr>
                <w:rFonts w:hint="eastAsia" w:ascii="仿宋_GB2312" w:hAnsi="宋体" w:eastAsia="仿宋_GB2312"/>
                <w:color w:val="auto"/>
                <w:kern w:val="0"/>
                <w:sz w:val="13"/>
                <w:szCs w:val="13"/>
                <w:highlight w:val="none"/>
              </w:rPr>
              <w:t>万元以下的罚款，对检测机构的直接负责的主管人员和其他直接责任人员处</w:t>
            </w:r>
            <w:r>
              <w:rPr>
                <w:rFonts w:hint="eastAsia" w:ascii="仿宋_GB2312" w:hAnsi="宋体" w:eastAsia="仿宋_GB2312"/>
                <w:color w:val="auto"/>
                <w:kern w:val="0"/>
                <w:sz w:val="13"/>
                <w:szCs w:val="13"/>
                <w:highlight w:val="none"/>
                <w:lang w:val="en-US" w:eastAsia="zh-CN"/>
              </w:rPr>
              <w:t>3万元罚款</w:t>
            </w:r>
            <w:r>
              <w:rPr>
                <w:rFonts w:hint="eastAsia" w:ascii="仿宋_GB2312" w:hAnsi="宋体" w:eastAsia="仿宋_GB2312"/>
                <w:color w:val="auto"/>
                <w:kern w:val="0"/>
                <w:sz w:val="13"/>
                <w:szCs w:val="13"/>
                <w:highlight w:val="none"/>
              </w:rPr>
              <w:t>。</w:t>
            </w:r>
          </w:p>
        </w:tc>
      </w:tr>
      <w:tr w14:paraId="18859C4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079" w:hRule="atLeast"/>
          <w:jc w:val="center"/>
        </w:trPr>
        <w:tc>
          <w:tcPr>
            <w:tcW w:w="443" w:type="dxa"/>
            <w:gridSpan w:val="2"/>
            <w:vMerge w:val="restart"/>
            <w:tcBorders>
              <w:tl2br w:val="nil"/>
              <w:tr2bl w:val="nil"/>
            </w:tcBorders>
            <w:vAlign w:val="center"/>
          </w:tcPr>
          <w:p w14:paraId="2AADE163">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仿宋_GB2312"/>
                <w:i w:val="0"/>
                <w:color w:val="auto"/>
                <w:kern w:val="0"/>
                <w:sz w:val="13"/>
                <w:szCs w:val="13"/>
                <w:highlight w:val="none"/>
                <w:u w:val="none"/>
                <w:lang w:val="en-US" w:eastAsia="zh-CN" w:bidi="ar"/>
              </w:rPr>
            </w:pPr>
            <w:r>
              <w:rPr>
                <w:rFonts w:hint="eastAsia" w:ascii="仿宋_GB2312" w:hAnsi="宋体" w:eastAsia="仿宋_GB2312" w:cs="仿宋_GB2312"/>
                <w:i w:val="0"/>
                <w:color w:val="auto"/>
                <w:kern w:val="0"/>
                <w:sz w:val="13"/>
                <w:szCs w:val="13"/>
                <w:highlight w:val="none"/>
                <w:u w:val="none"/>
                <w:lang w:val="en-US" w:eastAsia="zh-CN" w:bidi="ar"/>
              </w:rPr>
              <w:t>103</w:t>
            </w:r>
          </w:p>
        </w:tc>
        <w:tc>
          <w:tcPr>
            <w:tcW w:w="1550" w:type="dxa"/>
            <w:vMerge w:val="restart"/>
            <w:tcBorders>
              <w:tl2br w:val="nil"/>
              <w:tr2bl w:val="nil"/>
            </w:tcBorders>
            <w:vAlign w:val="center"/>
          </w:tcPr>
          <w:p w14:paraId="543ECEC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lang w:eastAsia="zh-CN"/>
              </w:rPr>
              <w:t>出具虚假的检测数据或者检测报告</w:t>
            </w:r>
          </w:p>
        </w:tc>
        <w:tc>
          <w:tcPr>
            <w:tcW w:w="4820" w:type="dxa"/>
            <w:vMerge w:val="restart"/>
            <w:tcBorders>
              <w:tl2br w:val="nil"/>
              <w:tr2bl w:val="nil"/>
            </w:tcBorders>
            <w:vAlign w:val="center"/>
          </w:tcPr>
          <w:p w14:paraId="1D6F084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lang w:eastAsia="zh-CN"/>
              </w:rPr>
              <w:tab/>
            </w:r>
            <w:r>
              <w:rPr>
                <w:rFonts w:hint="eastAsia" w:ascii="仿宋_GB2312" w:hAnsi="宋体" w:eastAsia="仿宋_GB2312"/>
                <w:color w:val="auto"/>
                <w:kern w:val="0"/>
                <w:sz w:val="13"/>
                <w:szCs w:val="13"/>
                <w:highlight w:val="none"/>
              </w:rPr>
              <w:t>《建设工程质量检测管理办法》第四十三条</w:t>
            </w:r>
            <w:r>
              <w:rPr>
                <w:rFonts w:hint="eastAsia" w:ascii="仿宋_GB2312" w:hAnsi="宋体" w:eastAsia="仿宋_GB2312"/>
                <w:color w:val="auto"/>
                <w:kern w:val="0"/>
                <w:sz w:val="13"/>
                <w:szCs w:val="13"/>
                <w:highlight w:val="none"/>
                <w:lang w:val="en-US" w:eastAsia="zh-CN"/>
              </w:rPr>
              <w:t>第一款</w:t>
            </w:r>
            <w:r>
              <w:rPr>
                <w:rFonts w:hint="eastAsia" w:ascii="仿宋_GB2312" w:hAnsi="宋体" w:eastAsia="仿宋_GB2312"/>
                <w:color w:val="auto"/>
                <w:kern w:val="0"/>
                <w:sz w:val="13"/>
                <w:szCs w:val="13"/>
                <w:highlight w:val="none"/>
              </w:rPr>
              <w:t>　检测机构违反本办法第二十二条、第三十条第六项规定的，由县级以上地方人民政府住房和城乡建设主管部门责令改正，处5万元以上10万元以下罚款；造成危害后果的，处10万元以上20万元以下罚款；构成犯罪的，依法追究刑事责任。</w:t>
            </w:r>
          </w:p>
          <w:p w14:paraId="7B4B349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第三十条　检测机构不得有下列行为：</w:t>
            </w:r>
          </w:p>
          <w:p w14:paraId="07D8EC46">
            <w:pPr>
              <w:keepNext w:val="0"/>
              <w:keepLines w:val="0"/>
              <w:pageBreakBefore w:val="0"/>
              <w:widowControl/>
              <w:numPr>
                <w:ilvl w:val="0"/>
                <w:numId w:val="1"/>
              </w:numPr>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出具虚假的检测数据或者检测报告。</w:t>
            </w:r>
          </w:p>
          <w:p w14:paraId="1076E641">
            <w:pPr>
              <w:keepNext w:val="0"/>
              <w:keepLines w:val="0"/>
              <w:pageBreakBefore w:val="0"/>
              <w:tabs>
                <w:tab w:val="left" w:pos="1857"/>
              </w:tabs>
              <w:kinsoku/>
              <w:overflowPunct/>
              <w:topLinePunct w:val="0"/>
              <w:autoSpaceDE/>
              <w:autoSpaceDN/>
              <w:bidi w:val="0"/>
              <w:adjustRightInd/>
              <w:snapToGrid/>
              <w:spacing w:beforeAutospacing="0" w:afterAutospacing="0" w:line="260" w:lineRule="exact"/>
              <w:ind w:right="0" w:rightChars="0" w:firstLine="130" w:firstLineChars="100"/>
              <w:jc w:val="left"/>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rPr>
              <w:t>第四十八条　依照本办法规定，给予单位罚款处罚的，对单位直接负责的主管人员和其他直接责任人员处3万元以下罚款。</w:t>
            </w:r>
          </w:p>
        </w:tc>
        <w:tc>
          <w:tcPr>
            <w:tcW w:w="823" w:type="dxa"/>
            <w:tcBorders>
              <w:tl2br w:val="nil"/>
              <w:tr2bl w:val="nil"/>
            </w:tcBorders>
            <w:vAlign w:val="center"/>
          </w:tcPr>
          <w:p w14:paraId="0370610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vAlign w:val="center"/>
          </w:tcPr>
          <w:p w14:paraId="03A4412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初次违法，主动消除或减轻违法行为危害后果的。</w:t>
            </w:r>
          </w:p>
        </w:tc>
        <w:tc>
          <w:tcPr>
            <w:tcW w:w="3058" w:type="dxa"/>
            <w:tcBorders>
              <w:tl2br w:val="nil"/>
              <w:tr2bl w:val="nil"/>
            </w:tcBorders>
            <w:vAlign w:val="center"/>
          </w:tcPr>
          <w:p w14:paraId="1C5150E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责令改正，处</w:t>
            </w:r>
            <w:r>
              <w:rPr>
                <w:rFonts w:hint="eastAsia" w:ascii="仿宋_GB2312" w:hAnsi="宋体" w:eastAsia="仿宋_GB2312"/>
                <w:color w:val="auto"/>
                <w:kern w:val="0"/>
                <w:sz w:val="13"/>
                <w:szCs w:val="13"/>
                <w:highlight w:val="none"/>
                <w:lang w:val="en-US" w:eastAsia="zh-CN"/>
              </w:rPr>
              <w:t>5</w:t>
            </w:r>
            <w:r>
              <w:rPr>
                <w:rFonts w:hint="eastAsia" w:ascii="仿宋_GB2312" w:hAnsi="宋体" w:eastAsia="仿宋_GB2312"/>
                <w:color w:val="auto"/>
                <w:kern w:val="0"/>
                <w:sz w:val="13"/>
                <w:szCs w:val="13"/>
                <w:highlight w:val="none"/>
              </w:rPr>
              <w:t>万元以上</w:t>
            </w:r>
            <w:r>
              <w:rPr>
                <w:rFonts w:hint="eastAsia" w:ascii="仿宋_GB2312" w:hAnsi="宋体" w:eastAsia="仿宋_GB2312"/>
                <w:color w:val="auto"/>
                <w:kern w:val="0"/>
                <w:sz w:val="13"/>
                <w:szCs w:val="13"/>
                <w:highlight w:val="none"/>
                <w:lang w:val="en-US" w:eastAsia="zh-CN"/>
              </w:rPr>
              <w:t>8</w:t>
            </w:r>
            <w:r>
              <w:rPr>
                <w:rFonts w:hint="eastAsia" w:ascii="仿宋_GB2312" w:hAnsi="宋体" w:eastAsia="仿宋_GB2312"/>
                <w:color w:val="auto"/>
                <w:kern w:val="0"/>
                <w:sz w:val="13"/>
                <w:szCs w:val="13"/>
                <w:highlight w:val="none"/>
              </w:rPr>
              <w:t>万元以下的罚款，对检测机构的直接负责的主管人员和其他直接责任人员处</w:t>
            </w:r>
            <w:r>
              <w:rPr>
                <w:rFonts w:hint="eastAsia" w:ascii="仿宋_GB2312" w:hAnsi="宋体" w:eastAsia="仿宋_GB2312"/>
                <w:color w:val="auto"/>
                <w:kern w:val="0"/>
                <w:sz w:val="13"/>
                <w:szCs w:val="13"/>
                <w:highlight w:val="none"/>
                <w:lang w:val="en-US" w:eastAsia="zh-CN"/>
              </w:rPr>
              <w:t>1万元以下</w:t>
            </w:r>
            <w:r>
              <w:rPr>
                <w:rFonts w:hint="eastAsia" w:ascii="仿宋_GB2312" w:hAnsi="宋体" w:eastAsia="仿宋_GB2312"/>
                <w:color w:val="auto"/>
                <w:kern w:val="0"/>
                <w:sz w:val="13"/>
                <w:szCs w:val="13"/>
                <w:highlight w:val="none"/>
              </w:rPr>
              <w:t>的罚款。</w:t>
            </w:r>
          </w:p>
        </w:tc>
      </w:tr>
      <w:tr w14:paraId="3CD91B9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999" w:hRule="atLeast"/>
          <w:jc w:val="center"/>
        </w:trPr>
        <w:tc>
          <w:tcPr>
            <w:tcW w:w="443" w:type="dxa"/>
            <w:gridSpan w:val="2"/>
            <w:vMerge w:val="continue"/>
            <w:tcBorders>
              <w:tl2br w:val="nil"/>
              <w:tr2bl w:val="nil"/>
            </w:tcBorders>
            <w:vAlign w:val="center"/>
          </w:tcPr>
          <w:p w14:paraId="42815FB1">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仿宋_GB2312"/>
                <w:i w:val="0"/>
                <w:color w:val="auto"/>
                <w:kern w:val="0"/>
                <w:sz w:val="13"/>
                <w:szCs w:val="13"/>
                <w:highlight w:val="none"/>
                <w:u w:val="none"/>
                <w:lang w:val="en-US" w:eastAsia="zh-CN" w:bidi="ar"/>
              </w:rPr>
            </w:pPr>
          </w:p>
        </w:tc>
        <w:tc>
          <w:tcPr>
            <w:tcW w:w="1550" w:type="dxa"/>
            <w:vMerge w:val="continue"/>
            <w:tcBorders>
              <w:tl2br w:val="nil"/>
              <w:tr2bl w:val="nil"/>
            </w:tcBorders>
            <w:vAlign w:val="center"/>
          </w:tcPr>
          <w:p w14:paraId="1E5E89D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395888FC">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hint="eastAsia" w:ascii="仿宋_GB2312" w:hAnsi="宋体" w:eastAsia="仿宋_GB2312"/>
                <w:color w:val="auto"/>
                <w:kern w:val="0"/>
                <w:sz w:val="13"/>
                <w:szCs w:val="13"/>
                <w:highlight w:val="none"/>
              </w:rPr>
            </w:pPr>
          </w:p>
        </w:tc>
        <w:tc>
          <w:tcPr>
            <w:tcW w:w="823" w:type="dxa"/>
            <w:tcBorders>
              <w:tl2br w:val="nil"/>
              <w:tr2bl w:val="nil"/>
            </w:tcBorders>
            <w:vAlign w:val="center"/>
          </w:tcPr>
          <w:p w14:paraId="0E33F3B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一般情节</w:t>
            </w:r>
          </w:p>
        </w:tc>
        <w:tc>
          <w:tcPr>
            <w:tcW w:w="3437" w:type="dxa"/>
            <w:gridSpan w:val="2"/>
            <w:tcBorders>
              <w:tl2br w:val="nil"/>
              <w:tr2bl w:val="nil"/>
            </w:tcBorders>
            <w:vAlign w:val="center"/>
          </w:tcPr>
          <w:p w14:paraId="65CDCC3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不具有从轻、</w:t>
            </w:r>
            <w:r>
              <w:rPr>
                <w:rFonts w:hint="eastAsia" w:ascii="仿宋_GB2312" w:hAnsi="宋体" w:eastAsia="仿宋_GB2312"/>
                <w:color w:val="auto"/>
                <w:kern w:val="0"/>
                <w:sz w:val="13"/>
                <w:szCs w:val="13"/>
                <w:highlight w:val="none"/>
                <w:lang w:eastAsia="zh-CN"/>
              </w:rPr>
              <w:t>从重情节</w:t>
            </w:r>
            <w:r>
              <w:rPr>
                <w:rFonts w:hint="eastAsia" w:ascii="仿宋_GB2312" w:hAnsi="宋体" w:eastAsia="仿宋_GB2312"/>
                <w:color w:val="auto"/>
                <w:kern w:val="0"/>
                <w:sz w:val="13"/>
                <w:szCs w:val="13"/>
                <w:highlight w:val="none"/>
              </w:rPr>
              <w:t>的。</w:t>
            </w:r>
          </w:p>
        </w:tc>
        <w:tc>
          <w:tcPr>
            <w:tcW w:w="3058" w:type="dxa"/>
            <w:tcBorders>
              <w:tl2br w:val="nil"/>
              <w:tr2bl w:val="nil"/>
            </w:tcBorders>
            <w:vAlign w:val="center"/>
          </w:tcPr>
          <w:p w14:paraId="77773CC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责令改正，处</w:t>
            </w:r>
            <w:r>
              <w:rPr>
                <w:rFonts w:hint="eastAsia" w:ascii="仿宋_GB2312" w:hAnsi="宋体" w:eastAsia="仿宋_GB2312"/>
                <w:color w:val="auto"/>
                <w:kern w:val="0"/>
                <w:sz w:val="13"/>
                <w:szCs w:val="13"/>
                <w:highlight w:val="none"/>
                <w:lang w:val="en-US" w:eastAsia="zh-CN"/>
              </w:rPr>
              <w:t>8</w:t>
            </w:r>
            <w:r>
              <w:rPr>
                <w:rFonts w:hint="eastAsia" w:ascii="仿宋_GB2312" w:hAnsi="宋体" w:eastAsia="仿宋_GB2312"/>
                <w:color w:val="auto"/>
                <w:kern w:val="0"/>
                <w:sz w:val="13"/>
                <w:szCs w:val="13"/>
                <w:highlight w:val="none"/>
              </w:rPr>
              <w:t>万元以上</w:t>
            </w:r>
            <w:r>
              <w:rPr>
                <w:rFonts w:hint="eastAsia" w:ascii="仿宋_GB2312" w:hAnsi="宋体" w:eastAsia="仿宋_GB2312"/>
                <w:color w:val="auto"/>
                <w:kern w:val="0"/>
                <w:sz w:val="13"/>
                <w:szCs w:val="13"/>
                <w:highlight w:val="none"/>
                <w:lang w:val="en-US" w:eastAsia="zh-CN"/>
              </w:rPr>
              <w:t>10</w:t>
            </w:r>
            <w:r>
              <w:rPr>
                <w:rFonts w:hint="eastAsia" w:ascii="仿宋_GB2312" w:hAnsi="宋体" w:eastAsia="仿宋_GB2312"/>
                <w:color w:val="auto"/>
                <w:kern w:val="0"/>
                <w:sz w:val="13"/>
                <w:szCs w:val="13"/>
                <w:highlight w:val="none"/>
              </w:rPr>
              <w:t>万元以下的罚款，对检测机构的直接负责的主管人员和其他直接责任人员处</w:t>
            </w:r>
            <w:r>
              <w:rPr>
                <w:rFonts w:hint="eastAsia" w:ascii="仿宋_GB2312" w:hAnsi="宋体" w:eastAsia="仿宋_GB2312"/>
                <w:color w:val="auto"/>
                <w:kern w:val="0"/>
                <w:sz w:val="13"/>
                <w:szCs w:val="13"/>
                <w:highlight w:val="none"/>
                <w:lang w:val="en-US" w:eastAsia="zh-CN"/>
              </w:rPr>
              <w:t>1元以上2万元以下</w:t>
            </w:r>
            <w:r>
              <w:rPr>
                <w:rFonts w:hint="eastAsia" w:ascii="仿宋_GB2312" w:hAnsi="宋体" w:eastAsia="仿宋_GB2312"/>
                <w:color w:val="auto"/>
                <w:kern w:val="0"/>
                <w:sz w:val="13"/>
                <w:szCs w:val="13"/>
                <w:highlight w:val="none"/>
              </w:rPr>
              <w:t>的罚款。</w:t>
            </w:r>
          </w:p>
        </w:tc>
      </w:tr>
      <w:tr w14:paraId="0A7BDE6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494" w:hRule="atLeast"/>
          <w:jc w:val="center"/>
        </w:trPr>
        <w:tc>
          <w:tcPr>
            <w:tcW w:w="443" w:type="dxa"/>
            <w:gridSpan w:val="2"/>
            <w:vMerge w:val="continue"/>
            <w:tcBorders>
              <w:tl2br w:val="nil"/>
              <w:tr2bl w:val="nil"/>
            </w:tcBorders>
            <w:vAlign w:val="center"/>
          </w:tcPr>
          <w:p w14:paraId="617E50A5">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仿宋_GB2312"/>
                <w:i w:val="0"/>
                <w:color w:val="auto"/>
                <w:kern w:val="0"/>
                <w:sz w:val="13"/>
                <w:szCs w:val="13"/>
                <w:highlight w:val="none"/>
                <w:u w:val="none"/>
                <w:lang w:val="en-US" w:eastAsia="zh-CN" w:bidi="ar"/>
              </w:rPr>
            </w:pPr>
          </w:p>
        </w:tc>
        <w:tc>
          <w:tcPr>
            <w:tcW w:w="1550" w:type="dxa"/>
            <w:vMerge w:val="continue"/>
            <w:tcBorders>
              <w:tl2br w:val="nil"/>
              <w:tr2bl w:val="nil"/>
            </w:tcBorders>
            <w:vAlign w:val="center"/>
          </w:tcPr>
          <w:p w14:paraId="1519333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44BD0399">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hint="eastAsia" w:ascii="仿宋_GB2312" w:hAnsi="宋体" w:eastAsia="仿宋_GB2312"/>
                <w:color w:val="auto"/>
                <w:kern w:val="0"/>
                <w:sz w:val="13"/>
                <w:szCs w:val="13"/>
                <w:highlight w:val="none"/>
              </w:rPr>
            </w:pPr>
          </w:p>
        </w:tc>
        <w:tc>
          <w:tcPr>
            <w:tcW w:w="823" w:type="dxa"/>
            <w:vMerge w:val="restart"/>
            <w:tcBorders>
              <w:tl2br w:val="nil"/>
              <w:tr2bl w:val="nil"/>
            </w:tcBorders>
            <w:vAlign w:val="center"/>
          </w:tcPr>
          <w:p w14:paraId="60017A5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从重情节</w:t>
            </w:r>
          </w:p>
        </w:tc>
        <w:tc>
          <w:tcPr>
            <w:tcW w:w="3437" w:type="dxa"/>
            <w:gridSpan w:val="2"/>
            <w:tcBorders>
              <w:tl2br w:val="nil"/>
              <w:tr2bl w:val="nil"/>
            </w:tcBorders>
            <w:vAlign w:val="center"/>
          </w:tcPr>
          <w:p w14:paraId="3488B9E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lang w:val="en-US" w:eastAsia="zh-CN"/>
              </w:rPr>
              <w:t>有下列情形之一的：</w:t>
            </w:r>
            <w:r>
              <w:rPr>
                <w:rFonts w:hint="eastAsia" w:ascii="仿宋_GB2312" w:hAnsi="宋体" w:eastAsia="仿宋_GB2312"/>
                <w:color w:val="auto"/>
                <w:kern w:val="0"/>
                <w:sz w:val="13"/>
                <w:szCs w:val="13"/>
                <w:highlight w:val="none"/>
              </w:rPr>
              <w:t>（</w:t>
            </w:r>
            <w:r>
              <w:rPr>
                <w:rFonts w:hint="eastAsia" w:ascii="仿宋_GB2312" w:hAnsi="宋体" w:eastAsia="仿宋_GB2312"/>
                <w:color w:val="auto"/>
                <w:kern w:val="0"/>
                <w:sz w:val="13"/>
                <w:szCs w:val="13"/>
                <w:highlight w:val="none"/>
                <w:lang w:val="en-US" w:eastAsia="zh-CN"/>
              </w:rPr>
              <w:t>1</w:t>
            </w:r>
            <w:r>
              <w:rPr>
                <w:rFonts w:hint="eastAsia" w:ascii="仿宋_GB2312" w:hAnsi="宋体" w:eastAsia="仿宋_GB2312"/>
                <w:color w:val="auto"/>
                <w:kern w:val="0"/>
                <w:sz w:val="13"/>
                <w:szCs w:val="13"/>
                <w:highlight w:val="none"/>
              </w:rPr>
              <w:t>）2年内2次及以上同类型违法；</w:t>
            </w:r>
          </w:p>
          <w:p w14:paraId="2A19B4F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w:t>
            </w:r>
            <w:r>
              <w:rPr>
                <w:rFonts w:hint="eastAsia" w:ascii="仿宋_GB2312" w:hAnsi="宋体" w:eastAsia="仿宋_GB2312"/>
                <w:color w:val="auto"/>
                <w:kern w:val="0"/>
                <w:sz w:val="13"/>
                <w:szCs w:val="13"/>
                <w:highlight w:val="none"/>
                <w:lang w:val="en-US" w:eastAsia="zh-CN"/>
              </w:rPr>
              <w:t>2</w:t>
            </w:r>
            <w:r>
              <w:rPr>
                <w:rFonts w:hint="eastAsia" w:ascii="仿宋_GB2312" w:hAnsi="宋体" w:eastAsia="仿宋_GB2312"/>
                <w:color w:val="auto"/>
                <w:kern w:val="0"/>
                <w:sz w:val="13"/>
                <w:szCs w:val="13"/>
                <w:highlight w:val="none"/>
                <w:lang w:eastAsia="zh-CN"/>
              </w:rPr>
              <w:t>）</w:t>
            </w:r>
            <w:r>
              <w:rPr>
                <w:rFonts w:hint="eastAsia" w:ascii="仿宋_GB2312" w:hAnsi="宋体" w:eastAsia="仿宋_GB2312"/>
                <w:color w:val="auto"/>
                <w:kern w:val="0"/>
                <w:sz w:val="13"/>
                <w:szCs w:val="13"/>
                <w:highlight w:val="none"/>
              </w:rPr>
              <w:t>曾因该违法行为被依法查处，再次实施该违法行为的</w:t>
            </w:r>
          </w:p>
          <w:p w14:paraId="4A089AC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w:t>
            </w:r>
            <w:r>
              <w:rPr>
                <w:rFonts w:hint="eastAsia" w:ascii="仿宋_GB2312" w:hAnsi="宋体" w:eastAsia="仿宋_GB2312"/>
                <w:color w:val="auto"/>
                <w:kern w:val="0"/>
                <w:sz w:val="13"/>
                <w:szCs w:val="13"/>
                <w:highlight w:val="none"/>
                <w:lang w:val="en-US" w:eastAsia="zh-CN"/>
              </w:rPr>
              <w:t>3</w:t>
            </w:r>
            <w:r>
              <w:rPr>
                <w:rFonts w:hint="eastAsia" w:ascii="仿宋_GB2312" w:hAnsi="宋体" w:eastAsia="仿宋_GB2312"/>
                <w:color w:val="auto"/>
                <w:kern w:val="0"/>
                <w:sz w:val="13"/>
                <w:szCs w:val="13"/>
                <w:highlight w:val="none"/>
              </w:rPr>
              <w:t>）法律法规规定的其他应当从重处罚的情形。</w:t>
            </w:r>
          </w:p>
        </w:tc>
        <w:tc>
          <w:tcPr>
            <w:tcW w:w="3058" w:type="dxa"/>
            <w:tcBorders>
              <w:tl2br w:val="nil"/>
              <w:tr2bl w:val="nil"/>
            </w:tcBorders>
            <w:vAlign w:val="center"/>
          </w:tcPr>
          <w:p w14:paraId="54AA892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责令改正，处</w:t>
            </w:r>
            <w:r>
              <w:rPr>
                <w:rFonts w:hint="eastAsia" w:ascii="仿宋_GB2312" w:hAnsi="宋体" w:eastAsia="仿宋_GB2312"/>
                <w:color w:val="auto"/>
                <w:kern w:val="0"/>
                <w:sz w:val="13"/>
                <w:szCs w:val="13"/>
                <w:highlight w:val="none"/>
                <w:lang w:val="en-US" w:eastAsia="zh-CN"/>
              </w:rPr>
              <w:t>10</w:t>
            </w:r>
            <w:r>
              <w:rPr>
                <w:rFonts w:hint="eastAsia" w:ascii="仿宋_GB2312" w:hAnsi="宋体" w:eastAsia="仿宋_GB2312"/>
                <w:color w:val="auto"/>
                <w:kern w:val="0"/>
                <w:sz w:val="13"/>
                <w:szCs w:val="13"/>
                <w:highlight w:val="none"/>
              </w:rPr>
              <w:t>万元以上</w:t>
            </w:r>
            <w:r>
              <w:rPr>
                <w:rFonts w:hint="eastAsia" w:ascii="仿宋_GB2312" w:hAnsi="宋体" w:eastAsia="仿宋_GB2312"/>
                <w:color w:val="auto"/>
                <w:kern w:val="0"/>
                <w:sz w:val="13"/>
                <w:szCs w:val="13"/>
                <w:highlight w:val="none"/>
                <w:lang w:val="en-US" w:eastAsia="zh-CN"/>
              </w:rPr>
              <w:t>15</w:t>
            </w:r>
            <w:r>
              <w:rPr>
                <w:rFonts w:hint="eastAsia" w:ascii="仿宋_GB2312" w:hAnsi="宋体" w:eastAsia="仿宋_GB2312"/>
                <w:color w:val="auto"/>
                <w:kern w:val="0"/>
                <w:sz w:val="13"/>
                <w:szCs w:val="13"/>
                <w:highlight w:val="none"/>
              </w:rPr>
              <w:t>万元以下的罚款，对检测机构的直接负责的主管人员和其他直接责任人员处</w:t>
            </w:r>
            <w:r>
              <w:rPr>
                <w:rFonts w:hint="eastAsia" w:ascii="仿宋_GB2312" w:hAnsi="宋体" w:eastAsia="仿宋_GB2312"/>
                <w:color w:val="auto"/>
                <w:kern w:val="0"/>
                <w:sz w:val="13"/>
                <w:szCs w:val="13"/>
                <w:highlight w:val="none"/>
                <w:lang w:val="en-US" w:eastAsia="zh-CN"/>
              </w:rPr>
              <w:t>3万元罚款</w:t>
            </w:r>
            <w:r>
              <w:rPr>
                <w:rFonts w:hint="eastAsia" w:ascii="仿宋_GB2312" w:hAnsi="宋体" w:eastAsia="仿宋_GB2312"/>
                <w:color w:val="auto"/>
                <w:kern w:val="0"/>
                <w:sz w:val="13"/>
                <w:szCs w:val="13"/>
                <w:highlight w:val="none"/>
              </w:rPr>
              <w:t>。</w:t>
            </w:r>
          </w:p>
        </w:tc>
      </w:tr>
      <w:tr w14:paraId="689BC1A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494" w:hRule="atLeast"/>
          <w:jc w:val="center"/>
        </w:trPr>
        <w:tc>
          <w:tcPr>
            <w:tcW w:w="443" w:type="dxa"/>
            <w:gridSpan w:val="2"/>
            <w:vMerge w:val="continue"/>
            <w:tcBorders>
              <w:tl2br w:val="nil"/>
              <w:tr2bl w:val="nil"/>
            </w:tcBorders>
            <w:vAlign w:val="center"/>
          </w:tcPr>
          <w:p w14:paraId="5753D82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10" w:firstLineChars="100"/>
              <w:jc w:val="left"/>
              <w:rPr>
                <w:color w:val="auto"/>
                <w:highlight w:val="none"/>
              </w:rPr>
            </w:pPr>
          </w:p>
        </w:tc>
        <w:tc>
          <w:tcPr>
            <w:tcW w:w="1550" w:type="dxa"/>
            <w:vMerge w:val="continue"/>
            <w:tcBorders>
              <w:tl2br w:val="nil"/>
              <w:tr2bl w:val="nil"/>
            </w:tcBorders>
            <w:vAlign w:val="center"/>
          </w:tcPr>
          <w:p w14:paraId="1CD2B8E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10" w:firstLineChars="100"/>
              <w:jc w:val="left"/>
              <w:rPr>
                <w:color w:val="auto"/>
                <w:highlight w:val="none"/>
              </w:rPr>
            </w:pPr>
          </w:p>
        </w:tc>
        <w:tc>
          <w:tcPr>
            <w:tcW w:w="4820" w:type="dxa"/>
            <w:vMerge w:val="continue"/>
            <w:tcBorders>
              <w:tl2br w:val="nil"/>
              <w:tr2bl w:val="nil"/>
            </w:tcBorders>
            <w:vAlign w:val="center"/>
          </w:tcPr>
          <w:p w14:paraId="322835D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10" w:firstLineChars="100"/>
              <w:jc w:val="left"/>
              <w:rPr>
                <w:color w:val="auto"/>
                <w:highlight w:val="none"/>
              </w:rPr>
            </w:pPr>
          </w:p>
        </w:tc>
        <w:tc>
          <w:tcPr>
            <w:tcW w:w="823" w:type="dxa"/>
            <w:vMerge w:val="continue"/>
            <w:tcBorders>
              <w:tl2br w:val="nil"/>
              <w:tr2bl w:val="nil"/>
            </w:tcBorders>
            <w:vAlign w:val="center"/>
          </w:tcPr>
          <w:p w14:paraId="55125EE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10" w:firstLineChars="100"/>
              <w:jc w:val="left"/>
              <w:rPr>
                <w:color w:val="auto"/>
                <w:highlight w:val="none"/>
              </w:rPr>
            </w:pPr>
          </w:p>
        </w:tc>
        <w:tc>
          <w:tcPr>
            <w:tcW w:w="3437" w:type="dxa"/>
            <w:gridSpan w:val="2"/>
            <w:tcBorders>
              <w:tl2br w:val="nil"/>
              <w:tr2bl w:val="nil"/>
            </w:tcBorders>
            <w:vAlign w:val="center"/>
          </w:tcPr>
          <w:p w14:paraId="7E6DCE2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lang w:eastAsia="zh-CN"/>
              </w:rPr>
              <w:t>（</w:t>
            </w:r>
            <w:r>
              <w:rPr>
                <w:rFonts w:hint="eastAsia" w:ascii="仿宋_GB2312" w:hAnsi="宋体" w:eastAsia="仿宋_GB2312"/>
                <w:color w:val="auto"/>
                <w:kern w:val="0"/>
                <w:sz w:val="13"/>
                <w:szCs w:val="13"/>
                <w:highlight w:val="none"/>
                <w:lang w:val="en-US" w:eastAsia="zh-CN"/>
              </w:rPr>
              <w:t>1</w:t>
            </w:r>
            <w:r>
              <w:rPr>
                <w:rFonts w:hint="eastAsia" w:ascii="仿宋_GB2312" w:hAnsi="宋体" w:eastAsia="仿宋_GB2312"/>
                <w:color w:val="auto"/>
                <w:kern w:val="0"/>
                <w:sz w:val="13"/>
                <w:szCs w:val="13"/>
                <w:highlight w:val="none"/>
                <w:lang w:eastAsia="zh-CN"/>
              </w:rPr>
              <w:t>）</w:t>
            </w:r>
            <w:r>
              <w:rPr>
                <w:rFonts w:hint="eastAsia" w:ascii="仿宋_GB2312" w:hAnsi="宋体" w:eastAsia="仿宋_GB2312"/>
                <w:color w:val="auto"/>
                <w:kern w:val="0"/>
                <w:sz w:val="13"/>
                <w:szCs w:val="13"/>
                <w:highlight w:val="none"/>
              </w:rPr>
              <w:t>造成质量、安全事故，或造成其他严重危害后果的；</w:t>
            </w:r>
          </w:p>
          <w:p w14:paraId="7B1F6D3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w:t>
            </w:r>
            <w:r>
              <w:rPr>
                <w:rFonts w:hint="eastAsia" w:ascii="仿宋_GB2312" w:hAnsi="宋体" w:eastAsia="仿宋_GB2312"/>
                <w:color w:val="auto"/>
                <w:kern w:val="0"/>
                <w:sz w:val="13"/>
                <w:szCs w:val="13"/>
                <w:highlight w:val="none"/>
                <w:lang w:val="en-US" w:eastAsia="zh-CN"/>
              </w:rPr>
              <w:t>2</w:t>
            </w:r>
            <w:r>
              <w:rPr>
                <w:rFonts w:hint="eastAsia" w:ascii="仿宋_GB2312" w:hAnsi="宋体" w:eastAsia="仿宋_GB2312"/>
                <w:color w:val="auto"/>
                <w:kern w:val="0"/>
                <w:sz w:val="13"/>
                <w:szCs w:val="13"/>
                <w:highlight w:val="none"/>
              </w:rPr>
              <w:t>）足以影响建设市场秩序和社会稳定的；</w:t>
            </w:r>
          </w:p>
          <w:p w14:paraId="53A0BD6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w:t>
            </w:r>
            <w:r>
              <w:rPr>
                <w:rFonts w:hint="eastAsia" w:ascii="仿宋_GB2312" w:hAnsi="宋体" w:eastAsia="仿宋_GB2312"/>
                <w:color w:val="auto"/>
                <w:kern w:val="0"/>
                <w:sz w:val="13"/>
                <w:szCs w:val="13"/>
                <w:highlight w:val="none"/>
                <w:lang w:val="en-US" w:eastAsia="zh-CN"/>
              </w:rPr>
              <w:t>3</w:t>
            </w:r>
            <w:r>
              <w:rPr>
                <w:rFonts w:hint="eastAsia" w:ascii="仿宋_GB2312" w:hAnsi="宋体" w:eastAsia="仿宋_GB2312"/>
                <w:color w:val="auto"/>
                <w:kern w:val="0"/>
                <w:sz w:val="13"/>
                <w:szCs w:val="13"/>
                <w:highlight w:val="none"/>
              </w:rPr>
              <w:t>）经有关部门确认，存在贿赂情形的；</w:t>
            </w:r>
          </w:p>
          <w:p w14:paraId="139BB9D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w:t>
            </w:r>
            <w:r>
              <w:rPr>
                <w:rFonts w:hint="eastAsia" w:ascii="仿宋_GB2312" w:hAnsi="宋体" w:eastAsia="仿宋_GB2312"/>
                <w:color w:val="auto"/>
                <w:kern w:val="0"/>
                <w:sz w:val="13"/>
                <w:szCs w:val="13"/>
                <w:highlight w:val="none"/>
                <w:lang w:val="en-US" w:eastAsia="zh-CN"/>
              </w:rPr>
              <w:t>4</w:t>
            </w:r>
            <w:r>
              <w:rPr>
                <w:rFonts w:hint="eastAsia" w:ascii="仿宋_GB2312" w:hAnsi="宋体" w:eastAsia="仿宋_GB2312"/>
                <w:color w:val="auto"/>
                <w:kern w:val="0"/>
                <w:sz w:val="13"/>
                <w:szCs w:val="13"/>
                <w:highlight w:val="none"/>
              </w:rPr>
              <w:t>）其他依法应予从重处罚的情形。</w:t>
            </w:r>
          </w:p>
        </w:tc>
        <w:tc>
          <w:tcPr>
            <w:tcW w:w="3058" w:type="dxa"/>
            <w:tcBorders>
              <w:tl2br w:val="nil"/>
              <w:tr2bl w:val="nil"/>
            </w:tcBorders>
            <w:vAlign w:val="center"/>
          </w:tcPr>
          <w:p w14:paraId="03F82F0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责令改正，处</w:t>
            </w:r>
            <w:r>
              <w:rPr>
                <w:rFonts w:hint="eastAsia" w:ascii="仿宋_GB2312" w:hAnsi="宋体" w:eastAsia="仿宋_GB2312"/>
                <w:color w:val="auto"/>
                <w:kern w:val="0"/>
                <w:sz w:val="13"/>
                <w:szCs w:val="13"/>
                <w:highlight w:val="none"/>
                <w:lang w:val="en-US" w:eastAsia="zh-CN"/>
              </w:rPr>
              <w:t>15</w:t>
            </w:r>
            <w:r>
              <w:rPr>
                <w:rFonts w:hint="eastAsia" w:ascii="仿宋_GB2312" w:hAnsi="宋体" w:eastAsia="仿宋_GB2312"/>
                <w:color w:val="auto"/>
                <w:kern w:val="0"/>
                <w:sz w:val="13"/>
                <w:szCs w:val="13"/>
                <w:highlight w:val="none"/>
              </w:rPr>
              <w:t>万元以上</w:t>
            </w:r>
            <w:r>
              <w:rPr>
                <w:rFonts w:hint="eastAsia" w:ascii="仿宋_GB2312" w:hAnsi="宋体" w:eastAsia="仿宋_GB2312"/>
                <w:color w:val="auto"/>
                <w:kern w:val="0"/>
                <w:sz w:val="13"/>
                <w:szCs w:val="13"/>
                <w:highlight w:val="none"/>
                <w:lang w:val="en-US" w:eastAsia="zh-CN"/>
              </w:rPr>
              <w:t>20</w:t>
            </w:r>
            <w:r>
              <w:rPr>
                <w:rFonts w:hint="eastAsia" w:ascii="仿宋_GB2312" w:hAnsi="宋体" w:eastAsia="仿宋_GB2312"/>
                <w:color w:val="auto"/>
                <w:kern w:val="0"/>
                <w:sz w:val="13"/>
                <w:szCs w:val="13"/>
                <w:highlight w:val="none"/>
              </w:rPr>
              <w:t>万元以下的罚款，对检测机构的直接负责的主管人员和其他直接责任人员处</w:t>
            </w:r>
            <w:r>
              <w:rPr>
                <w:rFonts w:hint="eastAsia" w:ascii="仿宋_GB2312" w:hAnsi="宋体" w:eastAsia="仿宋_GB2312"/>
                <w:color w:val="auto"/>
                <w:kern w:val="0"/>
                <w:sz w:val="13"/>
                <w:szCs w:val="13"/>
                <w:highlight w:val="none"/>
                <w:lang w:val="en-US" w:eastAsia="zh-CN"/>
              </w:rPr>
              <w:t>3万元罚款</w:t>
            </w:r>
            <w:r>
              <w:rPr>
                <w:rFonts w:hint="eastAsia" w:ascii="仿宋_GB2312" w:hAnsi="宋体" w:eastAsia="仿宋_GB2312"/>
                <w:color w:val="auto"/>
                <w:kern w:val="0"/>
                <w:sz w:val="13"/>
                <w:szCs w:val="13"/>
                <w:highlight w:val="none"/>
              </w:rPr>
              <w:t>。</w:t>
            </w:r>
          </w:p>
        </w:tc>
      </w:tr>
      <w:tr w14:paraId="0BB784F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999" w:hRule="atLeast"/>
          <w:jc w:val="center"/>
        </w:trPr>
        <w:tc>
          <w:tcPr>
            <w:tcW w:w="443" w:type="dxa"/>
            <w:gridSpan w:val="2"/>
            <w:vMerge w:val="restart"/>
            <w:tcBorders>
              <w:tl2br w:val="nil"/>
              <w:tr2bl w:val="nil"/>
            </w:tcBorders>
            <w:vAlign w:val="center"/>
          </w:tcPr>
          <w:p w14:paraId="6036868E">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仿宋_GB2312"/>
                <w:i w:val="0"/>
                <w:color w:val="auto"/>
                <w:kern w:val="0"/>
                <w:sz w:val="13"/>
                <w:szCs w:val="13"/>
                <w:highlight w:val="none"/>
                <w:u w:val="none"/>
                <w:lang w:val="en-US" w:eastAsia="zh-CN" w:bidi="ar"/>
              </w:rPr>
            </w:pPr>
            <w:r>
              <w:rPr>
                <w:rFonts w:hint="eastAsia" w:ascii="仿宋_GB2312" w:hAnsi="宋体" w:eastAsia="仿宋_GB2312" w:cs="仿宋_GB2312"/>
                <w:i w:val="0"/>
                <w:color w:val="auto"/>
                <w:kern w:val="0"/>
                <w:sz w:val="13"/>
                <w:szCs w:val="13"/>
                <w:highlight w:val="none"/>
                <w:u w:val="none"/>
                <w:lang w:val="en-US" w:eastAsia="zh-CN" w:bidi="ar"/>
              </w:rPr>
              <w:t>104</w:t>
            </w:r>
          </w:p>
        </w:tc>
        <w:tc>
          <w:tcPr>
            <w:tcW w:w="1550" w:type="dxa"/>
            <w:vMerge w:val="restart"/>
            <w:tcBorders>
              <w:tl2br w:val="nil"/>
              <w:tr2bl w:val="nil"/>
            </w:tcBorders>
            <w:vAlign w:val="center"/>
          </w:tcPr>
          <w:p w14:paraId="6A63BB7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（二）转包或者违法分包建设工程质量检测业务；</w:t>
            </w:r>
          </w:p>
          <w:p w14:paraId="24E747D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（三）涂改、倒卖、出租、出借或者以其他形式非法转让资质证书；</w:t>
            </w:r>
          </w:p>
          <w:p w14:paraId="043C26C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（四）违反工程建设强制性标准进行检测；</w:t>
            </w:r>
          </w:p>
          <w:p w14:paraId="63B5CEA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（五）使用不能满足所开展建设工程质量检测活动要求的检测人员或者仪器设备；</w:t>
            </w:r>
          </w:p>
        </w:tc>
        <w:tc>
          <w:tcPr>
            <w:tcW w:w="4820" w:type="dxa"/>
            <w:vMerge w:val="restart"/>
            <w:tcBorders>
              <w:tl2br w:val="nil"/>
              <w:tr2bl w:val="nil"/>
            </w:tcBorders>
            <w:vAlign w:val="center"/>
          </w:tcPr>
          <w:p w14:paraId="6FB3BD05">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《建设工程质量检测管理办法》第四十四条</w:t>
            </w:r>
            <w:r>
              <w:rPr>
                <w:rFonts w:hint="eastAsia" w:ascii="仿宋_GB2312" w:hAnsi="宋体" w:eastAsia="仿宋_GB2312"/>
                <w:color w:val="auto"/>
                <w:kern w:val="0"/>
                <w:sz w:val="13"/>
                <w:szCs w:val="13"/>
                <w:highlight w:val="none"/>
                <w:lang w:val="en-US" w:eastAsia="zh-CN"/>
              </w:rPr>
              <w:t>第一款</w:t>
            </w:r>
            <w:r>
              <w:rPr>
                <w:rFonts w:hint="eastAsia" w:ascii="仿宋_GB2312" w:hAnsi="宋体" w:eastAsia="仿宋_GB2312"/>
                <w:color w:val="auto"/>
                <w:kern w:val="0"/>
                <w:sz w:val="13"/>
                <w:szCs w:val="13"/>
                <w:highlight w:val="none"/>
              </w:rPr>
              <w:t>　检测机构违反本办法规定，有第三十条第二项至第五项行为之一的，由县级以上地方人民政府住房和城乡建设主管部门责令改正，处5万元以上10万元以下罚款；造成危害后果的，处10万元以上20万元以下罚款；构成犯罪的，依法追究刑事责任。</w:t>
            </w:r>
          </w:p>
          <w:p w14:paraId="36113CBC">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检测人员违反本办法规定，有第三十一条行为之一的，由县级以上地方人民政府住房和城乡建设主管部门责令改正，处3万元以下罚款。</w:t>
            </w:r>
          </w:p>
          <w:p w14:paraId="1352A6F1">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第三十条　检测机构不得有下列行为：</w:t>
            </w:r>
          </w:p>
          <w:p w14:paraId="37100DC1">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　（二）转包或者违法分包建设工程质量检测业务；</w:t>
            </w:r>
          </w:p>
          <w:p w14:paraId="257B4CC6">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　（三）涂改、倒卖、出租、出借或者以其他形式非法转让资质证书；</w:t>
            </w:r>
          </w:p>
          <w:p w14:paraId="6ED8E9A9">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　（四）违反工程建设强制性标准进行检测；</w:t>
            </w:r>
          </w:p>
          <w:p w14:paraId="5E9249ED">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　（五）使用不能满足所开展建设工程质量检测活动要求的检测人员或者仪器设备；</w:t>
            </w:r>
          </w:p>
          <w:p w14:paraId="6793C61C">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hint="eastAsia" w:ascii="仿宋_GB2312" w:hAnsi="宋体" w:eastAsia="仿宋_GB2312"/>
                <w:color w:val="auto"/>
                <w:kern w:val="0"/>
                <w:sz w:val="13"/>
                <w:szCs w:val="13"/>
                <w:highlight w:val="none"/>
              </w:rPr>
            </w:pPr>
          </w:p>
          <w:p w14:paraId="017FE0C3">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《建设工程质量检测管理办法》第四十八条　依照本办法规定，给予单位罚款处罚的，对单位直接负责的主管人员和其他直接责任人员处3万元以下罚款。</w:t>
            </w:r>
          </w:p>
        </w:tc>
        <w:tc>
          <w:tcPr>
            <w:tcW w:w="823" w:type="dxa"/>
            <w:tcBorders>
              <w:tl2br w:val="nil"/>
              <w:tr2bl w:val="nil"/>
            </w:tcBorders>
            <w:vAlign w:val="center"/>
          </w:tcPr>
          <w:p w14:paraId="3B4C8EF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theme="minorBidi"/>
                <w:color w:val="auto"/>
                <w:kern w:val="2"/>
                <w:sz w:val="13"/>
                <w:szCs w:val="13"/>
                <w:highlight w:val="none"/>
                <w:lang w:val="en-US" w:eastAsia="zh-CN" w:bidi="ar-SA"/>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vAlign w:val="center"/>
          </w:tcPr>
          <w:p w14:paraId="0653A27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stheme="minorBidi"/>
                <w:color w:val="auto"/>
                <w:kern w:val="0"/>
                <w:sz w:val="13"/>
                <w:szCs w:val="13"/>
                <w:highlight w:val="none"/>
                <w:lang w:val="en-US" w:eastAsia="zh-CN" w:bidi="ar-SA"/>
              </w:rPr>
            </w:pPr>
            <w:r>
              <w:rPr>
                <w:rFonts w:hint="eastAsia" w:ascii="仿宋_GB2312" w:hAnsi="宋体" w:eastAsia="仿宋_GB2312"/>
                <w:color w:val="auto"/>
                <w:kern w:val="0"/>
                <w:sz w:val="13"/>
                <w:szCs w:val="13"/>
                <w:highlight w:val="none"/>
              </w:rPr>
              <w:t>初次违法，主动消除或减轻违法行为危害后果的。</w:t>
            </w:r>
          </w:p>
        </w:tc>
        <w:tc>
          <w:tcPr>
            <w:tcW w:w="3058" w:type="dxa"/>
            <w:tcBorders>
              <w:tl2br w:val="nil"/>
              <w:tr2bl w:val="nil"/>
            </w:tcBorders>
            <w:vAlign w:val="center"/>
          </w:tcPr>
          <w:p w14:paraId="631F27A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责令改正，处</w:t>
            </w:r>
            <w:r>
              <w:rPr>
                <w:rFonts w:hint="eastAsia" w:ascii="仿宋_GB2312" w:hAnsi="宋体" w:eastAsia="仿宋_GB2312"/>
                <w:color w:val="auto"/>
                <w:kern w:val="0"/>
                <w:sz w:val="13"/>
                <w:szCs w:val="13"/>
                <w:highlight w:val="none"/>
                <w:lang w:val="en-US" w:eastAsia="zh-CN"/>
              </w:rPr>
              <w:t>5</w:t>
            </w:r>
            <w:r>
              <w:rPr>
                <w:rFonts w:hint="eastAsia" w:ascii="仿宋_GB2312" w:hAnsi="宋体" w:eastAsia="仿宋_GB2312"/>
                <w:color w:val="auto"/>
                <w:kern w:val="0"/>
                <w:sz w:val="13"/>
                <w:szCs w:val="13"/>
                <w:highlight w:val="none"/>
              </w:rPr>
              <w:t>万元以上</w:t>
            </w:r>
            <w:r>
              <w:rPr>
                <w:rFonts w:hint="eastAsia" w:ascii="仿宋_GB2312" w:hAnsi="宋体" w:eastAsia="仿宋_GB2312"/>
                <w:color w:val="auto"/>
                <w:kern w:val="0"/>
                <w:sz w:val="13"/>
                <w:szCs w:val="13"/>
                <w:highlight w:val="none"/>
                <w:lang w:val="en-US" w:eastAsia="zh-CN"/>
              </w:rPr>
              <w:t>8</w:t>
            </w:r>
            <w:r>
              <w:rPr>
                <w:rFonts w:hint="eastAsia" w:ascii="仿宋_GB2312" w:hAnsi="宋体" w:eastAsia="仿宋_GB2312"/>
                <w:color w:val="auto"/>
                <w:kern w:val="0"/>
                <w:sz w:val="13"/>
                <w:szCs w:val="13"/>
                <w:highlight w:val="none"/>
              </w:rPr>
              <w:t>万元以下的罚款，对检测机构的直接负责的主管人员和其他直接责任人员处</w:t>
            </w:r>
            <w:r>
              <w:rPr>
                <w:rFonts w:hint="eastAsia" w:ascii="仿宋_GB2312" w:hAnsi="宋体" w:eastAsia="仿宋_GB2312"/>
                <w:color w:val="auto"/>
                <w:kern w:val="0"/>
                <w:sz w:val="13"/>
                <w:szCs w:val="13"/>
                <w:highlight w:val="none"/>
                <w:lang w:val="en-US" w:eastAsia="zh-CN"/>
              </w:rPr>
              <w:t>1万元以下</w:t>
            </w:r>
            <w:r>
              <w:rPr>
                <w:rFonts w:hint="eastAsia" w:ascii="仿宋_GB2312" w:hAnsi="宋体" w:eastAsia="仿宋_GB2312"/>
                <w:color w:val="auto"/>
                <w:kern w:val="0"/>
                <w:sz w:val="13"/>
                <w:szCs w:val="13"/>
                <w:highlight w:val="none"/>
              </w:rPr>
              <w:t>的罚款。</w:t>
            </w:r>
          </w:p>
        </w:tc>
      </w:tr>
      <w:tr w14:paraId="463B4DA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075" w:hRule="atLeast"/>
          <w:jc w:val="center"/>
        </w:trPr>
        <w:tc>
          <w:tcPr>
            <w:tcW w:w="443" w:type="dxa"/>
            <w:gridSpan w:val="2"/>
            <w:vMerge w:val="continue"/>
            <w:tcBorders>
              <w:tl2br w:val="nil"/>
              <w:tr2bl w:val="nil"/>
            </w:tcBorders>
            <w:vAlign w:val="center"/>
          </w:tcPr>
          <w:p w14:paraId="6985C54E">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仿宋_GB2312"/>
                <w:i w:val="0"/>
                <w:color w:val="auto"/>
                <w:kern w:val="0"/>
                <w:sz w:val="13"/>
                <w:szCs w:val="13"/>
                <w:highlight w:val="none"/>
                <w:u w:val="none"/>
                <w:lang w:val="en-US" w:eastAsia="zh-CN" w:bidi="ar"/>
              </w:rPr>
            </w:pPr>
          </w:p>
        </w:tc>
        <w:tc>
          <w:tcPr>
            <w:tcW w:w="1550" w:type="dxa"/>
            <w:vMerge w:val="continue"/>
            <w:tcBorders>
              <w:tl2br w:val="nil"/>
              <w:tr2bl w:val="nil"/>
            </w:tcBorders>
            <w:vAlign w:val="center"/>
          </w:tcPr>
          <w:p w14:paraId="3D003C6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193D0F01">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hint="eastAsia" w:ascii="仿宋_GB2312" w:hAnsi="宋体" w:eastAsia="仿宋_GB2312"/>
                <w:color w:val="auto"/>
                <w:kern w:val="0"/>
                <w:sz w:val="13"/>
                <w:szCs w:val="13"/>
                <w:highlight w:val="none"/>
              </w:rPr>
            </w:pPr>
          </w:p>
        </w:tc>
        <w:tc>
          <w:tcPr>
            <w:tcW w:w="823" w:type="dxa"/>
            <w:tcBorders>
              <w:tl2br w:val="nil"/>
              <w:tr2bl w:val="nil"/>
            </w:tcBorders>
            <w:vAlign w:val="center"/>
          </w:tcPr>
          <w:p w14:paraId="6D55C53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theme="minorBidi"/>
                <w:color w:val="auto"/>
                <w:kern w:val="2"/>
                <w:sz w:val="13"/>
                <w:szCs w:val="13"/>
                <w:highlight w:val="none"/>
                <w:lang w:val="en-US" w:eastAsia="zh-CN" w:bidi="ar-SA"/>
              </w:rPr>
            </w:pPr>
            <w:r>
              <w:rPr>
                <w:rFonts w:hint="eastAsia" w:ascii="仿宋_GB2312" w:hAnsi="宋体" w:eastAsia="仿宋_GB2312"/>
                <w:color w:val="auto"/>
                <w:kern w:val="0"/>
                <w:sz w:val="13"/>
                <w:szCs w:val="13"/>
                <w:highlight w:val="none"/>
                <w:lang w:eastAsia="zh-CN"/>
              </w:rPr>
              <w:t>一般情节</w:t>
            </w:r>
          </w:p>
        </w:tc>
        <w:tc>
          <w:tcPr>
            <w:tcW w:w="3437" w:type="dxa"/>
            <w:gridSpan w:val="2"/>
            <w:tcBorders>
              <w:tl2br w:val="nil"/>
              <w:tr2bl w:val="nil"/>
            </w:tcBorders>
            <w:vAlign w:val="center"/>
          </w:tcPr>
          <w:p w14:paraId="3A21530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stheme="minorBidi"/>
                <w:color w:val="auto"/>
                <w:kern w:val="0"/>
                <w:sz w:val="13"/>
                <w:szCs w:val="13"/>
                <w:highlight w:val="none"/>
                <w:lang w:val="en-US" w:eastAsia="zh-CN" w:bidi="ar-SA"/>
              </w:rPr>
            </w:pPr>
            <w:r>
              <w:rPr>
                <w:rFonts w:hint="eastAsia" w:ascii="仿宋_GB2312" w:hAnsi="宋体" w:eastAsia="仿宋_GB2312"/>
                <w:color w:val="auto"/>
                <w:kern w:val="0"/>
                <w:sz w:val="13"/>
                <w:szCs w:val="13"/>
                <w:highlight w:val="none"/>
              </w:rPr>
              <w:t>不具有从轻、</w:t>
            </w:r>
            <w:r>
              <w:rPr>
                <w:rFonts w:hint="eastAsia" w:ascii="仿宋_GB2312" w:hAnsi="宋体" w:eastAsia="仿宋_GB2312"/>
                <w:color w:val="auto"/>
                <w:kern w:val="0"/>
                <w:sz w:val="13"/>
                <w:szCs w:val="13"/>
                <w:highlight w:val="none"/>
                <w:lang w:eastAsia="zh-CN"/>
              </w:rPr>
              <w:t>从重情节</w:t>
            </w:r>
            <w:r>
              <w:rPr>
                <w:rFonts w:hint="eastAsia" w:ascii="仿宋_GB2312" w:hAnsi="宋体" w:eastAsia="仿宋_GB2312"/>
                <w:color w:val="auto"/>
                <w:kern w:val="0"/>
                <w:sz w:val="13"/>
                <w:szCs w:val="13"/>
                <w:highlight w:val="none"/>
              </w:rPr>
              <w:t>的。</w:t>
            </w:r>
          </w:p>
        </w:tc>
        <w:tc>
          <w:tcPr>
            <w:tcW w:w="3058" w:type="dxa"/>
            <w:tcBorders>
              <w:tl2br w:val="nil"/>
              <w:tr2bl w:val="nil"/>
            </w:tcBorders>
            <w:vAlign w:val="center"/>
          </w:tcPr>
          <w:p w14:paraId="6C42711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责令改正，处</w:t>
            </w:r>
            <w:r>
              <w:rPr>
                <w:rFonts w:hint="eastAsia" w:ascii="仿宋_GB2312" w:hAnsi="宋体" w:eastAsia="仿宋_GB2312"/>
                <w:color w:val="auto"/>
                <w:kern w:val="0"/>
                <w:sz w:val="13"/>
                <w:szCs w:val="13"/>
                <w:highlight w:val="none"/>
                <w:lang w:val="en-US" w:eastAsia="zh-CN"/>
              </w:rPr>
              <w:t>8</w:t>
            </w:r>
            <w:r>
              <w:rPr>
                <w:rFonts w:hint="eastAsia" w:ascii="仿宋_GB2312" w:hAnsi="宋体" w:eastAsia="仿宋_GB2312"/>
                <w:color w:val="auto"/>
                <w:kern w:val="0"/>
                <w:sz w:val="13"/>
                <w:szCs w:val="13"/>
                <w:highlight w:val="none"/>
              </w:rPr>
              <w:t>万元以上</w:t>
            </w:r>
            <w:r>
              <w:rPr>
                <w:rFonts w:hint="eastAsia" w:ascii="仿宋_GB2312" w:hAnsi="宋体" w:eastAsia="仿宋_GB2312"/>
                <w:color w:val="auto"/>
                <w:kern w:val="0"/>
                <w:sz w:val="13"/>
                <w:szCs w:val="13"/>
                <w:highlight w:val="none"/>
                <w:lang w:val="en-US" w:eastAsia="zh-CN"/>
              </w:rPr>
              <w:t>10</w:t>
            </w:r>
            <w:r>
              <w:rPr>
                <w:rFonts w:hint="eastAsia" w:ascii="仿宋_GB2312" w:hAnsi="宋体" w:eastAsia="仿宋_GB2312"/>
                <w:color w:val="auto"/>
                <w:kern w:val="0"/>
                <w:sz w:val="13"/>
                <w:szCs w:val="13"/>
                <w:highlight w:val="none"/>
              </w:rPr>
              <w:t>万元以下的罚款，对检测机构的直接负责的主管人员和其他直接责任人员处</w:t>
            </w:r>
            <w:r>
              <w:rPr>
                <w:rFonts w:hint="eastAsia" w:ascii="仿宋_GB2312" w:hAnsi="宋体" w:eastAsia="仿宋_GB2312"/>
                <w:color w:val="auto"/>
                <w:kern w:val="0"/>
                <w:sz w:val="13"/>
                <w:szCs w:val="13"/>
                <w:highlight w:val="none"/>
                <w:lang w:val="en-US" w:eastAsia="zh-CN"/>
              </w:rPr>
              <w:t>1万元以上2万元以下</w:t>
            </w:r>
            <w:r>
              <w:rPr>
                <w:rFonts w:hint="eastAsia" w:ascii="仿宋_GB2312" w:hAnsi="宋体" w:eastAsia="仿宋_GB2312"/>
                <w:color w:val="auto"/>
                <w:kern w:val="0"/>
                <w:sz w:val="13"/>
                <w:szCs w:val="13"/>
                <w:highlight w:val="none"/>
              </w:rPr>
              <w:t>的罚款。</w:t>
            </w:r>
          </w:p>
        </w:tc>
      </w:tr>
      <w:tr w14:paraId="09B71E5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645" w:hRule="atLeast"/>
          <w:jc w:val="center"/>
        </w:trPr>
        <w:tc>
          <w:tcPr>
            <w:tcW w:w="443" w:type="dxa"/>
            <w:gridSpan w:val="2"/>
            <w:vMerge w:val="continue"/>
            <w:tcBorders>
              <w:tl2br w:val="nil"/>
              <w:tr2bl w:val="nil"/>
            </w:tcBorders>
            <w:vAlign w:val="center"/>
          </w:tcPr>
          <w:p w14:paraId="310E711A">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仿宋_GB2312"/>
                <w:i w:val="0"/>
                <w:color w:val="auto"/>
                <w:kern w:val="0"/>
                <w:sz w:val="13"/>
                <w:szCs w:val="13"/>
                <w:highlight w:val="none"/>
                <w:u w:val="none"/>
                <w:lang w:val="en-US" w:eastAsia="zh-CN" w:bidi="ar"/>
              </w:rPr>
            </w:pPr>
          </w:p>
        </w:tc>
        <w:tc>
          <w:tcPr>
            <w:tcW w:w="1550" w:type="dxa"/>
            <w:vMerge w:val="continue"/>
            <w:tcBorders>
              <w:tl2br w:val="nil"/>
              <w:tr2bl w:val="nil"/>
            </w:tcBorders>
            <w:vAlign w:val="center"/>
          </w:tcPr>
          <w:p w14:paraId="0A01B47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46D7F184">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hint="eastAsia" w:ascii="仿宋_GB2312" w:hAnsi="宋体" w:eastAsia="仿宋_GB2312"/>
                <w:color w:val="auto"/>
                <w:kern w:val="0"/>
                <w:sz w:val="13"/>
                <w:szCs w:val="13"/>
                <w:highlight w:val="none"/>
              </w:rPr>
            </w:pPr>
          </w:p>
        </w:tc>
        <w:tc>
          <w:tcPr>
            <w:tcW w:w="823" w:type="dxa"/>
            <w:vMerge w:val="restart"/>
            <w:tcBorders>
              <w:tl2br w:val="nil"/>
              <w:tr2bl w:val="nil"/>
            </w:tcBorders>
            <w:vAlign w:val="center"/>
          </w:tcPr>
          <w:p w14:paraId="5982DC7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theme="minorBidi"/>
                <w:color w:val="auto"/>
                <w:kern w:val="0"/>
                <w:sz w:val="13"/>
                <w:szCs w:val="13"/>
                <w:highlight w:val="none"/>
                <w:lang w:val="en-US" w:eastAsia="zh-CN" w:bidi="ar-SA"/>
              </w:rPr>
            </w:pPr>
            <w:r>
              <w:rPr>
                <w:rFonts w:hint="eastAsia" w:ascii="仿宋_GB2312" w:hAnsi="宋体" w:eastAsia="仿宋_GB2312"/>
                <w:color w:val="auto"/>
                <w:kern w:val="0"/>
                <w:sz w:val="13"/>
                <w:szCs w:val="13"/>
                <w:highlight w:val="none"/>
                <w:lang w:eastAsia="zh-CN"/>
              </w:rPr>
              <w:t>从重情节</w:t>
            </w:r>
          </w:p>
        </w:tc>
        <w:tc>
          <w:tcPr>
            <w:tcW w:w="3437" w:type="dxa"/>
            <w:gridSpan w:val="2"/>
            <w:tcBorders>
              <w:tl2br w:val="nil"/>
              <w:tr2bl w:val="nil"/>
            </w:tcBorders>
            <w:vAlign w:val="center"/>
          </w:tcPr>
          <w:p w14:paraId="3E51E88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lang w:val="en-US" w:eastAsia="zh-CN"/>
              </w:rPr>
              <w:t>有下列情形之一的：</w:t>
            </w:r>
            <w:r>
              <w:rPr>
                <w:rFonts w:hint="eastAsia" w:ascii="仿宋_GB2312" w:hAnsi="宋体" w:eastAsia="仿宋_GB2312"/>
                <w:color w:val="auto"/>
                <w:kern w:val="0"/>
                <w:sz w:val="13"/>
                <w:szCs w:val="13"/>
                <w:highlight w:val="none"/>
              </w:rPr>
              <w:t>（1）2年内2次及以上同类型违法；</w:t>
            </w:r>
          </w:p>
          <w:p w14:paraId="2AED2EE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stheme="minorBidi"/>
                <w:color w:val="auto"/>
                <w:kern w:val="0"/>
                <w:sz w:val="13"/>
                <w:szCs w:val="13"/>
                <w:highlight w:val="none"/>
                <w:lang w:val="en-US" w:eastAsia="zh-CN" w:bidi="ar-SA"/>
              </w:rPr>
            </w:pPr>
            <w:r>
              <w:rPr>
                <w:rFonts w:hint="eastAsia" w:ascii="仿宋_GB2312" w:hAnsi="宋体" w:eastAsia="仿宋_GB2312"/>
                <w:color w:val="auto"/>
                <w:kern w:val="0"/>
                <w:sz w:val="13"/>
                <w:szCs w:val="13"/>
                <w:highlight w:val="none"/>
              </w:rPr>
              <w:t>（2）法律法规规定的其他应当从重处罚的情形。</w:t>
            </w:r>
          </w:p>
        </w:tc>
        <w:tc>
          <w:tcPr>
            <w:tcW w:w="3058" w:type="dxa"/>
            <w:tcBorders>
              <w:tl2br w:val="nil"/>
              <w:tr2bl w:val="nil"/>
            </w:tcBorders>
            <w:vAlign w:val="center"/>
          </w:tcPr>
          <w:p w14:paraId="7980DE2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责令改正，处</w:t>
            </w:r>
            <w:r>
              <w:rPr>
                <w:rFonts w:hint="eastAsia" w:ascii="仿宋_GB2312" w:hAnsi="宋体" w:eastAsia="仿宋_GB2312"/>
                <w:color w:val="auto"/>
                <w:kern w:val="0"/>
                <w:sz w:val="13"/>
                <w:szCs w:val="13"/>
                <w:highlight w:val="none"/>
                <w:lang w:val="en-US" w:eastAsia="zh-CN"/>
              </w:rPr>
              <w:t>10</w:t>
            </w:r>
            <w:r>
              <w:rPr>
                <w:rFonts w:hint="eastAsia" w:ascii="仿宋_GB2312" w:hAnsi="宋体" w:eastAsia="仿宋_GB2312"/>
                <w:color w:val="auto"/>
                <w:kern w:val="0"/>
                <w:sz w:val="13"/>
                <w:szCs w:val="13"/>
                <w:highlight w:val="none"/>
              </w:rPr>
              <w:t>万元以上</w:t>
            </w:r>
            <w:r>
              <w:rPr>
                <w:rFonts w:hint="eastAsia" w:ascii="仿宋_GB2312" w:hAnsi="宋体" w:eastAsia="仿宋_GB2312"/>
                <w:color w:val="auto"/>
                <w:kern w:val="0"/>
                <w:sz w:val="13"/>
                <w:szCs w:val="13"/>
                <w:highlight w:val="none"/>
                <w:lang w:val="en-US" w:eastAsia="zh-CN"/>
              </w:rPr>
              <w:t>15</w:t>
            </w:r>
            <w:r>
              <w:rPr>
                <w:rFonts w:hint="eastAsia" w:ascii="仿宋_GB2312" w:hAnsi="宋体" w:eastAsia="仿宋_GB2312"/>
                <w:color w:val="auto"/>
                <w:kern w:val="0"/>
                <w:sz w:val="13"/>
                <w:szCs w:val="13"/>
                <w:highlight w:val="none"/>
              </w:rPr>
              <w:t>万元以下的罚款，对检测机构的直接负责的主管人员和其他直接责任人员处</w:t>
            </w:r>
            <w:r>
              <w:rPr>
                <w:rFonts w:hint="eastAsia" w:ascii="仿宋_GB2312" w:hAnsi="宋体" w:eastAsia="仿宋_GB2312"/>
                <w:color w:val="auto"/>
                <w:kern w:val="0"/>
                <w:sz w:val="13"/>
                <w:szCs w:val="13"/>
                <w:highlight w:val="none"/>
                <w:lang w:val="en-US" w:eastAsia="zh-CN"/>
              </w:rPr>
              <w:t>3万元罚款</w:t>
            </w:r>
            <w:r>
              <w:rPr>
                <w:rFonts w:hint="eastAsia" w:ascii="仿宋_GB2312" w:hAnsi="宋体" w:eastAsia="仿宋_GB2312"/>
                <w:color w:val="auto"/>
                <w:kern w:val="0"/>
                <w:sz w:val="13"/>
                <w:szCs w:val="13"/>
                <w:highlight w:val="none"/>
              </w:rPr>
              <w:t>。</w:t>
            </w:r>
          </w:p>
        </w:tc>
      </w:tr>
      <w:tr w14:paraId="58875D6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645" w:hRule="atLeast"/>
          <w:jc w:val="center"/>
        </w:trPr>
        <w:tc>
          <w:tcPr>
            <w:tcW w:w="443" w:type="dxa"/>
            <w:gridSpan w:val="2"/>
            <w:vMerge w:val="continue"/>
            <w:tcBorders>
              <w:tl2br w:val="nil"/>
              <w:tr2bl w:val="nil"/>
            </w:tcBorders>
            <w:vAlign w:val="center"/>
          </w:tcPr>
          <w:p w14:paraId="460A301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10" w:firstLineChars="100"/>
              <w:jc w:val="left"/>
              <w:rPr>
                <w:color w:val="auto"/>
                <w:highlight w:val="none"/>
              </w:rPr>
            </w:pPr>
          </w:p>
        </w:tc>
        <w:tc>
          <w:tcPr>
            <w:tcW w:w="1550" w:type="dxa"/>
            <w:vMerge w:val="continue"/>
            <w:tcBorders>
              <w:tl2br w:val="nil"/>
              <w:tr2bl w:val="nil"/>
            </w:tcBorders>
            <w:vAlign w:val="center"/>
          </w:tcPr>
          <w:p w14:paraId="01C7588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10" w:firstLineChars="100"/>
              <w:jc w:val="left"/>
              <w:rPr>
                <w:color w:val="auto"/>
                <w:highlight w:val="none"/>
              </w:rPr>
            </w:pPr>
          </w:p>
        </w:tc>
        <w:tc>
          <w:tcPr>
            <w:tcW w:w="4820" w:type="dxa"/>
            <w:vMerge w:val="continue"/>
            <w:tcBorders>
              <w:tl2br w:val="nil"/>
              <w:tr2bl w:val="nil"/>
            </w:tcBorders>
            <w:vAlign w:val="center"/>
          </w:tcPr>
          <w:p w14:paraId="6090DE1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10" w:firstLineChars="100"/>
              <w:jc w:val="left"/>
              <w:rPr>
                <w:color w:val="auto"/>
                <w:highlight w:val="none"/>
              </w:rPr>
            </w:pPr>
          </w:p>
        </w:tc>
        <w:tc>
          <w:tcPr>
            <w:tcW w:w="823" w:type="dxa"/>
            <w:vMerge w:val="continue"/>
            <w:tcBorders>
              <w:tl2br w:val="nil"/>
              <w:tr2bl w:val="nil"/>
            </w:tcBorders>
            <w:vAlign w:val="center"/>
          </w:tcPr>
          <w:p w14:paraId="65CD7D1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10" w:firstLineChars="100"/>
              <w:jc w:val="left"/>
              <w:rPr>
                <w:color w:val="auto"/>
                <w:highlight w:val="none"/>
              </w:rPr>
            </w:pPr>
          </w:p>
        </w:tc>
        <w:tc>
          <w:tcPr>
            <w:tcW w:w="3437" w:type="dxa"/>
            <w:gridSpan w:val="2"/>
            <w:tcBorders>
              <w:tl2br w:val="nil"/>
              <w:tr2bl w:val="nil"/>
            </w:tcBorders>
            <w:vAlign w:val="center"/>
          </w:tcPr>
          <w:p w14:paraId="327D56D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lang w:eastAsia="zh-CN"/>
              </w:rPr>
              <w:t>（</w:t>
            </w:r>
            <w:r>
              <w:rPr>
                <w:rFonts w:hint="eastAsia" w:ascii="仿宋_GB2312" w:hAnsi="宋体" w:eastAsia="仿宋_GB2312"/>
                <w:color w:val="auto"/>
                <w:kern w:val="0"/>
                <w:sz w:val="13"/>
                <w:szCs w:val="13"/>
                <w:highlight w:val="none"/>
                <w:lang w:val="en-US" w:eastAsia="zh-CN"/>
              </w:rPr>
              <w:t>1</w:t>
            </w:r>
            <w:r>
              <w:rPr>
                <w:rFonts w:hint="eastAsia" w:ascii="仿宋_GB2312" w:hAnsi="宋体" w:eastAsia="仿宋_GB2312"/>
                <w:color w:val="auto"/>
                <w:kern w:val="0"/>
                <w:sz w:val="13"/>
                <w:szCs w:val="13"/>
                <w:highlight w:val="none"/>
                <w:lang w:eastAsia="zh-CN"/>
              </w:rPr>
              <w:t>）</w:t>
            </w:r>
            <w:r>
              <w:rPr>
                <w:rFonts w:hint="eastAsia" w:ascii="仿宋_GB2312" w:hAnsi="宋体" w:eastAsia="仿宋_GB2312"/>
                <w:color w:val="auto"/>
                <w:kern w:val="0"/>
                <w:sz w:val="13"/>
                <w:szCs w:val="13"/>
                <w:highlight w:val="none"/>
              </w:rPr>
              <w:t>造成质量、安全事故，或造成其他严重危害后果的；</w:t>
            </w:r>
          </w:p>
          <w:p w14:paraId="1C37293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w:t>
            </w:r>
            <w:r>
              <w:rPr>
                <w:rFonts w:hint="eastAsia" w:ascii="仿宋_GB2312" w:hAnsi="宋体" w:eastAsia="仿宋_GB2312"/>
                <w:color w:val="auto"/>
                <w:kern w:val="0"/>
                <w:sz w:val="13"/>
                <w:szCs w:val="13"/>
                <w:highlight w:val="none"/>
                <w:lang w:val="en-US" w:eastAsia="zh-CN"/>
              </w:rPr>
              <w:t>2</w:t>
            </w:r>
            <w:r>
              <w:rPr>
                <w:rFonts w:hint="eastAsia" w:ascii="仿宋_GB2312" w:hAnsi="宋体" w:eastAsia="仿宋_GB2312"/>
                <w:color w:val="auto"/>
                <w:kern w:val="0"/>
                <w:sz w:val="13"/>
                <w:szCs w:val="13"/>
                <w:highlight w:val="none"/>
              </w:rPr>
              <w:t>）足以影响建设市场秩序和社会稳定的；</w:t>
            </w:r>
          </w:p>
          <w:p w14:paraId="60C5945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w:t>
            </w:r>
            <w:r>
              <w:rPr>
                <w:rFonts w:hint="eastAsia" w:ascii="仿宋_GB2312" w:hAnsi="宋体" w:eastAsia="仿宋_GB2312"/>
                <w:color w:val="auto"/>
                <w:kern w:val="0"/>
                <w:sz w:val="13"/>
                <w:szCs w:val="13"/>
                <w:highlight w:val="none"/>
                <w:lang w:val="en-US" w:eastAsia="zh-CN"/>
              </w:rPr>
              <w:t>3</w:t>
            </w:r>
            <w:r>
              <w:rPr>
                <w:rFonts w:hint="eastAsia" w:ascii="仿宋_GB2312" w:hAnsi="宋体" w:eastAsia="仿宋_GB2312"/>
                <w:color w:val="auto"/>
                <w:kern w:val="0"/>
                <w:sz w:val="13"/>
                <w:szCs w:val="13"/>
                <w:highlight w:val="none"/>
              </w:rPr>
              <w:t>）经有关部门确认，存在贿赂情形的；</w:t>
            </w:r>
          </w:p>
          <w:p w14:paraId="335C7D0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w:t>
            </w:r>
            <w:r>
              <w:rPr>
                <w:rFonts w:hint="eastAsia" w:ascii="仿宋_GB2312" w:hAnsi="宋体" w:eastAsia="仿宋_GB2312"/>
                <w:color w:val="auto"/>
                <w:kern w:val="0"/>
                <w:sz w:val="13"/>
                <w:szCs w:val="13"/>
                <w:highlight w:val="none"/>
                <w:lang w:val="en-US" w:eastAsia="zh-CN"/>
              </w:rPr>
              <w:t>4</w:t>
            </w:r>
            <w:r>
              <w:rPr>
                <w:rFonts w:hint="eastAsia" w:ascii="仿宋_GB2312" w:hAnsi="宋体" w:eastAsia="仿宋_GB2312"/>
                <w:color w:val="auto"/>
                <w:kern w:val="0"/>
                <w:sz w:val="13"/>
                <w:szCs w:val="13"/>
                <w:highlight w:val="none"/>
              </w:rPr>
              <w:t>）其他依法应予从重处罚的情形。</w:t>
            </w:r>
          </w:p>
        </w:tc>
        <w:tc>
          <w:tcPr>
            <w:tcW w:w="3058" w:type="dxa"/>
            <w:tcBorders>
              <w:tl2br w:val="nil"/>
              <w:tr2bl w:val="nil"/>
            </w:tcBorders>
            <w:vAlign w:val="center"/>
          </w:tcPr>
          <w:p w14:paraId="59734EA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责令改正，处</w:t>
            </w:r>
            <w:r>
              <w:rPr>
                <w:rFonts w:hint="eastAsia" w:ascii="仿宋_GB2312" w:hAnsi="宋体" w:eastAsia="仿宋_GB2312"/>
                <w:color w:val="auto"/>
                <w:kern w:val="0"/>
                <w:sz w:val="13"/>
                <w:szCs w:val="13"/>
                <w:highlight w:val="none"/>
                <w:lang w:val="en-US" w:eastAsia="zh-CN"/>
              </w:rPr>
              <w:t>15</w:t>
            </w:r>
            <w:r>
              <w:rPr>
                <w:rFonts w:hint="eastAsia" w:ascii="仿宋_GB2312" w:hAnsi="宋体" w:eastAsia="仿宋_GB2312"/>
                <w:color w:val="auto"/>
                <w:kern w:val="0"/>
                <w:sz w:val="13"/>
                <w:szCs w:val="13"/>
                <w:highlight w:val="none"/>
              </w:rPr>
              <w:t>万元以上</w:t>
            </w:r>
            <w:r>
              <w:rPr>
                <w:rFonts w:hint="eastAsia" w:ascii="仿宋_GB2312" w:hAnsi="宋体" w:eastAsia="仿宋_GB2312"/>
                <w:color w:val="auto"/>
                <w:kern w:val="0"/>
                <w:sz w:val="13"/>
                <w:szCs w:val="13"/>
                <w:highlight w:val="none"/>
                <w:lang w:val="en-US" w:eastAsia="zh-CN"/>
              </w:rPr>
              <w:t>20</w:t>
            </w:r>
            <w:r>
              <w:rPr>
                <w:rFonts w:hint="eastAsia" w:ascii="仿宋_GB2312" w:hAnsi="宋体" w:eastAsia="仿宋_GB2312"/>
                <w:color w:val="auto"/>
                <w:kern w:val="0"/>
                <w:sz w:val="13"/>
                <w:szCs w:val="13"/>
                <w:highlight w:val="none"/>
              </w:rPr>
              <w:t>万元以下的罚款，对检测机构的直接负责的主管人员和其他直接责任人员处</w:t>
            </w:r>
            <w:r>
              <w:rPr>
                <w:rFonts w:hint="eastAsia" w:ascii="仿宋_GB2312" w:hAnsi="宋体" w:eastAsia="仿宋_GB2312"/>
                <w:color w:val="auto"/>
                <w:kern w:val="0"/>
                <w:sz w:val="13"/>
                <w:szCs w:val="13"/>
                <w:highlight w:val="none"/>
                <w:lang w:val="en-US" w:eastAsia="zh-CN"/>
              </w:rPr>
              <w:t>3万元罚款</w:t>
            </w:r>
            <w:r>
              <w:rPr>
                <w:rFonts w:hint="eastAsia" w:ascii="仿宋_GB2312" w:hAnsi="宋体" w:eastAsia="仿宋_GB2312"/>
                <w:color w:val="auto"/>
                <w:kern w:val="0"/>
                <w:sz w:val="13"/>
                <w:szCs w:val="13"/>
                <w:highlight w:val="none"/>
              </w:rPr>
              <w:t>。</w:t>
            </w:r>
          </w:p>
        </w:tc>
      </w:tr>
      <w:tr w14:paraId="04B2E71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0" w:hRule="atLeast"/>
          <w:jc w:val="center"/>
        </w:trPr>
        <w:tc>
          <w:tcPr>
            <w:tcW w:w="443" w:type="dxa"/>
            <w:gridSpan w:val="2"/>
            <w:vMerge w:val="restart"/>
            <w:tcBorders>
              <w:tl2br w:val="nil"/>
              <w:tr2bl w:val="nil"/>
            </w:tcBorders>
            <w:vAlign w:val="center"/>
          </w:tcPr>
          <w:p w14:paraId="319D4F4A">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仿宋_GB2312"/>
                <w:i w:val="0"/>
                <w:color w:val="auto"/>
                <w:kern w:val="0"/>
                <w:sz w:val="13"/>
                <w:szCs w:val="13"/>
                <w:highlight w:val="none"/>
                <w:u w:val="none"/>
                <w:lang w:val="en-US" w:eastAsia="zh-CN" w:bidi="ar"/>
              </w:rPr>
            </w:pPr>
            <w:r>
              <w:rPr>
                <w:rFonts w:hint="eastAsia" w:ascii="仿宋_GB2312" w:hAnsi="宋体" w:eastAsia="仿宋_GB2312" w:cs="仿宋_GB2312"/>
                <w:i w:val="0"/>
                <w:color w:val="auto"/>
                <w:kern w:val="0"/>
                <w:sz w:val="13"/>
                <w:szCs w:val="13"/>
                <w:highlight w:val="none"/>
                <w:u w:val="none"/>
                <w:lang w:val="en-US" w:eastAsia="zh-CN" w:bidi="ar"/>
              </w:rPr>
              <w:t>105</w:t>
            </w:r>
          </w:p>
        </w:tc>
        <w:tc>
          <w:tcPr>
            <w:tcW w:w="1550" w:type="dxa"/>
            <w:vMerge w:val="restart"/>
            <w:tcBorders>
              <w:tl2br w:val="nil"/>
              <w:tr2bl w:val="nil"/>
            </w:tcBorders>
            <w:vAlign w:val="center"/>
          </w:tcPr>
          <w:p w14:paraId="4A9A1807">
            <w:pPr>
              <w:keepNext w:val="0"/>
              <w:keepLines w:val="0"/>
              <w:pageBreakBefore w:val="0"/>
              <w:overflowPunct/>
              <w:topLinePunct w:val="0"/>
              <w:bidi w:val="0"/>
              <w:spacing w:beforeAutospacing="0" w:afterAutospacing="0" w:line="260" w:lineRule="exact"/>
              <w:rPr>
                <w:rFonts w:ascii="仿宋_GB2312" w:hAnsi="宋体" w:eastAsia="仿宋_GB2312"/>
                <w:color w:val="auto"/>
                <w:kern w:val="0"/>
                <w:szCs w:val="21"/>
                <w:highlight w:val="none"/>
              </w:rPr>
            </w:pPr>
            <w:r>
              <w:rPr>
                <w:rFonts w:hint="eastAsia" w:ascii="仿宋_GB2312" w:hAnsi="宋体" w:eastAsia="仿宋_GB2312"/>
                <w:color w:val="auto"/>
                <w:kern w:val="0"/>
                <w:sz w:val="13"/>
                <w:szCs w:val="13"/>
                <w:highlight w:val="none"/>
              </w:rPr>
              <w:t>检测人员同时受聘于两家或者两家以上检测机构；违反工程建设强制性标准进行检测；出具虚假的检测数据；违反工程建设强制性标准进行结论判定或者出具虚假判定结论。</w:t>
            </w:r>
          </w:p>
          <w:p w14:paraId="3DC7EF12">
            <w:pPr>
              <w:keepNext w:val="0"/>
              <w:keepLines w:val="0"/>
              <w:pageBreakBefore w:val="0"/>
              <w:overflowPunct/>
              <w:topLinePunct w:val="0"/>
              <w:bidi w:val="0"/>
              <w:spacing w:beforeAutospacing="0" w:afterAutospacing="0" w:line="260" w:lineRule="exact"/>
              <w:rPr>
                <w:rFonts w:hint="eastAsia" w:ascii="仿宋_GB2312" w:hAnsi="宋体" w:eastAsia="仿宋_GB2312"/>
                <w:color w:val="auto"/>
                <w:kern w:val="0"/>
                <w:sz w:val="13"/>
                <w:szCs w:val="13"/>
                <w:highlight w:val="none"/>
                <w:lang w:val="en-US" w:eastAsia="zh-CN"/>
              </w:rPr>
            </w:pPr>
          </w:p>
        </w:tc>
        <w:tc>
          <w:tcPr>
            <w:tcW w:w="4820" w:type="dxa"/>
            <w:vMerge w:val="restart"/>
            <w:tcBorders>
              <w:tl2br w:val="nil"/>
              <w:tr2bl w:val="nil"/>
            </w:tcBorders>
            <w:vAlign w:val="center"/>
          </w:tcPr>
          <w:p w14:paraId="377A32A6">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hint="eastAsia" w:ascii="仿宋_GB2312" w:hAnsi="宋体" w:eastAsia="仿宋_GB2312"/>
                <w:color w:val="auto"/>
                <w:kern w:val="0"/>
                <w:sz w:val="13"/>
                <w:szCs w:val="13"/>
                <w:highlight w:val="none"/>
              </w:rPr>
            </w:pPr>
          </w:p>
          <w:p w14:paraId="6A8DF419">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《建设工程质量检测管理办法》第四十四条第二款</w:t>
            </w:r>
          </w:p>
          <w:p w14:paraId="6D786E78">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检测人员违反本办法规定，有第三十一条行为之一的，由县级以上地方人民政府住房和城乡建设主管部门责令改正，处3万元以下罚款。</w:t>
            </w:r>
          </w:p>
          <w:p w14:paraId="6A10AA1F">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　第三十一条　检测人员不得有下列行为：</w:t>
            </w:r>
          </w:p>
          <w:p w14:paraId="2A961014">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　　（一）同时受聘于两家或者两家以上检测机构；</w:t>
            </w:r>
          </w:p>
          <w:p w14:paraId="1DF53994">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　　（二）违反工程建设强制性标准进行检测；</w:t>
            </w:r>
          </w:p>
          <w:p w14:paraId="022013B3">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　　（三）出具虚假的检测数据；</w:t>
            </w:r>
          </w:p>
          <w:p w14:paraId="082F7CDA">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　　（四）违反工程建设强制性标准进行结论判定或者出具虚假判定结论。</w:t>
            </w:r>
          </w:p>
        </w:tc>
        <w:tc>
          <w:tcPr>
            <w:tcW w:w="823" w:type="dxa"/>
            <w:tcBorders>
              <w:tl2br w:val="nil"/>
              <w:tr2bl w:val="nil"/>
            </w:tcBorders>
            <w:vAlign w:val="center"/>
          </w:tcPr>
          <w:p w14:paraId="6920514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rPr>
              <w:t>从轻情形</w:t>
            </w:r>
          </w:p>
        </w:tc>
        <w:tc>
          <w:tcPr>
            <w:tcW w:w="3437" w:type="dxa"/>
            <w:gridSpan w:val="2"/>
            <w:tcBorders>
              <w:tl2br w:val="nil"/>
              <w:tr2bl w:val="nil"/>
            </w:tcBorders>
            <w:vAlign w:val="center"/>
          </w:tcPr>
          <w:p w14:paraId="106B45C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初次违法，危害后果轻微，主动消除或减轻违法行为危害后果的。</w:t>
            </w:r>
          </w:p>
        </w:tc>
        <w:tc>
          <w:tcPr>
            <w:tcW w:w="3058" w:type="dxa"/>
            <w:tcBorders>
              <w:tl2br w:val="nil"/>
              <w:tr2bl w:val="nil"/>
            </w:tcBorders>
            <w:vAlign w:val="center"/>
          </w:tcPr>
          <w:p w14:paraId="2B1B50A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责令改正，对检测人员处1万元以下的罚款。</w:t>
            </w:r>
          </w:p>
        </w:tc>
      </w:tr>
      <w:tr w14:paraId="10E3555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0" w:hRule="atLeast"/>
          <w:jc w:val="center"/>
        </w:trPr>
        <w:tc>
          <w:tcPr>
            <w:tcW w:w="443" w:type="dxa"/>
            <w:gridSpan w:val="2"/>
            <w:vMerge w:val="continue"/>
            <w:tcBorders>
              <w:tl2br w:val="nil"/>
              <w:tr2bl w:val="nil"/>
            </w:tcBorders>
            <w:vAlign w:val="center"/>
          </w:tcPr>
          <w:p w14:paraId="750ECDE5">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仿宋_GB2312"/>
                <w:i w:val="0"/>
                <w:color w:val="auto"/>
                <w:kern w:val="0"/>
                <w:sz w:val="13"/>
                <w:szCs w:val="13"/>
                <w:highlight w:val="none"/>
                <w:u w:val="none"/>
                <w:lang w:val="en-US" w:eastAsia="zh-CN" w:bidi="ar"/>
              </w:rPr>
            </w:pPr>
          </w:p>
        </w:tc>
        <w:tc>
          <w:tcPr>
            <w:tcW w:w="1550" w:type="dxa"/>
            <w:vMerge w:val="continue"/>
            <w:tcBorders>
              <w:tl2br w:val="nil"/>
              <w:tr2bl w:val="nil"/>
            </w:tcBorders>
            <w:vAlign w:val="center"/>
          </w:tcPr>
          <w:p w14:paraId="76B4412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hint="eastAsia" w:ascii="仿宋_GB2312" w:hAnsi="宋体" w:eastAsia="仿宋_GB2312"/>
                <w:color w:val="auto"/>
                <w:kern w:val="0"/>
                <w:sz w:val="13"/>
                <w:szCs w:val="13"/>
                <w:highlight w:val="none"/>
                <w:lang w:val="en-US" w:eastAsia="zh-CN"/>
              </w:rPr>
            </w:pPr>
          </w:p>
        </w:tc>
        <w:tc>
          <w:tcPr>
            <w:tcW w:w="4820" w:type="dxa"/>
            <w:vMerge w:val="continue"/>
            <w:tcBorders>
              <w:tl2br w:val="nil"/>
              <w:tr2bl w:val="nil"/>
            </w:tcBorders>
            <w:vAlign w:val="center"/>
          </w:tcPr>
          <w:p w14:paraId="3FF98109">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hint="eastAsia" w:ascii="仿宋_GB2312" w:hAnsi="宋体" w:eastAsia="仿宋_GB2312"/>
                <w:color w:val="auto"/>
                <w:kern w:val="0"/>
                <w:sz w:val="13"/>
                <w:szCs w:val="13"/>
                <w:highlight w:val="none"/>
              </w:rPr>
            </w:pPr>
          </w:p>
        </w:tc>
        <w:tc>
          <w:tcPr>
            <w:tcW w:w="823" w:type="dxa"/>
            <w:tcBorders>
              <w:tl2br w:val="nil"/>
              <w:tr2bl w:val="nil"/>
            </w:tcBorders>
            <w:vAlign w:val="center"/>
          </w:tcPr>
          <w:p w14:paraId="4706125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rPr>
              <w:t>一般情形</w:t>
            </w:r>
          </w:p>
        </w:tc>
        <w:tc>
          <w:tcPr>
            <w:tcW w:w="3437" w:type="dxa"/>
            <w:gridSpan w:val="2"/>
            <w:tcBorders>
              <w:tl2br w:val="nil"/>
              <w:tr2bl w:val="nil"/>
            </w:tcBorders>
            <w:vAlign w:val="center"/>
          </w:tcPr>
          <w:p w14:paraId="51F56FB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不具有从轻、从重情形的。</w:t>
            </w:r>
          </w:p>
        </w:tc>
        <w:tc>
          <w:tcPr>
            <w:tcW w:w="3058" w:type="dxa"/>
            <w:tcBorders>
              <w:tl2br w:val="nil"/>
              <w:tr2bl w:val="nil"/>
            </w:tcBorders>
            <w:vAlign w:val="center"/>
          </w:tcPr>
          <w:p w14:paraId="45EDB96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责令改正，对检测人员处1万元以上2万元以下罚款。</w:t>
            </w:r>
          </w:p>
        </w:tc>
      </w:tr>
      <w:tr w14:paraId="14C03F5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0" w:hRule="atLeast"/>
          <w:jc w:val="center"/>
        </w:trPr>
        <w:tc>
          <w:tcPr>
            <w:tcW w:w="443" w:type="dxa"/>
            <w:gridSpan w:val="2"/>
            <w:vMerge w:val="continue"/>
            <w:tcBorders>
              <w:tl2br w:val="nil"/>
              <w:tr2bl w:val="nil"/>
            </w:tcBorders>
            <w:vAlign w:val="center"/>
          </w:tcPr>
          <w:p w14:paraId="107DDC0C">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仿宋_GB2312"/>
                <w:i w:val="0"/>
                <w:color w:val="auto"/>
                <w:kern w:val="0"/>
                <w:sz w:val="13"/>
                <w:szCs w:val="13"/>
                <w:highlight w:val="none"/>
                <w:u w:val="none"/>
                <w:lang w:val="en-US" w:eastAsia="zh-CN" w:bidi="ar"/>
              </w:rPr>
            </w:pPr>
          </w:p>
        </w:tc>
        <w:tc>
          <w:tcPr>
            <w:tcW w:w="1550" w:type="dxa"/>
            <w:vMerge w:val="continue"/>
            <w:tcBorders>
              <w:tl2br w:val="nil"/>
              <w:tr2bl w:val="nil"/>
            </w:tcBorders>
            <w:vAlign w:val="center"/>
          </w:tcPr>
          <w:p w14:paraId="2A6BDD3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hint="eastAsia" w:ascii="仿宋_GB2312" w:hAnsi="宋体" w:eastAsia="仿宋_GB2312"/>
                <w:color w:val="auto"/>
                <w:kern w:val="0"/>
                <w:sz w:val="13"/>
                <w:szCs w:val="13"/>
                <w:highlight w:val="none"/>
                <w:lang w:val="en-US" w:eastAsia="zh-CN"/>
              </w:rPr>
            </w:pPr>
          </w:p>
        </w:tc>
        <w:tc>
          <w:tcPr>
            <w:tcW w:w="4820" w:type="dxa"/>
            <w:vMerge w:val="continue"/>
            <w:tcBorders>
              <w:tl2br w:val="nil"/>
              <w:tr2bl w:val="nil"/>
            </w:tcBorders>
            <w:vAlign w:val="center"/>
          </w:tcPr>
          <w:p w14:paraId="6E91B12E">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hint="eastAsia" w:ascii="仿宋_GB2312" w:hAnsi="宋体" w:eastAsia="仿宋_GB2312"/>
                <w:color w:val="auto"/>
                <w:kern w:val="0"/>
                <w:sz w:val="13"/>
                <w:szCs w:val="13"/>
                <w:highlight w:val="none"/>
              </w:rPr>
            </w:pPr>
          </w:p>
        </w:tc>
        <w:tc>
          <w:tcPr>
            <w:tcW w:w="823" w:type="dxa"/>
            <w:tcBorders>
              <w:tl2br w:val="nil"/>
              <w:tr2bl w:val="nil"/>
            </w:tcBorders>
            <w:vAlign w:val="center"/>
          </w:tcPr>
          <w:p w14:paraId="6178955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rPr>
              <w:t>从重情形</w:t>
            </w:r>
          </w:p>
        </w:tc>
        <w:tc>
          <w:tcPr>
            <w:tcW w:w="3437" w:type="dxa"/>
            <w:gridSpan w:val="2"/>
            <w:tcBorders>
              <w:tl2br w:val="nil"/>
              <w:tr2bl w:val="nil"/>
            </w:tcBorders>
            <w:vAlign w:val="center"/>
          </w:tcPr>
          <w:p w14:paraId="6B9ABE5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（1）曾因该违法行为被依法查处，再次实施该违法行为的；</w:t>
            </w:r>
          </w:p>
          <w:p w14:paraId="4069C4A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rPr>
              <w:t>（2）造成质量、安全事故，或造成其他严重危害后果的</w:t>
            </w:r>
            <w:r>
              <w:rPr>
                <w:rFonts w:hint="eastAsia" w:ascii="仿宋_GB2312" w:hAnsi="宋体" w:eastAsia="仿宋_GB2312"/>
                <w:color w:val="auto"/>
                <w:kern w:val="0"/>
                <w:sz w:val="13"/>
                <w:szCs w:val="13"/>
                <w:highlight w:val="none"/>
                <w:lang w:eastAsia="zh-CN"/>
              </w:rPr>
              <w:t>；</w:t>
            </w:r>
          </w:p>
          <w:p w14:paraId="53B76AF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lang w:val="en-US" w:eastAsia="zh-CN"/>
              </w:rPr>
            </w:pPr>
            <w:r>
              <w:rPr>
                <w:rFonts w:hint="eastAsia" w:ascii="仿宋_GB2312" w:hAnsi="宋体" w:eastAsia="仿宋_GB2312"/>
                <w:color w:val="auto"/>
                <w:kern w:val="0"/>
                <w:sz w:val="13"/>
                <w:szCs w:val="13"/>
                <w:highlight w:val="none"/>
                <w:lang w:eastAsia="zh-CN"/>
              </w:rPr>
              <w:t>（</w:t>
            </w:r>
            <w:r>
              <w:rPr>
                <w:rFonts w:hint="eastAsia" w:ascii="仿宋_GB2312" w:hAnsi="宋体" w:eastAsia="仿宋_GB2312"/>
                <w:color w:val="auto"/>
                <w:kern w:val="0"/>
                <w:sz w:val="13"/>
                <w:szCs w:val="13"/>
                <w:highlight w:val="none"/>
                <w:lang w:val="en-US" w:eastAsia="zh-CN"/>
              </w:rPr>
              <w:t>3</w:t>
            </w:r>
            <w:r>
              <w:rPr>
                <w:rFonts w:hint="eastAsia" w:ascii="仿宋_GB2312" w:hAnsi="宋体" w:eastAsia="仿宋_GB2312"/>
                <w:color w:val="auto"/>
                <w:kern w:val="0"/>
                <w:sz w:val="13"/>
                <w:szCs w:val="13"/>
                <w:highlight w:val="none"/>
                <w:lang w:eastAsia="zh-CN"/>
              </w:rPr>
              <w:t>）</w:t>
            </w:r>
            <w:r>
              <w:rPr>
                <w:rFonts w:hint="eastAsia" w:ascii="仿宋_GB2312" w:hAnsi="宋体" w:eastAsia="仿宋_GB2312"/>
                <w:color w:val="auto"/>
                <w:kern w:val="0"/>
                <w:sz w:val="13"/>
                <w:szCs w:val="13"/>
                <w:highlight w:val="none"/>
              </w:rPr>
              <w:t>2年内2次及以上同类型违法；</w:t>
            </w:r>
            <w:r>
              <w:rPr>
                <w:rFonts w:hint="eastAsia" w:ascii="仿宋_GB2312" w:hAnsi="宋体" w:eastAsia="仿宋_GB2312"/>
                <w:color w:val="auto"/>
                <w:kern w:val="0"/>
                <w:sz w:val="13"/>
                <w:szCs w:val="13"/>
                <w:highlight w:val="none"/>
                <w:lang w:eastAsia="zh-CN"/>
              </w:rPr>
              <w:t>（</w:t>
            </w:r>
            <w:r>
              <w:rPr>
                <w:rFonts w:hint="eastAsia" w:ascii="仿宋_GB2312" w:hAnsi="宋体" w:eastAsia="仿宋_GB2312"/>
                <w:color w:val="auto"/>
                <w:kern w:val="0"/>
                <w:sz w:val="13"/>
                <w:szCs w:val="13"/>
                <w:highlight w:val="none"/>
                <w:lang w:val="en-US" w:eastAsia="zh-CN"/>
              </w:rPr>
              <w:t>适用第三十条（一）</w:t>
            </w:r>
            <w:r>
              <w:rPr>
                <w:rFonts w:hint="eastAsia" w:ascii="仿宋_GB2312" w:hAnsi="宋体" w:eastAsia="仿宋_GB2312"/>
                <w:color w:val="auto"/>
                <w:kern w:val="0"/>
                <w:sz w:val="13"/>
                <w:szCs w:val="13"/>
                <w:highlight w:val="none"/>
              </w:rPr>
              <w:t>同时受聘于两家或者两家以上检测机构</w:t>
            </w:r>
            <w:r>
              <w:rPr>
                <w:rFonts w:hint="eastAsia" w:ascii="仿宋_GB2312" w:hAnsi="宋体" w:eastAsia="仿宋_GB2312"/>
                <w:color w:val="auto"/>
                <w:kern w:val="0"/>
                <w:sz w:val="13"/>
                <w:szCs w:val="13"/>
                <w:highlight w:val="none"/>
                <w:lang w:val="en-US" w:eastAsia="zh-CN"/>
              </w:rPr>
              <w:t>时，要求同时受聘情形持续两年以上</w:t>
            </w:r>
            <w:r>
              <w:rPr>
                <w:rFonts w:hint="eastAsia" w:ascii="仿宋_GB2312" w:hAnsi="宋体" w:eastAsia="仿宋_GB2312"/>
                <w:color w:val="auto"/>
                <w:kern w:val="0"/>
                <w:sz w:val="13"/>
                <w:szCs w:val="13"/>
                <w:highlight w:val="none"/>
                <w:lang w:eastAsia="zh-CN"/>
              </w:rPr>
              <w:t>）</w:t>
            </w:r>
          </w:p>
          <w:p w14:paraId="7848D92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sz w:val="13"/>
                <w:szCs w:val="13"/>
                <w:highlight w:val="none"/>
                <w:lang w:eastAsia="zh-CN"/>
              </w:rPr>
              <w:t>（</w:t>
            </w:r>
            <w:r>
              <w:rPr>
                <w:rFonts w:hint="eastAsia" w:ascii="仿宋_GB2312" w:hAnsi="宋体" w:eastAsia="仿宋_GB2312"/>
                <w:color w:val="auto"/>
                <w:sz w:val="13"/>
                <w:szCs w:val="13"/>
                <w:highlight w:val="none"/>
                <w:lang w:val="en-US" w:eastAsia="zh-CN"/>
              </w:rPr>
              <w:t>4</w:t>
            </w:r>
            <w:r>
              <w:rPr>
                <w:rFonts w:hint="eastAsia" w:ascii="仿宋_GB2312" w:hAnsi="宋体" w:eastAsia="仿宋_GB2312"/>
                <w:color w:val="auto"/>
                <w:sz w:val="13"/>
                <w:szCs w:val="13"/>
                <w:highlight w:val="none"/>
                <w:lang w:eastAsia="zh-CN"/>
              </w:rPr>
              <w:t>）</w:t>
            </w:r>
            <w:r>
              <w:rPr>
                <w:rFonts w:hint="eastAsia" w:ascii="仿宋_GB2312" w:hAnsi="宋体" w:eastAsia="仿宋_GB2312"/>
                <w:color w:val="auto"/>
                <w:kern w:val="0"/>
                <w:sz w:val="13"/>
                <w:szCs w:val="13"/>
                <w:highlight w:val="none"/>
              </w:rPr>
              <w:t>其他依法应予从重处罚的情形。</w:t>
            </w:r>
          </w:p>
        </w:tc>
        <w:tc>
          <w:tcPr>
            <w:tcW w:w="3058" w:type="dxa"/>
            <w:tcBorders>
              <w:tl2br w:val="nil"/>
              <w:tr2bl w:val="nil"/>
            </w:tcBorders>
            <w:vAlign w:val="center"/>
          </w:tcPr>
          <w:p w14:paraId="5A68766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责令改正，对检测人员处2万元以上3万元以下罚款。</w:t>
            </w:r>
          </w:p>
        </w:tc>
      </w:tr>
      <w:tr w14:paraId="43AA40D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0" w:hRule="atLeast"/>
          <w:jc w:val="center"/>
        </w:trPr>
        <w:tc>
          <w:tcPr>
            <w:tcW w:w="443" w:type="dxa"/>
            <w:gridSpan w:val="2"/>
            <w:vMerge w:val="restart"/>
            <w:tcBorders>
              <w:tl2br w:val="nil"/>
              <w:tr2bl w:val="nil"/>
            </w:tcBorders>
            <w:vAlign w:val="center"/>
          </w:tcPr>
          <w:p w14:paraId="30791C30">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Times New Roman"/>
                <w:color w:val="auto"/>
                <w:sz w:val="13"/>
                <w:szCs w:val="13"/>
                <w:highlight w:val="none"/>
                <w:lang w:val="en-US"/>
              </w:rPr>
            </w:pPr>
            <w:r>
              <w:rPr>
                <w:rFonts w:hint="default" w:ascii="仿宋_GB2312" w:hAnsi="宋体" w:eastAsia="仿宋_GB2312" w:cs="仿宋_GB2312"/>
                <w:i w:val="0"/>
                <w:color w:val="auto"/>
                <w:kern w:val="0"/>
                <w:sz w:val="13"/>
                <w:szCs w:val="13"/>
                <w:highlight w:val="none"/>
                <w:u w:val="none"/>
                <w:lang w:val="en-US" w:eastAsia="zh-CN" w:bidi="ar"/>
              </w:rPr>
              <w:t>1</w:t>
            </w:r>
            <w:r>
              <w:rPr>
                <w:rFonts w:hint="eastAsia" w:ascii="仿宋_GB2312" w:hAnsi="宋体" w:eastAsia="仿宋_GB2312" w:cs="仿宋_GB2312"/>
                <w:i w:val="0"/>
                <w:color w:val="auto"/>
                <w:kern w:val="0"/>
                <w:sz w:val="13"/>
                <w:szCs w:val="13"/>
                <w:highlight w:val="none"/>
                <w:u w:val="none"/>
                <w:lang w:val="en-US" w:eastAsia="zh-CN" w:bidi="ar"/>
              </w:rPr>
              <w:t>06</w:t>
            </w:r>
          </w:p>
        </w:tc>
        <w:tc>
          <w:tcPr>
            <w:tcW w:w="1550" w:type="dxa"/>
            <w:vMerge w:val="restart"/>
            <w:tcBorders>
              <w:tl2br w:val="nil"/>
              <w:tr2bl w:val="nil"/>
            </w:tcBorders>
            <w:vAlign w:val="center"/>
          </w:tcPr>
          <w:p w14:paraId="0E460DA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hint="default" w:ascii="仿宋_GB2312" w:hAnsi="宋体" w:eastAsia="仿宋_GB2312"/>
                <w:color w:val="auto"/>
                <w:kern w:val="0"/>
                <w:sz w:val="13"/>
                <w:szCs w:val="13"/>
                <w:highlight w:val="none"/>
                <w:lang w:val="en-US" w:eastAsia="zh-CN"/>
              </w:rPr>
            </w:pPr>
            <w:r>
              <w:rPr>
                <w:rFonts w:hint="eastAsia" w:ascii="仿宋_GB2312" w:hAnsi="宋体" w:eastAsia="仿宋_GB2312"/>
                <w:color w:val="auto"/>
                <w:kern w:val="0"/>
                <w:sz w:val="13"/>
                <w:szCs w:val="13"/>
                <w:highlight w:val="none"/>
                <w:lang w:val="en-US" w:eastAsia="zh-CN"/>
              </w:rPr>
              <w:t>检测机构有</w:t>
            </w:r>
            <w:r>
              <w:rPr>
                <w:rFonts w:hint="eastAsia" w:ascii="仿宋_GB2312" w:hAnsi="宋体" w:eastAsia="仿宋_GB2312"/>
                <w:color w:val="auto"/>
                <w:kern w:val="0"/>
                <w:sz w:val="13"/>
                <w:szCs w:val="13"/>
                <w:highlight w:val="none"/>
              </w:rPr>
              <w:t>《建设工程质量检测管理办法》</w:t>
            </w:r>
            <w:r>
              <w:rPr>
                <w:rFonts w:hint="eastAsia" w:ascii="仿宋_GB2312" w:hAnsi="宋体" w:eastAsia="仿宋_GB2312"/>
                <w:color w:val="auto"/>
                <w:kern w:val="0"/>
                <w:sz w:val="13"/>
                <w:szCs w:val="13"/>
                <w:highlight w:val="none"/>
                <w:lang w:val="en-US" w:eastAsia="zh-CN"/>
              </w:rPr>
              <w:t>第四十五条规定的相关行为</w:t>
            </w:r>
          </w:p>
        </w:tc>
        <w:tc>
          <w:tcPr>
            <w:tcW w:w="4820" w:type="dxa"/>
            <w:vMerge w:val="restart"/>
            <w:tcBorders>
              <w:tl2br w:val="nil"/>
              <w:tr2bl w:val="nil"/>
            </w:tcBorders>
            <w:vAlign w:val="center"/>
          </w:tcPr>
          <w:p w14:paraId="2C56C7DF">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《建设工程质量检测管理办法》</w:t>
            </w:r>
          </w:p>
          <w:p w14:paraId="7071C4EE">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第四十五条　检测机构违反本办法规定，有下列行为之一的，由县级以上地方人民政府住房和城乡建设主管部门责令改正，处1万元以上5万元以下罚款：</w:t>
            </w:r>
          </w:p>
          <w:p w14:paraId="47C5581B">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　　（一）与所检测建设工程相关的建设、施工、监理单位，以及建筑材料、建筑构配件和设备供应单位有隶属关系或者其他利害关系的；</w:t>
            </w:r>
          </w:p>
          <w:p w14:paraId="74809784">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　　（二）推荐或者监制建筑材料、建筑构配件和设备的；</w:t>
            </w:r>
          </w:p>
          <w:p w14:paraId="4F60C602">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　　（三）未按照规定在检测报告上签字盖章的；</w:t>
            </w:r>
          </w:p>
          <w:p w14:paraId="469FE6A2">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　　（四）未及时报告发现的违反有关法律法规规定和工程建设强制性标准等行为的；</w:t>
            </w:r>
          </w:p>
          <w:p w14:paraId="1CEC5C15">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rPr>
              <w:t>　　（五）未及时报告涉及结构安全、主要使用功能的不合格检测结果的；</w:t>
            </w:r>
          </w:p>
          <w:p w14:paraId="4F6A9C3B">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　　（六）未按照规定进行档案和台账管理的；</w:t>
            </w:r>
          </w:p>
          <w:p w14:paraId="277326C0">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　　（七）未建立并使用信息化管理系统对检测活动进行管理的；</w:t>
            </w:r>
          </w:p>
          <w:p w14:paraId="2DA9302B">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　　（八）不满足跨省、自治区、直辖市承担检测业务的要求开展相应建设工程质量检测活动的；</w:t>
            </w:r>
          </w:p>
          <w:p w14:paraId="5AAF83B4">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　　（九）接受监督检查时不如实提供有关资料、不按照要求参加能力验证和比对试验，或者拒绝、阻碍监督检查的。</w:t>
            </w:r>
          </w:p>
        </w:tc>
        <w:tc>
          <w:tcPr>
            <w:tcW w:w="823" w:type="dxa"/>
            <w:tcBorders>
              <w:tl2br w:val="nil"/>
              <w:tr2bl w:val="nil"/>
            </w:tcBorders>
            <w:vAlign w:val="center"/>
          </w:tcPr>
          <w:p w14:paraId="1B7F848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vAlign w:val="center"/>
          </w:tcPr>
          <w:p w14:paraId="17F2621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初次违法，主动消除或减轻违法行为危害后果的。</w:t>
            </w:r>
          </w:p>
        </w:tc>
        <w:tc>
          <w:tcPr>
            <w:tcW w:w="3058" w:type="dxa"/>
            <w:tcBorders>
              <w:tl2br w:val="nil"/>
              <w:tr2bl w:val="nil"/>
            </w:tcBorders>
            <w:vAlign w:val="center"/>
          </w:tcPr>
          <w:p w14:paraId="4D8BB28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责令改正，处1万元以上</w:t>
            </w:r>
            <w:r>
              <w:rPr>
                <w:rFonts w:hint="eastAsia" w:ascii="仿宋_GB2312" w:hAnsi="宋体" w:eastAsia="仿宋_GB2312"/>
                <w:color w:val="auto"/>
                <w:kern w:val="0"/>
                <w:sz w:val="13"/>
                <w:szCs w:val="13"/>
                <w:highlight w:val="none"/>
                <w:lang w:val="en-US" w:eastAsia="zh-CN"/>
              </w:rPr>
              <w:t>2</w:t>
            </w:r>
            <w:r>
              <w:rPr>
                <w:rFonts w:hint="eastAsia" w:ascii="仿宋_GB2312" w:hAnsi="宋体" w:eastAsia="仿宋_GB2312"/>
                <w:color w:val="auto"/>
                <w:kern w:val="0"/>
                <w:sz w:val="13"/>
                <w:szCs w:val="13"/>
                <w:highlight w:val="none"/>
              </w:rPr>
              <w:t>万元以下罚款，对检测机构的直接负责的主管人员和其他直接责任人员处</w:t>
            </w:r>
            <w:r>
              <w:rPr>
                <w:rFonts w:hint="eastAsia" w:ascii="仿宋_GB2312" w:hAnsi="宋体" w:eastAsia="仿宋_GB2312"/>
                <w:color w:val="auto"/>
                <w:kern w:val="0"/>
                <w:sz w:val="13"/>
                <w:szCs w:val="13"/>
                <w:highlight w:val="none"/>
                <w:lang w:val="en-US" w:eastAsia="zh-CN"/>
              </w:rPr>
              <w:t>1万元以下</w:t>
            </w:r>
            <w:r>
              <w:rPr>
                <w:rFonts w:hint="eastAsia" w:ascii="仿宋_GB2312" w:hAnsi="宋体" w:eastAsia="仿宋_GB2312"/>
                <w:color w:val="auto"/>
                <w:kern w:val="0"/>
                <w:sz w:val="13"/>
                <w:szCs w:val="13"/>
                <w:highlight w:val="none"/>
              </w:rPr>
              <w:t>的罚款。</w:t>
            </w:r>
          </w:p>
        </w:tc>
      </w:tr>
      <w:tr w14:paraId="00C333F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8" w:hRule="atLeast"/>
          <w:jc w:val="center"/>
        </w:trPr>
        <w:tc>
          <w:tcPr>
            <w:tcW w:w="443" w:type="dxa"/>
            <w:gridSpan w:val="2"/>
            <w:vMerge w:val="continue"/>
            <w:tcBorders>
              <w:tl2br w:val="nil"/>
              <w:tr2bl w:val="nil"/>
            </w:tcBorders>
            <w:vAlign w:val="center"/>
          </w:tcPr>
          <w:p w14:paraId="461528D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14E78AB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tcPr>
          <w:p w14:paraId="72B4382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tcBorders>
              <w:tl2br w:val="nil"/>
              <w:tr2bl w:val="nil"/>
            </w:tcBorders>
            <w:vAlign w:val="center"/>
          </w:tcPr>
          <w:p w14:paraId="475400E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一般情节</w:t>
            </w:r>
          </w:p>
        </w:tc>
        <w:tc>
          <w:tcPr>
            <w:tcW w:w="3437" w:type="dxa"/>
            <w:gridSpan w:val="2"/>
            <w:tcBorders>
              <w:tl2br w:val="nil"/>
              <w:tr2bl w:val="nil"/>
            </w:tcBorders>
            <w:vAlign w:val="center"/>
          </w:tcPr>
          <w:p w14:paraId="7665B64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不具有从轻、</w:t>
            </w:r>
            <w:r>
              <w:rPr>
                <w:rFonts w:hint="eastAsia" w:ascii="仿宋_GB2312" w:hAnsi="宋体" w:eastAsia="仿宋_GB2312"/>
                <w:color w:val="auto"/>
                <w:kern w:val="0"/>
                <w:sz w:val="13"/>
                <w:szCs w:val="13"/>
                <w:highlight w:val="none"/>
                <w:lang w:eastAsia="zh-CN"/>
              </w:rPr>
              <w:t>从重情节</w:t>
            </w:r>
            <w:r>
              <w:rPr>
                <w:rFonts w:hint="eastAsia" w:ascii="仿宋_GB2312" w:hAnsi="宋体" w:eastAsia="仿宋_GB2312"/>
                <w:color w:val="auto"/>
                <w:kern w:val="0"/>
                <w:sz w:val="13"/>
                <w:szCs w:val="13"/>
                <w:highlight w:val="none"/>
              </w:rPr>
              <w:t>的。</w:t>
            </w:r>
          </w:p>
        </w:tc>
        <w:tc>
          <w:tcPr>
            <w:tcW w:w="3058" w:type="dxa"/>
            <w:tcBorders>
              <w:tl2br w:val="nil"/>
              <w:tr2bl w:val="nil"/>
            </w:tcBorders>
            <w:vAlign w:val="center"/>
          </w:tcPr>
          <w:p w14:paraId="761C041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责令改正，处</w:t>
            </w:r>
            <w:r>
              <w:rPr>
                <w:rFonts w:hint="eastAsia" w:ascii="仿宋_GB2312" w:hAnsi="宋体" w:eastAsia="仿宋_GB2312"/>
                <w:color w:val="auto"/>
                <w:kern w:val="0"/>
                <w:sz w:val="13"/>
                <w:szCs w:val="13"/>
                <w:highlight w:val="none"/>
                <w:lang w:val="en-US" w:eastAsia="zh-CN"/>
              </w:rPr>
              <w:t>2</w:t>
            </w:r>
            <w:r>
              <w:rPr>
                <w:rFonts w:hint="eastAsia" w:ascii="仿宋_GB2312" w:hAnsi="宋体" w:eastAsia="仿宋_GB2312"/>
                <w:color w:val="auto"/>
                <w:kern w:val="0"/>
                <w:sz w:val="13"/>
                <w:szCs w:val="13"/>
                <w:highlight w:val="none"/>
              </w:rPr>
              <w:t>万元以上</w:t>
            </w:r>
            <w:r>
              <w:rPr>
                <w:rFonts w:hint="eastAsia" w:ascii="仿宋_GB2312" w:hAnsi="宋体" w:eastAsia="仿宋_GB2312"/>
                <w:color w:val="auto"/>
                <w:kern w:val="0"/>
                <w:sz w:val="13"/>
                <w:szCs w:val="13"/>
                <w:highlight w:val="none"/>
                <w:lang w:val="en-US" w:eastAsia="zh-CN"/>
              </w:rPr>
              <w:t>3</w:t>
            </w:r>
            <w:r>
              <w:rPr>
                <w:rFonts w:hint="eastAsia" w:ascii="仿宋_GB2312" w:hAnsi="宋体" w:eastAsia="仿宋_GB2312"/>
                <w:color w:val="auto"/>
                <w:kern w:val="0"/>
                <w:sz w:val="13"/>
                <w:szCs w:val="13"/>
                <w:highlight w:val="none"/>
              </w:rPr>
              <w:t>万元以下罚款，对检测机构的直接负责的主管人员和其他直接责任人员处</w:t>
            </w:r>
            <w:r>
              <w:rPr>
                <w:rFonts w:hint="eastAsia" w:ascii="仿宋_GB2312" w:hAnsi="宋体" w:eastAsia="仿宋_GB2312"/>
                <w:color w:val="auto"/>
                <w:kern w:val="0"/>
                <w:sz w:val="13"/>
                <w:szCs w:val="13"/>
                <w:highlight w:val="none"/>
                <w:lang w:val="en-US" w:eastAsia="zh-CN"/>
              </w:rPr>
              <w:t>1.5万元以上2万元以下</w:t>
            </w:r>
            <w:r>
              <w:rPr>
                <w:rFonts w:hint="eastAsia" w:ascii="仿宋_GB2312" w:hAnsi="宋体" w:eastAsia="仿宋_GB2312"/>
                <w:color w:val="auto"/>
                <w:kern w:val="0"/>
                <w:sz w:val="13"/>
                <w:szCs w:val="13"/>
                <w:highlight w:val="none"/>
              </w:rPr>
              <w:t>的罚款。</w:t>
            </w:r>
          </w:p>
        </w:tc>
      </w:tr>
      <w:tr w14:paraId="37F8630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629" w:hRule="atLeast"/>
          <w:jc w:val="center"/>
        </w:trPr>
        <w:tc>
          <w:tcPr>
            <w:tcW w:w="443" w:type="dxa"/>
            <w:gridSpan w:val="2"/>
            <w:vMerge w:val="continue"/>
            <w:tcBorders>
              <w:tl2br w:val="nil"/>
              <w:tr2bl w:val="nil"/>
            </w:tcBorders>
            <w:vAlign w:val="center"/>
          </w:tcPr>
          <w:p w14:paraId="28ED5EF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1ED4086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vAlign w:val="center"/>
          </w:tcPr>
          <w:p w14:paraId="01A2CB9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tcBorders>
              <w:tl2br w:val="nil"/>
              <w:tr2bl w:val="nil"/>
            </w:tcBorders>
            <w:vAlign w:val="center"/>
          </w:tcPr>
          <w:p w14:paraId="77EB6CE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从重情节</w:t>
            </w:r>
          </w:p>
        </w:tc>
        <w:tc>
          <w:tcPr>
            <w:tcW w:w="3437" w:type="dxa"/>
            <w:gridSpan w:val="2"/>
            <w:tcBorders>
              <w:tl2br w:val="nil"/>
              <w:tr2bl w:val="nil"/>
            </w:tcBorders>
            <w:vAlign w:val="center"/>
          </w:tcPr>
          <w:p w14:paraId="4639C8E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lang w:val="en-US" w:eastAsia="zh-CN"/>
              </w:rPr>
            </w:pPr>
            <w:r>
              <w:rPr>
                <w:rFonts w:hint="eastAsia" w:ascii="仿宋_GB2312" w:hAnsi="宋体" w:eastAsia="仿宋_GB2312"/>
                <w:color w:val="auto"/>
                <w:kern w:val="0"/>
                <w:sz w:val="13"/>
                <w:szCs w:val="13"/>
                <w:highlight w:val="none"/>
                <w:lang w:val="en-US" w:eastAsia="zh-CN"/>
              </w:rPr>
              <w:t>有下列情形之一的：</w:t>
            </w:r>
          </w:p>
          <w:p w14:paraId="6335178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（1）经责令改正后，逾期未改正的；</w:t>
            </w:r>
          </w:p>
          <w:p w14:paraId="6AFEAAE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（2）曾因该违法行为被依法查处，再次实施该违法行为的；</w:t>
            </w:r>
          </w:p>
          <w:p w14:paraId="2D0B1B5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（3）造成工程质量事故的；</w:t>
            </w:r>
          </w:p>
          <w:p w14:paraId="41EE8EE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（4）经有关部门确认，存在贿赂情形的；</w:t>
            </w:r>
          </w:p>
          <w:p w14:paraId="7F1EA5D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（5）其他依法应予从重处罚的情形。</w:t>
            </w:r>
          </w:p>
        </w:tc>
        <w:tc>
          <w:tcPr>
            <w:tcW w:w="3058" w:type="dxa"/>
            <w:tcBorders>
              <w:tl2br w:val="nil"/>
              <w:tr2bl w:val="nil"/>
            </w:tcBorders>
            <w:vAlign w:val="center"/>
          </w:tcPr>
          <w:p w14:paraId="7241031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责令改正，处</w:t>
            </w:r>
            <w:r>
              <w:rPr>
                <w:rFonts w:hint="eastAsia" w:ascii="仿宋_GB2312" w:hAnsi="宋体" w:eastAsia="仿宋_GB2312"/>
                <w:color w:val="auto"/>
                <w:kern w:val="0"/>
                <w:sz w:val="13"/>
                <w:szCs w:val="13"/>
                <w:highlight w:val="none"/>
                <w:lang w:val="en-US" w:eastAsia="zh-CN"/>
              </w:rPr>
              <w:t>3</w:t>
            </w:r>
            <w:r>
              <w:rPr>
                <w:rFonts w:hint="eastAsia" w:ascii="仿宋_GB2312" w:hAnsi="宋体" w:eastAsia="仿宋_GB2312"/>
                <w:color w:val="auto"/>
                <w:kern w:val="0"/>
                <w:sz w:val="13"/>
                <w:szCs w:val="13"/>
                <w:highlight w:val="none"/>
              </w:rPr>
              <w:t>万元以上</w:t>
            </w:r>
            <w:r>
              <w:rPr>
                <w:rFonts w:hint="eastAsia" w:ascii="仿宋_GB2312" w:hAnsi="宋体" w:eastAsia="仿宋_GB2312"/>
                <w:color w:val="auto"/>
                <w:kern w:val="0"/>
                <w:sz w:val="13"/>
                <w:szCs w:val="13"/>
                <w:highlight w:val="none"/>
                <w:lang w:val="en-US" w:eastAsia="zh-CN"/>
              </w:rPr>
              <w:t>5</w:t>
            </w:r>
            <w:r>
              <w:rPr>
                <w:rFonts w:hint="eastAsia" w:ascii="仿宋_GB2312" w:hAnsi="宋体" w:eastAsia="仿宋_GB2312"/>
                <w:color w:val="auto"/>
                <w:kern w:val="0"/>
                <w:sz w:val="13"/>
                <w:szCs w:val="13"/>
                <w:highlight w:val="none"/>
              </w:rPr>
              <w:t>万元以下罚款，对检测机构的直接负责的主管人员和其他直接责任人员处</w:t>
            </w:r>
            <w:r>
              <w:rPr>
                <w:rFonts w:hint="eastAsia" w:ascii="仿宋_GB2312" w:hAnsi="宋体" w:eastAsia="仿宋_GB2312"/>
                <w:color w:val="auto"/>
                <w:kern w:val="0"/>
                <w:sz w:val="13"/>
                <w:szCs w:val="13"/>
                <w:highlight w:val="none"/>
                <w:lang w:val="en-US" w:eastAsia="zh-CN"/>
              </w:rPr>
              <w:t>3万元罚款</w:t>
            </w:r>
            <w:r>
              <w:rPr>
                <w:rFonts w:hint="eastAsia" w:ascii="仿宋_GB2312" w:hAnsi="宋体" w:eastAsia="仿宋_GB2312"/>
                <w:color w:val="auto"/>
                <w:kern w:val="0"/>
                <w:sz w:val="13"/>
                <w:szCs w:val="13"/>
                <w:highlight w:val="none"/>
              </w:rPr>
              <w:t>。</w:t>
            </w:r>
          </w:p>
        </w:tc>
      </w:tr>
      <w:tr w14:paraId="1821668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02" w:hRule="atLeast"/>
          <w:jc w:val="center"/>
        </w:trPr>
        <w:tc>
          <w:tcPr>
            <w:tcW w:w="443" w:type="dxa"/>
            <w:gridSpan w:val="2"/>
            <w:vMerge w:val="restart"/>
            <w:tcBorders>
              <w:tl2br w:val="nil"/>
              <w:tr2bl w:val="nil"/>
            </w:tcBorders>
            <w:vAlign w:val="center"/>
          </w:tcPr>
          <w:p w14:paraId="388B33C3">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仿宋_GB2312"/>
                <w:i w:val="0"/>
                <w:color w:val="auto"/>
                <w:kern w:val="0"/>
                <w:sz w:val="13"/>
                <w:szCs w:val="13"/>
                <w:highlight w:val="none"/>
                <w:u w:val="none"/>
                <w:lang w:val="en-US" w:eastAsia="zh-CN" w:bidi="ar"/>
              </w:rPr>
            </w:pPr>
            <w:r>
              <w:rPr>
                <w:rFonts w:hint="eastAsia" w:ascii="仿宋_GB2312" w:hAnsi="宋体" w:eastAsia="仿宋_GB2312" w:cs="仿宋_GB2312"/>
                <w:i w:val="0"/>
                <w:color w:val="auto"/>
                <w:kern w:val="0"/>
                <w:sz w:val="13"/>
                <w:szCs w:val="13"/>
                <w:highlight w:val="none"/>
                <w:u w:val="none"/>
                <w:lang w:val="en-US" w:eastAsia="zh-CN" w:bidi="ar"/>
              </w:rPr>
              <w:t>107</w:t>
            </w:r>
          </w:p>
        </w:tc>
        <w:tc>
          <w:tcPr>
            <w:tcW w:w="1550" w:type="dxa"/>
            <w:vMerge w:val="restart"/>
            <w:tcBorders>
              <w:tl2br w:val="nil"/>
              <w:tr2bl w:val="nil"/>
            </w:tcBorders>
            <w:vAlign w:val="center"/>
          </w:tcPr>
          <w:p w14:paraId="2A33AA7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（一）委托未取得相应资质的检测机构进行检测的；</w:t>
            </w:r>
          </w:p>
          <w:p w14:paraId="17D69F3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（二）未将建设工程质量检测费用列入工程概预算并单独列支的；</w:t>
            </w:r>
          </w:p>
          <w:p w14:paraId="0DC5252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（三）未按照规定实施见证的；</w:t>
            </w:r>
          </w:p>
          <w:p w14:paraId="5E2E169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（四）提供的检测试样不满足符合性、真实性、代表性要求的；</w:t>
            </w:r>
          </w:p>
          <w:p w14:paraId="4F5F477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（五）明示或者暗示检测机构出具虚假检测报告的；　（六）篡改或者伪造检测报告的；</w:t>
            </w:r>
          </w:p>
          <w:p w14:paraId="6CA03DB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（七）取样、制样和送检试样不符合规定和工程建设强制性标准的</w:t>
            </w:r>
          </w:p>
        </w:tc>
        <w:tc>
          <w:tcPr>
            <w:tcW w:w="4820" w:type="dxa"/>
            <w:vMerge w:val="restart"/>
            <w:tcBorders>
              <w:tl2br w:val="nil"/>
              <w:tr2bl w:val="nil"/>
            </w:tcBorders>
            <w:vAlign w:val="center"/>
          </w:tcPr>
          <w:p w14:paraId="6972F685">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《建设工程质量检测管理办法》第四十七条</w:t>
            </w:r>
          </w:p>
          <w:p w14:paraId="40351B1D">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违反本办法规定，建设、施工、监理等单位有下列行为之一的，由县级以上地方人民政府住房和城乡建设主管部门责令改正，处3万元以上10万元以下罚款；造成危害后果的，处10万元以上20万元以下罚款；构成犯罪的，依法追究刑事责任：</w:t>
            </w:r>
          </w:p>
          <w:p w14:paraId="3551C3B7">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（一）委托未取得相应资质的检测机构进行检测的；</w:t>
            </w:r>
          </w:p>
          <w:p w14:paraId="1AE1E554">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（二）未将建设工程质量检测费用列入工程概预算并单独列支的；</w:t>
            </w:r>
          </w:p>
          <w:p w14:paraId="7EFBA2E0">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（三）未按照规定实施见证的；</w:t>
            </w:r>
          </w:p>
          <w:p w14:paraId="241E5321">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（四）提供的检测试样不满足符合性、真实性、代表性要求的；</w:t>
            </w:r>
          </w:p>
          <w:p w14:paraId="7EEAF3DC">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（五）明示或者暗示检测机构出具虚假检测报告的；　</w:t>
            </w:r>
          </w:p>
          <w:p w14:paraId="3B7AD268">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（六）篡改或者伪造检测报告的；</w:t>
            </w:r>
          </w:p>
          <w:p w14:paraId="4103B18E">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（七）取样、制样和送检试样不符合规定和工程建设强制性标准的。</w:t>
            </w:r>
          </w:p>
          <w:p w14:paraId="5B971CF0">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《建设工程质量检测管理办法》第四十八条</w:t>
            </w:r>
          </w:p>
          <w:p w14:paraId="40A55140">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依照本办法规定，给予单位罚款处罚的，对单位直接负责的主管人员和其他直接责任人员处3万元以下罚款。</w:t>
            </w:r>
          </w:p>
        </w:tc>
        <w:tc>
          <w:tcPr>
            <w:tcW w:w="823" w:type="dxa"/>
            <w:tcBorders>
              <w:tl2br w:val="nil"/>
              <w:tr2bl w:val="nil"/>
            </w:tcBorders>
            <w:vAlign w:val="center"/>
          </w:tcPr>
          <w:p w14:paraId="6B54771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rPr>
              <w:t>从轻情形</w:t>
            </w:r>
          </w:p>
        </w:tc>
        <w:tc>
          <w:tcPr>
            <w:tcW w:w="3437" w:type="dxa"/>
            <w:gridSpan w:val="2"/>
            <w:tcBorders>
              <w:tl2br w:val="nil"/>
              <w:tr2bl w:val="nil"/>
            </w:tcBorders>
            <w:vAlign w:val="center"/>
          </w:tcPr>
          <w:p w14:paraId="230D57C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未造成危害后果的。</w:t>
            </w:r>
          </w:p>
        </w:tc>
        <w:tc>
          <w:tcPr>
            <w:tcW w:w="3058" w:type="dxa"/>
            <w:tcBorders>
              <w:tl2br w:val="nil"/>
              <w:tr2bl w:val="nil"/>
            </w:tcBorders>
            <w:vAlign w:val="center"/>
          </w:tcPr>
          <w:p w14:paraId="259D533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处3万元以上10万元以下罚款，对单位直接负责的主管人员和其他直接责任人员处1万元以下的罚款。</w:t>
            </w:r>
          </w:p>
        </w:tc>
      </w:tr>
      <w:tr w14:paraId="30120E4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02" w:hRule="atLeast"/>
          <w:jc w:val="center"/>
        </w:trPr>
        <w:tc>
          <w:tcPr>
            <w:tcW w:w="443" w:type="dxa"/>
            <w:gridSpan w:val="2"/>
            <w:vMerge w:val="continue"/>
            <w:tcBorders>
              <w:tl2br w:val="nil"/>
              <w:tr2bl w:val="nil"/>
            </w:tcBorders>
            <w:vAlign w:val="center"/>
          </w:tcPr>
          <w:p w14:paraId="6F43ACF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hint="eastAsia" w:ascii="仿宋_GB2312" w:hAnsi="宋体" w:eastAsia="仿宋_GB2312" w:cs="仿宋_GB2312"/>
                <w:i w:val="0"/>
                <w:color w:val="auto"/>
                <w:kern w:val="0"/>
                <w:sz w:val="13"/>
                <w:szCs w:val="13"/>
                <w:highlight w:val="none"/>
                <w:u w:val="none"/>
                <w:lang w:val="en-US" w:eastAsia="zh-CN" w:bidi="ar"/>
              </w:rPr>
            </w:pPr>
          </w:p>
        </w:tc>
        <w:tc>
          <w:tcPr>
            <w:tcW w:w="1550" w:type="dxa"/>
            <w:vMerge w:val="continue"/>
            <w:tcBorders>
              <w:tl2br w:val="nil"/>
              <w:tr2bl w:val="nil"/>
            </w:tcBorders>
            <w:vAlign w:val="center"/>
          </w:tcPr>
          <w:p w14:paraId="7EAE411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hint="eastAsia" w:ascii="仿宋_GB2312" w:hAnsi="宋体" w:eastAsia="仿宋_GB2312" w:cs="仿宋_GB2312"/>
                <w:i w:val="0"/>
                <w:color w:val="auto"/>
                <w:kern w:val="0"/>
                <w:sz w:val="13"/>
                <w:szCs w:val="13"/>
                <w:highlight w:val="none"/>
                <w:u w:val="none"/>
                <w:lang w:val="en-US" w:eastAsia="zh-CN" w:bidi="ar"/>
              </w:rPr>
            </w:pPr>
          </w:p>
        </w:tc>
        <w:tc>
          <w:tcPr>
            <w:tcW w:w="4820" w:type="dxa"/>
            <w:vMerge w:val="continue"/>
            <w:tcBorders>
              <w:tl2br w:val="nil"/>
              <w:tr2bl w:val="nil"/>
            </w:tcBorders>
            <w:vAlign w:val="center"/>
          </w:tcPr>
          <w:p w14:paraId="3425D55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hint="eastAsia" w:ascii="仿宋_GB2312" w:hAnsi="宋体" w:eastAsia="仿宋_GB2312" w:cs="仿宋_GB2312"/>
                <w:i w:val="0"/>
                <w:color w:val="auto"/>
                <w:kern w:val="0"/>
                <w:sz w:val="13"/>
                <w:szCs w:val="13"/>
                <w:highlight w:val="none"/>
                <w:u w:val="none"/>
                <w:lang w:val="en-US" w:eastAsia="zh-CN" w:bidi="ar"/>
              </w:rPr>
            </w:pPr>
          </w:p>
        </w:tc>
        <w:tc>
          <w:tcPr>
            <w:tcW w:w="823" w:type="dxa"/>
            <w:tcBorders>
              <w:tl2br w:val="nil"/>
              <w:tr2bl w:val="nil"/>
            </w:tcBorders>
            <w:vAlign w:val="center"/>
          </w:tcPr>
          <w:p w14:paraId="23E3BD3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hint="eastAsia" w:ascii="仿宋_GB2312" w:hAnsi="宋体" w:eastAsia="仿宋_GB2312"/>
                <w:color w:val="auto"/>
                <w:kern w:val="0"/>
                <w:sz w:val="13"/>
                <w:szCs w:val="13"/>
                <w:highlight w:val="none"/>
                <w:lang w:val="en-US" w:eastAsia="zh-CN"/>
              </w:rPr>
            </w:pPr>
            <w:r>
              <w:rPr>
                <w:rFonts w:hint="eastAsia" w:ascii="仿宋_GB2312" w:hAnsi="宋体" w:eastAsia="仿宋_GB2312"/>
                <w:color w:val="auto"/>
                <w:kern w:val="0"/>
                <w:sz w:val="13"/>
                <w:szCs w:val="13"/>
                <w:highlight w:val="none"/>
              </w:rPr>
              <w:t>一般情形</w:t>
            </w:r>
          </w:p>
        </w:tc>
        <w:tc>
          <w:tcPr>
            <w:tcW w:w="3437" w:type="dxa"/>
            <w:gridSpan w:val="2"/>
            <w:tcBorders>
              <w:tl2br w:val="nil"/>
              <w:tr2bl w:val="nil"/>
            </w:tcBorders>
            <w:vAlign w:val="center"/>
          </w:tcPr>
          <w:p w14:paraId="380456D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hint="eastAsia" w:ascii="仿宋_GB2312" w:hAnsi="宋体" w:eastAsia="仿宋_GB2312"/>
                <w:color w:val="auto"/>
                <w:kern w:val="0"/>
                <w:sz w:val="13"/>
                <w:szCs w:val="13"/>
                <w:highlight w:val="none"/>
                <w:lang w:val="en-US" w:eastAsia="zh-CN"/>
              </w:rPr>
            </w:pPr>
            <w:r>
              <w:rPr>
                <w:rFonts w:hint="eastAsia" w:ascii="仿宋_GB2312" w:hAnsi="宋体" w:eastAsia="仿宋_GB2312"/>
                <w:color w:val="auto"/>
                <w:kern w:val="0"/>
                <w:sz w:val="13"/>
                <w:szCs w:val="13"/>
                <w:highlight w:val="none"/>
              </w:rPr>
              <w:t>造成一般危害后果的。</w:t>
            </w:r>
          </w:p>
        </w:tc>
        <w:tc>
          <w:tcPr>
            <w:tcW w:w="3058" w:type="dxa"/>
            <w:tcBorders>
              <w:tl2br w:val="nil"/>
              <w:tr2bl w:val="nil"/>
            </w:tcBorders>
            <w:vAlign w:val="center"/>
          </w:tcPr>
          <w:p w14:paraId="390F3CA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hint="eastAsia" w:ascii="仿宋_GB2312" w:hAnsi="宋体" w:eastAsia="仿宋_GB2312"/>
                <w:color w:val="auto"/>
                <w:kern w:val="0"/>
                <w:sz w:val="13"/>
                <w:szCs w:val="13"/>
                <w:highlight w:val="none"/>
                <w:lang w:val="en-US" w:eastAsia="zh-CN"/>
              </w:rPr>
            </w:pPr>
            <w:r>
              <w:rPr>
                <w:rFonts w:hint="eastAsia" w:ascii="仿宋_GB2312" w:hAnsi="宋体" w:eastAsia="仿宋_GB2312"/>
                <w:color w:val="auto"/>
                <w:kern w:val="0"/>
                <w:sz w:val="13"/>
                <w:szCs w:val="13"/>
                <w:highlight w:val="none"/>
              </w:rPr>
              <w:t>处10万元以上15万元以下罚款，对单位直接负责的主管人员和其他直接责任人员处1万元以上2万元以下的罚款。</w:t>
            </w:r>
          </w:p>
        </w:tc>
      </w:tr>
      <w:tr w14:paraId="3972E54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02" w:hRule="atLeast"/>
          <w:jc w:val="center"/>
        </w:trPr>
        <w:tc>
          <w:tcPr>
            <w:tcW w:w="443" w:type="dxa"/>
            <w:gridSpan w:val="2"/>
            <w:vMerge w:val="continue"/>
            <w:tcBorders>
              <w:tl2br w:val="nil"/>
              <w:tr2bl w:val="nil"/>
            </w:tcBorders>
            <w:vAlign w:val="center"/>
          </w:tcPr>
          <w:p w14:paraId="7742C60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hint="eastAsia" w:ascii="仿宋_GB2312" w:hAnsi="宋体" w:eastAsia="仿宋_GB2312" w:cs="仿宋_GB2312"/>
                <w:i w:val="0"/>
                <w:color w:val="auto"/>
                <w:kern w:val="0"/>
                <w:sz w:val="13"/>
                <w:szCs w:val="13"/>
                <w:highlight w:val="none"/>
                <w:u w:val="none"/>
                <w:lang w:val="en-US" w:eastAsia="zh-CN" w:bidi="ar"/>
              </w:rPr>
            </w:pPr>
          </w:p>
        </w:tc>
        <w:tc>
          <w:tcPr>
            <w:tcW w:w="1550" w:type="dxa"/>
            <w:vMerge w:val="continue"/>
            <w:tcBorders>
              <w:tl2br w:val="nil"/>
              <w:tr2bl w:val="nil"/>
            </w:tcBorders>
            <w:vAlign w:val="center"/>
          </w:tcPr>
          <w:p w14:paraId="23F242F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hint="eastAsia" w:ascii="仿宋_GB2312" w:hAnsi="宋体" w:eastAsia="仿宋_GB2312" w:cs="仿宋_GB2312"/>
                <w:i w:val="0"/>
                <w:color w:val="auto"/>
                <w:kern w:val="0"/>
                <w:sz w:val="13"/>
                <w:szCs w:val="13"/>
                <w:highlight w:val="none"/>
                <w:u w:val="none"/>
                <w:lang w:val="en-US" w:eastAsia="zh-CN" w:bidi="ar"/>
              </w:rPr>
            </w:pPr>
          </w:p>
        </w:tc>
        <w:tc>
          <w:tcPr>
            <w:tcW w:w="4820" w:type="dxa"/>
            <w:vMerge w:val="continue"/>
            <w:tcBorders>
              <w:tl2br w:val="nil"/>
              <w:tr2bl w:val="nil"/>
            </w:tcBorders>
            <w:vAlign w:val="center"/>
          </w:tcPr>
          <w:p w14:paraId="3AD62EF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hint="eastAsia" w:ascii="仿宋_GB2312" w:hAnsi="宋体" w:eastAsia="仿宋_GB2312" w:cs="仿宋_GB2312"/>
                <w:i w:val="0"/>
                <w:color w:val="auto"/>
                <w:kern w:val="0"/>
                <w:sz w:val="13"/>
                <w:szCs w:val="13"/>
                <w:highlight w:val="none"/>
                <w:u w:val="none"/>
                <w:lang w:val="en-US" w:eastAsia="zh-CN" w:bidi="ar"/>
              </w:rPr>
            </w:pPr>
          </w:p>
        </w:tc>
        <w:tc>
          <w:tcPr>
            <w:tcW w:w="823" w:type="dxa"/>
            <w:tcBorders>
              <w:tl2br w:val="nil"/>
              <w:tr2bl w:val="nil"/>
            </w:tcBorders>
            <w:vAlign w:val="center"/>
          </w:tcPr>
          <w:p w14:paraId="4DCB44E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hint="eastAsia" w:ascii="仿宋_GB2312" w:hAnsi="宋体" w:eastAsia="仿宋_GB2312"/>
                <w:color w:val="auto"/>
                <w:kern w:val="0"/>
                <w:sz w:val="13"/>
                <w:szCs w:val="13"/>
                <w:highlight w:val="none"/>
                <w:lang w:val="en-US" w:eastAsia="zh-CN"/>
              </w:rPr>
            </w:pPr>
            <w:r>
              <w:rPr>
                <w:rFonts w:hint="eastAsia" w:ascii="仿宋_GB2312" w:hAnsi="宋体" w:eastAsia="仿宋_GB2312"/>
                <w:color w:val="auto"/>
                <w:kern w:val="0"/>
                <w:sz w:val="13"/>
                <w:szCs w:val="13"/>
                <w:highlight w:val="none"/>
              </w:rPr>
              <w:t>从重情形</w:t>
            </w:r>
          </w:p>
        </w:tc>
        <w:tc>
          <w:tcPr>
            <w:tcW w:w="3437" w:type="dxa"/>
            <w:gridSpan w:val="2"/>
            <w:tcBorders>
              <w:tl2br w:val="nil"/>
              <w:tr2bl w:val="nil"/>
            </w:tcBorders>
            <w:vAlign w:val="center"/>
          </w:tcPr>
          <w:p w14:paraId="3313C20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hint="eastAsia" w:ascii="仿宋_GB2312" w:hAnsi="宋体" w:eastAsia="仿宋_GB2312"/>
                <w:color w:val="auto"/>
                <w:kern w:val="0"/>
                <w:sz w:val="13"/>
                <w:szCs w:val="13"/>
                <w:highlight w:val="none"/>
              </w:rPr>
            </w:pPr>
          </w:p>
          <w:p w14:paraId="179EA45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hint="eastAsia" w:ascii="仿宋_GB2312" w:hAnsi="宋体" w:eastAsia="仿宋_GB2312"/>
                <w:color w:val="auto"/>
                <w:kern w:val="0"/>
                <w:sz w:val="13"/>
                <w:szCs w:val="13"/>
                <w:highlight w:val="none"/>
                <w:lang w:val="en-US" w:eastAsia="zh-CN"/>
              </w:rPr>
            </w:pPr>
            <w:r>
              <w:rPr>
                <w:rFonts w:hint="eastAsia" w:ascii="仿宋_GB2312" w:hAnsi="宋体" w:eastAsia="仿宋_GB2312"/>
                <w:color w:val="auto"/>
                <w:kern w:val="0"/>
                <w:sz w:val="13"/>
                <w:szCs w:val="13"/>
                <w:highlight w:val="none"/>
              </w:rPr>
              <w:t>造成严重危害后果的。</w:t>
            </w:r>
          </w:p>
        </w:tc>
        <w:tc>
          <w:tcPr>
            <w:tcW w:w="3058" w:type="dxa"/>
            <w:tcBorders>
              <w:tl2br w:val="nil"/>
              <w:tr2bl w:val="nil"/>
            </w:tcBorders>
            <w:vAlign w:val="center"/>
          </w:tcPr>
          <w:p w14:paraId="4BADCF3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hint="eastAsia" w:ascii="仿宋_GB2312" w:hAnsi="宋体" w:eastAsia="仿宋_GB2312"/>
                <w:color w:val="auto"/>
                <w:kern w:val="0"/>
                <w:sz w:val="13"/>
                <w:szCs w:val="13"/>
                <w:highlight w:val="none"/>
                <w:lang w:val="en-US" w:eastAsia="zh-CN"/>
              </w:rPr>
            </w:pPr>
            <w:r>
              <w:rPr>
                <w:rFonts w:hint="eastAsia" w:ascii="仿宋_GB2312" w:hAnsi="宋体" w:eastAsia="仿宋_GB2312"/>
                <w:color w:val="auto"/>
                <w:kern w:val="0"/>
                <w:sz w:val="13"/>
                <w:szCs w:val="13"/>
                <w:highlight w:val="none"/>
              </w:rPr>
              <w:t>处15万元以上20万元以下罚款，对单位直接负责的主管人员和其他直接责任人员处2万元以上3万元以下的罚款。</w:t>
            </w:r>
          </w:p>
        </w:tc>
      </w:tr>
      <w:tr w14:paraId="3716AF0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16" w:hRule="atLeast"/>
          <w:jc w:val="center"/>
        </w:trPr>
        <w:tc>
          <w:tcPr>
            <w:tcW w:w="443" w:type="dxa"/>
            <w:gridSpan w:val="2"/>
            <w:vMerge w:val="restart"/>
            <w:tcBorders>
              <w:tl2br w:val="nil"/>
              <w:tr2bl w:val="nil"/>
            </w:tcBorders>
            <w:vAlign w:val="center"/>
          </w:tcPr>
          <w:p w14:paraId="62D8F17B">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Times New Roman"/>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108</w:t>
            </w:r>
          </w:p>
        </w:tc>
        <w:tc>
          <w:tcPr>
            <w:tcW w:w="1550" w:type="dxa"/>
            <w:vMerge w:val="restart"/>
            <w:tcBorders>
              <w:tl2br w:val="nil"/>
              <w:tr2bl w:val="nil"/>
            </w:tcBorders>
            <w:vAlign w:val="center"/>
          </w:tcPr>
          <w:p w14:paraId="6002C7A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ascii="仿宋_GB2312" w:hAnsi="宋体" w:eastAsia="仿宋_GB2312"/>
                <w:color w:val="auto"/>
                <w:kern w:val="0"/>
                <w:sz w:val="13"/>
                <w:szCs w:val="13"/>
                <w:highlight w:val="none"/>
              </w:rPr>
              <w:t>未取得施工许可证或者为规避办理施工许可证将工程项目分解后擅自施工</w:t>
            </w:r>
          </w:p>
        </w:tc>
        <w:tc>
          <w:tcPr>
            <w:tcW w:w="4820" w:type="dxa"/>
            <w:vMerge w:val="restart"/>
            <w:tcBorders>
              <w:tl2br w:val="nil"/>
              <w:tr2bl w:val="nil"/>
            </w:tcBorders>
            <w:vAlign w:val="center"/>
          </w:tcPr>
          <w:p w14:paraId="0FA94142">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《建筑工程施工许可管理办法》</w:t>
            </w:r>
          </w:p>
          <w:p w14:paraId="0653AB52">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r>
              <w:rPr>
                <w:rFonts w:ascii="仿宋_GB2312" w:hAnsi="宋体" w:eastAsia="仿宋_GB2312"/>
                <w:color w:val="auto"/>
                <w:kern w:val="0"/>
                <w:sz w:val="13"/>
                <w:szCs w:val="13"/>
                <w:highlight w:val="none"/>
              </w:rPr>
              <w:t>第十二条对于未取得施工许可证或者为规避办理施工许可证将工程项目分解后擅自施工的，由有管辖权的发证机关责令停止施工，限期改正，对建设单位处工程合同价款1%以上2%以下罚款</w:t>
            </w:r>
            <w:r>
              <w:rPr>
                <w:rFonts w:hint="eastAsia" w:ascii="仿宋_GB2312" w:hAnsi="宋体" w:eastAsia="仿宋_GB2312"/>
                <w:color w:val="auto"/>
                <w:kern w:val="0"/>
                <w:sz w:val="13"/>
                <w:szCs w:val="13"/>
                <w:highlight w:val="none"/>
              </w:rPr>
              <w:t>；</w:t>
            </w:r>
            <w:r>
              <w:rPr>
                <w:rFonts w:ascii="仿宋_GB2312" w:hAnsi="宋体" w:eastAsia="仿宋_GB2312"/>
                <w:color w:val="auto"/>
                <w:kern w:val="0"/>
                <w:sz w:val="13"/>
                <w:szCs w:val="13"/>
                <w:highlight w:val="none"/>
              </w:rPr>
              <w:t>对施工单位处3万元以下罚款。</w:t>
            </w:r>
          </w:p>
          <w:p w14:paraId="0E42B928">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10"/>
              <w:jc w:val="left"/>
              <w:rPr>
                <w:rFonts w:ascii="仿宋_GB2312" w:hAnsi="宋体" w:eastAsia="仿宋_GB2312"/>
                <w:color w:val="auto"/>
                <w:kern w:val="0"/>
                <w:sz w:val="13"/>
                <w:szCs w:val="13"/>
                <w:highlight w:val="none"/>
              </w:rPr>
            </w:pPr>
          </w:p>
          <w:p w14:paraId="69A0F41A">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《建筑工程施工许可管理办法》</w:t>
            </w:r>
          </w:p>
          <w:p w14:paraId="2A9178B5">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r>
              <w:rPr>
                <w:rFonts w:ascii="仿宋_GB2312" w:hAnsi="宋体" w:eastAsia="仿宋_GB2312"/>
                <w:color w:val="auto"/>
                <w:kern w:val="0"/>
                <w:sz w:val="13"/>
                <w:szCs w:val="13"/>
                <w:highlight w:val="none"/>
              </w:rPr>
              <w:t>第十五条依照本办法规定，给予单位罚款处罚的，对单位直接负责的主管人员和其他直接责任人员处单位罚款数额5%以上10%以下罚款。</w:t>
            </w:r>
          </w:p>
          <w:p w14:paraId="74AD32DC">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r>
              <w:rPr>
                <w:rFonts w:ascii="仿宋_GB2312" w:hAnsi="宋体" w:eastAsia="仿宋_GB2312"/>
                <w:color w:val="auto"/>
                <w:kern w:val="0"/>
                <w:sz w:val="13"/>
                <w:szCs w:val="13"/>
                <w:highlight w:val="none"/>
              </w:rPr>
              <w:t>单位及相关责任人受到处罚的，作为不良行为记录予以通报。</w:t>
            </w:r>
          </w:p>
        </w:tc>
        <w:tc>
          <w:tcPr>
            <w:tcW w:w="823" w:type="dxa"/>
            <w:tcBorders>
              <w:tl2br w:val="nil"/>
              <w:tr2bl w:val="nil"/>
            </w:tcBorders>
            <w:vAlign w:val="center"/>
          </w:tcPr>
          <w:p w14:paraId="1DF8275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vAlign w:val="center"/>
          </w:tcPr>
          <w:p w14:paraId="5EF274A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初次违法，危害后果轻微，主动采取措施消除或减轻违法行为危害后果。</w:t>
            </w:r>
          </w:p>
        </w:tc>
        <w:tc>
          <w:tcPr>
            <w:tcW w:w="3058" w:type="dxa"/>
            <w:tcBorders>
              <w:tl2br w:val="nil"/>
              <w:tr2bl w:val="nil"/>
            </w:tcBorders>
            <w:vAlign w:val="center"/>
          </w:tcPr>
          <w:p w14:paraId="027D1B7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限期改正，</w:t>
            </w:r>
            <w:r>
              <w:rPr>
                <w:rFonts w:ascii="仿宋_GB2312" w:hAnsi="宋体" w:eastAsia="仿宋_GB2312"/>
                <w:color w:val="auto"/>
                <w:kern w:val="0"/>
                <w:sz w:val="13"/>
                <w:szCs w:val="13"/>
                <w:highlight w:val="none"/>
              </w:rPr>
              <w:t>对建设单位处工程合同价款</w:t>
            </w:r>
            <w:r>
              <w:rPr>
                <w:rFonts w:hint="eastAsia" w:ascii="仿宋_GB2312" w:hAnsi="宋体" w:eastAsia="仿宋_GB2312"/>
                <w:color w:val="auto"/>
                <w:kern w:val="0"/>
                <w:sz w:val="13"/>
                <w:szCs w:val="13"/>
                <w:highlight w:val="none"/>
              </w:rPr>
              <w:t>百分之一</w:t>
            </w:r>
            <w:r>
              <w:rPr>
                <w:rFonts w:ascii="仿宋_GB2312" w:hAnsi="宋体" w:eastAsia="仿宋_GB2312"/>
                <w:color w:val="auto"/>
                <w:kern w:val="0"/>
                <w:sz w:val="13"/>
                <w:szCs w:val="13"/>
                <w:highlight w:val="none"/>
              </w:rPr>
              <w:t>以上</w:t>
            </w:r>
            <w:r>
              <w:rPr>
                <w:rFonts w:hint="eastAsia" w:ascii="仿宋_GB2312" w:hAnsi="宋体" w:eastAsia="仿宋_GB2312"/>
                <w:color w:val="auto"/>
                <w:kern w:val="0"/>
                <w:sz w:val="13"/>
                <w:szCs w:val="13"/>
                <w:highlight w:val="none"/>
              </w:rPr>
              <w:t>百分之一点二</w:t>
            </w:r>
            <w:r>
              <w:rPr>
                <w:rFonts w:ascii="仿宋_GB2312" w:hAnsi="宋体" w:eastAsia="仿宋_GB2312"/>
                <w:color w:val="auto"/>
                <w:kern w:val="0"/>
                <w:sz w:val="13"/>
                <w:szCs w:val="13"/>
                <w:highlight w:val="none"/>
              </w:rPr>
              <w:t>以下罚款</w:t>
            </w:r>
            <w:r>
              <w:rPr>
                <w:rFonts w:hint="eastAsia" w:ascii="仿宋_GB2312" w:hAnsi="宋体" w:eastAsia="仿宋_GB2312"/>
                <w:color w:val="auto"/>
                <w:kern w:val="0"/>
                <w:sz w:val="13"/>
                <w:szCs w:val="13"/>
                <w:highlight w:val="none"/>
              </w:rPr>
              <w:t>；</w:t>
            </w:r>
            <w:r>
              <w:rPr>
                <w:rFonts w:ascii="仿宋_GB2312" w:hAnsi="宋体" w:eastAsia="仿宋_GB2312"/>
                <w:color w:val="auto"/>
                <w:kern w:val="0"/>
                <w:sz w:val="13"/>
                <w:szCs w:val="13"/>
                <w:highlight w:val="none"/>
              </w:rPr>
              <w:t>对施工单位处</w:t>
            </w:r>
            <w:r>
              <w:rPr>
                <w:rFonts w:hint="eastAsia" w:ascii="仿宋_GB2312" w:hAnsi="宋体" w:eastAsia="仿宋_GB2312"/>
                <w:color w:val="auto"/>
                <w:kern w:val="0"/>
                <w:sz w:val="13"/>
                <w:szCs w:val="13"/>
                <w:highlight w:val="none"/>
              </w:rPr>
              <w:t>1</w:t>
            </w:r>
            <w:r>
              <w:rPr>
                <w:rFonts w:ascii="仿宋_GB2312" w:hAnsi="宋体" w:eastAsia="仿宋_GB2312"/>
                <w:color w:val="auto"/>
                <w:kern w:val="0"/>
                <w:sz w:val="13"/>
                <w:szCs w:val="13"/>
                <w:highlight w:val="none"/>
              </w:rPr>
              <w:t>万元以</w:t>
            </w:r>
            <w:r>
              <w:rPr>
                <w:rFonts w:hint="eastAsia" w:ascii="仿宋_GB2312" w:hAnsi="宋体" w:eastAsia="仿宋_GB2312"/>
                <w:color w:val="auto"/>
                <w:kern w:val="0"/>
                <w:sz w:val="13"/>
                <w:szCs w:val="13"/>
                <w:highlight w:val="none"/>
              </w:rPr>
              <w:t>上1.5</w:t>
            </w:r>
            <w:r>
              <w:rPr>
                <w:rFonts w:ascii="仿宋_GB2312" w:hAnsi="宋体" w:eastAsia="仿宋_GB2312"/>
                <w:color w:val="auto"/>
                <w:kern w:val="0"/>
                <w:sz w:val="13"/>
                <w:szCs w:val="13"/>
                <w:highlight w:val="none"/>
              </w:rPr>
              <w:t>万元以下罚款罚款。对单位直接负责的主管人员和其他直接责任人员处单位罚款数额</w:t>
            </w:r>
            <w:r>
              <w:rPr>
                <w:rFonts w:hint="eastAsia" w:ascii="仿宋_GB2312" w:hAnsi="宋体" w:eastAsia="仿宋_GB2312"/>
                <w:color w:val="auto"/>
                <w:kern w:val="0"/>
                <w:sz w:val="13"/>
                <w:szCs w:val="13"/>
                <w:highlight w:val="none"/>
              </w:rPr>
              <w:t>百分之五</w:t>
            </w:r>
            <w:r>
              <w:rPr>
                <w:rFonts w:ascii="仿宋_GB2312" w:hAnsi="宋体" w:eastAsia="仿宋_GB2312"/>
                <w:color w:val="auto"/>
                <w:kern w:val="0"/>
                <w:sz w:val="13"/>
                <w:szCs w:val="13"/>
                <w:highlight w:val="none"/>
              </w:rPr>
              <w:t>以上</w:t>
            </w:r>
            <w:r>
              <w:rPr>
                <w:rFonts w:hint="eastAsia" w:ascii="仿宋_GB2312" w:hAnsi="宋体" w:eastAsia="仿宋_GB2312"/>
                <w:color w:val="auto"/>
                <w:kern w:val="0"/>
                <w:sz w:val="13"/>
                <w:szCs w:val="13"/>
                <w:highlight w:val="none"/>
              </w:rPr>
              <w:t>百分之六</w:t>
            </w:r>
            <w:r>
              <w:rPr>
                <w:rFonts w:ascii="仿宋_GB2312" w:hAnsi="宋体" w:eastAsia="仿宋_GB2312"/>
                <w:color w:val="auto"/>
                <w:kern w:val="0"/>
                <w:sz w:val="13"/>
                <w:szCs w:val="13"/>
                <w:highlight w:val="none"/>
              </w:rPr>
              <w:t>以下罚款</w:t>
            </w:r>
            <w:r>
              <w:rPr>
                <w:rFonts w:hint="eastAsia" w:ascii="仿宋_GB2312" w:hAnsi="宋体" w:eastAsia="仿宋_GB2312"/>
                <w:color w:val="auto"/>
                <w:kern w:val="0"/>
                <w:sz w:val="13"/>
                <w:szCs w:val="13"/>
                <w:highlight w:val="none"/>
              </w:rPr>
              <w:t>。</w:t>
            </w:r>
          </w:p>
        </w:tc>
      </w:tr>
      <w:tr w14:paraId="6A52BFD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16" w:hRule="atLeast"/>
          <w:jc w:val="center"/>
        </w:trPr>
        <w:tc>
          <w:tcPr>
            <w:tcW w:w="443" w:type="dxa"/>
            <w:gridSpan w:val="2"/>
            <w:vMerge w:val="continue"/>
            <w:tcBorders>
              <w:tl2br w:val="nil"/>
              <w:tr2bl w:val="nil"/>
            </w:tcBorders>
            <w:vAlign w:val="center"/>
          </w:tcPr>
          <w:p w14:paraId="3DCB061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598427F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vAlign w:val="center"/>
          </w:tcPr>
          <w:p w14:paraId="74E0E86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tcBorders>
              <w:tl2br w:val="nil"/>
              <w:tr2bl w:val="nil"/>
            </w:tcBorders>
            <w:vAlign w:val="center"/>
          </w:tcPr>
          <w:p w14:paraId="1DFB305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一般情节</w:t>
            </w:r>
          </w:p>
        </w:tc>
        <w:tc>
          <w:tcPr>
            <w:tcW w:w="3437" w:type="dxa"/>
            <w:gridSpan w:val="2"/>
            <w:tcBorders>
              <w:tl2br w:val="nil"/>
              <w:tr2bl w:val="nil"/>
            </w:tcBorders>
            <w:vAlign w:val="center"/>
          </w:tcPr>
          <w:p w14:paraId="0DCFDBF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非初次违法，造成一般危害后果的。</w:t>
            </w:r>
          </w:p>
        </w:tc>
        <w:tc>
          <w:tcPr>
            <w:tcW w:w="3058" w:type="dxa"/>
            <w:tcBorders>
              <w:tl2br w:val="nil"/>
              <w:tr2bl w:val="nil"/>
            </w:tcBorders>
            <w:vAlign w:val="center"/>
          </w:tcPr>
          <w:p w14:paraId="0281561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限期改正，</w:t>
            </w:r>
            <w:r>
              <w:rPr>
                <w:rFonts w:ascii="仿宋_GB2312" w:hAnsi="宋体" w:eastAsia="仿宋_GB2312"/>
                <w:color w:val="auto"/>
                <w:kern w:val="0"/>
                <w:sz w:val="13"/>
                <w:szCs w:val="13"/>
                <w:highlight w:val="none"/>
              </w:rPr>
              <w:t>对建设单位处工程合同价款</w:t>
            </w:r>
            <w:r>
              <w:rPr>
                <w:rFonts w:hint="eastAsia" w:ascii="仿宋_GB2312" w:hAnsi="宋体" w:eastAsia="仿宋_GB2312"/>
                <w:color w:val="auto"/>
                <w:kern w:val="0"/>
                <w:sz w:val="13"/>
                <w:szCs w:val="13"/>
                <w:highlight w:val="none"/>
              </w:rPr>
              <w:t>百分之一点二</w:t>
            </w:r>
            <w:r>
              <w:rPr>
                <w:rFonts w:ascii="仿宋_GB2312" w:hAnsi="宋体" w:eastAsia="仿宋_GB2312"/>
                <w:color w:val="auto"/>
                <w:kern w:val="0"/>
                <w:sz w:val="13"/>
                <w:szCs w:val="13"/>
                <w:highlight w:val="none"/>
              </w:rPr>
              <w:t>以上</w:t>
            </w:r>
            <w:r>
              <w:rPr>
                <w:rFonts w:hint="eastAsia" w:ascii="仿宋_GB2312" w:hAnsi="宋体" w:eastAsia="仿宋_GB2312"/>
                <w:color w:val="auto"/>
                <w:kern w:val="0"/>
                <w:sz w:val="13"/>
                <w:szCs w:val="13"/>
                <w:highlight w:val="none"/>
              </w:rPr>
              <w:t>百分之一点七</w:t>
            </w:r>
            <w:r>
              <w:rPr>
                <w:rFonts w:ascii="仿宋_GB2312" w:hAnsi="宋体" w:eastAsia="仿宋_GB2312"/>
                <w:color w:val="auto"/>
                <w:kern w:val="0"/>
                <w:sz w:val="13"/>
                <w:szCs w:val="13"/>
                <w:highlight w:val="none"/>
              </w:rPr>
              <w:t>以下罚款</w:t>
            </w:r>
            <w:r>
              <w:rPr>
                <w:rFonts w:hint="eastAsia" w:ascii="仿宋_GB2312" w:hAnsi="宋体" w:eastAsia="仿宋_GB2312"/>
                <w:color w:val="auto"/>
                <w:kern w:val="0"/>
                <w:sz w:val="13"/>
                <w:szCs w:val="13"/>
                <w:highlight w:val="none"/>
              </w:rPr>
              <w:t>；</w:t>
            </w:r>
            <w:r>
              <w:rPr>
                <w:rFonts w:ascii="仿宋_GB2312" w:hAnsi="宋体" w:eastAsia="仿宋_GB2312"/>
                <w:color w:val="auto"/>
                <w:kern w:val="0"/>
                <w:sz w:val="13"/>
                <w:szCs w:val="13"/>
                <w:highlight w:val="none"/>
              </w:rPr>
              <w:t>对施工单位处</w:t>
            </w:r>
            <w:r>
              <w:rPr>
                <w:rFonts w:hint="eastAsia" w:ascii="仿宋_GB2312" w:hAnsi="宋体" w:eastAsia="仿宋_GB2312"/>
                <w:color w:val="auto"/>
                <w:kern w:val="0"/>
                <w:sz w:val="13"/>
                <w:szCs w:val="13"/>
                <w:highlight w:val="none"/>
              </w:rPr>
              <w:t>1.5</w:t>
            </w:r>
            <w:r>
              <w:rPr>
                <w:rFonts w:ascii="仿宋_GB2312" w:hAnsi="宋体" w:eastAsia="仿宋_GB2312"/>
                <w:color w:val="auto"/>
                <w:kern w:val="0"/>
                <w:sz w:val="13"/>
                <w:szCs w:val="13"/>
                <w:highlight w:val="none"/>
              </w:rPr>
              <w:t>万元以</w:t>
            </w:r>
            <w:r>
              <w:rPr>
                <w:rFonts w:hint="eastAsia" w:ascii="仿宋_GB2312" w:hAnsi="宋体" w:eastAsia="仿宋_GB2312"/>
                <w:color w:val="auto"/>
                <w:kern w:val="0"/>
                <w:sz w:val="13"/>
                <w:szCs w:val="13"/>
                <w:highlight w:val="none"/>
              </w:rPr>
              <w:t>上2</w:t>
            </w:r>
            <w:r>
              <w:rPr>
                <w:rFonts w:ascii="仿宋_GB2312" w:hAnsi="宋体" w:eastAsia="仿宋_GB2312"/>
                <w:color w:val="auto"/>
                <w:kern w:val="0"/>
                <w:sz w:val="13"/>
                <w:szCs w:val="13"/>
                <w:highlight w:val="none"/>
              </w:rPr>
              <w:t>万元以下罚款罚款。对单位直接负责的主管人员和其他直接责任人员处单位罚款数额</w:t>
            </w:r>
            <w:r>
              <w:rPr>
                <w:rFonts w:hint="eastAsia" w:ascii="仿宋_GB2312" w:hAnsi="宋体" w:eastAsia="仿宋_GB2312"/>
                <w:color w:val="auto"/>
                <w:kern w:val="0"/>
                <w:sz w:val="13"/>
                <w:szCs w:val="13"/>
                <w:highlight w:val="none"/>
              </w:rPr>
              <w:t>百分之六</w:t>
            </w:r>
            <w:r>
              <w:rPr>
                <w:rFonts w:ascii="仿宋_GB2312" w:hAnsi="宋体" w:eastAsia="仿宋_GB2312"/>
                <w:color w:val="auto"/>
                <w:kern w:val="0"/>
                <w:sz w:val="13"/>
                <w:szCs w:val="13"/>
                <w:highlight w:val="none"/>
              </w:rPr>
              <w:t>以上</w:t>
            </w:r>
            <w:r>
              <w:rPr>
                <w:rFonts w:hint="eastAsia" w:ascii="仿宋_GB2312" w:hAnsi="宋体" w:eastAsia="仿宋_GB2312"/>
                <w:color w:val="auto"/>
                <w:kern w:val="0"/>
                <w:sz w:val="13"/>
                <w:szCs w:val="13"/>
                <w:highlight w:val="none"/>
              </w:rPr>
              <w:t>百分之八点五</w:t>
            </w:r>
            <w:r>
              <w:rPr>
                <w:rFonts w:ascii="仿宋_GB2312" w:hAnsi="宋体" w:eastAsia="仿宋_GB2312"/>
                <w:color w:val="auto"/>
                <w:kern w:val="0"/>
                <w:sz w:val="13"/>
                <w:szCs w:val="13"/>
                <w:highlight w:val="none"/>
              </w:rPr>
              <w:t>以下罚款</w:t>
            </w:r>
            <w:r>
              <w:rPr>
                <w:rFonts w:hint="eastAsia" w:ascii="仿宋_GB2312" w:hAnsi="宋体" w:eastAsia="仿宋_GB2312"/>
                <w:color w:val="auto"/>
                <w:kern w:val="0"/>
                <w:sz w:val="13"/>
                <w:szCs w:val="13"/>
                <w:highlight w:val="none"/>
              </w:rPr>
              <w:t>。</w:t>
            </w:r>
          </w:p>
        </w:tc>
      </w:tr>
      <w:tr w14:paraId="648612D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16" w:hRule="atLeast"/>
          <w:jc w:val="center"/>
        </w:trPr>
        <w:tc>
          <w:tcPr>
            <w:tcW w:w="443" w:type="dxa"/>
            <w:gridSpan w:val="2"/>
            <w:vMerge w:val="continue"/>
            <w:tcBorders>
              <w:tl2br w:val="nil"/>
              <w:tr2bl w:val="nil"/>
            </w:tcBorders>
            <w:vAlign w:val="center"/>
          </w:tcPr>
          <w:p w14:paraId="25CF844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26EBFFA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vAlign w:val="center"/>
          </w:tcPr>
          <w:p w14:paraId="130F386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tcBorders>
              <w:tl2br w:val="nil"/>
              <w:tr2bl w:val="nil"/>
            </w:tcBorders>
            <w:vAlign w:val="center"/>
          </w:tcPr>
          <w:p w14:paraId="36CE440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从重情节</w:t>
            </w:r>
          </w:p>
        </w:tc>
        <w:tc>
          <w:tcPr>
            <w:tcW w:w="3437" w:type="dxa"/>
            <w:gridSpan w:val="2"/>
            <w:tcBorders>
              <w:tl2br w:val="nil"/>
              <w:tr2bl w:val="nil"/>
            </w:tcBorders>
            <w:vAlign w:val="center"/>
          </w:tcPr>
          <w:p w14:paraId="6B29C1A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工程项目不符合发放施工许可或开工报告条件，无法补办施工许可证或开工报告的；其他情节恶劣，或造成严重后果的违法行为。</w:t>
            </w:r>
          </w:p>
        </w:tc>
        <w:tc>
          <w:tcPr>
            <w:tcW w:w="3058" w:type="dxa"/>
            <w:tcBorders>
              <w:tl2br w:val="nil"/>
              <w:tr2bl w:val="nil"/>
            </w:tcBorders>
            <w:vAlign w:val="center"/>
          </w:tcPr>
          <w:p w14:paraId="0674E09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限期改正，</w:t>
            </w:r>
            <w:r>
              <w:rPr>
                <w:rFonts w:ascii="仿宋_GB2312" w:hAnsi="宋体" w:eastAsia="仿宋_GB2312"/>
                <w:color w:val="auto"/>
                <w:kern w:val="0"/>
                <w:sz w:val="13"/>
                <w:szCs w:val="13"/>
                <w:highlight w:val="none"/>
              </w:rPr>
              <w:t>对建设单位处工程合同价款</w:t>
            </w:r>
            <w:r>
              <w:rPr>
                <w:rFonts w:hint="eastAsia" w:ascii="仿宋_GB2312" w:hAnsi="宋体" w:eastAsia="仿宋_GB2312"/>
                <w:color w:val="auto"/>
                <w:kern w:val="0"/>
                <w:sz w:val="13"/>
                <w:szCs w:val="13"/>
                <w:highlight w:val="none"/>
              </w:rPr>
              <w:t>百分之一点七</w:t>
            </w:r>
            <w:r>
              <w:rPr>
                <w:rFonts w:ascii="仿宋_GB2312" w:hAnsi="宋体" w:eastAsia="仿宋_GB2312"/>
                <w:color w:val="auto"/>
                <w:kern w:val="0"/>
                <w:sz w:val="13"/>
                <w:szCs w:val="13"/>
                <w:highlight w:val="none"/>
              </w:rPr>
              <w:t>以上</w:t>
            </w:r>
            <w:r>
              <w:rPr>
                <w:rFonts w:hint="eastAsia" w:ascii="仿宋_GB2312" w:hAnsi="宋体" w:eastAsia="仿宋_GB2312"/>
                <w:color w:val="auto"/>
                <w:kern w:val="0"/>
                <w:sz w:val="13"/>
                <w:szCs w:val="13"/>
                <w:highlight w:val="none"/>
              </w:rPr>
              <w:t>百分之二</w:t>
            </w:r>
            <w:r>
              <w:rPr>
                <w:rFonts w:ascii="仿宋_GB2312" w:hAnsi="宋体" w:eastAsia="仿宋_GB2312"/>
                <w:color w:val="auto"/>
                <w:kern w:val="0"/>
                <w:sz w:val="13"/>
                <w:szCs w:val="13"/>
                <w:highlight w:val="none"/>
              </w:rPr>
              <w:t>以下罚款</w:t>
            </w:r>
            <w:r>
              <w:rPr>
                <w:rFonts w:hint="eastAsia" w:ascii="仿宋_GB2312" w:hAnsi="宋体" w:eastAsia="仿宋_GB2312"/>
                <w:color w:val="auto"/>
                <w:kern w:val="0"/>
                <w:sz w:val="13"/>
                <w:szCs w:val="13"/>
                <w:highlight w:val="none"/>
              </w:rPr>
              <w:t>；</w:t>
            </w:r>
            <w:r>
              <w:rPr>
                <w:rFonts w:ascii="仿宋_GB2312" w:hAnsi="宋体" w:eastAsia="仿宋_GB2312"/>
                <w:color w:val="auto"/>
                <w:kern w:val="0"/>
                <w:sz w:val="13"/>
                <w:szCs w:val="13"/>
                <w:highlight w:val="none"/>
              </w:rPr>
              <w:t>对施工单位处</w:t>
            </w:r>
            <w:r>
              <w:rPr>
                <w:rFonts w:hint="eastAsia" w:ascii="仿宋_GB2312" w:hAnsi="宋体" w:eastAsia="仿宋_GB2312"/>
                <w:color w:val="auto"/>
                <w:kern w:val="0"/>
                <w:sz w:val="13"/>
                <w:szCs w:val="13"/>
                <w:highlight w:val="none"/>
              </w:rPr>
              <w:t>2</w:t>
            </w:r>
            <w:r>
              <w:rPr>
                <w:rFonts w:ascii="仿宋_GB2312" w:hAnsi="宋体" w:eastAsia="仿宋_GB2312"/>
                <w:color w:val="auto"/>
                <w:kern w:val="0"/>
                <w:sz w:val="13"/>
                <w:szCs w:val="13"/>
                <w:highlight w:val="none"/>
              </w:rPr>
              <w:t>万元以</w:t>
            </w:r>
            <w:r>
              <w:rPr>
                <w:rFonts w:hint="eastAsia" w:ascii="仿宋_GB2312" w:hAnsi="宋体" w:eastAsia="仿宋_GB2312"/>
                <w:color w:val="auto"/>
                <w:kern w:val="0"/>
                <w:sz w:val="13"/>
                <w:szCs w:val="13"/>
                <w:highlight w:val="none"/>
              </w:rPr>
              <w:t>上3</w:t>
            </w:r>
            <w:r>
              <w:rPr>
                <w:rFonts w:ascii="仿宋_GB2312" w:hAnsi="宋体" w:eastAsia="仿宋_GB2312"/>
                <w:color w:val="auto"/>
                <w:kern w:val="0"/>
                <w:sz w:val="13"/>
                <w:szCs w:val="13"/>
                <w:highlight w:val="none"/>
              </w:rPr>
              <w:t>万元以下罚款。对单位直接负责的主管人员和其他直接责任人员处单位罚款数额</w:t>
            </w:r>
            <w:r>
              <w:rPr>
                <w:rFonts w:hint="eastAsia" w:ascii="仿宋_GB2312" w:hAnsi="宋体" w:eastAsia="仿宋_GB2312"/>
                <w:color w:val="auto"/>
                <w:kern w:val="0"/>
                <w:sz w:val="13"/>
                <w:szCs w:val="13"/>
                <w:highlight w:val="none"/>
              </w:rPr>
              <w:t>百分之八点五</w:t>
            </w:r>
            <w:r>
              <w:rPr>
                <w:rFonts w:ascii="仿宋_GB2312" w:hAnsi="宋体" w:eastAsia="仿宋_GB2312"/>
                <w:color w:val="auto"/>
                <w:kern w:val="0"/>
                <w:sz w:val="13"/>
                <w:szCs w:val="13"/>
                <w:highlight w:val="none"/>
              </w:rPr>
              <w:t>以上</w:t>
            </w:r>
            <w:r>
              <w:rPr>
                <w:rFonts w:hint="eastAsia" w:ascii="仿宋_GB2312" w:hAnsi="宋体" w:eastAsia="仿宋_GB2312"/>
                <w:color w:val="auto"/>
                <w:kern w:val="0"/>
                <w:sz w:val="13"/>
                <w:szCs w:val="13"/>
                <w:highlight w:val="none"/>
              </w:rPr>
              <w:t>百分之十</w:t>
            </w:r>
            <w:r>
              <w:rPr>
                <w:rFonts w:ascii="仿宋_GB2312" w:hAnsi="宋体" w:eastAsia="仿宋_GB2312"/>
                <w:color w:val="auto"/>
                <w:kern w:val="0"/>
                <w:sz w:val="13"/>
                <w:szCs w:val="13"/>
                <w:highlight w:val="none"/>
              </w:rPr>
              <w:t>以下罚款</w:t>
            </w:r>
            <w:r>
              <w:rPr>
                <w:rFonts w:hint="eastAsia" w:ascii="仿宋_GB2312" w:hAnsi="宋体" w:eastAsia="仿宋_GB2312"/>
                <w:color w:val="auto"/>
                <w:kern w:val="0"/>
                <w:sz w:val="13"/>
                <w:szCs w:val="13"/>
                <w:highlight w:val="none"/>
              </w:rPr>
              <w:t>。</w:t>
            </w:r>
          </w:p>
        </w:tc>
      </w:tr>
      <w:tr w14:paraId="05D589A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8" w:hRule="atLeast"/>
          <w:jc w:val="center"/>
        </w:trPr>
        <w:tc>
          <w:tcPr>
            <w:tcW w:w="443" w:type="dxa"/>
            <w:gridSpan w:val="2"/>
            <w:vMerge w:val="restart"/>
            <w:tcBorders>
              <w:tl2br w:val="nil"/>
              <w:tr2bl w:val="nil"/>
            </w:tcBorders>
            <w:vAlign w:val="center"/>
          </w:tcPr>
          <w:p w14:paraId="0B6E7D5E">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Times New Roman"/>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109</w:t>
            </w:r>
          </w:p>
        </w:tc>
        <w:tc>
          <w:tcPr>
            <w:tcW w:w="1550" w:type="dxa"/>
            <w:vMerge w:val="restart"/>
            <w:tcBorders>
              <w:tl2br w:val="nil"/>
              <w:tr2bl w:val="nil"/>
            </w:tcBorders>
            <w:vAlign w:val="center"/>
          </w:tcPr>
          <w:p w14:paraId="602A795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ascii="仿宋_GB2312" w:hAnsi="宋体" w:eastAsia="仿宋_GB2312"/>
                <w:color w:val="auto"/>
                <w:kern w:val="0"/>
                <w:sz w:val="13"/>
                <w:szCs w:val="13"/>
                <w:highlight w:val="none"/>
              </w:rPr>
              <w:t>建设单位采用欺骗、贿赂等不正当手段取得施工许可证</w:t>
            </w:r>
          </w:p>
        </w:tc>
        <w:tc>
          <w:tcPr>
            <w:tcW w:w="4820" w:type="dxa"/>
            <w:vMerge w:val="restart"/>
            <w:tcBorders>
              <w:tl2br w:val="nil"/>
              <w:tr2bl w:val="nil"/>
            </w:tcBorders>
            <w:vAlign w:val="center"/>
          </w:tcPr>
          <w:p w14:paraId="42C235D8">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《建筑工程施工许可管理办法》</w:t>
            </w:r>
          </w:p>
          <w:p w14:paraId="7BDD8588">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r>
              <w:rPr>
                <w:rFonts w:ascii="仿宋_GB2312" w:hAnsi="宋体" w:eastAsia="仿宋_GB2312"/>
                <w:color w:val="auto"/>
                <w:kern w:val="0"/>
                <w:sz w:val="13"/>
                <w:szCs w:val="13"/>
                <w:highlight w:val="none"/>
              </w:rPr>
              <w:t>第十三条建设单位采用欺骗、贿赂等不正当手段取得施工许可证的，由原发证机关撤销施工许可证，责令停止施工，并处1万元以上3万元以下罚款</w:t>
            </w:r>
            <w:r>
              <w:rPr>
                <w:rFonts w:hint="eastAsia" w:ascii="仿宋_GB2312" w:hAnsi="宋体" w:eastAsia="仿宋_GB2312"/>
                <w:color w:val="auto"/>
                <w:kern w:val="0"/>
                <w:sz w:val="13"/>
                <w:szCs w:val="13"/>
                <w:highlight w:val="none"/>
              </w:rPr>
              <w:t>；</w:t>
            </w:r>
            <w:r>
              <w:rPr>
                <w:rFonts w:ascii="仿宋_GB2312" w:hAnsi="宋体" w:eastAsia="仿宋_GB2312"/>
                <w:color w:val="auto"/>
                <w:kern w:val="0"/>
                <w:sz w:val="13"/>
                <w:szCs w:val="13"/>
                <w:highlight w:val="none"/>
              </w:rPr>
              <w:t>构成犯罪的，依法追究刑事责任。</w:t>
            </w:r>
          </w:p>
          <w:p w14:paraId="594055F3">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p w14:paraId="4BECB9E8">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《建筑工程施工许可管理办法》</w:t>
            </w:r>
          </w:p>
          <w:p w14:paraId="16B85420">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r>
              <w:rPr>
                <w:rFonts w:ascii="仿宋_GB2312" w:hAnsi="宋体" w:eastAsia="仿宋_GB2312"/>
                <w:color w:val="auto"/>
                <w:kern w:val="0"/>
                <w:sz w:val="13"/>
                <w:szCs w:val="13"/>
                <w:highlight w:val="none"/>
              </w:rPr>
              <w:t>第十五条依照本办法规定，给予单位罚款处罚的，对单位直接负责的主管人员和其他直接责任人员处单位罚款数额5%以上10%以下罚款。</w:t>
            </w:r>
          </w:p>
          <w:p w14:paraId="2FBE2BFB">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r>
              <w:rPr>
                <w:rFonts w:ascii="仿宋_GB2312" w:hAnsi="宋体" w:eastAsia="仿宋_GB2312"/>
                <w:color w:val="auto"/>
                <w:kern w:val="0"/>
                <w:sz w:val="13"/>
                <w:szCs w:val="13"/>
                <w:highlight w:val="none"/>
              </w:rPr>
              <w:t>单位及相关责任人受到处罚的，作为不良行为记录予以通报。</w:t>
            </w:r>
          </w:p>
        </w:tc>
        <w:tc>
          <w:tcPr>
            <w:tcW w:w="823" w:type="dxa"/>
            <w:tcBorders>
              <w:tl2br w:val="nil"/>
              <w:tr2bl w:val="nil"/>
            </w:tcBorders>
            <w:vAlign w:val="center"/>
          </w:tcPr>
          <w:p w14:paraId="0F33F96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vAlign w:val="center"/>
          </w:tcPr>
          <w:p w14:paraId="3CAE100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初次违法，危害后果轻微，主动消除或减轻违法行为危害后果的。</w:t>
            </w:r>
          </w:p>
        </w:tc>
        <w:tc>
          <w:tcPr>
            <w:tcW w:w="3058" w:type="dxa"/>
            <w:tcBorders>
              <w:tl2br w:val="nil"/>
              <w:tr2bl w:val="nil"/>
            </w:tcBorders>
            <w:vAlign w:val="center"/>
          </w:tcPr>
          <w:p w14:paraId="4739C2B7">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撤销施工许可证，责令停止施工，</w:t>
            </w:r>
            <w:r>
              <w:rPr>
                <w:rFonts w:ascii="仿宋_GB2312" w:hAnsi="宋体" w:eastAsia="仿宋_GB2312"/>
                <w:color w:val="auto"/>
                <w:kern w:val="0"/>
                <w:sz w:val="13"/>
                <w:szCs w:val="13"/>
                <w:highlight w:val="none"/>
              </w:rPr>
              <w:t>处1万元以上</w:t>
            </w:r>
            <w:r>
              <w:rPr>
                <w:rFonts w:hint="eastAsia" w:ascii="仿宋_GB2312" w:hAnsi="宋体" w:eastAsia="仿宋_GB2312"/>
                <w:color w:val="auto"/>
                <w:kern w:val="0"/>
                <w:sz w:val="13"/>
                <w:szCs w:val="13"/>
                <w:highlight w:val="none"/>
              </w:rPr>
              <w:t>1.5</w:t>
            </w:r>
            <w:r>
              <w:rPr>
                <w:rFonts w:ascii="仿宋_GB2312" w:hAnsi="宋体" w:eastAsia="仿宋_GB2312"/>
                <w:color w:val="auto"/>
                <w:kern w:val="0"/>
                <w:sz w:val="13"/>
                <w:szCs w:val="13"/>
                <w:highlight w:val="none"/>
              </w:rPr>
              <w:t>万元以下罚款</w:t>
            </w:r>
            <w:r>
              <w:rPr>
                <w:rFonts w:hint="eastAsia" w:ascii="仿宋_GB2312" w:hAnsi="宋体" w:eastAsia="仿宋_GB2312"/>
                <w:color w:val="auto"/>
                <w:kern w:val="0"/>
                <w:sz w:val="13"/>
                <w:szCs w:val="13"/>
                <w:highlight w:val="none"/>
              </w:rPr>
              <w:t>；</w:t>
            </w:r>
            <w:r>
              <w:rPr>
                <w:rFonts w:ascii="仿宋_GB2312" w:hAnsi="宋体" w:eastAsia="仿宋_GB2312"/>
                <w:color w:val="auto"/>
                <w:kern w:val="0"/>
                <w:sz w:val="13"/>
                <w:szCs w:val="13"/>
                <w:highlight w:val="none"/>
              </w:rPr>
              <w:t>对单位直接负责的主管人员和其他直接责任人员处单位罚款数额</w:t>
            </w:r>
            <w:r>
              <w:rPr>
                <w:rFonts w:hint="eastAsia" w:ascii="仿宋_GB2312" w:hAnsi="宋体" w:eastAsia="仿宋_GB2312"/>
                <w:color w:val="auto"/>
                <w:kern w:val="0"/>
                <w:sz w:val="13"/>
                <w:szCs w:val="13"/>
                <w:highlight w:val="none"/>
              </w:rPr>
              <w:t>百分之五</w:t>
            </w:r>
            <w:r>
              <w:rPr>
                <w:rFonts w:ascii="仿宋_GB2312" w:hAnsi="宋体" w:eastAsia="仿宋_GB2312"/>
                <w:color w:val="auto"/>
                <w:kern w:val="0"/>
                <w:sz w:val="13"/>
                <w:szCs w:val="13"/>
                <w:highlight w:val="none"/>
              </w:rPr>
              <w:t>以上</w:t>
            </w:r>
            <w:r>
              <w:rPr>
                <w:rFonts w:hint="eastAsia" w:ascii="仿宋_GB2312" w:hAnsi="宋体" w:eastAsia="仿宋_GB2312"/>
                <w:color w:val="auto"/>
                <w:kern w:val="0"/>
                <w:sz w:val="13"/>
                <w:szCs w:val="13"/>
                <w:highlight w:val="none"/>
              </w:rPr>
              <w:t>百分之六</w:t>
            </w:r>
            <w:r>
              <w:rPr>
                <w:rFonts w:ascii="仿宋_GB2312" w:hAnsi="宋体" w:eastAsia="仿宋_GB2312"/>
                <w:color w:val="auto"/>
                <w:kern w:val="0"/>
                <w:sz w:val="13"/>
                <w:szCs w:val="13"/>
                <w:highlight w:val="none"/>
              </w:rPr>
              <w:t>以下罚款</w:t>
            </w:r>
            <w:r>
              <w:rPr>
                <w:rFonts w:hint="eastAsia" w:ascii="仿宋_GB2312" w:hAnsi="宋体" w:eastAsia="仿宋_GB2312"/>
                <w:color w:val="auto"/>
                <w:kern w:val="0"/>
                <w:sz w:val="13"/>
                <w:szCs w:val="13"/>
                <w:highlight w:val="none"/>
              </w:rPr>
              <w:t>。</w:t>
            </w:r>
          </w:p>
        </w:tc>
      </w:tr>
      <w:tr w14:paraId="6B09D7B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504" w:hRule="atLeast"/>
          <w:jc w:val="center"/>
        </w:trPr>
        <w:tc>
          <w:tcPr>
            <w:tcW w:w="443" w:type="dxa"/>
            <w:gridSpan w:val="2"/>
            <w:vMerge w:val="continue"/>
            <w:tcBorders>
              <w:tl2br w:val="nil"/>
              <w:tr2bl w:val="nil"/>
            </w:tcBorders>
            <w:vAlign w:val="center"/>
          </w:tcPr>
          <w:p w14:paraId="7B3B069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23A84C8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方正书宋简体" w:eastAsia="仿宋_GB2312"/>
                <w:color w:val="auto"/>
                <w:kern w:val="0"/>
                <w:sz w:val="13"/>
                <w:szCs w:val="13"/>
                <w:highlight w:val="none"/>
              </w:rPr>
            </w:pPr>
          </w:p>
        </w:tc>
        <w:tc>
          <w:tcPr>
            <w:tcW w:w="4820" w:type="dxa"/>
            <w:vMerge w:val="continue"/>
            <w:tcBorders>
              <w:tl2br w:val="nil"/>
              <w:tr2bl w:val="nil"/>
            </w:tcBorders>
          </w:tcPr>
          <w:p w14:paraId="580DAB2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方正书宋简体" w:eastAsia="仿宋_GB2312"/>
                <w:color w:val="auto"/>
                <w:kern w:val="0"/>
                <w:sz w:val="13"/>
                <w:szCs w:val="13"/>
                <w:highlight w:val="none"/>
              </w:rPr>
            </w:pPr>
          </w:p>
        </w:tc>
        <w:tc>
          <w:tcPr>
            <w:tcW w:w="823" w:type="dxa"/>
            <w:tcBorders>
              <w:tl2br w:val="nil"/>
              <w:tr2bl w:val="nil"/>
            </w:tcBorders>
            <w:vAlign w:val="center"/>
          </w:tcPr>
          <w:p w14:paraId="55FF206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一般情节</w:t>
            </w:r>
          </w:p>
        </w:tc>
        <w:tc>
          <w:tcPr>
            <w:tcW w:w="3437" w:type="dxa"/>
            <w:gridSpan w:val="2"/>
            <w:tcBorders>
              <w:tl2br w:val="nil"/>
              <w:tr2bl w:val="nil"/>
            </w:tcBorders>
            <w:vAlign w:val="center"/>
          </w:tcPr>
          <w:p w14:paraId="54326A6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不具有从轻、</w:t>
            </w:r>
            <w:r>
              <w:rPr>
                <w:rFonts w:hint="eastAsia" w:ascii="仿宋_GB2312" w:hAnsi="宋体" w:eastAsia="仿宋_GB2312"/>
                <w:color w:val="auto"/>
                <w:kern w:val="0"/>
                <w:sz w:val="13"/>
                <w:szCs w:val="13"/>
                <w:highlight w:val="none"/>
                <w:lang w:eastAsia="zh-CN"/>
              </w:rPr>
              <w:t>从重情节</w:t>
            </w:r>
            <w:r>
              <w:rPr>
                <w:rFonts w:hint="eastAsia" w:ascii="仿宋_GB2312" w:hAnsi="宋体" w:eastAsia="仿宋_GB2312"/>
                <w:color w:val="auto"/>
                <w:kern w:val="0"/>
                <w:sz w:val="13"/>
                <w:szCs w:val="13"/>
                <w:highlight w:val="none"/>
              </w:rPr>
              <w:t>的。</w:t>
            </w:r>
          </w:p>
        </w:tc>
        <w:tc>
          <w:tcPr>
            <w:tcW w:w="3058" w:type="dxa"/>
            <w:tcBorders>
              <w:tl2br w:val="nil"/>
              <w:tr2bl w:val="nil"/>
            </w:tcBorders>
            <w:vAlign w:val="center"/>
          </w:tcPr>
          <w:p w14:paraId="6268B80E">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撤销施工许可证，责令停止施工，</w:t>
            </w:r>
            <w:r>
              <w:rPr>
                <w:rFonts w:ascii="仿宋_GB2312" w:hAnsi="宋体" w:eastAsia="仿宋_GB2312"/>
                <w:color w:val="auto"/>
                <w:kern w:val="0"/>
                <w:sz w:val="13"/>
                <w:szCs w:val="13"/>
                <w:highlight w:val="none"/>
              </w:rPr>
              <w:t>处</w:t>
            </w:r>
            <w:r>
              <w:rPr>
                <w:rFonts w:hint="eastAsia" w:ascii="仿宋_GB2312" w:hAnsi="宋体" w:eastAsia="仿宋_GB2312"/>
                <w:color w:val="auto"/>
                <w:kern w:val="0"/>
                <w:sz w:val="13"/>
                <w:szCs w:val="13"/>
                <w:highlight w:val="none"/>
              </w:rPr>
              <w:t>1.5</w:t>
            </w:r>
            <w:r>
              <w:rPr>
                <w:rFonts w:ascii="仿宋_GB2312" w:hAnsi="宋体" w:eastAsia="仿宋_GB2312"/>
                <w:color w:val="auto"/>
                <w:kern w:val="0"/>
                <w:sz w:val="13"/>
                <w:szCs w:val="13"/>
                <w:highlight w:val="none"/>
              </w:rPr>
              <w:t>万元以上</w:t>
            </w:r>
            <w:r>
              <w:rPr>
                <w:rFonts w:hint="eastAsia" w:ascii="仿宋_GB2312" w:hAnsi="宋体" w:eastAsia="仿宋_GB2312"/>
                <w:color w:val="auto"/>
                <w:kern w:val="0"/>
                <w:sz w:val="13"/>
                <w:szCs w:val="13"/>
                <w:highlight w:val="none"/>
              </w:rPr>
              <w:t>2.5</w:t>
            </w:r>
            <w:r>
              <w:rPr>
                <w:rFonts w:ascii="仿宋_GB2312" w:hAnsi="宋体" w:eastAsia="仿宋_GB2312"/>
                <w:color w:val="auto"/>
                <w:kern w:val="0"/>
                <w:sz w:val="13"/>
                <w:szCs w:val="13"/>
                <w:highlight w:val="none"/>
              </w:rPr>
              <w:t>万元以下罚款</w:t>
            </w:r>
            <w:r>
              <w:rPr>
                <w:rFonts w:hint="eastAsia" w:ascii="仿宋_GB2312" w:hAnsi="宋体" w:eastAsia="仿宋_GB2312"/>
                <w:color w:val="auto"/>
                <w:kern w:val="0"/>
                <w:sz w:val="13"/>
                <w:szCs w:val="13"/>
                <w:highlight w:val="none"/>
              </w:rPr>
              <w:t>；</w:t>
            </w:r>
            <w:r>
              <w:rPr>
                <w:rFonts w:ascii="仿宋_GB2312" w:hAnsi="宋体" w:eastAsia="仿宋_GB2312"/>
                <w:color w:val="auto"/>
                <w:kern w:val="0"/>
                <w:sz w:val="13"/>
                <w:szCs w:val="13"/>
                <w:highlight w:val="none"/>
              </w:rPr>
              <w:t>对单位直接负责的主管人员和其他直接责任人员处单位罚款数额</w:t>
            </w:r>
            <w:r>
              <w:rPr>
                <w:rFonts w:hint="eastAsia" w:ascii="仿宋_GB2312" w:hAnsi="宋体" w:eastAsia="仿宋_GB2312"/>
                <w:color w:val="auto"/>
                <w:kern w:val="0"/>
                <w:sz w:val="13"/>
                <w:szCs w:val="13"/>
                <w:highlight w:val="none"/>
              </w:rPr>
              <w:t>百分之六</w:t>
            </w:r>
            <w:r>
              <w:rPr>
                <w:rFonts w:ascii="仿宋_GB2312" w:hAnsi="宋体" w:eastAsia="仿宋_GB2312"/>
                <w:color w:val="auto"/>
                <w:kern w:val="0"/>
                <w:sz w:val="13"/>
                <w:szCs w:val="13"/>
                <w:highlight w:val="none"/>
              </w:rPr>
              <w:t>以上</w:t>
            </w:r>
            <w:r>
              <w:rPr>
                <w:rFonts w:hint="eastAsia" w:ascii="仿宋_GB2312" w:hAnsi="宋体" w:eastAsia="仿宋_GB2312"/>
                <w:color w:val="auto"/>
                <w:kern w:val="0"/>
                <w:sz w:val="13"/>
                <w:szCs w:val="13"/>
                <w:highlight w:val="none"/>
              </w:rPr>
              <w:t>百分之八点五</w:t>
            </w:r>
            <w:r>
              <w:rPr>
                <w:rFonts w:ascii="仿宋_GB2312" w:hAnsi="宋体" w:eastAsia="仿宋_GB2312"/>
                <w:color w:val="auto"/>
                <w:kern w:val="0"/>
                <w:sz w:val="13"/>
                <w:szCs w:val="13"/>
                <w:highlight w:val="none"/>
              </w:rPr>
              <w:t>以下罚款</w:t>
            </w:r>
            <w:r>
              <w:rPr>
                <w:rFonts w:hint="eastAsia" w:ascii="仿宋_GB2312" w:hAnsi="宋体" w:eastAsia="仿宋_GB2312"/>
                <w:color w:val="auto"/>
                <w:kern w:val="0"/>
                <w:sz w:val="13"/>
                <w:szCs w:val="13"/>
                <w:highlight w:val="none"/>
              </w:rPr>
              <w:t>。</w:t>
            </w:r>
          </w:p>
        </w:tc>
      </w:tr>
      <w:tr w14:paraId="69DB897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8" w:hRule="atLeast"/>
          <w:jc w:val="center"/>
        </w:trPr>
        <w:tc>
          <w:tcPr>
            <w:tcW w:w="443" w:type="dxa"/>
            <w:gridSpan w:val="2"/>
            <w:vMerge w:val="continue"/>
            <w:tcBorders>
              <w:tl2br w:val="nil"/>
              <w:tr2bl w:val="nil"/>
            </w:tcBorders>
            <w:vAlign w:val="center"/>
          </w:tcPr>
          <w:p w14:paraId="3303726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3E61843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方正书宋简体" w:eastAsia="仿宋_GB2312"/>
                <w:color w:val="auto"/>
                <w:kern w:val="0"/>
                <w:sz w:val="13"/>
                <w:szCs w:val="13"/>
                <w:highlight w:val="none"/>
              </w:rPr>
            </w:pPr>
          </w:p>
        </w:tc>
        <w:tc>
          <w:tcPr>
            <w:tcW w:w="4820" w:type="dxa"/>
            <w:vMerge w:val="continue"/>
            <w:tcBorders>
              <w:tl2br w:val="nil"/>
              <w:tr2bl w:val="nil"/>
            </w:tcBorders>
            <w:vAlign w:val="center"/>
          </w:tcPr>
          <w:p w14:paraId="45A83FA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方正书宋简体" w:eastAsia="仿宋_GB2312"/>
                <w:color w:val="auto"/>
                <w:kern w:val="0"/>
                <w:sz w:val="13"/>
                <w:szCs w:val="13"/>
                <w:highlight w:val="none"/>
              </w:rPr>
            </w:pPr>
          </w:p>
        </w:tc>
        <w:tc>
          <w:tcPr>
            <w:tcW w:w="823" w:type="dxa"/>
            <w:tcBorders>
              <w:tl2br w:val="nil"/>
              <w:tr2bl w:val="nil"/>
            </w:tcBorders>
            <w:vAlign w:val="center"/>
          </w:tcPr>
          <w:p w14:paraId="7FA21B5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从重情节</w:t>
            </w:r>
          </w:p>
        </w:tc>
        <w:tc>
          <w:tcPr>
            <w:tcW w:w="3437" w:type="dxa"/>
            <w:gridSpan w:val="2"/>
            <w:tcBorders>
              <w:tl2br w:val="nil"/>
              <w:tr2bl w:val="nil"/>
            </w:tcBorders>
            <w:vAlign w:val="center"/>
          </w:tcPr>
          <w:p w14:paraId="57C7F61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（1）曾因该违法行为被依法查处，再次实施该违法行为的；</w:t>
            </w:r>
          </w:p>
          <w:p w14:paraId="2003CF5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（2）造成工程质量事故的；</w:t>
            </w:r>
          </w:p>
          <w:p w14:paraId="00B8200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（3）经有关部门确认，存在商业贿赂情形的；</w:t>
            </w:r>
          </w:p>
          <w:p w14:paraId="2A8E51C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（4）其他依法应予从重处罚的情形</w:t>
            </w:r>
          </w:p>
        </w:tc>
        <w:tc>
          <w:tcPr>
            <w:tcW w:w="3058" w:type="dxa"/>
            <w:tcBorders>
              <w:tl2br w:val="nil"/>
              <w:tr2bl w:val="nil"/>
            </w:tcBorders>
            <w:vAlign w:val="center"/>
          </w:tcPr>
          <w:p w14:paraId="38CA1756">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撤销施工许可证，责令停止施工，</w:t>
            </w:r>
            <w:r>
              <w:rPr>
                <w:rFonts w:ascii="仿宋_GB2312" w:hAnsi="宋体" w:eastAsia="仿宋_GB2312"/>
                <w:color w:val="auto"/>
                <w:kern w:val="0"/>
                <w:sz w:val="13"/>
                <w:szCs w:val="13"/>
                <w:highlight w:val="none"/>
              </w:rPr>
              <w:t>处</w:t>
            </w:r>
            <w:r>
              <w:rPr>
                <w:rFonts w:hint="eastAsia" w:ascii="仿宋_GB2312" w:hAnsi="宋体" w:eastAsia="仿宋_GB2312"/>
                <w:color w:val="auto"/>
                <w:kern w:val="0"/>
                <w:sz w:val="13"/>
                <w:szCs w:val="13"/>
                <w:highlight w:val="none"/>
              </w:rPr>
              <w:t>2.5</w:t>
            </w:r>
            <w:r>
              <w:rPr>
                <w:rFonts w:ascii="仿宋_GB2312" w:hAnsi="宋体" w:eastAsia="仿宋_GB2312"/>
                <w:color w:val="auto"/>
                <w:kern w:val="0"/>
                <w:sz w:val="13"/>
                <w:szCs w:val="13"/>
                <w:highlight w:val="none"/>
              </w:rPr>
              <w:t>万元以上</w:t>
            </w:r>
            <w:r>
              <w:rPr>
                <w:rFonts w:hint="eastAsia" w:ascii="仿宋_GB2312" w:hAnsi="宋体" w:eastAsia="仿宋_GB2312"/>
                <w:color w:val="auto"/>
                <w:kern w:val="0"/>
                <w:sz w:val="13"/>
                <w:szCs w:val="13"/>
                <w:highlight w:val="none"/>
              </w:rPr>
              <w:t>3</w:t>
            </w:r>
            <w:r>
              <w:rPr>
                <w:rFonts w:ascii="仿宋_GB2312" w:hAnsi="宋体" w:eastAsia="仿宋_GB2312"/>
                <w:color w:val="auto"/>
                <w:kern w:val="0"/>
                <w:sz w:val="13"/>
                <w:szCs w:val="13"/>
                <w:highlight w:val="none"/>
              </w:rPr>
              <w:t>万元以下罚款</w:t>
            </w:r>
            <w:r>
              <w:rPr>
                <w:rFonts w:hint="eastAsia" w:ascii="仿宋_GB2312" w:hAnsi="宋体" w:eastAsia="仿宋_GB2312"/>
                <w:color w:val="auto"/>
                <w:kern w:val="0"/>
                <w:sz w:val="13"/>
                <w:szCs w:val="13"/>
                <w:highlight w:val="none"/>
              </w:rPr>
              <w:t>；</w:t>
            </w:r>
            <w:r>
              <w:rPr>
                <w:rFonts w:ascii="仿宋_GB2312" w:hAnsi="宋体" w:eastAsia="仿宋_GB2312"/>
                <w:color w:val="auto"/>
                <w:kern w:val="0"/>
                <w:sz w:val="13"/>
                <w:szCs w:val="13"/>
                <w:highlight w:val="none"/>
              </w:rPr>
              <w:t>对单位直接负责的主管人员和其他直接责任人员处单位罚款数额</w:t>
            </w:r>
            <w:r>
              <w:rPr>
                <w:rFonts w:hint="eastAsia" w:ascii="仿宋_GB2312" w:hAnsi="宋体" w:eastAsia="仿宋_GB2312"/>
                <w:color w:val="auto"/>
                <w:kern w:val="0"/>
                <w:sz w:val="13"/>
                <w:szCs w:val="13"/>
                <w:highlight w:val="none"/>
              </w:rPr>
              <w:t>百分之八点五</w:t>
            </w:r>
            <w:r>
              <w:rPr>
                <w:rFonts w:ascii="仿宋_GB2312" w:hAnsi="宋体" w:eastAsia="仿宋_GB2312"/>
                <w:color w:val="auto"/>
                <w:kern w:val="0"/>
                <w:sz w:val="13"/>
                <w:szCs w:val="13"/>
                <w:highlight w:val="none"/>
              </w:rPr>
              <w:t>以上</w:t>
            </w:r>
            <w:r>
              <w:rPr>
                <w:rFonts w:hint="eastAsia" w:ascii="仿宋_GB2312" w:hAnsi="宋体" w:eastAsia="仿宋_GB2312"/>
                <w:color w:val="auto"/>
                <w:kern w:val="0"/>
                <w:sz w:val="13"/>
                <w:szCs w:val="13"/>
                <w:highlight w:val="none"/>
              </w:rPr>
              <w:t>百分之十</w:t>
            </w:r>
            <w:r>
              <w:rPr>
                <w:rFonts w:ascii="仿宋_GB2312" w:hAnsi="宋体" w:eastAsia="仿宋_GB2312"/>
                <w:color w:val="auto"/>
                <w:kern w:val="0"/>
                <w:sz w:val="13"/>
                <w:szCs w:val="13"/>
                <w:highlight w:val="none"/>
              </w:rPr>
              <w:t>以下罚款</w:t>
            </w:r>
            <w:r>
              <w:rPr>
                <w:rFonts w:hint="eastAsia" w:ascii="仿宋_GB2312" w:hAnsi="宋体" w:eastAsia="仿宋_GB2312"/>
                <w:color w:val="auto"/>
                <w:kern w:val="0"/>
                <w:sz w:val="13"/>
                <w:szCs w:val="13"/>
                <w:highlight w:val="none"/>
              </w:rPr>
              <w:t>。</w:t>
            </w:r>
          </w:p>
        </w:tc>
      </w:tr>
      <w:tr w14:paraId="316FFA2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8" w:hRule="atLeast"/>
          <w:jc w:val="center"/>
        </w:trPr>
        <w:tc>
          <w:tcPr>
            <w:tcW w:w="443" w:type="dxa"/>
            <w:gridSpan w:val="2"/>
            <w:vMerge w:val="restart"/>
            <w:tcBorders>
              <w:tl2br w:val="nil"/>
              <w:tr2bl w:val="nil"/>
            </w:tcBorders>
            <w:vAlign w:val="center"/>
          </w:tcPr>
          <w:p w14:paraId="120F4756">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Times New Roman"/>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110</w:t>
            </w:r>
          </w:p>
        </w:tc>
        <w:tc>
          <w:tcPr>
            <w:tcW w:w="1550" w:type="dxa"/>
            <w:vMerge w:val="restart"/>
            <w:tcBorders>
              <w:tl2br w:val="nil"/>
              <w:tr2bl w:val="nil"/>
            </w:tcBorders>
            <w:vAlign w:val="center"/>
          </w:tcPr>
          <w:p w14:paraId="3BFD76C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p>
          <w:p w14:paraId="25EE282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p>
          <w:p w14:paraId="11718A7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ascii="仿宋_GB2312" w:hAnsi="宋体" w:eastAsia="仿宋_GB2312"/>
                <w:color w:val="auto"/>
                <w:kern w:val="0"/>
                <w:sz w:val="13"/>
                <w:szCs w:val="13"/>
                <w:highlight w:val="none"/>
              </w:rPr>
              <w:t>建设单位隐瞒有关情况或者提供虚假材料申请施工许可证</w:t>
            </w:r>
          </w:p>
        </w:tc>
        <w:tc>
          <w:tcPr>
            <w:tcW w:w="4820" w:type="dxa"/>
            <w:vMerge w:val="restart"/>
            <w:tcBorders>
              <w:tl2br w:val="nil"/>
              <w:tr2bl w:val="nil"/>
            </w:tcBorders>
            <w:vAlign w:val="center"/>
          </w:tcPr>
          <w:p w14:paraId="1CF83E79">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《建筑工程施工许可管理办法》</w:t>
            </w:r>
          </w:p>
          <w:p w14:paraId="575DF1EA">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r>
              <w:rPr>
                <w:rFonts w:ascii="仿宋_GB2312" w:hAnsi="宋体" w:eastAsia="仿宋_GB2312"/>
                <w:color w:val="auto"/>
                <w:kern w:val="0"/>
                <w:sz w:val="13"/>
                <w:szCs w:val="13"/>
                <w:highlight w:val="none"/>
              </w:rPr>
              <w:t>第十四条</w:t>
            </w:r>
            <w:r>
              <w:rPr>
                <w:rFonts w:hint="eastAsia" w:ascii="仿宋_GB2312" w:hAnsi="宋体" w:eastAsia="仿宋_GB2312"/>
                <w:color w:val="auto"/>
                <w:kern w:val="0"/>
                <w:sz w:val="13"/>
                <w:szCs w:val="13"/>
                <w:highlight w:val="none"/>
              </w:rPr>
              <w:t>第一款</w:t>
            </w:r>
            <w:r>
              <w:rPr>
                <w:rFonts w:ascii="仿宋_GB2312" w:hAnsi="宋体" w:eastAsia="仿宋_GB2312"/>
                <w:color w:val="auto"/>
                <w:kern w:val="0"/>
                <w:sz w:val="13"/>
                <w:szCs w:val="13"/>
                <w:highlight w:val="none"/>
              </w:rPr>
              <w:t>建设单位隐瞒有关情况或者提供虚假材料申请施工许可证的，发证机关不予受理或者不予许可，并处1万元以上3万元以下罚款</w:t>
            </w:r>
            <w:r>
              <w:rPr>
                <w:rFonts w:hint="eastAsia" w:ascii="仿宋_GB2312" w:hAnsi="宋体" w:eastAsia="仿宋_GB2312"/>
                <w:color w:val="auto"/>
                <w:kern w:val="0"/>
                <w:sz w:val="13"/>
                <w:szCs w:val="13"/>
                <w:highlight w:val="none"/>
              </w:rPr>
              <w:t>；</w:t>
            </w:r>
            <w:r>
              <w:rPr>
                <w:rFonts w:ascii="仿宋_GB2312" w:hAnsi="宋体" w:eastAsia="仿宋_GB2312"/>
                <w:color w:val="auto"/>
                <w:kern w:val="0"/>
                <w:sz w:val="13"/>
                <w:szCs w:val="13"/>
                <w:highlight w:val="none"/>
              </w:rPr>
              <w:t>构成犯罪的，依法追究刑事责任。</w:t>
            </w:r>
          </w:p>
          <w:p w14:paraId="118E33B9">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hint="eastAsia" w:ascii="仿宋_GB2312" w:hAnsi="宋体" w:eastAsia="仿宋_GB2312"/>
                <w:color w:val="auto"/>
                <w:kern w:val="0"/>
                <w:sz w:val="13"/>
                <w:szCs w:val="13"/>
                <w:highlight w:val="none"/>
                <w:lang w:eastAsia="zh-CN"/>
              </w:rPr>
            </w:pPr>
          </w:p>
          <w:p w14:paraId="458F2078">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《建筑工程施工许可管理办法》</w:t>
            </w:r>
          </w:p>
          <w:p w14:paraId="1BEB570B">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r>
              <w:rPr>
                <w:rFonts w:ascii="仿宋_GB2312" w:hAnsi="宋体" w:eastAsia="仿宋_GB2312"/>
                <w:color w:val="auto"/>
                <w:kern w:val="0"/>
                <w:sz w:val="13"/>
                <w:szCs w:val="13"/>
                <w:highlight w:val="none"/>
              </w:rPr>
              <w:t>第十五条依照本办法规定，给予单位罚款处罚的，对单位直接负责的主管人员和其他直接责任人员处单位罚款数额5%以上10%以下罚款。</w:t>
            </w:r>
          </w:p>
          <w:p w14:paraId="1465DF59">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r>
              <w:rPr>
                <w:rFonts w:ascii="仿宋_GB2312" w:hAnsi="宋体" w:eastAsia="仿宋_GB2312"/>
                <w:color w:val="auto"/>
                <w:kern w:val="0"/>
                <w:sz w:val="13"/>
                <w:szCs w:val="13"/>
                <w:highlight w:val="none"/>
              </w:rPr>
              <w:t>单位及相关责任人受到处罚的，作为不良行为记录予以通报。</w:t>
            </w:r>
          </w:p>
        </w:tc>
        <w:tc>
          <w:tcPr>
            <w:tcW w:w="823" w:type="dxa"/>
            <w:tcBorders>
              <w:tl2br w:val="nil"/>
              <w:tr2bl w:val="nil"/>
            </w:tcBorders>
            <w:vAlign w:val="center"/>
          </w:tcPr>
          <w:p w14:paraId="6E14A59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vAlign w:val="center"/>
          </w:tcPr>
          <w:p w14:paraId="4FB02AC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初次违法，危害后果较轻的，主动消除或减轻违法行为危害后果的。</w:t>
            </w:r>
          </w:p>
        </w:tc>
        <w:tc>
          <w:tcPr>
            <w:tcW w:w="3058" w:type="dxa"/>
            <w:tcBorders>
              <w:tl2br w:val="nil"/>
              <w:tr2bl w:val="nil"/>
            </w:tcBorders>
            <w:vAlign w:val="center"/>
          </w:tcPr>
          <w:p w14:paraId="62E9705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ascii="仿宋_GB2312" w:hAnsi="宋体" w:eastAsia="仿宋_GB2312"/>
                <w:color w:val="auto"/>
                <w:kern w:val="0"/>
                <w:sz w:val="13"/>
                <w:szCs w:val="13"/>
                <w:highlight w:val="none"/>
              </w:rPr>
              <w:t>处1万元以上</w:t>
            </w:r>
            <w:r>
              <w:rPr>
                <w:rFonts w:hint="eastAsia" w:ascii="仿宋_GB2312" w:hAnsi="宋体" w:eastAsia="仿宋_GB2312"/>
                <w:color w:val="auto"/>
                <w:kern w:val="0"/>
                <w:sz w:val="13"/>
                <w:szCs w:val="13"/>
                <w:highlight w:val="none"/>
              </w:rPr>
              <w:t>1.5</w:t>
            </w:r>
            <w:r>
              <w:rPr>
                <w:rFonts w:ascii="仿宋_GB2312" w:hAnsi="宋体" w:eastAsia="仿宋_GB2312"/>
                <w:color w:val="auto"/>
                <w:kern w:val="0"/>
                <w:sz w:val="13"/>
                <w:szCs w:val="13"/>
                <w:highlight w:val="none"/>
              </w:rPr>
              <w:t>万元以下罚款</w:t>
            </w:r>
            <w:r>
              <w:rPr>
                <w:rFonts w:hint="eastAsia" w:ascii="仿宋_GB2312" w:hAnsi="宋体" w:eastAsia="仿宋_GB2312"/>
                <w:color w:val="auto"/>
                <w:kern w:val="0"/>
                <w:sz w:val="13"/>
                <w:szCs w:val="13"/>
                <w:highlight w:val="none"/>
              </w:rPr>
              <w:t>；</w:t>
            </w:r>
            <w:r>
              <w:rPr>
                <w:rFonts w:ascii="仿宋_GB2312" w:hAnsi="宋体" w:eastAsia="仿宋_GB2312"/>
                <w:color w:val="auto"/>
                <w:kern w:val="0"/>
                <w:sz w:val="13"/>
                <w:szCs w:val="13"/>
                <w:highlight w:val="none"/>
              </w:rPr>
              <w:t>对单位直接负责的主管人员和其他直接责任人员处单位罚款数额</w:t>
            </w:r>
            <w:r>
              <w:rPr>
                <w:rFonts w:hint="eastAsia" w:ascii="仿宋_GB2312" w:hAnsi="宋体" w:eastAsia="仿宋_GB2312"/>
                <w:color w:val="auto"/>
                <w:kern w:val="0"/>
                <w:sz w:val="13"/>
                <w:szCs w:val="13"/>
                <w:highlight w:val="none"/>
              </w:rPr>
              <w:t>百分之五</w:t>
            </w:r>
            <w:r>
              <w:rPr>
                <w:rFonts w:ascii="仿宋_GB2312" w:hAnsi="宋体" w:eastAsia="仿宋_GB2312"/>
                <w:color w:val="auto"/>
                <w:kern w:val="0"/>
                <w:sz w:val="13"/>
                <w:szCs w:val="13"/>
                <w:highlight w:val="none"/>
              </w:rPr>
              <w:t>以上</w:t>
            </w:r>
            <w:r>
              <w:rPr>
                <w:rFonts w:hint="eastAsia" w:ascii="仿宋_GB2312" w:hAnsi="宋体" w:eastAsia="仿宋_GB2312"/>
                <w:color w:val="auto"/>
                <w:kern w:val="0"/>
                <w:sz w:val="13"/>
                <w:szCs w:val="13"/>
                <w:highlight w:val="none"/>
              </w:rPr>
              <w:t>百分之八点五</w:t>
            </w:r>
            <w:r>
              <w:rPr>
                <w:rFonts w:ascii="仿宋_GB2312" w:hAnsi="宋体" w:eastAsia="仿宋_GB2312"/>
                <w:color w:val="auto"/>
                <w:kern w:val="0"/>
                <w:sz w:val="13"/>
                <w:szCs w:val="13"/>
                <w:highlight w:val="none"/>
              </w:rPr>
              <w:t>以下罚款</w:t>
            </w:r>
          </w:p>
        </w:tc>
      </w:tr>
      <w:tr w14:paraId="0E4BE07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8" w:hRule="atLeast"/>
          <w:jc w:val="center"/>
        </w:trPr>
        <w:tc>
          <w:tcPr>
            <w:tcW w:w="443" w:type="dxa"/>
            <w:gridSpan w:val="2"/>
            <w:vMerge w:val="continue"/>
            <w:tcBorders>
              <w:tl2br w:val="nil"/>
              <w:tr2bl w:val="nil"/>
            </w:tcBorders>
            <w:vAlign w:val="center"/>
          </w:tcPr>
          <w:p w14:paraId="0DEF221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6ACC076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tcPr>
          <w:p w14:paraId="07348A5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方正书宋简体" w:eastAsia="仿宋_GB2312"/>
                <w:color w:val="auto"/>
                <w:kern w:val="0"/>
                <w:sz w:val="13"/>
                <w:szCs w:val="13"/>
                <w:highlight w:val="none"/>
              </w:rPr>
            </w:pPr>
          </w:p>
        </w:tc>
        <w:tc>
          <w:tcPr>
            <w:tcW w:w="823" w:type="dxa"/>
            <w:tcBorders>
              <w:tl2br w:val="nil"/>
              <w:tr2bl w:val="nil"/>
            </w:tcBorders>
            <w:vAlign w:val="center"/>
          </w:tcPr>
          <w:p w14:paraId="7DC9B49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一般情节</w:t>
            </w:r>
          </w:p>
        </w:tc>
        <w:tc>
          <w:tcPr>
            <w:tcW w:w="3437" w:type="dxa"/>
            <w:gridSpan w:val="2"/>
            <w:tcBorders>
              <w:tl2br w:val="nil"/>
              <w:tr2bl w:val="nil"/>
            </w:tcBorders>
            <w:vAlign w:val="center"/>
          </w:tcPr>
          <w:p w14:paraId="26B50AC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不具有从轻、</w:t>
            </w:r>
            <w:r>
              <w:rPr>
                <w:rFonts w:hint="eastAsia" w:ascii="仿宋_GB2312" w:hAnsi="宋体" w:eastAsia="仿宋_GB2312"/>
                <w:color w:val="auto"/>
                <w:kern w:val="0"/>
                <w:sz w:val="13"/>
                <w:szCs w:val="13"/>
                <w:highlight w:val="none"/>
                <w:lang w:eastAsia="zh-CN"/>
              </w:rPr>
              <w:t>从重情节</w:t>
            </w:r>
            <w:r>
              <w:rPr>
                <w:rFonts w:hint="eastAsia" w:ascii="仿宋_GB2312" w:hAnsi="宋体" w:eastAsia="仿宋_GB2312"/>
                <w:color w:val="auto"/>
                <w:kern w:val="0"/>
                <w:sz w:val="13"/>
                <w:szCs w:val="13"/>
                <w:highlight w:val="none"/>
              </w:rPr>
              <w:t>的。</w:t>
            </w:r>
          </w:p>
        </w:tc>
        <w:tc>
          <w:tcPr>
            <w:tcW w:w="3058" w:type="dxa"/>
            <w:tcBorders>
              <w:tl2br w:val="nil"/>
              <w:tr2bl w:val="nil"/>
            </w:tcBorders>
            <w:vAlign w:val="center"/>
          </w:tcPr>
          <w:p w14:paraId="05CC281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ascii="仿宋_GB2312" w:hAnsi="宋体" w:eastAsia="仿宋_GB2312"/>
                <w:color w:val="auto"/>
                <w:kern w:val="0"/>
                <w:sz w:val="13"/>
                <w:szCs w:val="13"/>
                <w:highlight w:val="none"/>
              </w:rPr>
              <w:t>处</w:t>
            </w:r>
            <w:r>
              <w:rPr>
                <w:rFonts w:hint="eastAsia" w:ascii="仿宋_GB2312" w:hAnsi="宋体" w:eastAsia="仿宋_GB2312"/>
                <w:color w:val="auto"/>
                <w:kern w:val="0"/>
                <w:sz w:val="13"/>
                <w:szCs w:val="13"/>
                <w:highlight w:val="none"/>
              </w:rPr>
              <w:t>1.5</w:t>
            </w:r>
            <w:r>
              <w:rPr>
                <w:rFonts w:ascii="仿宋_GB2312" w:hAnsi="宋体" w:eastAsia="仿宋_GB2312"/>
                <w:color w:val="auto"/>
                <w:kern w:val="0"/>
                <w:sz w:val="13"/>
                <w:szCs w:val="13"/>
                <w:highlight w:val="none"/>
              </w:rPr>
              <w:t>万元以上</w:t>
            </w:r>
            <w:r>
              <w:rPr>
                <w:rFonts w:hint="eastAsia" w:ascii="仿宋_GB2312" w:hAnsi="宋体" w:eastAsia="仿宋_GB2312"/>
                <w:color w:val="auto"/>
                <w:kern w:val="0"/>
                <w:sz w:val="13"/>
                <w:szCs w:val="13"/>
                <w:highlight w:val="none"/>
              </w:rPr>
              <w:t>2.5</w:t>
            </w:r>
            <w:r>
              <w:rPr>
                <w:rFonts w:ascii="仿宋_GB2312" w:hAnsi="宋体" w:eastAsia="仿宋_GB2312"/>
                <w:color w:val="auto"/>
                <w:kern w:val="0"/>
                <w:sz w:val="13"/>
                <w:szCs w:val="13"/>
                <w:highlight w:val="none"/>
              </w:rPr>
              <w:t>万元以下罚款</w:t>
            </w:r>
            <w:r>
              <w:rPr>
                <w:rFonts w:hint="eastAsia" w:ascii="仿宋_GB2312" w:hAnsi="宋体" w:eastAsia="仿宋_GB2312"/>
                <w:color w:val="auto"/>
                <w:kern w:val="0"/>
                <w:sz w:val="13"/>
                <w:szCs w:val="13"/>
                <w:highlight w:val="none"/>
              </w:rPr>
              <w:t>；</w:t>
            </w:r>
            <w:r>
              <w:rPr>
                <w:rFonts w:ascii="仿宋_GB2312" w:hAnsi="宋体" w:eastAsia="仿宋_GB2312"/>
                <w:color w:val="auto"/>
                <w:kern w:val="0"/>
                <w:sz w:val="13"/>
                <w:szCs w:val="13"/>
                <w:highlight w:val="none"/>
              </w:rPr>
              <w:t>对单位直接负责的主管人员和其他直接责任人员处单位罚款数额</w:t>
            </w:r>
            <w:r>
              <w:rPr>
                <w:rFonts w:hint="eastAsia" w:ascii="仿宋_GB2312" w:hAnsi="宋体" w:eastAsia="仿宋_GB2312"/>
                <w:color w:val="auto"/>
                <w:kern w:val="0"/>
                <w:sz w:val="13"/>
                <w:szCs w:val="13"/>
                <w:highlight w:val="none"/>
              </w:rPr>
              <w:t>百分之六</w:t>
            </w:r>
            <w:r>
              <w:rPr>
                <w:rFonts w:ascii="仿宋_GB2312" w:hAnsi="宋体" w:eastAsia="仿宋_GB2312"/>
                <w:color w:val="auto"/>
                <w:kern w:val="0"/>
                <w:sz w:val="13"/>
                <w:szCs w:val="13"/>
                <w:highlight w:val="none"/>
              </w:rPr>
              <w:t>以上</w:t>
            </w:r>
            <w:r>
              <w:rPr>
                <w:rFonts w:hint="eastAsia" w:ascii="仿宋_GB2312" w:hAnsi="宋体" w:eastAsia="仿宋_GB2312"/>
                <w:color w:val="auto"/>
                <w:kern w:val="0"/>
                <w:sz w:val="13"/>
                <w:szCs w:val="13"/>
                <w:highlight w:val="none"/>
              </w:rPr>
              <w:t>百分之八点五</w:t>
            </w:r>
            <w:r>
              <w:rPr>
                <w:rFonts w:ascii="仿宋_GB2312" w:hAnsi="宋体" w:eastAsia="仿宋_GB2312"/>
                <w:color w:val="auto"/>
                <w:kern w:val="0"/>
                <w:sz w:val="13"/>
                <w:szCs w:val="13"/>
                <w:highlight w:val="none"/>
              </w:rPr>
              <w:t>以下罚款</w:t>
            </w:r>
            <w:r>
              <w:rPr>
                <w:rFonts w:hint="eastAsia" w:ascii="仿宋_GB2312" w:hAnsi="宋体" w:eastAsia="仿宋_GB2312"/>
                <w:color w:val="auto"/>
                <w:kern w:val="0"/>
                <w:sz w:val="13"/>
                <w:szCs w:val="13"/>
                <w:highlight w:val="none"/>
              </w:rPr>
              <w:t>。</w:t>
            </w:r>
          </w:p>
        </w:tc>
      </w:tr>
      <w:tr w14:paraId="43A8E8A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8" w:hRule="atLeast"/>
          <w:jc w:val="center"/>
        </w:trPr>
        <w:tc>
          <w:tcPr>
            <w:tcW w:w="443" w:type="dxa"/>
            <w:gridSpan w:val="2"/>
            <w:vMerge w:val="continue"/>
            <w:tcBorders>
              <w:tl2br w:val="nil"/>
              <w:tr2bl w:val="nil"/>
            </w:tcBorders>
            <w:vAlign w:val="center"/>
          </w:tcPr>
          <w:p w14:paraId="1295A82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5A662E5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vAlign w:val="center"/>
          </w:tcPr>
          <w:p w14:paraId="5CF4635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方正书宋简体" w:eastAsia="仿宋_GB2312"/>
                <w:color w:val="auto"/>
                <w:kern w:val="0"/>
                <w:sz w:val="13"/>
                <w:szCs w:val="13"/>
                <w:highlight w:val="none"/>
              </w:rPr>
            </w:pPr>
          </w:p>
        </w:tc>
        <w:tc>
          <w:tcPr>
            <w:tcW w:w="823" w:type="dxa"/>
            <w:tcBorders>
              <w:tl2br w:val="nil"/>
              <w:tr2bl w:val="nil"/>
            </w:tcBorders>
            <w:vAlign w:val="center"/>
          </w:tcPr>
          <w:p w14:paraId="2CAF30A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从重情节</w:t>
            </w:r>
          </w:p>
        </w:tc>
        <w:tc>
          <w:tcPr>
            <w:tcW w:w="3437" w:type="dxa"/>
            <w:gridSpan w:val="2"/>
            <w:tcBorders>
              <w:tl2br w:val="nil"/>
              <w:tr2bl w:val="nil"/>
            </w:tcBorders>
            <w:vAlign w:val="center"/>
          </w:tcPr>
          <w:p w14:paraId="23282E1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（1）多次实施同类违法行为的；</w:t>
            </w:r>
          </w:p>
          <w:p w14:paraId="196970F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（2）足以影响建设市场秩序和社会稳定的。</w:t>
            </w:r>
          </w:p>
        </w:tc>
        <w:tc>
          <w:tcPr>
            <w:tcW w:w="3058" w:type="dxa"/>
            <w:tcBorders>
              <w:tl2br w:val="nil"/>
              <w:tr2bl w:val="nil"/>
            </w:tcBorders>
            <w:vAlign w:val="center"/>
          </w:tcPr>
          <w:p w14:paraId="62DDF4B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ascii="仿宋_GB2312" w:hAnsi="宋体" w:eastAsia="仿宋_GB2312"/>
                <w:color w:val="auto"/>
                <w:kern w:val="0"/>
                <w:sz w:val="13"/>
                <w:szCs w:val="13"/>
                <w:highlight w:val="none"/>
              </w:rPr>
              <w:t>处</w:t>
            </w:r>
            <w:r>
              <w:rPr>
                <w:rFonts w:hint="eastAsia" w:ascii="仿宋_GB2312" w:hAnsi="宋体" w:eastAsia="仿宋_GB2312"/>
                <w:color w:val="auto"/>
                <w:kern w:val="0"/>
                <w:sz w:val="13"/>
                <w:szCs w:val="13"/>
                <w:highlight w:val="none"/>
              </w:rPr>
              <w:t>2.5</w:t>
            </w:r>
            <w:r>
              <w:rPr>
                <w:rFonts w:ascii="仿宋_GB2312" w:hAnsi="宋体" w:eastAsia="仿宋_GB2312"/>
                <w:color w:val="auto"/>
                <w:kern w:val="0"/>
                <w:sz w:val="13"/>
                <w:szCs w:val="13"/>
                <w:highlight w:val="none"/>
              </w:rPr>
              <w:t>万元以上</w:t>
            </w:r>
            <w:r>
              <w:rPr>
                <w:rFonts w:hint="eastAsia" w:ascii="仿宋_GB2312" w:hAnsi="宋体" w:eastAsia="仿宋_GB2312"/>
                <w:color w:val="auto"/>
                <w:kern w:val="0"/>
                <w:sz w:val="13"/>
                <w:szCs w:val="13"/>
                <w:highlight w:val="none"/>
              </w:rPr>
              <w:t>3</w:t>
            </w:r>
            <w:r>
              <w:rPr>
                <w:rFonts w:ascii="仿宋_GB2312" w:hAnsi="宋体" w:eastAsia="仿宋_GB2312"/>
                <w:color w:val="auto"/>
                <w:kern w:val="0"/>
                <w:sz w:val="13"/>
                <w:szCs w:val="13"/>
                <w:highlight w:val="none"/>
              </w:rPr>
              <w:t>万元以下罚款</w:t>
            </w:r>
            <w:r>
              <w:rPr>
                <w:rFonts w:hint="eastAsia" w:ascii="仿宋_GB2312" w:hAnsi="宋体" w:eastAsia="仿宋_GB2312"/>
                <w:color w:val="auto"/>
                <w:kern w:val="0"/>
                <w:sz w:val="13"/>
                <w:szCs w:val="13"/>
                <w:highlight w:val="none"/>
              </w:rPr>
              <w:t>；</w:t>
            </w:r>
            <w:r>
              <w:rPr>
                <w:rFonts w:ascii="仿宋_GB2312" w:hAnsi="宋体" w:eastAsia="仿宋_GB2312"/>
                <w:color w:val="auto"/>
                <w:kern w:val="0"/>
                <w:sz w:val="13"/>
                <w:szCs w:val="13"/>
                <w:highlight w:val="none"/>
              </w:rPr>
              <w:t>对单位直接负责的主管人员和其他直接责任人员处单位罚款数额</w:t>
            </w:r>
            <w:r>
              <w:rPr>
                <w:rFonts w:hint="eastAsia" w:ascii="仿宋_GB2312" w:hAnsi="宋体" w:eastAsia="仿宋_GB2312"/>
                <w:color w:val="auto"/>
                <w:kern w:val="0"/>
                <w:sz w:val="13"/>
                <w:szCs w:val="13"/>
                <w:highlight w:val="none"/>
              </w:rPr>
              <w:t>百分之八点五</w:t>
            </w:r>
            <w:r>
              <w:rPr>
                <w:rFonts w:ascii="仿宋_GB2312" w:hAnsi="宋体" w:eastAsia="仿宋_GB2312"/>
                <w:color w:val="auto"/>
                <w:kern w:val="0"/>
                <w:sz w:val="13"/>
                <w:szCs w:val="13"/>
                <w:highlight w:val="none"/>
              </w:rPr>
              <w:t>以上</w:t>
            </w:r>
            <w:r>
              <w:rPr>
                <w:rFonts w:hint="eastAsia" w:ascii="仿宋_GB2312" w:hAnsi="宋体" w:eastAsia="仿宋_GB2312"/>
                <w:color w:val="auto"/>
                <w:kern w:val="0"/>
                <w:sz w:val="13"/>
                <w:szCs w:val="13"/>
                <w:highlight w:val="none"/>
              </w:rPr>
              <w:t>百分之十</w:t>
            </w:r>
            <w:r>
              <w:rPr>
                <w:rFonts w:ascii="仿宋_GB2312" w:hAnsi="宋体" w:eastAsia="仿宋_GB2312"/>
                <w:color w:val="auto"/>
                <w:kern w:val="0"/>
                <w:sz w:val="13"/>
                <w:szCs w:val="13"/>
                <w:highlight w:val="none"/>
              </w:rPr>
              <w:t>以下罚款</w:t>
            </w:r>
            <w:r>
              <w:rPr>
                <w:rFonts w:hint="eastAsia" w:ascii="仿宋_GB2312" w:hAnsi="宋体" w:eastAsia="仿宋_GB2312"/>
                <w:color w:val="auto"/>
                <w:kern w:val="0"/>
                <w:sz w:val="13"/>
                <w:szCs w:val="13"/>
                <w:highlight w:val="none"/>
              </w:rPr>
              <w:t>。</w:t>
            </w:r>
          </w:p>
        </w:tc>
      </w:tr>
      <w:tr w14:paraId="0BC85AC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16" w:hRule="atLeast"/>
          <w:jc w:val="center"/>
        </w:trPr>
        <w:tc>
          <w:tcPr>
            <w:tcW w:w="443" w:type="dxa"/>
            <w:gridSpan w:val="2"/>
            <w:vMerge w:val="restart"/>
            <w:tcBorders>
              <w:tl2br w:val="nil"/>
              <w:tr2bl w:val="nil"/>
            </w:tcBorders>
            <w:vAlign w:val="center"/>
          </w:tcPr>
          <w:p w14:paraId="65616A1E">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Times New Roman"/>
                <w:color w:val="auto"/>
                <w:sz w:val="13"/>
                <w:szCs w:val="13"/>
                <w:highlight w:val="none"/>
                <w:lang w:val="en-US"/>
              </w:rPr>
            </w:pPr>
            <w:r>
              <w:rPr>
                <w:rFonts w:hint="default" w:ascii="仿宋_GB2312" w:hAnsi="宋体" w:eastAsia="仿宋_GB2312" w:cs="仿宋_GB2312"/>
                <w:i w:val="0"/>
                <w:color w:val="auto"/>
                <w:kern w:val="0"/>
                <w:sz w:val="13"/>
                <w:szCs w:val="13"/>
                <w:highlight w:val="none"/>
                <w:u w:val="none"/>
                <w:lang w:val="en-US" w:eastAsia="zh-CN" w:bidi="ar"/>
              </w:rPr>
              <w:t>1</w:t>
            </w:r>
            <w:r>
              <w:rPr>
                <w:rFonts w:hint="eastAsia" w:ascii="仿宋_GB2312" w:hAnsi="宋体" w:eastAsia="仿宋_GB2312" w:cs="仿宋_GB2312"/>
                <w:i w:val="0"/>
                <w:color w:val="auto"/>
                <w:kern w:val="0"/>
                <w:sz w:val="13"/>
                <w:szCs w:val="13"/>
                <w:highlight w:val="none"/>
                <w:u w:val="none"/>
                <w:lang w:val="en-US" w:eastAsia="zh-CN" w:bidi="ar"/>
              </w:rPr>
              <w:t>11</w:t>
            </w:r>
          </w:p>
        </w:tc>
        <w:tc>
          <w:tcPr>
            <w:tcW w:w="1550" w:type="dxa"/>
            <w:vMerge w:val="restart"/>
            <w:tcBorders>
              <w:tl2br w:val="nil"/>
              <w:tr2bl w:val="nil"/>
            </w:tcBorders>
            <w:vAlign w:val="center"/>
          </w:tcPr>
          <w:p w14:paraId="6069738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p w14:paraId="11F0F71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p w14:paraId="640F4DA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ascii="仿宋_GB2312" w:hAnsi="宋体" w:eastAsia="仿宋_GB2312"/>
                <w:color w:val="auto"/>
                <w:kern w:val="0"/>
                <w:sz w:val="13"/>
                <w:szCs w:val="13"/>
                <w:highlight w:val="none"/>
              </w:rPr>
              <w:t>建设单位伪造或者涂改施工许可证</w:t>
            </w:r>
          </w:p>
        </w:tc>
        <w:tc>
          <w:tcPr>
            <w:tcW w:w="4820" w:type="dxa"/>
            <w:vMerge w:val="restart"/>
            <w:tcBorders>
              <w:tl2br w:val="nil"/>
              <w:tr2bl w:val="nil"/>
            </w:tcBorders>
            <w:vAlign w:val="center"/>
          </w:tcPr>
          <w:p w14:paraId="535B1909">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《建筑工程施工许可管理办法》</w:t>
            </w:r>
          </w:p>
          <w:p w14:paraId="48376287">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r>
              <w:rPr>
                <w:rFonts w:ascii="仿宋_GB2312" w:hAnsi="宋体" w:eastAsia="仿宋_GB2312"/>
                <w:color w:val="auto"/>
                <w:kern w:val="0"/>
                <w:sz w:val="13"/>
                <w:szCs w:val="13"/>
                <w:highlight w:val="none"/>
              </w:rPr>
              <w:t>第十四条</w:t>
            </w:r>
            <w:r>
              <w:rPr>
                <w:rFonts w:hint="eastAsia" w:ascii="仿宋_GB2312" w:hAnsi="宋体" w:eastAsia="仿宋_GB2312"/>
                <w:color w:val="auto"/>
                <w:kern w:val="0"/>
                <w:sz w:val="13"/>
                <w:szCs w:val="13"/>
                <w:highlight w:val="none"/>
              </w:rPr>
              <w:t>第二款</w:t>
            </w:r>
            <w:r>
              <w:rPr>
                <w:rFonts w:ascii="仿宋_GB2312" w:hAnsi="宋体" w:eastAsia="仿宋_GB2312"/>
                <w:color w:val="auto"/>
                <w:kern w:val="0"/>
                <w:sz w:val="13"/>
                <w:szCs w:val="13"/>
                <w:highlight w:val="none"/>
              </w:rPr>
              <w:t>建设单位伪造或者涂改施工许可证的，由发证机关责令停止施工，并处1万元以上3万元以下罚款</w:t>
            </w:r>
            <w:r>
              <w:rPr>
                <w:rFonts w:hint="eastAsia" w:ascii="仿宋_GB2312" w:hAnsi="宋体" w:eastAsia="仿宋_GB2312"/>
                <w:color w:val="auto"/>
                <w:kern w:val="0"/>
                <w:sz w:val="13"/>
                <w:szCs w:val="13"/>
                <w:highlight w:val="none"/>
              </w:rPr>
              <w:t>；</w:t>
            </w:r>
            <w:r>
              <w:rPr>
                <w:rFonts w:ascii="仿宋_GB2312" w:hAnsi="宋体" w:eastAsia="仿宋_GB2312"/>
                <w:color w:val="auto"/>
                <w:kern w:val="0"/>
                <w:sz w:val="13"/>
                <w:szCs w:val="13"/>
                <w:highlight w:val="none"/>
              </w:rPr>
              <w:t>构成犯罪的，依法追究刑事责任。</w:t>
            </w:r>
          </w:p>
          <w:p w14:paraId="1E867A3E">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hint="eastAsia" w:ascii="仿宋_GB2312" w:hAnsi="宋体" w:eastAsia="仿宋_GB2312"/>
                <w:color w:val="auto"/>
                <w:kern w:val="0"/>
                <w:sz w:val="13"/>
                <w:szCs w:val="13"/>
                <w:highlight w:val="none"/>
                <w:lang w:eastAsia="zh-CN"/>
              </w:rPr>
            </w:pPr>
          </w:p>
          <w:p w14:paraId="25D743A6">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《建筑工程施工许可管理办法》</w:t>
            </w:r>
          </w:p>
          <w:p w14:paraId="534E56FF">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r>
              <w:rPr>
                <w:rFonts w:ascii="仿宋_GB2312" w:hAnsi="宋体" w:eastAsia="仿宋_GB2312"/>
                <w:color w:val="auto"/>
                <w:kern w:val="0"/>
                <w:sz w:val="13"/>
                <w:szCs w:val="13"/>
                <w:highlight w:val="none"/>
              </w:rPr>
              <w:t>第十五条依照本办法规定，给予单位罚款处罚的，对单位直接负责的主管人员和其他直接责任人员处单位罚款数额5%以上10%以下罚款。</w:t>
            </w:r>
          </w:p>
          <w:p w14:paraId="40F0BB5F">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r>
              <w:rPr>
                <w:rFonts w:ascii="仿宋_GB2312" w:hAnsi="宋体" w:eastAsia="仿宋_GB2312"/>
                <w:color w:val="auto"/>
                <w:kern w:val="0"/>
                <w:sz w:val="13"/>
                <w:szCs w:val="13"/>
                <w:highlight w:val="none"/>
              </w:rPr>
              <w:t>单位及相关责任人受到处罚的，作为不良行为记录予以通报。</w:t>
            </w:r>
          </w:p>
        </w:tc>
        <w:tc>
          <w:tcPr>
            <w:tcW w:w="823" w:type="dxa"/>
            <w:tcBorders>
              <w:tl2br w:val="nil"/>
              <w:tr2bl w:val="nil"/>
            </w:tcBorders>
            <w:vAlign w:val="center"/>
          </w:tcPr>
          <w:p w14:paraId="47BF721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vAlign w:val="center"/>
          </w:tcPr>
          <w:p w14:paraId="10DB55D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初次违法，危害后果轻微，主动消除或减轻违法行为危害后果的。</w:t>
            </w:r>
          </w:p>
        </w:tc>
        <w:tc>
          <w:tcPr>
            <w:tcW w:w="3058" w:type="dxa"/>
            <w:tcBorders>
              <w:tl2br w:val="nil"/>
              <w:tr2bl w:val="nil"/>
            </w:tcBorders>
            <w:vAlign w:val="center"/>
          </w:tcPr>
          <w:p w14:paraId="00482515">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责令停止施工，并</w:t>
            </w:r>
            <w:r>
              <w:rPr>
                <w:rFonts w:ascii="仿宋_GB2312" w:hAnsi="宋体" w:eastAsia="仿宋_GB2312"/>
                <w:color w:val="auto"/>
                <w:kern w:val="0"/>
                <w:sz w:val="13"/>
                <w:szCs w:val="13"/>
                <w:highlight w:val="none"/>
              </w:rPr>
              <w:t>处1万元以上</w:t>
            </w:r>
            <w:r>
              <w:rPr>
                <w:rFonts w:hint="eastAsia" w:ascii="仿宋_GB2312" w:hAnsi="宋体" w:eastAsia="仿宋_GB2312"/>
                <w:color w:val="auto"/>
                <w:kern w:val="0"/>
                <w:sz w:val="13"/>
                <w:szCs w:val="13"/>
                <w:highlight w:val="none"/>
              </w:rPr>
              <w:t>1.5</w:t>
            </w:r>
            <w:r>
              <w:rPr>
                <w:rFonts w:ascii="仿宋_GB2312" w:hAnsi="宋体" w:eastAsia="仿宋_GB2312"/>
                <w:color w:val="auto"/>
                <w:kern w:val="0"/>
                <w:sz w:val="13"/>
                <w:szCs w:val="13"/>
                <w:highlight w:val="none"/>
              </w:rPr>
              <w:t>万元以下罚款</w:t>
            </w:r>
            <w:r>
              <w:rPr>
                <w:rFonts w:hint="eastAsia" w:ascii="仿宋_GB2312" w:hAnsi="宋体" w:eastAsia="仿宋_GB2312"/>
                <w:color w:val="auto"/>
                <w:kern w:val="0"/>
                <w:sz w:val="13"/>
                <w:szCs w:val="13"/>
                <w:highlight w:val="none"/>
              </w:rPr>
              <w:t>；</w:t>
            </w:r>
            <w:r>
              <w:rPr>
                <w:rFonts w:ascii="仿宋_GB2312" w:hAnsi="宋体" w:eastAsia="仿宋_GB2312"/>
                <w:color w:val="auto"/>
                <w:kern w:val="0"/>
                <w:sz w:val="13"/>
                <w:szCs w:val="13"/>
                <w:highlight w:val="none"/>
              </w:rPr>
              <w:t>对单位直接负责的主管人员和其他直接责任人员处单位罚款数额</w:t>
            </w:r>
            <w:r>
              <w:rPr>
                <w:rFonts w:hint="eastAsia" w:ascii="仿宋_GB2312" w:hAnsi="宋体" w:eastAsia="仿宋_GB2312"/>
                <w:color w:val="auto"/>
                <w:kern w:val="0"/>
                <w:sz w:val="13"/>
                <w:szCs w:val="13"/>
                <w:highlight w:val="none"/>
              </w:rPr>
              <w:t>百分之五</w:t>
            </w:r>
            <w:r>
              <w:rPr>
                <w:rFonts w:ascii="仿宋_GB2312" w:hAnsi="宋体" w:eastAsia="仿宋_GB2312"/>
                <w:color w:val="auto"/>
                <w:kern w:val="0"/>
                <w:sz w:val="13"/>
                <w:szCs w:val="13"/>
                <w:highlight w:val="none"/>
              </w:rPr>
              <w:t>以上</w:t>
            </w:r>
            <w:r>
              <w:rPr>
                <w:rFonts w:hint="eastAsia" w:ascii="仿宋_GB2312" w:hAnsi="宋体" w:eastAsia="仿宋_GB2312"/>
                <w:color w:val="auto"/>
                <w:kern w:val="0"/>
                <w:sz w:val="13"/>
                <w:szCs w:val="13"/>
                <w:highlight w:val="none"/>
              </w:rPr>
              <w:t>百分之六</w:t>
            </w:r>
            <w:r>
              <w:rPr>
                <w:rFonts w:ascii="仿宋_GB2312" w:hAnsi="宋体" w:eastAsia="仿宋_GB2312"/>
                <w:color w:val="auto"/>
                <w:kern w:val="0"/>
                <w:sz w:val="13"/>
                <w:szCs w:val="13"/>
                <w:highlight w:val="none"/>
              </w:rPr>
              <w:t>以下罚款</w:t>
            </w:r>
            <w:r>
              <w:rPr>
                <w:rFonts w:hint="eastAsia" w:ascii="仿宋_GB2312" w:hAnsi="宋体" w:eastAsia="仿宋_GB2312"/>
                <w:color w:val="auto"/>
                <w:kern w:val="0"/>
                <w:sz w:val="13"/>
                <w:szCs w:val="13"/>
                <w:highlight w:val="none"/>
              </w:rPr>
              <w:t>，</w:t>
            </w:r>
            <w:r>
              <w:rPr>
                <w:rFonts w:ascii="仿宋_GB2312" w:hAnsi="宋体" w:eastAsia="仿宋_GB2312"/>
                <w:color w:val="auto"/>
                <w:kern w:val="0"/>
                <w:sz w:val="13"/>
                <w:szCs w:val="13"/>
                <w:highlight w:val="none"/>
              </w:rPr>
              <w:t>单位及相关责任人受到处罚的，作为不良行为记录予以通报</w:t>
            </w:r>
            <w:r>
              <w:rPr>
                <w:rFonts w:hint="eastAsia" w:ascii="仿宋_GB2312" w:hAnsi="宋体" w:eastAsia="仿宋_GB2312"/>
                <w:color w:val="auto"/>
                <w:kern w:val="0"/>
                <w:sz w:val="13"/>
                <w:szCs w:val="13"/>
                <w:highlight w:val="none"/>
              </w:rPr>
              <w:t>。</w:t>
            </w:r>
          </w:p>
        </w:tc>
      </w:tr>
      <w:tr w14:paraId="7ABA7E2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16" w:hRule="atLeast"/>
          <w:jc w:val="center"/>
        </w:trPr>
        <w:tc>
          <w:tcPr>
            <w:tcW w:w="443" w:type="dxa"/>
            <w:gridSpan w:val="2"/>
            <w:vMerge w:val="continue"/>
            <w:tcBorders>
              <w:tl2br w:val="nil"/>
              <w:tr2bl w:val="nil"/>
            </w:tcBorders>
            <w:vAlign w:val="center"/>
          </w:tcPr>
          <w:p w14:paraId="11F022F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678BD93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tcPr>
          <w:p w14:paraId="6F2B5EF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tcBorders>
              <w:tl2br w:val="nil"/>
              <w:tr2bl w:val="nil"/>
            </w:tcBorders>
            <w:vAlign w:val="center"/>
          </w:tcPr>
          <w:p w14:paraId="3393001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一般情节</w:t>
            </w:r>
          </w:p>
        </w:tc>
        <w:tc>
          <w:tcPr>
            <w:tcW w:w="3437" w:type="dxa"/>
            <w:gridSpan w:val="2"/>
            <w:tcBorders>
              <w:tl2br w:val="nil"/>
              <w:tr2bl w:val="nil"/>
            </w:tcBorders>
            <w:vAlign w:val="center"/>
          </w:tcPr>
          <w:p w14:paraId="00176D5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不具有从轻、</w:t>
            </w:r>
            <w:r>
              <w:rPr>
                <w:rFonts w:hint="eastAsia" w:ascii="仿宋_GB2312" w:hAnsi="宋体" w:eastAsia="仿宋_GB2312"/>
                <w:color w:val="auto"/>
                <w:kern w:val="0"/>
                <w:sz w:val="13"/>
                <w:szCs w:val="13"/>
                <w:highlight w:val="none"/>
                <w:lang w:eastAsia="zh-CN"/>
              </w:rPr>
              <w:t>从重情节</w:t>
            </w:r>
            <w:r>
              <w:rPr>
                <w:rFonts w:hint="eastAsia" w:ascii="仿宋_GB2312" w:hAnsi="宋体" w:eastAsia="仿宋_GB2312"/>
                <w:color w:val="auto"/>
                <w:kern w:val="0"/>
                <w:sz w:val="13"/>
                <w:szCs w:val="13"/>
                <w:highlight w:val="none"/>
              </w:rPr>
              <w:t>的。</w:t>
            </w:r>
          </w:p>
        </w:tc>
        <w:tc>
          <w:tcPr>
            <w:tcW w:w="3058" w:type="dxa"/>
            <w:tcBorders>
              <w:tl2br w:val="nil"/>
              <w:tr2bl w:val="nil"/>
            </w:tcBorders>
            <w:vAlign w:val="center"/>
          </w:tcPr>
          <w:p w14:paraId="46170C78">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责令停止施工，并</w:t>
            </w:r>
            <w:r>
              <w:rPr>
                <w:rFonts w:ascii="仿宋_GB2312" w:hAnsi="宋体" w:eastAsia="仿宋_GB2312"/>
                <w:color w:val="auto"/>
                <w:kern w:val="0"/>
                <w:sz w:val="13"/>
                <w:szCs w:val="13"/>
                <w:highlight w:val="none"/>
              </w:rPr>
              <w:t>处</w:t>
            </w:r>
            <w:r>
              <w:rPr>
                <w:rFonts w:hint="eastAsia" w:ascii="仿宋_GB2312" w:hAnsi="宋体" w:eastAsia="仿宋_GB2312"/>
                <w:color w:val="auto"/>
                <w:kern w:val="0"/>
                <w:sz w:val="13"/>
                <w:szCs w:val="13"/>
                <w:highlight w:val="none"/>
              </w:rPr>
              <w:t>1.5</w:t>
            </w:r>
            <w:r>
              <w:rPr>
                <w:rFonts w:ascii="仿宋_GB2312" w:hAnsi="宋体" w:eastAsia="仿宋_GB2312"/>
                <w:color w:val="auto"/>
                <w:kern w:val="0"/>
                <w:sz w:val="13"/>
                <w:szCs w:val="13"/>
                <w:highlight w:val="none"/>
              </w:rPr>
              <w:t>万元以上</w:t>
            </w:r>
            <w:r>
              <w:rPr>
                <w:rFonts w:hint="eastAsia" w:ascii="仿宋_GB2312" w:hAnsi="宋体" w:eastAsia="仿宋_GB2312"/>
                <w:color w:val="auto"/>
                <w:kern w:val="0"/>
                <w:sz w:val="13"/>
                <w:szCs w:val="13"/>
                <w:highlight w:val="none"/>
              </w:rPr>
              <w:t>2.5</w:t>
            </w:r>
            <w:r>
              <w:rPr>
                <w:rFonts w:ascii="仿宋_GB2312" w:hAnsi="宋体" w:eastAsia="仿宋_GB2312"/>
                <w:color w:val="auto"/>
                <w:kern w:val="0"/>
                <w:sz w:val="13"/>
                <w:szCs w:val="13"/>
                <w:highlight w:val="none"/>
              </w:rPr>
              <w:t>万元以下罚款</w:t>
            </w:r>
            <w:r>
              <w:rPr>
                <w:rFonts w:hint="eastAsia" w:ascii="仿宋_GB2312" w:hAnsi="宋体" w:eastAsia="仿宋_GB2312"/>
                <w:color w:val="auto"/>
                <w:kern w:val="0"/>
                <w:sz w:val="13"/>
                <w:szCs w:val="13"/>
                <w:highlight w:val="none"/>
              </w:rPr>
              <w:t>；</w:t>
            </w:r>
            <w:r>
              <w:rPr>
                <w:rFonts w:ascii="仿宋_GB2312" w:hAnsi="宋体" w:eastAsia="仿宋_GB2312"/>
                <w:color w:val="auto"/>
                <w:kern w:val="0"/>
                <w:sz w:val="13"/>
                <w:szCs w:val="13"/>
                <w:highlight w:val="none"/>
              </w:rPr>
              <w:t>对单位直接负责的主管人员和其他直接责任人员处单位罚款数额</w:t>
            </w:r>
            <w:r>
              <w:rPr>
                <w:rFonts w:hint="eastAsia" w:ascii="仿宋_GB2312" w:hAnsi="宋体" w:eastAsia="仿宋_GB2312"/>
                <w:color w:val="auto"/>
                <w:kern w:val="0"/>
                <w:sz w:val="13"/>
                <w:szCs w:val="13"/>
                <w:highlight w:val="none"/>
              </w:rPr>
              <w:t>百分之六</w:t>
            </w:r>
            <w:r>
              <w:rPr>
                <w:rFonts w:ascii="仿宋_GB2312" w:hAnsi="宋体" w:eastAsia="仿宋_GB2312"/>
                <w:color w:val="auto"/>
                <w:kern w:val="0"/>
                <w:sz w:val="13"/>
                <w:szCs w:val="13"/>
                <w:highlight w:val="none"/>
              </w:rPr>
              <w:t>以上</w:t>
            </w:r>
            <w:r>
              <w:rPr>
                <w:rFonts w:hint="eastAsia" w:ascii="仿宋_GB2312" w:hAnsi="宋体" w:eastAsia="仿宋_GB2312"/>
                <w:color w:val="auto"/>
                <w:kern w:val="0"/>
                <w:sz w:val="13"/>
                <w:szCs w:val="13"/>
                <w:highlight w:val="none"/>
              </w:rPr>
              <w:t>百分之八点五</w:t>
            </w:r>
            <w:r>
              <w:rPr>
                <w:rFonts w:ascii="仿宋_GB2312" w:hAnsi="宋体" w:eastAsia="仿宋_GB2312"/>
                <w:color w:val="auto"/>
                <w:kern w:val="0"/>
                <w:sz w:val="13"/>
                <w:szCs w:val="13"/>
                <w:highlight w:val="none"/>
              </w:rPr>
              <w:t>以下罚款</w:t>
            </w:r>
            <w:r>
              <w:rPr>
                <w:rFonts w:hint="eastAsia" w:ascii="仿宋_GB2312" w:hAnsi="宋体" w:eastAsia="仿宋_GB2312"/>
                <w:color w:val="auto"/>
                <w:kern w:val="0"/>
                <w:sz w:val="13"/>
                <w:szCs w:val="13"/>
                <w:highlight w:val="none"/>
              </w:rPr>
              <w:t>，</w:t>
            </w:r>
            <w:r>
              <w:rPr>
                <w:rFonts w:ascii="仿宋_GB2312" w:hAnsi="宋体" w:eastAsia="仿宋_GB2312"/>
                <w:color w:val="auto"/>
                <w:kern w:val="0"/>
                <w:sz w:val="13"/>
                <w:szCs w:val="13"/>
                <w:highlight w:val="none"/>
              </w:rPr>
              <w:t>单位及相关责任人受到处罚的，作为不良行为记录予以通报</w:t>
            </w:r>
            <w:r>
              <w:rPr>
                <w:rFonts w:hint="eastAsia" w:ascii="仿宋_GB2312" w:hAnsi="宋体" w:eastAsia="仿宋_GB2312"/>
                <w:color w:val="auto"/>
                <w:kern w:val="0"/>
                <w:sz w:val="13"/>
                <w:szCs w:val="13"/>
                <w:highlight w:val="none"/>
              </w:rPr>
              <w:t>。</w:t>
            </w:r>
          </w:p>
        </w:tc>
      </w:tr>
      <w:tr w14:paraId="11C9755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16" w:hRule="atLeast"/>
          <w:jc w:val="center"/>
        </w:trPr>
        <w:tc>
          <w:tcPr>
            <w:tcW w:w="443" w:type="dxa"/>
            <w:gridSpan w:val="2"/>
            <w:vMerge w:val="continue"/>
            <w:tcBorders>
              <w:tl2br w:val="nil"/>
              <w:tr2bl w:val="nil"/>
            </w:tcBorders>
            <w:vAlign w:val="center"/>
          </w:tcPr>
          <w:p w14:paraId="37EAF7F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6E9BE13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vAlign w:val="center"/>
          </w:tcPr>
          <w:p w14:paraId="792EEC8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tcBorders>
              <w:tl2br w:val="nil"/>
              <w:tr2bl w:val="nil"/>
            </w:tcBorders>
            <w:vAlign w:val="center"/>
          </w:tcPr>
          <w:p w14:paraId="1723EF7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从重情节</w:t>
            </w:r>
          </w:p>
        </w:tc>
        <w:tc>
          <w:tcPr>
            <w:tcW w:w="3437" w:type="dxa"/>
            <w:gridSpan w:val="2"/>
            <w:tcBorders>
              <w:tl2br w:val="nil"/>
              <w:tr2bl w:val="nil"/>
            </w:tcBorders>
            <w:vAlign w:val="center"/>
          </w:tcPr>
          <w:p w14:paraId="55C2D97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（1）曾因该违法行为被依法查处，再次实施该违法行为的；</w:t>
            </w:r>
          </w:p>
          <w:p w14:paraId="09227CE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（2）造成工程质量事故的；</w:t>
            </w:r>
          </w:p>
          <w:p w14:paraId="33BDD4E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（3）其他依法应予从重处罚的情形。</w:t>
            </w:r>
          </w:p>
        </w:tc>
        <w:tc>
          <w:tcPr>
            <w:tcW w:w="3058" w:type="dxa"/>
            <w:tcBorders>
              <w:tl2br w:val="nil"/>
              <w:tr2bl w:val="nil"/>
            </w:tcBorders>
            <w:vAlign w:val="center"/>
          </w:tcPr>
          <w:p w14:paraId="68342E09">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责令停止施工，并</w:t>
            </w:r>
            <w:r>
              <w:rPr>
                <w:rFonts w:ascii="仿宋_GB2312" w:hAnsi="宋体" w:eastAsia="仿宋_GB2312"/>
                <w:color w:val="auto"/>
                <w:kern w:val="0"/>
                <w:sz w:val="13"/>
                <w:szCs w:val="13"/>
                <w:highlight w:val="none"/>
              </w:rPr>
              <w:t>处</w:t>
            </w:r>
            <w:r>
              <w:rPr>
                <w:rFonts w:hint="eastAsia" w:ascii="仿宋_GB2312" w:hAnsi="宋体" w:eastAsia="仿宋_GB2312"/>
                <w:color w:val="auto"/>
                <w:kern w:val="0"/>
                <w:sz w:val="13"/>
                <w:szCs w:val="13"/>
                <w:highlight w:val="none"/>
              </w:rPr>
              <w:t>2.5</w:t>
            </w:r>
            <w:r>
              <w:rPr>
                <w:rFonts w:ascii="仿宋_GB2312" w:hAnsi="宋体" w:eastAsia="仿宋_GB2312"/>
                <w:color w:val="auto"/>
                <w:kern w:val="0"/>
                <w:sz w:val="13"/>
                <w:szCs w:val="13"/>
                <w:highlight w:val="none"/>
              </w:rPr>
              <w:t>万元以上</w:t>
            </w:r>
            <w:r>
              <w:rPr>
                <w:rFonts w:hint="eastAsia" w:ascii="仿宋_GB2312" w:hAnsi="宋体" w:eastAsia="仿宋_GB2312"/>
                <w:color w:val="auto"/>
                <w:kern w:val="0"/>
                <w:sz w:val="13"/>
                <w:szCs w:val="13"/>
                <w:highlight w:val="none"/>
              </w:rPr>
              <w:t>3</w:t>
            </w:r>
            <w:r>
              <w:rPr>
                <w:rFonts w:ascii="仿宋_GB2312" w:hAnsi="宋体" w:eastAsia="仿宋_GB2312"/>
                <w:color w:val="auto"/>
                <w:kern w:val="0"/>
                <w:sz w:val="13"/>
                <w:szCs w:val="13"/>
                <w:highlight w:val="none"/>
              </w:rPr>
              <w:t>万元以下罚款</w:t>
            </w:r>
            <w:r>
              <w:rPr>
                <w:rFonts w:hint="eastAsia" w:ascii="仿宋_GB2312" w:hAnsi="宋体" w:eastAsia="仿宋_GB2312"/>
                <w:color w:val="auto"/>
                <w:kern w:val="0"/>
                <w:sz w:val="13"/>
                <w:szCs w:val="13"/>
                <w:highlight w:val="none"/>
              </w:rPr>
              <w:t>；</w:t>
            </w:r>
            <w:r>
              <w:rPr>
                <w:rFonts w:ascii="仿宋_GB2312" w:hAnsi="宋体" w:eastAsia="仿宋_GB2312"/>
                <w:color w:val="auto"/>
                <w:kern w:val="0"/>
                <w:sz w:val="13"/>
                <w:szCs w:val="13"/>
                <w:highlight w:val="none"/>
              </w:rPr>
              <w:t>对单位直接负责的主管人员和其他直接责任人员处单位罚款数额</w:t>
            </w:r>
            <w:r>
              <w:rPr>
                <w:rFonts w:hint="eastAsia" w:ascii="仿宋_GB2312" w:hAnsi="宋体" w:eastAsia="仿宋_GB2312"/>
                <w:color w:val="auto"/>
                <w:kern w:val="0"/>
                <w:sz w:val="13"/>
                <w:szCs w:val="13"/>
                <w:highlight w:val="none"/>
              </w:rPr>
              <w:t>百分之八点五</w:t>
            </w:r>
            <w:r>
              <w:rPr>
                <w:rFonts w:ascii="仿宋_GB2312" w:hAnsi="宋体" w:eastAsia="仿宋_GB2312"/>
                <w:color w:val="auto"/>
                <w:kern w:val="0"/>
                <w:sz w:val="13"/>
                <w:szCs w:val="13"/>
                <w:highlight w:val="none"/>
              </w:rPr>
              <w:t>以上</w:t>
            </w:r>
            <w:r>
              <w:rPr>
                <w:rFonts w:hint="eastAsia" w:ascii="仿宋_GB2312" w:hAnsi="宋体" w:eastAsia="仿宋_GB2312"/>
                <w:color w:val="auto"/>
                <w:kern w:val="0"/>
                <w:sz w:val="13"/>
                <w:szCs w:val="13"/>
                <w:highlight w:val="none"/>
              </w:rPr>
              <w:t>百分之十</w:t>
            </w:r>
            <w:r>
              <w:rPr>
                <w:rFonts w:ascii="仿宋_GB2312" w:hAnsi="宋体" w:eastAsia="仿宋_GB2312"/>
                <w:color w:val="auto"/>
                <w:kern w:val="0"/>
                <w:sz w:val="13"/>
                <w:szCs w:val="13"/>
                <w:highlight w:val="none"/>
              </w:rPr>
              <w:t>以下罚款</w:t>
            </w:r>
            <w:r>
              <w:rPr>
                <w:rFonts w:hint="eastAsia" w:ascii="仿宋_GB2312" w:hAnsi="宋体" w:eastAsia="仿宋_GB2312"/>
                <w:color w:val="auto"/>
                <w:kern w:val="0"/>
                <w:sz w:val="13"/>
                <w:szCs w:val="13"/>
                <w:highlight w:val="none"/>
              </w:rPr>
              <w:t>，</w:t>
            </w:r>
            <w:r>
              <w:rPr>
                <w:rFonts w:ascii="仿宋_GB2312" w:hAnsi="宋体" w:eastAsia="仿宋_GB2312"/>
                <w:color w:val="auto"/>
                <w:kern w:val="0"/>
                <w:sz w:val="13"/>
                <w:szCs w:val="13"/>
                <w:highlight w:val="none"/>
              </w:rPr>
              <w:t>单位及相关责任人受到处罚的，作为不良行为记录予以通报</w:t>
            </w:r>
            <w:r>
              <w:rPr>
                <w:rFonts w:hint="eastAsia" w:ascii="仿宋_GB2312" w:hAnsi="宋体" w:eastAsia="仿宋_GB2312"/>
                <w:color w:val="auto"/>
                <w:kern w:val="0"/>
                <w:sz w:val="13"/>
                <w:szCs w:val="13"/>
                <w:highlight w:val="none"/>
              </w:rPr>
              <w:t>。</w:t>
            </w:r>
          </w:p>
        </w:tc>
      </w:tr>
      <w:tr w14:paraId="1693036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49" w:hRule="atLeast"/>
          <w:jc w:val="center"/>
        </w:trPr>
        <w:tc>
          <w:tcPr>
            <w:tcW w:w="443" w:type="dxa"/>
            <w:gridSpan w:val="2"/>
            <w:vMerge w:val="restart"/>
            <w:tcBorders>
              <w:tl2br w:val="nil"/>
              <w:tr2bl w:val="nil"/>
            </w:tcBorders>
            <w:vAlign w:val="center"/>
          </w:tcPr>
          <w:p w14:paraId="092263BC">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olor w:val="auto"/>
                <w:kern w:val="0"/>
                <w:sz w:val="13"/>
                <w:szCs w:val="13"/>
                <w:highlight w:val="none"/>
                <w:lang w:val="en-US"/>
              </w:rPr>
            </w:pPr>
            <w:r>
              <w:rPr>
                <w:rFonts w:hint="default" w:ascii="仿宋_GB2312" w:hAnsi="宋体" w:eastAsia="仿宋_GB2312" w:cs="仿宋_GB2312"/>
                <w:i w:val="0"/>
                <w:color w:val="auto"/>
                <w:kern w:val="0"/>
                <w:sz w:val="13"/>
                <w:szCs w:val="13"/>
                <w:highlight w:val="none"/>
                <w:u w:val="none"/>
                <w:lang w:val="en-US" w:eastAsia="zh-CN" w:bidi="ar"/>
              </w:rPr>
              <w:t>1</w:t>
            </w:r>
            <w:r>
              <w:rPr>
                <w:rFonts w:hint="eastAsia" w:ascii="仿宋_GB2312" w:hAnsi="宋体" w:eastAsia="仿宋_GB2312" w:cs="仿宋_GB2312"/>
                <w:i w:val="0"/>
                <w:color w:val="auto"/>
                <w:kern w:val="0"/>
                <w:sz w:val="13"/>
                <w:szCs w:val="13"/>
                <w:highlight w:val="none"/>
                <w:u w:val="none"/>
                <w:lang w:val="en-US" w:eastAsia="zh-CN" w:bidi="ar"/>
              </w:rPr>
              <w:t>12</w:t>
            </w:r>
          </w:p>
        </w:tc>
        <w:tc>
          <w:tcPr>
            <w:tcW w:w="1550" w:type="dxa"/>
            <w:vMerge w:val="restart"/>
            <w:tcBorders>
              <w:tl2br w:val="nil"/>
              <w:tr2bl w:val="nil"/>
            </w:tcBorders>
            <w:vAlign w:val="center"/>
          </w:tcPr>
          <w:p w14:paraId="021B802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p>
          <w:p w14:paraId="530998C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建设单位对勘察、设计、施工、工程监理等单位提出不符合安全生产法律、法规和强制性标准规定的要求</w:t>
            </w:r>
          </w:p>
        </w:tc>
        <w:tc>
          <w:tcPr>
            <w:tcW w:w="4820" w:type="dxa"/>
            <w:vMerge w:val="restart"/>
            <w:tcBorders>
              <w:tl2br w:val="nil"/>
              <w:tr2bl w:val="nil"/>
            </w:tcBorders>
            <w:vAlign w:val="center"/>
          </w:tcPr>
          <w:p w14:paraId="443EA6B3">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《建设工程安全生产管理条例》</w:t>
            </w:r>
          </w:p>
          <w:p w14:paraId="7C691CBF">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rPr>
              <w:t>第五十五条</w:t>
            </w:r>
            <w:r>
              <w:rPr>
                <w:rFonts w:hint="eastAsia" w:ascii="仿宋_GB2312" w:hAnsi="宋体" w:eastAsia="仿宋_GB2312"/>
                <w:color w:val="auto"/>
                <w:kern w:val="0"/>
                <w:sz w:val="13"/>
                <w:szCs w:val="13"/>
                <w:highlight w:val="none"/>
                <w:lang w:eastAsia="zh-CN"/>
              </w:rPr>
              <w:t>（</w:t>
            </w:r>
            <w:r>
              <w:rPr>
                <w:rFonts w:hint="eastAsia" w:ascii="仿宋_GB2312" w:hAnsi="宋体" w:eastAsia="仿宋_GB2312"/>
                <w:color w:val="auto"/>
                <w:kern w:val="0"/>
                <w:sz w:val="13"/>
                <w:szCs w:val="13"/>
                <w:highlight w:val="none"/>
                <w:lang w:val="en-US" w:eastAsia="zh-CN"/>
              </w:rPr>
              <w:t>一</w:t>
            </w:r>
            <w:r>
              <w:rPr>
                <w:rFonts w:hint="eastAsia" w:ascii="仿宋_GB2312" w:hAnsi="宋体" w:eastAsia="仿宋_GB2312"/>
                <w:color w:val="auto"/>
                <w:kern w:val="0"/>
                <w:sz w:val="13"/>
                <w:szCs w:val="13"/>
                <w:highlight w:val="none"/>
                <w:lang w:eastAsia="zh-CN"/>
              </w:rPr>
              <w:t>）</w:t>
            </w:r>
            <w:r>
              <w:rPr>
                <w:rFonts w:hint="eastAsia" w:ascii="仿宋_GB2312" w:hAnsi="宋体" w:eastAsia="仿宋_GB2312"/>
                <w:color w:val="auto"/>
                <w:kern w:val="0"/>
                <w:sz w:val="13"/>
                <w:szCs w:val="13"/>
                <w:highlight w:val="none"/>
              </w:rPr>
              <w:t>项违反本条例的规定，建设单位有下列行为之一的，责令限期改正，处20万元以上50万元以下的罚款；造成重大安全事故，构成犯罪的，对直接责任人员，依照刑法有关规定追究刑事责任；造成损失的，依法承担赔偿责任：</w:t>
            </w:r>
          </w:p>
          <w:p w14:paraId="18D9DD1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(一)对勘察、设计、施工、工程监理等单位提出不符合安全生产法律、法规和强制性标准规定的要求的；</w:t>
            </w:r>
          </w:p>
        </w:tc>
        <w:tc>
          <w:tcPr>
            <w:tcW w:w="823" w:type="dxa"/>
            <w:tcBorders>
              <w:tl2br w:val="nil"/>
              <w:tr2bl w:val="nil"/>
            </w:tcBorders>
            <w:vAlign w:val="center"/>
          </w:tcPr>
          <w:p w14:paraId="1080477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vAlign w:val="center"/>
          </w:tcPr>
          <w:p w14:paraId="315D613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初次违法，危害后果轻微，主动消除或减轻违法行为危害后果的。</w:t>
            </w:r>
          </w:p>
        </w:tc>
        <w:tc>
          <w:tcPr>
            <w:tcW w:w="3058" w:type="dxa"/>
            <w:tcBorders>
              <w:tl2br w:val="nil"/>
              <w:tr2bl w:val="nil"/>
            </w:tcBorders>
            <w:vAlign w:val="center"/>
          </w:tcPr>
          <w:p w14:paraId="314AC291">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责令限期改正，处20万元以上</w:t>
            </w:r>
            <w:r>
              <w:rPr>
                <w:rFonts w:hint="eastAsia" w:ascii="仿宋_GB2312" w:hAnsi="宋体" w:eastAsia="仿宋_GB2312"/>
                <w:color w:val="auto"/>
                <w:kern w:val="0"/>
                <w:sz w:val="13"/>
                <w:szCs w:val="13"/>
                <w:highlight w:val="none"/>
                <w:lang w:val="en-US" w:eastAsia="zh-CN"/>
              </w:rPr>
              <w:t>30</w:t>
            </w:r>
            <w:r>
              <w:rPr>
                <w:rFonts w:hint="eastAsia" w:ascii="仿宋_GB2312" w:hAnsi="宋体" w:eastAsia="仿宋_GB2312"/>
                <w:color w:val="auto"/>
                <w:kern w:val="0"/>
                <w:sz w:val="13"/>
                <w:szCs w:val="13"/>
                <w:highlight w:val="none"/>
              </w:rPr>
              <w:t>万元以下的罚款。</w:t>
            </w:r>
          </w:p>
        </w:tc>
      </w:tr>
      <w:tr w14:paraId="497D59C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425" w:hRule="atLeast"/>
          <w:jc w:val="center"/>
        </w:trPr>
        <w:tc>
          <w:tcPr>
            <w:tcW w:w="443" w:type="dxa"/>
            <w:gridSpan w:val="2"/>
            <w:vMerge w:val="continue"/>
            <w:tcBorders>
              <w:tl2br w:val="nil"/>
              <w:tr2bl w:val="nil"/>
            </w:tcBorders>
            <w:vAlign w:val="center"/>
          </w:tcPr>
          <w:p w14:paraId="7C1AF98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仿宋" w:eastAsia="仿宋_GB2312" w:cs="Times New Roman"/>
                <w:color w:val="auto"/>
                <w:kern w:val="0"/>
                <w:sz w:val="13"/>
                <w:szCs w:val="13"/>
                <w:highlight w:val="none"/>
              </w:rPr>
            </w:pPr>
          </w:p>
        </w:tc>
        <w:tc>
          <w:tcPr>
            <w:tcW w:w="1550" w:type="dxa"/>
            <w:vMerge w:val="continue"/>
            <w:tcBorders>
              <w:tl2br w:val="nil"/>
              <w:tr2bl w:val="nil"/>
            </w:tcBorders>
            <w:vAlign w:val="center"/>
          </w:tcPr>
          <w:p w14:paraId="49D922B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vAlign w:val="center"/>
          </w:tcPr>
          <w:p w14:paraId="16CC29B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823" w:type="dxa"/>
            <w:tcBorders>
              <w:tl2br w:val="nil"/>
              <w:tr2bl w:val="nil"/>
            </w:tcBorders>
            <w:vAlign w:val="center"/>
          </w:tcPr>
          <w:p w14:paraId="143AAB5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一般情节</w:t>
            </w:r>
          </w:p>
        </w:tc>
        <w:tc>
          <w:tcPr>
            <w:tcW w:w="3437" w:type="dxa"/>
            <w:gridSpan w:val="2"/>
            <w:tcBorders>
              <w:tl2br w:val="nil"/>
              <w:tr2bl w:val="nil"/>
            </w:tcBorders>
            <w:vAlign w:val="center"/>
          </w:tcPr>
          <w:p w14:paraId="40A45CF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不具有从轻、</w:t>
            </w:r>
            <w:r>
              <w:rPr>
                <w:rFonts w:hint="eastAsia" w:ascii="仿宋_GB2312" w:hAnsi="宋体" w:eastAsia="仿宋_GB2312"/>
                <w:color w:val="auto"/>
                <w:kern w:val="0"/>
                <w:sz w:val="13"/>
                <w:szCs w:val="13"/>
                <w:highlight w:val="none"/>
                <w:lang w:eastAsia="zh-CN"/>
              </w:rPr>
              <w:t>从重情节</w:t>
            </w:r>
            <w:r>
              <w:rPr>
                <w:rFonts w:hint="eastAsia" w:ascii="仿宋_GB2312" w:hAnsi="宋体" w:eastAsia="仿宋_GB2312"/>
                <w:color w:val="auto"/>
                <w:kern w:val="0"/>
                <w:sz w:val="13"/>
                <w:szCs w:val="13"/>
                <w:highlight w:val="none"/>
              </w:rPr>
              <w:t>的。</w:t>
            </w:r>
          </w:p>
        </w:tc>
        <w:tc>
          <w:tcPr>
            <w:tcW w:w="3058" w:type="dxa"/>
            <w:tcBorders>
              <w:tl2br w:val="nil"/>
              <w:tr2bl w:val="nil"/>
            </w:tcBorders>
            <w:vAlign w:val="center"/>
          </w:tcPr>
          <w:p w14:paraId="37AAFA54">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责令限期改正，处</w:t>
            </w:r>
            <w:r>
              <w:rPr>
                <w:rFonts w:hint="eastAsia" w:ascii="仿宋_GB2312" w:hAnsi="宋体" w:eastAsia="仿宋_GB2312"/>
                <w:color w:val="auto"/>
                <w:kern w:val="0"/>
                <w:sz w:val="13"/>
                <w:szCs w:val="13"/>
                <w:highlight w:val="none"/>
                <w:lang w:val="en-US" w:eastAsia="zh-CN"/>
              </w:rPr>
              <w:t>30</w:t>
            </w:r>
            <w:r>
              <w:rPr>
                <w:rFonts w:hint="eastAsia" w:ascii="仿宋_GB2312" w:hAnsi="宋体" w:eastAsia="仿宋_GB2312"/>
                <w:color w:val="auto"/>
                <w:kern w:val="0"/>
                <w:sz w:val="13"/>
                <w:szCs w:val="13"/>
                <w:highlight w:val="none"/>
              </w:rPr>
              <w:t>万元以上40万元以下的罚款。</w:t>
            </w:r>
          </w:p>
        </w:tc>
      </w:tr>
      <w:tr w14:paraId="51F00D0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472" w:hRule="atLeast"/>
          <w:jc w:val="center"/>
        </w:trPr>
        <w:tc>
          <w:tcPr>
            <w:tcW w:w="443" w:type="dxa"/>
            <w:gridSpan w:val="2"/>
            <w:vMerge w:val="continue"/>
            <w:tcBorders>
              <w:tl2br w:val="nil"/>
              <w:tr2bl w:val="nil"/>
            </w:tcBorders>
            <w:vAlign w:val="center"/>
          </w:tcPr>
          <w:p w14:paraId="7382812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仿宋" w:eastAsia="仿宋_GB2312" w:cs="Times New Roman"/>
                <w:color w:val="auto"/>
                <w:kern w:val="0"/>
                <w:sz w:val="13"/>
                <w:szCs w:val="13"/>
                <w:highlight w:val="none"/>
              </w:rPr>
            </w:pPr>
          </w:p>
        </w:tc>
        <w:tc>
          <w:tcPr>
            <w:tcW w:w="1550" w:type="dxa"/>
            <w:vMerge w:val="continue"/>
            <w:tcBorders>
              <w:tl2br w:val="nil"/>
              <w:tr2bl w:val="nil"/>
            </w:tcBorders>
            <w:vAlign w:val="center"/>
          </w:tcPr>
          <w:p w14:paraId="3123631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vAlign w:val="center"/>
          </w:tcPr>
          <w:p w14:paraId="7C34597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823" w:type="dxa"/>
            <w:tcBorders>
              <w:tl2br w:val="nil"/>
              <w:tr2bl w:val="nil"/>
            </w:tcBorders>
            <w:vAlign w:val="center"/>
          </w:tcPr>
          <w:p w14:paraId="057800A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从重情节</w:t>
            </w:r>
          </w:p>
        </w:tc>
        <w:tc>
          <w:tcPr>
            <w:tcW w:w="3437" w:type="dxa"/>
            <w:gridSpan w:val="2"/>
            <w:tcBorders>
              <w:tl2br w:val="nil"/>
              <w:tr2bl w:val="nil"/>
            </w:tcBorders>
            <w:vAlign w:val="center"/>
          </w:tcPr>
          <w:p w14:paraId="2BFDC83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lang w:val="en-US" w:eastAsia="zh-CN"/>
              </w:rPr>
              <w:t>有下列情形之一的：</w:t>
            </w:r>
            <w:r>
              <w:rPr>
                <w:rFonts w:hint="eastAsia" w:ascii="仿宋_GB2312" w:hAnsi="宋体" w:eastAsia="仿宋_GB2312"/>
                <w:color w:val="auto"/>
                <w:kern w:val="0"/>
                <w:sz w:val="13"/>
                <w:szCs w:val="13"/>
                <w:highlight w:val="none"/>
              </w:rPr>
              <w:t>（1）经责令改正后，逾期未改正的；</w:t>
            </w:r>
          </w:p>
          <w:p w14:paraId="2C12B00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（2）曾因该违法行为被依法查处，再次实施该违法行为的；</w:t>
            </w:r>
          </w:p>
          <w:p w14:paraId="157FB70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（3）造成工程质量事故的；</w:t>
            </w:r>
          </w:p>
          <w:p w14:paraId="15F992F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（4）其他依法应予从重处罚的情形。</w:t>
            </w:r>
          </w:p>
        </w:tc>
        <w:tc>
          <w:tcPr>
            <w:tcW w:w="3058" w:type="dxa"/>
            <w:tcBorders>
              <w:tl2br w:val="nil"/>
              <w:tr2bl w:val="nil"/>
            </w:tcBorders>
            <w:vAlign w:val="center"/>
          </w:tcPr>
          <w:p w14:paraId="4CA0269C">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责令限期改正，处40万元以上50万元以下的罚款。</w:t>
            </w:r>
          </w:p>
        </w:tc>
      </w:tr>
      <w:tr w14:paraId="6AF33DD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1" w:hRule="atLeast"/>
          <w:jc w:val="center"/>
        </w:trPr>
        <w:tc>
          <w:tcPr>
            <w:tcW w:w="443" w:type="dxa"/>
            <w:gridSpan w:val="2"/>
            <w:vMerge w:val="restart"/>
            <w:tcBorders>
              <w:tl2br w:val="nil"/>
              <w:tr2bl w:val="nil"/>
            </w:tcBorders>
            <w:vAlign w:val="center"/>
          </w:tcPr>
          <w:p w14:paraId="1FE0A7F8">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仿宋" w:eastAsia="仿宋_GB2312" w:cs="Times New Roman"/>
                <w:color w:val="auto"/>
                <w:kern w:val="0"/>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113</w:t>
            </w:r>
          </w:p>
        </w:tc>
        <w:tc>
          <w:tcPr>
            <w:tcW w:w="1550" w:type="dxa"/>
            <w:vMerge w:val="restart"/>
            <w:tcBorders>
              <w:tl2br w:val="nil"/>
              <w:tr2bl w:val="nil"/>
            </w:tcBorders>
            <w:vAlign w:val="center"/>
          </w:tcPr>
          <w:p w14:paraId="2C5B90B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建设单位将拆除工程发包给不具有相应资质等级的施工单位</w:t>
            </w:r>
          </w:p>
        </w:tc>
        <w:tc>
          <w:tcPr>
            <w:tcW w:w="4820" w:type="dxa"/>
            <w:vMerge w:val="restart"/>
            <w:tcBorders>
              <w:tl2br w:val="nil"/>
              <w:tr2bl w:val="nil"/>
            </w:tcBorders>
            <w:vAlign w:val="center"/>
          </w:tcPr>
          <w:p w14:paraId="17D07F20">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《建设工程安全生产管理条例》</w:t>
            </w:r>
          </w:p>
          <w:p w14:paraId="62EE4B30">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rPr>
              <w:t>第五十五条</w:t>
            </w:r>
            <w:r>
              <w:rPr>
                <w:rFonts w:hint="eastAsia" w:ascii="仿宋_GB2312" w:hAnsi="宋体" w:eastAsia="仿宋_GB2312"/>
                <w:color w:val="auto"/>
                <w:kern w:val="0"/>
                <w:sz w:val="13"/>
                <w:szCs w:val="13"/>
                <w:highlight w:val="none"/>
                <w:lang w:eastAsia="zh-CN"/>
              </w:rPr>
              <w:t>（</w:t>
            </w:r>
            <w:r>
              <w:rPr>
                <w:rFonts w:hint="eastAsia" w:ascii="仿宋_GB2312" w:hAnsi="宋体" w:eastAsia="仿宋_GB2312"/>
                <w:color w:val="auto"/>
                <w:kern w:val="0"/>
                <w:sz w:val="13"/>
                <w:szCs w:val="13"/>
                <w:highlight w:val="none"/>
                <w:lang w:val="en-US" w:eastAsia="zh-CN"/>
              </w:rPr>
              <w:t>三</w:t>
            </w:r>
            <w:r>
              <w:rPr>
                <w:rFonts w:hint="eastAsia" w:ascii="仿宋_GB2312" w:hAnsi="宋体" w:eastAsia="仿宋_GB2312"/>
                <w:color w:val="auto"/>
                <w:kern w:val="0"/>
                <w:sz w:val="13"/>
                <w:szCs w:val="13"/>
                <w:highlight w:val="none"/>
                <w:lang w:eastAsia="zh-CN"/>
              </w:rPr>
              <w:t>）</w:t>
            </w:r>
            <w:r>
              <w:rPr>
                <w:rFonts w:hint="eastAsia" w:ascii="仿宋_GB2312" w:hAnsi="宋体" w:eastAsia="仿宋_GB2312"/>
                <w:color w:val="auto"/>
                <w:kern w:val="0"/>
                <w:sz w:val="13"/>
                <w:szCs w:val="13"/>
                <w:highlight w:val="none"/>
              </w:rPr>
              <w:t>项违反本条例的规定，建设单位有下列行为之一的，责令限期改正，处20万元以上50万元以下的罚款；造成重大安全事故，构成犯罪的，对直接责任人员，依照刑法有关规定追究刑事责任；造成损失的，依法承担赔偿责任：</w:t>
            </w:r>
          </w:p>
          <w:p w14:paraId="33050DC0">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(三)将拆除工程发包给不具有相应资质等级的施工单位的。</w:t>
            </w:r>
          </w:p>
        </w:tc>
        <w:tc>
          <w:tcPr>
            <w:tcW w:w="823" w:type="dxa"/>
            <w:tcBorders>
              <w:tl2br w:val="nil"/>
              <w:tr2bl w:val="nil"/>
            </w:tcBorders>
            <w:vAlign w:val="center"/>
          </w:tcPr>
          <w:p w14:paraId="22FC2D9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vAlign w:val="center"/>
          </w:tcPr>
          <w:p w14:paraId="59E537D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初次违法，危害后果较轻的，主动消除或减轻违法行为危害后果的。</w:t>
            </w:r>
          </w:p>
        </w:tc>
        <w:tc>
          <w:tcPr>
            <w:tcW w:w="3058" w:type="dxa"/>
            <w:tcBorders>
              <w:tl2br w:val="nil"/>
              <w:tr2bl w:val="nil"/>
            </w:tcBorders>
            <w:vAlign w:val="center"/>
          </w:tcPr>
          <w:p w14:paraId="6008372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责令限期改正，处20万元以上25万元以下的罚款。</w:t>
            </w:r>
          </w:p>
        </w:tc>
      </w:tr>
      <w:tr w14:paraId="7DE2331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13" w:hRule="atLeast"/>
          <w:jc w:val="center"/>
        </w:trPr>
        <w:tc>
          <w:tcPr>
            <w:tcW w:w="443" w:type="dxa"/>
            <w:gridSpan w:val="2"/>
            <w:vMerge w:val="continue"/>
            <w:tcBorders>
              <w:tl2br w:val="nil"/>
              <w:tr2bl w:val="nil"/>
            </w:tcBorders>
            <w:vAlign w:val="center"/>
          </w:tcPr>
          <w:p w14:paraId="2633717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仿宋" w:eastAsia="仿宋_GB2312" w:cs="Times New Roman"/>
                <w:color w:val="auto"/>
                <w:kern w:val="0"/>
                <w:sz w:val="13"/>
                <w:szCs w:val="13"/>
                <w:highlight w:val="none"/>
              </w:rPr>
            </w:pPr>
          </w:p>
        </w:tc>
        <w:tc>
          <w:tcPr>
            <w:tcW w:w="1550" w:type="dxa"/>
            <w:vMerge w:val="continue"/>
            <w:tcBorders>
              <w:tl2br w:val="nil"/>
              <w:tr2bl w:val="nil"/>
            </w:tcBorders>
            <w:vAlign w:val="center"/>
          </w:tcPr>
          <w:p w14:paraId="0575CA5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vAlign w:val="center"/>
          </w:tcPr>
          <w:p w14:paraId="11925D4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tcBorders>
              <w:tl2br w:val="nil"/>
              <w:tr2bl w:val="nil"/>
            </w:tcBorders>
            <w:vAlign w:val="center"/>
          </w:tcPr>
          <w:p w14:paraId="7BE5510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一般情节</w:t>
            </w:r>
          </w:p>
        </w:tc>
        <w:tc>
          <w:tcPr>
            <w:tcW w:w="3437" w:type="dxa"/>
            <w:gridSpan w:val="2"/>
            <w:tcBorders>
              <w:tl2br w:val="nil"/>
              <w:tr2bl w:val="nil"/>
            </w:tcBorders>
            <w:vAlign w:val="center"/>
          </w:tcPr>
          <w:p w14:paraId="54C7A5C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不具有从轻、</w:t>
            </w:r>
            <w:r>
              <w:rPr>
                <w:rFonts w:hint="eastAsia" w:ascii="仿宋_GB2312" w:hAnsi="宋体" w:eastAsia="仿宋_GB2312"/>
                <w:color w:val="auto"/>
                <w:kern w:val="0"/>
                <w:sz w:val="13"/>
                <w:szCs w:val="13"/>
                <w:highlight w:val="none"/>
                <w:lang w:eastAsia="zh-CN"/>
              </w:rPr>
              <w:t>从重情节</w:t>
            </w:r>
            <w:r>
              <w:rPr>
                <w:rFonts w:hint="eastAsia" w:ascii="仿宋_GB2312" w:hAnsi="宋体" w:eastAsia="仿宋_GB2312"/>
                <w:color w:val="auto"/>
                <w:kern w:val="0"/>
                <w:sz w:val="13"/>
                <w:szCs w:val="13"/>
                <w:highlight w:val="none"/>
              </w:rPr>
              <w:t>的。</w:t>
            </w:r>
          </w:p>
        </w:tc>
        <w:tc>
          <w:tcPr>
            <w:tcW w:w="3058" w:type="dxa"/>
            <w:tcBorders>
              <w:tl2br w:val="nil"/>
              <w:tr2bl w:val="nil"/>
            </w:tcBorders>
            <w:vAlign w:val="center"/>
          </w:tcPr>
          <w:p w14:paraId="4514237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责令限期改正，处25万元以上40万元以下的罚款。</w:t>
            </w:r>
          </w:p>
        </w:tc>
      </w:tr>
      <w:tr w14:paraId="0DF4CAC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8" w:hRule="atLeast"/>
          <w:jc w:val="center"/>
        </w:trPr>
        <w:tc>
          <w:tcPr>
            <w:tcW w:w="443" w:type="dxa"/>
            <w:gridSpan w:val="2"/>
            <w:vMerge w:val="continue"/>
            <w:tcBorders>
              <w:tl2br w:val="nil"/>
              <w:tr2bl w:val="nil"/>
            </w:tcBorders>
            <w:vAlign w:val="center"/>
          </w:tcPr>
          <w:p w14:paraId="1FCD76A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仿宋" w:eastAsia="仿宋_GB2312" w:cs="Times New Roman"/>
                <w:color w:val="auto"/>
                <w:kern w:val="0"/>
                <w:sz w:val="13"/>
                <w:szCs w:val="13"/>
                <w:highlight w:val="none"/>
              </w:rPr>
            </w:pPr>
          </w:p>
        </w:tc>
        <w:tc>
          <w:tcPr>
            <w:tcW w:w="1550" w:type="dxa"/>
            <w:vMerge w:val="continue"/>
            <w:tcBorders>
              <w:tl2br w:val="nil"/>
              <w:tr2bl w:val="nil"/>
            </w:tcBorders>
            <w:vAlign w:val="center"/>
          </w:tcPr>
          <w:p w14:paraId="3473B52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vAlign w:val="center"/>
          </w:tcPr>
          <w:p w14:paraId="31E653D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tcBorders>
              <w:tl2br w:val="nil"/>
              <w:tr2bl w:val="nil"/>
            </w:tcBorders>
            <w:vAlign w:val="center"/>
          </w:tcPr>
          <w:p w14:paraId="7BC3644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从重情节</w:t>
            </w:r>
          </w:p>
        </w:tc>
        <w:tc>
          <w:tcPr>
            <w:tcW w:w="3437" w:type="dxa"/>
            <w:gridSpan w:val="2"/>
            <w:tcBorders>
              <w:tl2br w:val="nil"/>
              <w:tr2bl w:val="nil"/>
            </w:tcBorders>
            <w:vAlign w:val="center"/>
          </w:tcPr>
          <w:p w14:paraId="2D337C3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（1）多次实施同类违法行为的；</w:t>
            </w:r>
          </w:p>
          <w:p w14:paraId="291CAAE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（2）造成质量安全事故或其他严重后果的。</w:t>
            </w:r>
          </w:p>
        </w:tc>
        <w:tc>
          <w:tcPr>
            <w:tcW w:w="3058" w:type="dxa"/>
            <w:tcBorders>
              <w:tl2br w:val="nil"/>
              <w:tr2bl w:val="nil"/>
            </w:tcBorders>
            <w:vAlign w:val="center"/>
          </w:tcPr>
          <w:p w14:paraId="537D383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责令限期改正，处40万元以上50万元以下的罚款。</w:t>
            </w:r>
          </w:p>
        </w:tc>
      </w:tr>
      <w:tr w14:paraId="136B489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0" w:hRule="atLeast"/>
          <w:jc w:val="center"/>
        </w:trPr>
        <w:tc>
          <w:tcPr>
            <w:tcW w:w="443" w:type="dxa"/>
            <w:gridSpan w:val="2"/>
            <w:vMerge w:val="restart"/>
            <w:tcBorders>
              <w:tl2br w:val="nil"/>
              <w:tr2bl w:val="nil"/>
            </w:tcBorders>
            <w:vAlign w:val="center"/>
          </w:tcPr>
          <w:p w14:paraId="2605BC7C">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仿宋" w:eastAsia="仿宋_GB2312" w:cs="Times New Roman"/>
                <w:color w:val="auto"/>
                <w:kern w:val="0"/>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114</w:t>
            </w:r>
          </w:p>
        </w:tc>
        <w:tc>
          <w:tcPr>
            <w:tcW w:w="1550" w:type="dxa"/>
            <w:vMerge w:val="restart"/>
            <w:tcBorders>
              <w:tl2br w:val="nil"/>
              <w:tr2bl w:val="nil"/>
            </w:tcBorders>
            <w:vAlign w:val="center"/>
          </w:tcPr>
          <w:p w14:paraId="1D9EF29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宋体" w:hAnsi="宋体" w:cs="宋体"/>
                <w:color w:val="auto"/>
                <w:kern w:val="0"/>
                <w:sz w:val="13"/>
                <w:szCs w:val="13"/>
                <w:highlight w:val="none"/>
              </w:rPr>
            </w:pPr>
            <w:r>
              <w:rPr>
                <w:rFonts w:hint="eastAsia" w:ascii="仿宋_GB2312" w:hAnsi="宋体" w:eastAsia="仿宋_GB2312"/>
                <w:color w:val="auto"/>
                <w:kern w:val="0"/>
                <w:sz w:val="13"/>
                <w:szCs w:val="13"/>
                <w:highlight w:val="none"/>
              </w:rPr>
              <w:t>采用新结构、新材料、新工艺的建设工程和特殊结构的建设工程，设计单位未在设计中提出保障施工作业人员安全和预防生产安全事故的措施建议</w:t>
            </w:r>
          </w:p>
        </w:tc>
        <w:tc>
          <w:tcPr>
            <w:tcW w:w="4820" w:type="dxa"/>
            <w:vMerge w:val="restart"/>
            <w:tcBorders>
              <w:tl2br w:val="nil"/>
              <w:tr2bl w:val="nil"/>
            </w:tcBorders>
            <w:vAlign w:val="center"/>
          </w:tcPr>
          <w:p w14:paraId="5097AB5A">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《建设工程安全生产管理条例》</w:t>
            </w:r>
          </w:p>
          <w:p w14:paraId="5607049A">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rPr>
              <w:t>第五十六条</w:t>
            </w:r>
            <w:r>
              <w:rPr>
                <w:rFonts w:hint="eastAsia" w:ascii="仿宋_GB2312" w:hAnsi="宋体" w:eastAsia="仿宋_GB2312"/>
                <w:color w:val="auto"/>
                <w:kern w:val="0"/>
                <w:sz w:val="13"/>
                <w:szCs w:val="13"/>
                <w:highlight w:val="none"/>
                <w:lang w:eastAsia="zh-CN"/>
              </w:rPr>
              <w:t>（</w:t>
            </w:r>
            <w:r>
              <w:rPr>
                <w:rFonts w:hint="eastAsia" w:ascii="仿宋_GB2312" w:hAnsi="宋体" w:eastAsia="仿宋_GB2312"/>
                <w:color w:val="auto"/>
                <w:kern w:val="0"/>
                <w:sz w:val="13"/>
                <w:szCs w:val="13"/>
                <w:highlight w:val="none"/>
                <w:lang w:val="en-US" w:eastAsia="zh-CN"/>
              </w:rPr>
              <w:t>二</w:t>
            </w:r>
            <w:r>
              <w:rPr>
                <w:rFonts w:hint="eastAsia" w:ascii="仿宋_GB2312" w:hAnsi="宋体" w:eastAsia="仿宋_GB2312"/>
                <w:color w:val="auto"/>
                <w:kern w:val="0"/>
                <w:sz w:val="13"/>
                <w:szCs w:val="13"/>
                <w:highlight w:val="none"/>
                <w:lang w:eastAsia="zh-CN"/>
              </w:rPr>
              <w:t>）</w:t>
            </w:r>
            <w:r>
              <w:rPr>
                <w:rFonts w:ascii="仿宋_GB2312" w:hAnsi="宋体" w:eastAsia="仿宋_GB2312"/>
                <w:color w:val="auto"/>
                <w:kern w:val="0"/>
                <w:sz w:val="13"/>
                <w:szCs w:val="13"/>
                <w:highlight w:val="none"/>
              </w:rPr>
              <w:t>项</w:t>
            </w:r>
            <w:r>
              <w:rPr>
                <w:rFonts w:hint="eastAsia" w:ascii="仿宋_GB2312" w:hAnsi="宋体" w:eastAsia="仿宋_GB2312"/>
                <w:color w:val="auto"/>
                <w:kern w:val="0"/>
                <w:sz w:val="13"/>
                <w:szCs w:val="13"/>
                <w:highlight w:val="none"/>
              </w:rPr>
              <w:t>违反本条例的规定，勘察单位、设计单位有下列行为之一的，责令限期改正，处10万元以上30万元以下的罚款；情节严重的，责令停业整顿，降低资质等级，直至吊销资质证书；造成重大安全事故，构成犯罪的，对直接责任人员，依照刑法有关规定追究刑事责任；造成损失的，依法承担赔偿责任：</w:t>
            </w:r>
          </w:p>
          <w:p w14:paraId="00BE7098">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宋体" w:hAnsi="宋体" w:cs="宋体"/>
                <w:bCs/>
                <w:color w:val="auto"/>
                <w:kern w:val="0"/>
                <w:sz w:val="13"/>
                <w:szCs w:val="13"/>
                <w:highlight w:val="none"/>
              </w:rPr>
            </w:pPr>
            <w:r>
              <w:rPr>
                <w:rFonts w:hint="eastAsia" w:ascii="仿宋_GB2312" w:hAnsi="宋体" w:eastAsia="仿宋_GB2312"/>
                <w:color w:val="auto"/>
                <w:kern w:val="0"/>
                <w:sz w:val="13"/>
                <w:szCs w:val="13"/>
                <w:highlight w:val="none"/>
              </w:rPr>
              <w:t>(二)采用新结构、新材料、新工艺的建设工程和特殊结构的建设工程，设计单位未在设计中提出保障施工作业人员安全和预防生产安全事故的措施建议的。</w:t>
            </w:r>
          </w:p>
        </w:tc>
        <w:tc>
          <w:tcPr>
            <w:tcW w:w="823" w:type="dxa"/>
            <w:tcBorders>
              <w:tl2br w:val="nil"/>
              <w:tr2bl w:val="nil"/>
            </w:tcBorders>
            <w:vAlign w:val="center"/>
          </w:tcPr>
          <w:p w14:paraId="2034AC6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vAlign w:val="center"/>
          </w:tcPr>
          <w:p w14:paraId="7554E6B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初次违法，危害后果较轻的，主动消除或减轻违法行为危害后果的。</w:t>
            </w:r>
          </w:p>
        </w:tc>
        <w:tc>
          <w:tcPr>
            <w:tcW w:w="3058" w:type="dxa"/>
            <w:tcBorders>
              <w:tl2br w:val="nil"/>
              <w:tr2bl w:val="nil"/>
            </w:tcBorders>
            <w:vAlign w:val="center"/>
          </w:tcPr>
          <w:p w14:paraId="4B8C946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责令限期改正，处10万元以上12万元以下的罚款。</w:t>
            </w:r>
          </w:p>
        </w:tc>
      </w:tr>
      <w:tr w14:paraId="2C005A0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4" w:hRule="atLeast"/>
          <w:jc w:val="center"/>
        </w:trPr>
        <w:tc>
          <w:tcPr>
            <w:tcW w:w="443" w:type="dxa"/>
            <w:gridSpan w:val="2"/>
            <w:vMerge w:val="continue"/>
            <w:tcBorders>
              <w:tl2br w:val="nil"/>
              <w:tr2bl w:val="nil"/>
            </w:tcBorders>
            <w:vAlign w:val="center"/>
          </w:tcPr>
          <w:p w14:paraId="10CB0AB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仿宋" w:eastAsia="仿宋_GB2312" w:cs="Times New Roman"/>
                <w:color w:val="auto"/>
                <w:kern w:val="0"/>
                <w:sz w:val="13"/>
                <w:szCs w:val="13"/>
                <w:highlight w:val="none"/>
              </w:rPr>
            </w:pPr>
          </w:p>
        </w:tc>
        <w:tc>
          <w:tcPr>
            <w:tcW w:w="1550" w:type="dxa"/>
            <w:vMerge w:val="continue"/>
            <w:tcBorders>
              <w:tl2br w:val="nil"/>
              <w:tr2bl w:val="nil"/>
            </w:tcBorders>
            <w:vAlign w:val="center"/>
          </w:tcPr>
          <w:p w14:paraId="0B9857A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vAlign w:val="center"/>
          </w:tcPr>
          <w:p w14:paraId="786F36F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tcBorders>
              <w:tl2br w:val="nil"/>
              <w:tr2bl w:val="nil"/>
            </w:tcBorders>
            <w:vAlign w:val="center"/>
          </w:tcPr>
          <w:p w14:paraId="6820B90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一般情节</w:t>
            </w:r>
          </w:p>
        </w:tc>
        <w:tc>
          <w:tcPr>
            <w:tcW w:w="3437" w:type="dxa"/>
            <w:gridSpan w:val="2"/>
            <w:tcBorders>
              <w:tl2br w:val="nil"/>
              <w:tr2bl w:val="nil"/>
            </w:tcBorders>
            <w:vAlign w:val="center"/>
          </w:tcPr>
          <w:p w14:paraId="7E2E692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不具有从轻、</w:t>
            </w:r>
            <w:r>
              <w:rPr>
                <w:rFonts w:hint="eastAsia" w:ascii="仿宋_GB2312" w:hAnsi="宋体" w:eastAsia="仿宋_GB2312"/>
                <w:color w:val="auto"/>
                <w:kern w:val="0"/>
                <w:sz w:val="13"/>
                <w:szCs w:val="13"/>
                <w:highlight w:val="none"/>
                <w:lang w:eastAsia="zh-CN"/>
              </w:rPr>
              <w:t>从重情节</w:t>
            </w:r>
            <w:r>
              <w:rPr>
                <w:rFonts w:hint="eastAsia" w:ascii="仿宋_GB2312" w:hAnsi="宋体" w:eastAsia="仿宋_GB2312"/>
                <w:color w:val="auto"/>
                <w:kern w:val="0"/>
                <w:sz w:val="13"/>
                <w:szCs w:val="13"/>
                <w:highlight w:val="none"/>
              </w:rPr>
              <w:t>的。</w:t>
            </w:r>
          </w:p>
        </w:tc>
        <w:tc>
          <w:tcPr>
            <w:tcW w:w="3058" w:type="dxa"/>
            <w:tcBorders>
              <w:tl2br w:val="nil"/>
              <w:tr2bl w:val="nil"/>
            </w:tcBorders>
            <w:vAlign w:val="center"/>
          </w:tcPr>
          <w:p w14:paraId="64129A0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责令限期改正，处12万元以上25万元以下的罚款。</w:t>
            </w:r>
          </w:p>
        </w:tc>
      </w:tr>
      <w:tr w14:paraId="3EC6A30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0" w:hRule="atLeast"/>
          <w:jc w:val="center"/>
        </w:trPr>
        <w:tc>
          <w:tcPr>
            <w:tcW w:w="443" w:type="dxa"/>
            <w:gridSpan w:val="2"/>
            <w:vMerge w:val="continue"/>
            <w:tcBorders>
              <w:tl2br w:val="nil"/>
              <w:tr2bl w:val="nil"/>
            </w:tcBorders>
            <w:vAlign w:val="center"/>
          </w:tcPr>
          <w:p w14:paraId="424BCCF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仿宋" w:eastAsia="仿宋_GB2312" w:cs="Times New Roman"/>
                <w:color w:val="auto"/>
                <w:kern w:val="0"/>
                <w:sz w:val="13"/>
                <w:szCs w:val="13"/>
                <w:highlight w:val="none"/>
              </w:rPr>
            </w:pPr>
          </w:p>
        </w:tc>
        <w:tc>
          <w:tcPr>
            <w:tcW w:w="1550" w:type="dxa"/>
            <w:vMerge w:val="continue"/>
            <w:tcBorders>
              <w:tl2br w:val="nil"/>
              <w:tr2bl w:val="nil"/>
            </w:tcBorders>
            <w:vAlign w:val="center"/>
          </w:tcPr>
          <w:p w14:paraId="4FAF175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vAlign w:val="center"/>
          </w:tcPr>
          <w:p w14:paraId="76D24C5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vMerge w:val="restart"/>
            <w:tcBorders>
              <w:tl2br w:val="nil"/>
              <w:tr2bl w:val="nil"/>
            </w:tcBorders>
            <w:vAlign w:val="center"/>
          </w:tcPr>
          <w:p w14:paraId="21D1BA1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从重情节</w:t>
            </w:r>
          </w:p>
        </w:tc>
        <w:tc>
          <w:tcPr>
            <w:tcW w:w="3437" w:type="dxa"/>
            <w:gridSpan w:val="2"/>
            <w:tcBorders>
              <w:tl2br w:val="nil"/>
              <w:tr2bl w:val="nil"/>
            </w:tcBorders>
            <w:vAlign w:val="center"/>
          </w:tcPr>
          <w:p w14:paraId="0A4F921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造成3人以下死亡，或者10人以下重伤，或者1000万元以下直接经济损失。</w:t>
            </w:r>
          </w:p>
        </w:tc>
        <w:tc>
          <w:tcPr>
            <w:tcW w:w="3058" w:type="dxa"/>
            <w:tcBorders>
              <w:tl2br w:val="nil"/>
              <w:tr2bl w:val="nil"/>
            </w:tcBorders>
            <w:vAlign w:val="center"/>
          </w:tcPr>
          <w:p w14:paraId="72E710F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责令限期改正，处25万元以上30万元以下的罚款；责令停业整顿</w:t>
            </w:r>
            <w:r>
              <w:rPr>
                <w:rFonts w:hint="eastAsia" w:ascii="仿宋_GB2312" w:hAnsi="宋体" w:eastAsia="仿宋_GB2312"/>
                <w:color w:val="auto"/>
                <w:kern w:val="0"/>
                <w:sz w:val="13"/>
                <w:szCs w:val="13"/>
                <w:highlight w:val="none"/>
                <w:lang w:eastAsia="zh-CN"/>
              </w:rPr>
              <w:t>30日-</w:t>
            </w:r>
            <w:r>
              <w:rPr>
                <w:rFonts w:hint="eastAsia" w:ascii="仿宋_GB2312" w:hAnsi="宋体" w:eastAsia="仿宋_GB2312"/>
                <w:color w:val="auto"/>
                <w:kern w:val="0"/>
                <w:sz w:val="13"/>
                <w:szCs w:val="13"/>
                <w:highlight w:val="none"/>
              </w:rPr>
              <w:t>60日。</w:t>
            </w:r>
          </w:p>
        </w:tc>
      </w:tr>
      <w:tr w14:paraId="75F73FD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8" w:hRule="atLeast"/>
          <w:jc w:val="center"/>
        </w:trPr>
        <w:tc>
          <w:tcPr>
            <w:tcW w:w="443" w:type="dxa"/>
            <w:gridSpan w:val="2"/>
            <w:vMerge w:val="continue"/>
            <w:tcBorders>
              <w:tl2br w:val="nil"/>
              <w:tr2bl w:val="nil"/>
            </w:tcBorders>
            <w:vAlign w:val="center"/>
          </w:tcPr>
          <w:p w14:paraId="17DAEA8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仿宋" w:eastAsia="仿宋_GB2312" w:cs="Times New Roman"/>
                <w:color w:val="auto"/>
                <w:kern w:val="0"/>
                <w:sz w:val="13"/>
                <w:szCs w:val="13"/>
                <w:highlight w:val="none"/>
              </w:rPr>
            </w:pPr>
          </w:p>
        </w:tc>
        <w:tc>
          <w:tcPr>
            <w:tcW w:w="1550" w:type="dxa"/>
            <w:vMerge w:val="continue"/>
            <w:tcBorders>
              <w:tl2br w:val="nil"/>
              <w:tr2bl w:val="nil"/>
            </w:tcBorders>
            <w:vAlign w:val="center"/>
          </w:tcPr>
          <w:p w14:paraId="035774E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vAlign w:val="center"/>
          </w:tcPr>
          <w:p w14:paraId="21ECDC6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vMerge w:val="continue"/>
            <w:tcBorders>
              <w:tl2br w:val="nil"/>
              <w:tr2bl w:val="nil"/>
            </w:tcBorders>
            <w:vAlign w:val="center"/>
          </w:tcPr>
          <w:p w14:paraId="18F4B6D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3437" w:type="dxa"/>
            <w:gridSpan w:val="2"/>
            <w:tcBorders>
              <w:tl2br w:val="nil"/>
              <w:tr2bl w:val="nil"/>
            </w:tcBorders>
            <w:vAlign w:val="center"/>
          </w:tcPr>
          <w:p w14:paraId="6F1A589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造成3人以上5人以下死亡；或者10人以上20人以下重伤；或者1000万元以上2000万元以下直接经济损失的。</w:t>
            </w:r>
          </w:p>
        </w:tc>
        <w:tc>
          <w:tcPr>
            <w:tcW w:w="3058" w:type="dxa"/>
            <w:tcBorders>
              <w:tl2br w:val="nil"/>
              <w:tr2bl w:val="nil"/>
            </w:tcBorders>
            <w:vAlign w:val="center"/>
          </w:tcPr>
          <w:p w14:paraId="499B11A1">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责令限期改正，处30万元的罚款；责令停业整顿</w:t>
            </w:r>
            <w:r>
              <w:rPr>
                <w:rFonts w:hint="eastAsia" w:ascii="仿宋_GB2312" w:hAnsi="宋体" w:eastAsia="仿宋_GB2312"/>
                <w:color w:val="auto"/>
                <w:kern w:val="0"/>
                <w:sz w:val="13"/>
                <w:szCs w:val="13"/>
                <w:highlight w:val="none"/>
                <w:lang w:val="en-US" w:eastAsia="zh-CN"/>
              </w:rPr>
              <w:t>60日-90</w:t>
            </w:r>
            <w:r>
              <w:rPr>
                <w:rFonts w:hint="eastAsia" w:ascii="仿宋_GB2312" w:hAnsi="宋体" w:eastAsia="仿宋_GB2312"/>
                <w:color w:val="auto"/>
                <w:kern w:val="0"/>
                <w:sz w:val="13"/>
                <w:szCs w:val="13"/>
                <w:highlight w:val="none"/>
              </w:rPr>
              <w:t>日。</w:t>
            </w:r>
          </w:p>
        </w:tc>
      </w:tr>
      <w:tr w14:paraId="3530E52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8" w:hRule="atLeast"/>
          <w:jc w:val="center"/>
        </w:trPr>
        <w:tc>
          <w:tcPr>
            <w:tcW w:w="443" w:type="dxa"/>
            <w:gridSpan w:val="2"/>
            <w:vMerge w:val="continue"/>
            <w:tcBorders>
              <w:tl2br w:val="nil"/>
              <w:tr2bl w:val="nil"/>
            </w:tcBorders>
            <w:vAlign w:val="center"/>
          </w:tcPr>
          <w:p w14:paraId="40930A4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仿宋" w:eastAsia="仿宋_GB2312" w:cs="Times New Roman"/>
                <w:color w:val="auto"/>
                <w:kern w:val="0"/>
                <w:sz w:val="13"/>
                <w:szCs w:val="13"/>
                <w:highlight w:val="none"/>
              </w:rPr>
            </w:pPr>
          </w:p>
        </w:tc>
        <w:tc>
          <w:tcPr>
            <w:tcW w:w="1550" w:type="dxa"/>
            <w:vMerge w:val="continue"/>
            <w:tcBorders>
              <w:tl2br w:val="nil"/>
              <w:tr2bl w:val="nil"/>
            </w:tcBorders>
            <w:vAlign w:val="center"/>
          </w:tcPr>
          <w:p w14:paraId="0036FDB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vAlign w:val="center"/>
          </w:tcPr>
          <w:p w14:paraId="0C92C5A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vMerge w:val="continue"/>
            <w:tcBorders>
              <w:tl2br w:val="nil"/>
              <w:tr2bl w:val="nil"/>
            </w:tcBorders>
            <w:vAlign w:val="center"/>
          </w:tcPr>
          <w:p w14:paraId="03968F0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3437" w:type="dxa"/>
            <w:gridSpan w:val="2"/>
            <w:tcBorders>
              <w:tl2br w:val="nil"/>
              <w:tr2bl w:val="nil"/>
            </w:tcBorders>
            <w:vAlign w:val="center"/>
          </w:tcPr>
          <w:p w14:paraId="1B2332D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造成5人以上7人以下死亡；或者20人以上30人以下重伤；或者2000万元以上3000万元以下直接经济损失的。</w:t>
            </w:r>
          </w:p>
        </w:tc>
        <w:tc>
          <w:tcPr>
            <w:tcW w:w="3058" w:type="dxa"/>
            <w:tcBorders>
              <w:tl2br w:val="nil"/>
              <w:tr2bl w:val="nil"/>
            </w:tcBorders>
            <w:vAlign w:val="center"/>
          </w:tcPr>
          <w:p w14:paraId="287BEE1E">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责令限期改正，处30万元的罚款；责令停业整顿</w:t>
            </w:r>
            <w:r>
              <w:rPr>
                <w:rFonts w:hint="eastAsia" w:ascii="仿宋_GB2312" w:hAnsi="宋体" w:eastAsia="仿宋_GB2312"/>
                <w:color w:val="auto"/>
                <w:kern w:val="0"/>
                <w:sz w:val="13"/>
                <w:szCs w:val="13"/>
                <w:highlight w:val="none"/>
                <w:lang w:val="en-US" w:eastAsia="zh-CN"/>
              </w:rPr>
              <w:t>90日-120</w:t>
            </w:r>
            <w:r>
              <w:rPr>
                <w:rFonts w:hint="eastAsia" w:ascii="仿宋_GB2312" w:hAnsi="宋体" w:eastAsia="仿宋_GB2312"/>
                <w:color w:val="auto"/>
                <w:kern w:val="0"/>
                <w:sz w:val="13"/>
                <w:szCs w:val="13"/>
                <w:highlight w:val="none"/>
              </w:rPr>
              <w:t>日。</w:t>
            </w:r>
          </w:p>
        </w:tc>
      </w:tr>
      <w:tr w14:paraId="66FB0F0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8" w:hRule="atLeast"/>
          <w:jc w:val="center"/>
        </w:trPr>
        <w:tc>
          <w:tcPr>
            <w:tcW w:w="443" w:type="dxa"/>
            <w:gridSpan w:val="2"/>
            <w:vMerge w:val="continue"/>
            <w:tcBorders>
              <w:tl2br w:val="nil"/>
              <w:tr2bl w:val="nil"/>
            </w:tcBorders>
            <w:vAlign w:val="center"/>
          </w:tcPr>
          <w:p w14:paraId="4D41079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仿宋" w:eastAsia="仿宋_GB2312" w:cs="Times New Roman"/>
                <w:color w:val="auto"/>
                <w:kern w:val="0"/>
                <w:sz w:val="13"/>
                <w:szCs w:val="13"/>
                <w:highlight w:val="none"/>
              </w:rPr>
            </w:pPr>
          </w:p>
        </w:tc>
        <w:tc>
          <w:tcPr>
            <w:tcW w:w="1550" w:type="dxa"/>
            <w:vMerge w:val="continue"/>
            <w:tcBorders>
              <w:tl2br w:val="nil"/>
              <w:tr2bl w:val="nil"/>
            </w:tcBorders>
            <w:vAlign w:val="center"/>
          </w:tcPr>
          <w:p w14:paraId="29F684B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vAlign w:val="center"/>
          </w:tcPr>
          <w:p w14:paraId="7FF743E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vMerge w:val="continue"/>
            <w:tcBorders>
              <w:tl2br w:val="nil"/>
              <w:tr2bl w:val="nil"/>
            </w:tcBorders>
            <w:vAlign w:val="center"/>
          </w:tcPr>
          <w:p w14:paraId="15293BF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3437" w:type="dxa"/>
            <w:gridSpan w:val="2"/>
            <w:tcBorders>
              <w:tl2br w:val="nil"/>
              <w:tr2bl w:val="nil"/>
            </w:tcBorders>
            <w:vAlign w:val="center"/>
          </w:tcPr>
          <w:p w14:paraId="36AE7AF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造成7人以上10人以下死亡；或者30人以上50人以下重伤；或者3000万元以上5000万元以下直接经济损失的。</w:t>
            </w:r>
          </w:p>
        </w:tc>
        <w:tc>
          <w:tcPr>
            <w:tcW w:w="3058" w:type="dxa"/>
            <w:tcBorders>
              <w:tl2br w:val="nil"/>
              <w:tr2bl w:val="nil"/>
            </w:tcBorders>
            <w:vAlign w:val="center"/>
          </w:tcPr>
          <w:p w14:paraId="31CB4023">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责令限期改正，处30万元的罚款；责令停业整顿</w:t>
            </w:r>
            <w:r>
              <w:rPr>
                <w:rFonts w:hint="eastAsia" w:ascii="仿宋_GB2312" w:hAnsi="宋体" w:eastAsia="仿宋_GB2312"/>
                <w:color w:val="auto"/>
                <w:kern w:val="0"/>
                <w:sz w:val="13"/>
                <w:szCs w:val="13"/>
                <w:highlight w:val="none"/>
                <w:lang w:val="en-US" w:eastAsia="zh-CN"/>
              </w:rPr>
              <w:t>120日-</w:t>
            </w:r>
            <w:r>
              <w:rPr>
                <w:rFonts w:hint="eastAsia" w:ascii="仿宋_GB2312" w:hAnsi="宋体" w:eastAsia="仿宋_GB2312"/>
                <w:color w:val="auto"/>
                <w:kern w:val="0"/>
                <w:sz w:val="13"/>
                <w:szCs w:val="13"/>
                <w:highlight w:val="none"/>
              </w:rPr>
              <w:t>180日。</w:t>
            </w:r>
          </w:p>
        </w:tc>
      </w:tr>
      <w:tr w14:paraId="7222B4D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0" w:hRule="atLeast"/>
          <w:jc w:val="center"/>
        </w:trPr>
        <w:tc>
          <w:tcPr>
            <w:tcW w:w="443" w:type="dxa"/>
            <w:gridSpan w:val="2"/>
            <w:vMerge w:val="continue"/>
            <w:tcBorders>
              <w:tl2br w:val="nil"/>
              <w:tr2bl w:val="nil"/>
            </w:tcBorders>
            <w:vAlign w:val="center"/>
          </w:tcPr>
          <w:p w14:paraId="06ABC8A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仿宋" w:eastAsia="仿宋_GB2312" w:cs="Times New Roman"/>
                <w:color w:val="auto"/>
                <w:kern w:val="0"/>
                <w:sz w:val="13"/>
                <w:szCs w:val="13"/>
                <w:highlight w:val="none"/>
              </w:rPr>
            </w:pPr>
          </w:p>
        </w:tc>
        <w:tc>
          <w:tcPr>
            <w:tcW w:w="1550" w:type="dxa"/>
            <w:vMerge w:val="continue"/>
            <w:tcBorders>
              <w:tl2br w:val="nil"/>
              <w:tr2bl w:val="nil"/>
            </w:tcBorders>
            <w:vAlign w:val="center"/>
          </w:tcPr>
          <w:p w14:paraId="31A5A06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vAlign w:val="center"/>
          </w:tcPr>
          <w:p w14:paraId="3FD07C1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vMerge w:val="continue"/>
            <w:tcBorders>
              <w:tl2br w:val="nil"/>
              <w:tr2bl w:val="nil"/>
            </w:tcBorders>
            <w:vAlign w:val="center"/>
          </w:tcPr>
          <w:p w14:paraId="2CF30C2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3437" w:type="dxa"/>
            <w:gridSpan w:val="2"/>
            <w:tcBorders>
              <w:tl2br w:val="nil"/>
              <w:tr2bl w:val="nil"/>
            </w:tcBorders>
            <w:vAlign w:val="center"/>
          </w:tcPr>
          <w:p w14:paraId="67E491D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rPr>
                <w:rFonts w:hint="default" w:ascii="仿宋_GB2312" w:hAnsi="宋体" w:eastAsia="仿宋_GB2312"/>
                <w:color w:val="auto"/>
                <w:kern w:val="0"/>
                <w:sz w:val="13"/>
                <w:szCs w:val="13"/>
                <w:highlight w:val="none"/>
                <w:lang w:val="en-US" w:eastAsia="zh-CN"/>
              </w:rPr>
            </w:pPr>
            <w:r>
              <w:rPr>
                <w:rFonts w:hint="eastAsia" w:ascii="仿宋_GB2312" w:hAnsi="宋体" w:eastAsia="仿宋_GB2312"/>
                <w:color w:val="auto"/>
                <w:kern w:val="0"/>
                <w:sz w:val="13"/>
                <w:szCs w:val="13"/>
                <w:highlight w:val="none"/>
              </w:rPr>
              <w:t>造成重大安全事故的</w:t>
            </w:r>
            <w:r>
              <w:rPr>
                <w:rFonts w:hint="eastAsia" w:ascii="仿宋_GB2312" w:hAnsi="宋体" w:eastAsia="仿宋_GB2312"/>
                <w:color w:val="auto"/>
                <w:kern w:val="0"/>
                <w:sz w:val="13"/>
                <w:szCs w:val="13"/>
                <w:highlight w:val="none"/>
                <w:lang w:val="en-US" w:eastAsia="zh-CN"/>
              </w:rPr>
              <w:t>。</w:t>
            </w:r>
          </w:p>
        </w:tc>
        <w:tc>
          <w:tcPr>
            <w:tcW w:w="3058" w:type="dxa"/>
            <w:tcBorders>
              <w:tl2br w:val="nil"/>
              <w:tr2bl w:val="nil"/>
            </w:tcBorders>
            <w:vAlign w:val="center"/>
          </w:tcPr>
          <w:p w14:paraId="7885F893">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责令限期改正，处30万元的罚款；降低资质等级。</w:t>
            </w:r>
          </w:p>
        </w:tc>
      </w:tr>
      <w:tr w14:paraId="469759C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0" w:hRule="atLeast"/>
          <w:jc w:val="center"/>
        </w:trPr>
        <w:tc>
          <w:tcPr>
            <w:tcW w:w="443" w:type="dxa"/>
            <w:gridSpan w:val="2"/>
            <w:vMerge w:val="continue"/>
            <w:tcBorders>
              <w:tl2br w:val="nil"/>
              <w:tr2bl w:val="nil"/>
            </w:tcBorders>
            <w:vAlign w:val="center"/>
          </w:tcPr>
          <w:p w14:paraId="6C8084F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仿宋" w:eastAsia="仿宋_GB2312" w:cs="Times New Roman"/>
                <w:color w:val="auto"/>
                <w:kern w:val="0"/>
                <w:sz w:val="13"/>
                <w:szCs w:val="13"/>
                <w:highlight w:val="none"/>
              </w:rPr>
            </w:pPr>
          </w:p>
        </w:tc>
        <w:tc>
          <w:tcPr>
            <w:tcW w:w="1550" w:type="dxa"/>
            <w:vMerge w:val="continue"/>
            <w:tcBorders>
              <w:tl2br w:val="nil"/>
              <w:tr2bl w:val="nil"/>
            </w:tcBorders>
            <w:vAlign w:val="center"/>
          </w:tcPr>
          <w:p w14:paraId="2ED2E8C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vAlign w:val="center"/>
          </w:tcPr>
          <w:p w14:paraId="24414B4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vMerge w:val="continue"/>
            <w:tcBorders>
              <w:tl2br w:val="nil"/>
              <w:tr2bl w:val="nil"/>
            </w:tcBorders>
            <w:vAlign w:val="center"/>
          </w:tcPr>
          <w:p w14:paraId="3E881E9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3437" w:type="dxa"/>
            <w:gridSpan w:val="2"/>
            <w:tcBorders>
              <w:tl2br w:val="nil"/>
              <w:tr2bl w:val="nil"/>
            </w:tcBorders>
            <w:vAlign w:val="center"/>
          </w:tcPr>
          <w:p w14:paraId="14DA45E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rPr>
              <w:t>造成特别重大安全事故的</w:t>
            </w:r>
            <w:r>
              <w:rPr>
                <w:rFonts w:hint="eastAsia" w:ascii="仿宋_GB2312" w:hAnsi="宋体" w:eastAsia="仿宋_GB2312"/>
                <w:color w:val="auto"/>
                <w:kern w:val="0"/>
                <w:sz w:val="13"/>
                <w:szCs w:val="13"/>
                <w:highlight w:val="none"/>
                <w:lang w:eastAsia="zh-CN"/>
              </w:rPr>
              <w:t>；</w:t>
            </w:r>
            <w:r>
              <w:rPr>
                <w:rFonts w:hint="eastAsia" w:ascii="仿宋_GB2312" w:hAnsi="宋体" w:eastAsia="仿宋_GB2312"/>
                <w:color w:val="auto"/>
                <w:kern w:val="0"/>
                <w:sz w:val="13"/>
                <w:szCs w:val="13"/>
                <w:highlight w:val="none"/>
                <w:lang w:val="en-US" w:eastAsia="zh-CN"/>
              </w:rPr>
              <w:t>或造成特别严重社会影响的。</w:t>
            </w:r>
          </w:p>
        </w:tc>
        <w:tc>
          <w:tcPr>
            <w:tcW w:w="3058" w:type="dxa"/>
            <w:tcBorders>
              <w:tl2br w:val="nil"/>
              <w:tr2bl w:val="nil"/>
            </w:tcBorders>
            <w:vAlign w:val="center"/>
          </w:tcPr>
          <w:p w14:paraId="6AF66FDD">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lang w:val="en-US" w:eastAsia="zh-CN"/>
              </w:rPr>
            </w:pPr>
            <w:r>
              <w:rPr>
                <w:rFonts w:hint="eastAsia" w:ascii="仿宋_GB2312" w:hAnsi="宋体" w:eastAsia="仿宋_GB2312"/>
                <w:color w:val="auto"/>
                <w:kern w:val="0"/>
                <w:sz w:val="13"/>
                <w:szCs w:val="13"/>
                <w:highlight w:val="none"/>
              </w:rPr>
              <w:t>责令限期改正，处30万元的罚款；吊销资质证书。</w:t>
            </w:r>
          </w:p>
        </w:tc>
      </w:tr>
      <w:tr w14:paraId="28FBB5C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16" w:hRule="atLeast"/>
          <w:jc w:val="center"/>
        </w:trPr>
        <w:tc>
          <w:tcPr>
            <w:tcW w:w="443" w:type="dxa"/>
            <w:gridSpan w:val="2"/>
            <w:vMerge w:val="restart"/>
            <w:tcBorders>
              <w:tl2br w:val="nil"/>
              <w:tr2bl w:val="nil"/>
            </w:tcBorders>
            <w:vAlign w:val="center"/>
          </w:tcPr>
          <w:p w14:paraId="29769DB6">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仿宋" w:eastAsia="仿宋_GB2312" w:cs="Times New Roman"/>
                <w:color w:val="auto"/>
                <w:kern w:val="0"/>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115</w:t>
            </w:r>
          </w:p>
        </w:tc>
        <w:tc>
          <w:tcPr>
            <w:tcW w:w="1550" w:type="dxa"/>
            <w:vMerge w:val="restart"/>
            <w:tcBorders>
              <w:tl2br w:val="nil"/>
              <w:tr2bl w:val="nil"/>
            </w:tcBorders>
            <w:vAlign w:val="center"/>
          </w:tcPr>
          <w:p w14:paraId="378ACEC3">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工程监理单位未对施工组织设计中的安全技术措施或者专项施工方案进行审查且经责令限期改正逾期未改正的</w:t>
            </w:r>
          </w:p>
        </w:tc>
        <w:tc>
          <w:tcPr>
            <w:tcW w:w="4820" w:type="dxa"/>
            <w:vMerge w:val="restart"/>
            <w:tcBorders>
              <w:tl2br w:val="nil"/>
              <w:tr2bl w:val="nil"/>
            </w:tcBorders>
            <w:vAlign w:val="center"/>
          </w:tcPr>
          <w:p w14:paraId="408FE1BB">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《建设工程安全生产管理条例》</w:t>
            </w:r>
          </w:p>
          <w:p w14:paraId="7CA88CEE">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rPr>
              <w:t>第五十七条</w:t>
            </w:r>
            <w:r>
              <w:rPr>
                <w:rFonts w:hint="eastAsia" w:ascii="仿宋_GB2312" w:hAnsi="宋体" w:eastAsia="仿宋_GB2312"/>
                <w:color w:val="auto"/>
                <w:kern w:val="0"/>
                <w:sz w:val="13"/>
                <w:szCs w:val="13"/>
                <w:highlight w:val="none"/>
                <w:lang w:eastAsia="zh-CN"/>
              </w:rPr>
              <w:t>（</w:t>
            </w:r>
            <w:r>
              <w:rPr>
                <w:rFonts w:hint="eastAsia" w:ascii="仿宋_GB2312" w:hAnsi="宋体" w:eastAsia="仿宋_GB2312"/>
                <w:color w:val="auto"/>
                <w:kern w:val="0"/>
                <w:sz w:val="13"/>
                <w:szCs w:val="13"/>
                <w:highlight w:val="none"/>
                <w:lang w:val="en-US" w:eastAsia="zh-CN"/>
              </w:rPr>
              <w:t>一</w:t>
            </w:r>
            <w:r>
              <w:rPr>
                <w:rFonts w:hint="eastAsia" w:ascii="仿宋_GB2312" w:hAnsi="宋体" w:eastAsia="仿宋_GB2312"/>
                <w:color w:val="auto"/>
                <w:kern w:val="0"/>
                <w:sz w:val="13"/>
                <w:szCs w:val="13"/>
                <w:highlight w:val="none"/>
                <w:lang w:eastAsia="zh-CN"/>
              </w:rPr>
              <w:t>）</w:t>
            </w:r>
            <w:r>
              <w:rPr>
                <w:rFonts w:ascii="仿宋_GB2312" w:hAnsi="宋体" w:eastAsia="仿宋_GB2312"/>
                <w:color w:val="auto"/>
                <w:kern w:val="0"/>
                <w:sz w:val="13"/>
                <w:szCs w:val="13"/>
                <w:highlight w:val="none"/>
              </w:rPr>
              <w:t>项</w:t>
            </w:r>
            <w:r>
              <w:rPr>
                <w:rFonts w:hint="eastAsia" w:ascii="仿宋_GB2312" w:hAnsi="宋体" w:eastAsia="仿宋_GB2312"/>
                <w:color w:val="auto"/>
                <w:kern w:val="0"/>
                <w:sz w:val="13"/>
                <w:szCs w:val="13"/>
                <w:highlight w:val="none"/>
              </w:rPr>
              <w:t>违反本条例的规定，工程监理单位有下列行为之一的，责令限期改正；逾期未改正的，责令停业整顿，并处10万元以上30万元以下的罚款；情节严重的，降低资质等级，直至吊销资质证书；造成重大安全事故，构成犯罪的，对直接责任人员，依照刑法有关规定追究刑事责任；造成损失的，依法承担赔偿责任：</w:t>
            </w:r>
          </w:p>
          <w:p w14:paraId="4682574D">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(一)未对施工组织设计中的安全技术措施或者专项施工方案进行审查的；</w:t>
            </w:r>
          </w:p>
          <w:p w14:paraId="468EC048">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p w14:paraId="4F2045EB">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p>
        </w:tc>
        <w:tc>
          <w:tcPr>
            <w:tcW w:w="823" w:type="dxa"/>
            <w:tcBorders>
              <w:tl2br w:val="nil"/>
              <w:tr2bl w:val="nil"/>
            </w:tcBorders>
            <w:vAlign w:val="center"/>
          </w:tcPr>
          <w:p w14:paraId="03F8AA9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vAlign w:val="center"/>
          </w:tcPr>
          <w:p w14:paraId="28C5718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初次违法，危害后果较轻的，主动消除或减轻违法行为危害后果的。</w:t>
            </w:r>
          </w:p>
        </w:tc>
        <w:tc>
          <w:tcPr>
            <w:tcW w:w="3058" w:type="dxa"/>
            <w:tcBorders>
              <w:tl2br w:val="nil"/>
              <w:tr2bl w:val="nil"/>
            </w:tcBorders>
            <w:vAlign w:val="center"/>
          </w:tcPr>
          <w:p w14:paraId="3FE64E7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rPr>
              <w:t>责令停业整顿，直至改正违法行为；对工程监理单位处10万元以上12万元以下的罚款；责令停业整顿，直至改正违法行为</w:t>
            </w:r>
            <w:r>
              <w:rPr>
                <w:rFonts w:hint="eastAsia" w:ascii="仿宋_GB2312" w:hAnsi="宋体" w:eastAsia="仿宋_GB2312"/>
                <w:color w:val="auto"/>
                <w:kern w:val="0"/>
                <w:sz w:val="13"/>
                <w:szCs w:val="13"/>
                <w:highlight w:val="none"/>
                <w:lang w:eastAsia="zh-CN"/>
              </w:rPr>
              <w:t>。</w:t>
            </w:r>
          </w:p>
        </w:tc>
      </w:tr>
      <w:tr w14:paraId="7B7AB3D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16" w:hRule="atLeast"/>
          <w:jc w:val="center"/>
        </w:trPr>
        <w:tc>
          <w:tcPr>
            <w:tcW w:w="443" w:type="dxa"/>
            <w:gridSpan w:val="2"/>
            <w:vMerge w:val="continue"/>
            <w:tcBorders>
              <w:tl2br w:val="nil"/>
              <w:tr2bl w:val="nil"/>
            </w:tcBorders>
            <w:vAlign w:val="center"/>
          </w:tcPr>
          <w:p w14:paraId="00536A1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仿宋" w:eastAsia="仿宋_GB2312" w:cs="Times New Roman"/>
                <w:color w:val="auto"/>
                <w:kern w:val="0"/>
                <w:sz w:val="13"/>
                <w:szCs w:val="13"/>
                <w:highlight w:val="none"/>
              </w:rPr>
            </w:pPr>
          </w:p>
        </w:tc>
        <w:tc>
          <w:tcPr>
            <w:tcW w:w="1550" w:type="dxa"/>
            <w:vMerge w:val="continue"/>
            <w:tcBorders>
              <w:tl2br w:val="nil"/>
              <w:tr2bl w:val="nil"/>
            </w:tcBorders>
            <w:vAlign w:val="center"/>
          </w:tcPr>
          <w:p w14:paraId="55000EA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vAlign w:val="center"/>
          </w:tcPr>
          <w:p w14:paraId="0D44D4B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tcBorders>
              <w:tl2br w:val="nil"/>
              <w:tr2bl w:val="nil"/>
            </w:tcBorders>
            <w:vAlign w:val="center"/>
          </w:tcPr>
          <w:p w14:paraId="60447B7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一般情节</w:t>
            </w:r>
          </w:p>
        </w:tc>
        <w:tc>
          <w:tcPr>
            <w:tcW w:w="3437" w:type="dxa"/>
            <w:gridSpan w:val="2"/>
            <w:tcBorders>
              <w:tl2br w:val="nil"/>
              <w:tr2bl w:val="nil"/>
            </w:tcBorders>
            <w:vAlign w:val="center"/>
          </w:tcPr>
          <w:p w14:paraId="6087CE0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不具有从轻、</w:t>
            </w:r>
            <w:r>
              <w:rPr>
                <w:rFonts w:hint="eastAsia" w:ascii="仿宋_GB2312" w:hAnsi="宋体" w:eastAsia="仿宋_GB2312"/>
                <w:color w:val="auto"/>
                <w:kern w:val="0"/>
                <w:sz w:val="13"/>
                <w:szCs w:val="13"/>
                <w:highlight w:val="none"/>
                <w:lang w:eastAsia="zh-CN"/>
              </w:rPr>
              <w:t>从重情节</w:t>
            </w:r>
            <w:r>
              <w:rPr>
                <w:rFonts w:hint="eastAsia" w:ascii="仿宋_GB2312" w:hAnsi="宋体" w:eastAsia="仿宋_GB2312"/>
                <w:color w:val="auto"/>
                <w:kern w:val="0"/>
                <w:sz w:val="13"/>
                <w:szCs w:val="13"/>
                <w:highlight w:val="none"/>
              </w:rPr>
              <w:t>的。</w:t>
            </w:r>
          </w:p>
        </w:tc>
        <w:tc>
          <w:tcPr>
            <w:tcW w:w="3058" w:type="dxa"/>
            <w:tcBorders>
              <w:tl2br w:val="nil"/>
              <w:tr2bl w:val="nil"/>
            </w:tcBorders>
            <w:vAlign w:val="center"/>
          </w:tcPr>
          <w:p w14:paraId="32C1F64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rPr>
              <w:t>责令停业整顿，直至改正违法行为；对工程监理单位处12万元以上25万元以下的罚款；责令停业整顿，直至改正违法行；</w:t>
            </w:r>
            <w:r>
              <w:rPr>
                <w:rFonts w:hint="eastAsia" w:ascii="仿宋_GB2312" w:hAnsi="宋体" w:eastAsia="仿宋_GB2312"/>
                <w:color w:val="auto"/>
                <w:kern w:val="0"/>
                <w:sz w:val="13"/>
                <w:szCs w:val="13"/>
                <w:highlight w:val="none"/>
                <w:lang w:eastAsia="zh-CN"/>
              </w:rPr>
              <w:t>。</w:t>
            </w:r>
          </w:p>
        </w:tc>
      </w:tr>
      <w:tr w14:paraId="3797523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8" w:hRule="atLeast"/>
          <w:jc w:val="center"/>
        </w:trPr>
        <w:tc>
          <w:tcPr>
            <w:tcW w:w="443" w:type="dxa"/>
            <w:gridSpan w:val="2"/>
            <w:vMerge w:val="continue"/>
            <w:tcBorders>
              <w:tl2br w:val="nil"/>
              <w:tr2bl w:val="nil"/>
            </w:tcBorders>
            <w:vAlign w:val="center"/>
          </w:tcPr>
          <w:p w14:paraId="32393F3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仿宋" w:eastAsia="仿宋_GB2312" w:cs="Times New Roman"/>
                <w:color w:val="auto"/>
                <w:kern w:val="0"/>
                <w:sz w:val="13"/>
                <w:szCs w:val="13"/>
                <w:highlight w:val="none"/>
              </w:rPr>
            </w:pPr>
          </w:p>
        </w:tc>
        <w:tc>
          <w:tcPr>
            <w:tcW w:w="1550" w:type="dxa"/>
            <w:vMerge w:val="continue"/>
            <w:tcBorders>
              <w:tl2br w:val="nil"/>
              <w:tr2bl w:val="nil"/>
            </w:tcBorders>
            <w:vAlign w:val="center"/>
          </w:tcPr>
          <w:p w14:paraId="7E279BB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vAlign w:val="center"/>
          </w:tcPr>
          <w:p w14:paraId="7BA3CE2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vMerge w:val="restart"/>
            <w:tcBorders>
              <w:tl2br w:val="nil"/>
              <w:tr2bl w:val="nil"/>
            </w:tcBorders>
            <w:vAlign w:val="center"/>
          </w:tcPr>
          <w:p w14:paraId="13C4388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从重情节</w:t>
            </w:r>
          </w:p>
        </w:tc>
        <w:tc>
          <w:tcPr>
            <w:tcW w:w="3437" w:type="dxa"/>
            <w:gridSpan w:val="2"/>
            <w:tcBorders>
              <w:tl2br w:val="nil"/>
              <w:tr2bl w:val="nil"/>
            </w:tcBorders>
            <w:vAlign w:val="center"/>
          </w:tcPr>
          <w:p w14:paraId="38BB955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造成3人以下死亡，或者10人以下重伤，或者1000万元以下直接经济损失。</w:t>
            </w:r>
          </w:p>
        </w:tc>
        <w:tc>
          <w:tcPr>
            <w:tcW w:w="3058" w:type="dxa"/>
            <w:tcBorders>
              <w:tl2br w:val="nil"/>
              <w:tr2bl w:val="nil"/>
            </w:tcBorders>
            <w:vAlign w:val="center"/>
          </w:tcPr>
          <w:p w14:paraId="73CD003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rPr>
              <w:t>责令停业整顿</w:t>
            </w:r>
            <w:r>
              <w:rPr>
                <w:rFonts w:hint="eastAsia" w:ascii="仿宋_GB2312" w:hAnsi="宋体" w:eastAsia="仿宋_GB2312"/>
                <w:color w:val="auto"/>
                <w:kern w:val="0"/>
                <w:sz w:val="13"/>
                <w:szCs w:val="13"/>
                <w:highlight w:val="none"/>
                <w:lang w:eastAsia="zh-CN"/>
              </w:rPr>
              <w:t>30日-</w:t>
            </w:r>
            <w:r>
              <w:rPr>
                <w:rFonts w:hint="eastAsia" w:ascii="仿宋_GB2312" w:hAnsi="宋体" w:eastAsia="仿宋_GB2312"/>
                <w:color w:val="auto"/>
                <w:kern w:val="0"/>
                <w:sz w:val="13"/>
                <w:szCs w:val="13"/>
                <w:highlight w:val="none"/>
              </w:rPr>
              <w:t>60日；对工程监理单位处25万元以上30万元以下的罚款</w:t>
            </w:r>
            <w:r>
              <w:rPr>
                <w:rFonts w:hint="eastAsia" w:ascii="仿宋_GB2312" w:hAnsi="宋体" w:eastAsia="仿宋_GB2312"/>
                <w:color w:val="auto"/>
                <w:kern w:val="0"/>
                <w:sz w:val="13"/>
                <w:szCs w:val="13"/>
                <w:highlight w:val="none"/>
                <w:lang w:eastAsia="zh-CN"/>
              </w:rPr>
              <w:t>。</w:t>
            </w:r>
          </w:p>
        </w:tc>
      </w:tr>
      <w:tr w14:paraId="50931F2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8" w:hRule="atLeast"/>
          <w:jc w:val="center"/>
        </w:trPr>
        <w:tc>
          <w:tcPr>
            <w:tcW w:w="443" w:type="dxa"/>
            <w:gridSpan w:val="2"/>
            <w:vMerge w:val="continue"/>
            <w:tcBorders>
              <w:tl2br w:val="nil"/>
              <w:tr2bl w:val="nil"/>
            </w:tcBorders>
            <w:vAlign w:val="center"/>
          </w:tcPr>
          <w:p w14:paraId="3511781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仿宋" w:eastAsia="仿宋_GB2312" w:cs="Times New Roman"/>
                <w:color w:val="auto"/>
                <w:kern w:val="0"/>
                <w:sz w:val="13"/>
                <w:szCs w:val="13"/>
                <w:highlight w:val="none"/>
              </w:rPr>
            </w:pPr>
          </w:p>
        </w:tc>
        <w:tc>
          <w:tcPr>
            <w:tcW w:w="1550" w:type="dxa"/>
            <w:vMerge w:val="continue"/>
            <w:tcBorders>
              <w:tl2br w:val="nil"/>
              <w:tr2bl w:val="nil"/>
            </w:tcBorders>
            <w:vAlign w:val="center"/>
          </w:tcPr>
          <w:p w14:paraId="4EA0C69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vAlign w:val="center"/>
          </w:tcPr>
          <w:p w14:paraId="1481D15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vMerge w:val="continue"/>
            <w:tcBorders>
              <w:tl2br w:val="nil"/>
              <w:tr2bl w:val="nil"/>
            </w:tcBorders>
            <w:vAlign w:val="center"/>
          </w:tcPr>
          <w:p w14:paraId="370789D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3437" w:type="dxa"/>
            <w:gridSpan w:val="2"/>
            <w:tcBorders>
              <w:tl2br w:val="nil"/>
              <w:tr2bl w:val="nil"/>
            </w:tcBorders>
            <w:vAlign w:val="center"/>
          </w:tcPr>
          <w:p w14:paraId="4B6CBF5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造成3人以上5人以下死亡；或者10人以上20人以下重伤；或者1000万元以上2000万元以下直接经济损失的。</w:t>
            </w:r>
          </w:p>
        </w:tc>
        <w:tc>
          <w:tcPr>
            <w:tcW w:w="3058" w:type="dxa"/>
            <w:tcBorders>
              <w:tl2br w:val="nil"/>
              <w:tr2bl w:val="nil"/>
            </w:tcBorders>
            <w:vAlign w:val="center"/>
          </w:tcPr>
          <w:p w14:paraId="1E8F6385">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rPr>
              <w:t>责令停业整顿</w:t>
            </w:r>
            <w:r>
              <w:rPr>
                <w:rFonts w:hint="eastAsia" w:ascii="仿宋_GB2312" w:hAnsi="宋体" w:eastAsia="仿宋_GB2312"/>
                <w:color w:val="auto"/>
                <w:kern w:val="0"/>
                <w:sz w:val="13"/>
                <w:szCs w:val="13"/>
                <w:highlight w:val="none"/>
                <w:lang w:eastAsia="zh-CN"/>
              </w:rPr>
              <w:t>60日-</w:t>
            </w:r>
            <w:r>
              <w:rPr>
                <w:rFonts w:hint="eastAsia" w:ascii="仿宋_GB2312" w:hAnsi="宋体" w:eastAsia="仿宋_GB2312"/>
                <w:color w:val="auto"/>
                <w:kern w:val="0"/>
                <w:sz w:val="13"/>
                <w:szCs w:val="13"/>
                <w:highlight w:val="none"/>
              </w:rPr>
              <w:t>90日；对工程监理单位处30万元的罚款</w:t>
            </w:r>
            <w:r>
              <w:rPr>
                <w:rFonts w:hint="eastAsia" w:ascii="仿宋_GB2312" w:hAnsi="宋体" w:eastAsia="仿宋_GB2312"/>
                <w:color w:val="auto"/>
                <w:kern w:val="0"/>
                <w:sz w:val="13"/>
                <w:szCs w:val="13"/>
                <w:highlight w:val="none"/>
                <w:lang w:eastAsia="zh-CN"/>
              </w:rPr>
              <w:t>。</w:t>
            </w:r>
          </w:p>
        </w:tc>
      </w:tr>
      <w:tr w14:paraId="1D19200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8" w:hRule="atLeast"/>
          <w:jc w:val="center"/>
        </w:trPr>
        <w:tc>
          <w:tcPr>
            <w:tcW w:w="443" w:type="dxa"/>
            <w:gridSpan w:val="2"/>
            <w:vMerge w:val="continue"/>
            <w:tcBorders>
              <w:tl2br w:val="nil"/>
              <w:tr2bl w:val="nil"/>
            </w:tcBorders>
            <w:vAlign w:val="center"/>
          </w:tcPr>
          <w:p w14:paraId="333F8A8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仿宋" w:eastAsia="仿宋_GB2312" w:cs="Times New Roman"/>
                <w:color w:val="auto"/>
                <w:kern w:val="0"/>
                <w:sz w:val="13"/>
                <w:szCs w:val="13"/>
                <w:highlight w:val="none"/>
              </w:rPr>
            </w:pPr>
          </w:p>
        </w:tc>
        <w:tc>
          <w:tcPr>
            <w:tcW w:w="1550" w:type="dxa"/>
            <w:vMerge w:val="continue"/>
            <w:tcBorders>
              <w:tl2br w:val="nil"/>
              <w:tr2bl w:val="nil"/>
            </w:tcBorders>
            <w:vAlign w:val="center"/>
          </w:tcPr>
          <w:p w14:paraId="3E7268E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vAlign w:val="center"/>
          </w:tcPr>
          <w:p w14:paraId="1EC39DD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vMerge w:val="continue"/>
            <w:tcBorders>
              <w:tl2br w:val="nil"/>
              <w:tr2bl w:val="nil"/>
            </w:tcBorders>
            <w:vAlign w:val="center"/>
          </w:tcPr>
          <w:p w14:paraId="448E5C9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3437" w:type="dxa"/>
            <w:gridSpan w:val="2"/>
            <w:tcBorders>
              <w:tl2br w:val="nil"/>
              <w:tr2bl w:val="nil"/>
            </w:tcBorders>
            <w:vAlign w:val="center"/>
          </w:tcPr>
          <w:p w14:paraId="1AE08BB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造成5人以上7人以下死亡；或者20人以上30人以下重伤；或者2000万元以上3000万元以下直接经济损失的。</w:t>
            </w:r>
          </w:p>
        </w:tc>
        <w:tc>
          <w:tcPr>
            <w:tcW w:w="3058" w:type="dxa"/>
            <w:tcBorders>
              <w:tl2br w:val="nil"/>
              <w:tr2bl w:val="nil"/>
            </w:tcBorders>
            <w:vAlign w:val="center"/>
          </w:tcPr>
          <w:p w14:paraId="26759BC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责令停业整顿</w:t>
            </w:r>
            <w:r>
              <w:rPr>
                <w:rFonts w:hint="eastAsia" w:ascii="仿宋_GB2312" w:hAnsi="宋体" w:eastAsia="仿宋_GB2312"/>
                <w:color w:val="auto"/>
                <w:kern w:val="0"/>
                <w:sz w:val="13"/>
                <w:szCs w:val="13"/>
                <w:highlight w:val="none"/>
                <w:lang w:eastAsia="zh-CN"/>
              </w:rPr>
              <w:t>90日-</w:t>
            </w:r>
            <w:r>
              <w:rPr>
                <w:rFonts w:hint="eastAsia" w:ascii="仿宋_GB2312" w:hAnsi="宋体" w:eastAsia="仿宋_GB2312"/>
                <w:color w:val="auto"/>
                <w:kern w:val="0"/>
                <w:sz w:val="13"/>
                <w:szCs w:val="13"/>
                <w:highlight w:val="none"/>
              </w:rPr>
              <w:t>120日；对工程监理单位处30万元的罚款。</w:t>
            </w:r>
          </w:p>
        </w:tc>
      </w:tr>
      <w:tr w14:paraId="715DC41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8" w:hRule="atLeast"/>
          <w:jc w:val="center"/>
        </w:trPr>
        <w:tc>
          <w:tcPr>
            <w:tcW w:w="443" w:type="dxa"/>
            <w:gridSpan w:val="2"/>
            <w:vMerge w:val="continue"/>
            <w:tcBorders>
              <w:tl2br w:val="nil"/>
              <w:tr2bl w:val="nil"/>
            </w:tcBorders>
            <w:vAlign w:val="center"/>
          </w:tcPr>
          <w:p w14:paraId="3E65298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仿宋" w:eastAsia="仿宋_GB2312" w:cs="Times New Roman"/>
                <w:color w:val="auto"/>
                <w:kern w:val="0"/>
                <w:sz w:val="13"/>
                <w:szCs w:val="13"/>
                <w:highlight w:val="none"/>
              </w:rPr>
            </w:pPr>
          </w:p>
        </w:tc>
        <w:tc>
          <w:tcPr>
            <w:tcW w:w="1550" w:type="dxa"/>
            <w:vMerge w:val="continue"/>
            <w:tcBorders>
              <w:tl2br w:val="nil"/>
              <w:tr2bl w:val="nil"/>
            </w:tcBorders>
            <w:vAlign w:val="center"/>
          </w:tcPr>
          <w:p w14:paraId="00B9376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vAlign w:val="center"/>
          </w:tcPr>
          <w:p w14:paraId="17FC2E0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vMerge w:val="continue"/>
            <w:tcBorders>
              <w:tl2br w:val="nil"/>
              <w:tr2bl w:val="nil"/>
            </w:tcBorders>
            <w:vAlign w:val="center"/>
          </w:tcPr>
          <w:p w14:paraId="37CA513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3437" w:type="dxa"/>
            <w:gridSpan w:val="2"/>
            <w:tcBorders>
              <w:tl2br w:val="nil"/>
              <w:tr2bl w:val="nil"/>
            </w:tcBorders>
            <w:vAlign w:val="center"/>
          </w:tcPr>
          <w:p w14:paraId="302A44E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造成7人以上10人以下死亡；或者30人以上50人以下重伤；或者3000万元以上5000万元以下直接经济损失的。</w:t>
            </w:r>
          </w:p>
        </w:tc>
        <w:tc>
          <w:tcPr>
            <w:tcW w:w="3058" w:type="dxa"/>
            <w:tcBorders>
              <w:tl2br w:val="nil"/>
              <w:tr2bl w:val="nil"/>
            </w:tcBorders>
            <w:vAlign w:val="center"/>
          </w:tcPr>
          <w:p w14:paraId="54872AC9">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责令停业整顿</w:t>
            </w:r>
            <w:r>
              <w:rPr>
                <w:rFonts w:hint="eastAsia" w:ascii="仿宋_GB2312" w:hAnsi="宋体" w:eastAsia="仿宋_GB2312"/>
                <w:color w:val="auto"/>
                <w:kern w:val="0"/>
                <w:sz w:val="13"/>
                <w:szCs w:val="13"/>
                <w:highlight w:val="none"/>
                <w:lang w:eastAsia="zh-CN"/>
              </w:rPr>
              <w:t>120日-</w:t>
            </w:r>
            <w:r>
              <w:rPr>
                <w:rFonts w:hint="eastAsia" w:ascii="仿宋_GB2312" w:hAnsi="宋体" w:eastAsia="仿宋_GB2312"/>
                <w:color w:val="auto"/>
                <w:kern w:val="0"/>
                <w:sz w:val="13"/>
                <w:szCs w:val="13"/>
                <w:highlight w:val="none"/>
              </w:rPr>
              <w:t>180日；对工程监理单位处30万元的罚款。</w:t>
            </w:r>
          </w:p>
        </w:tc>
      </w:tr>
      <w:tr w14:paraId="74C9F6A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0" w:hRule="atLeast"/>
          <w:jc w:val="center"/>
        </w:trPr>
        <w:tc>
          <w:tcPr>
            <w:tcW w:w="443" w:type="dxa"/>
            <w:gridSpan w:val="2"/>
            <w:vMerge w:val="continue"/>
            <w:tcBorders>
              <w:tl2br w:val="nil"/>
              <w:tr2bl w:val="nil"/>
            </w:tcBorders>
            <w:vAlign w:val="center"/>
          </w:tcPr>
          <w:p w14:paraId="668C8C7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仿宋" w:eastAsia="仿宋_GB2312" w:cs="Times New Roman"/>
                <w:color w:val="auto"/>
                <w:kern w:val="0"/>
                <w:sz w:val="13"/>
                <w:szCs w:val="13"/>
                <w:highlight w:val="none"/>
              </w:rPr>
            </w:pPr>
          </w:p>
        </w:tc>
        <w:tc>
          <w:tcPr>
            <w:tcW w:w="1550" w:type="dxa"/>
            <w:vMerge w:val="continue"/>
            <w:tcBorders>
              <w:tl2br w:val="nil"/>
              <w:tr2bl w:val="nil"/>
            </w:tcBorders>
            <w:vAlign w:val="center"/>
          </w:tcPr>
          <w:p w14:paraId="24612C5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vAlign w:val="center"/>
          </w:tcPr>
          <w:p w14:paraId="1E7682D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vMerge w:val="continue"/>
            <w:tcBorders>
              <w:tl2br w:val="nil"/>
              <w:tr2bl w:val="nil"/>
            </w:tcBorders>
            <w:vAlign w:val="center"/>
          </w:tcPr>
          <w:p w14:paraId="4946056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3437" w:type="dxa"/>
            <w:gridSpan w:val="2"/>
            <w:tcBorders>
              <w:tl2br w:val="nil"/>
              <w:tr2bl w:val="nil"/>
            </w:tcBorders>
            <w:vAlign w:val="center"/>
          </w:tcPr>
          <w:p w14:paraId="0E026FF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造成重大安全事故的</w:t>
            </w:r>
            <w:r>
              <w:rPr>
                <w:rFonts w:hint="eastAsia" w:ascii="仿宋_GB2312" w:hAnsi="宋体" w:eastAsia="仿宋_GB2312"/>
                <w:color w:val="auto"/>
                <w:kern w:val="0"/>
                <w:sz w:val="13"/>
                <w:szCs w:val="13"/>
                <w:highlight w:val="none"/>
                <w:lang w:val="en-US" w:eastAsia="zh-CN"/>
              </w:rPr>
              <w:t>。</w:t>
            </w:r>
          </w:p>
        </w:tc>
        <w:tc>
          <w:tcPr>
            <w:tcW w:w="3058" w:type="dxa"/>
            <w:tcBorders>
              <w:tl2br w:val="nil"/>
              <w:tr2bl w:val="nil"/>
            </w:tcBorders>
            <w:vAlign w:val="center"/>
          </w:tcPr>
          <w:p w14:paraId="4B26A6C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对工程监理单位处30万元的罚款，降低资质等级。</w:t>
            </w:r>
          </w:p>
        </w:tc>
      </w:tr>
      <w:tr w14:paraId="4CF8A32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71" w:hRule="atLeast"/>
          <w:jc w:val="center"/>
        </w:trPr>
        <w:tc>
          <w:tcPr>
            <w:tcW w:w="443" w:type="dxa"/>
            <w:gridSpan w:val="2"/>
            <w:vMerge w:val="continue"/>
            <w:tcBorders>
              <w:tl2br w:val="nil"/>
              <w:tr2bl w:val="nil"/>
            </w:tcBorders>
            <w:vAlign w:val="center"/>
          </w:tcPr>
          <w:p w14:paraId="7E082F5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仿宋" w:eastAsia="仿宋_GB2312" w:cs="Times New Roman"/>
                <w:color w:val="auto"/>
                <w:kern w:val="0"/>
                <w:sz w:val="13"/>
                <w:szCs w:val="13"/>
                <w:highlight w:val="none"/>
              </w:rPr>
            </w:pPr>
          </w:p>
        </w:tc>
        <w:tc>
          <w:tcPr>
            <w:tcW w:w="1550" w:type="dxa"/>
            <w:vMerge w:val="continue"/>
            <w:tcBorders>
              <w:tl2br w:val="nil"/>
              <w:tr2bl w:val="nil"/>
            </w:tcBorders>
            <w:vAlign w:val="center"/>
          </w:tcPr>
          <w:p w14:paraId="72DD1B7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vAlign w:val="center"/>
          </w:tcPr>
          <w:p w14:paraId="3D7321B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vMerge w:val="continue"/>
            <w:tcBorders>
              <w:tl2br w:val="nil"/>
              <w:tr2bl w:val="nil"/>
            </w:tcBorders>
            <w:vAlign w:val="center"/>
          </w:tcPr>
          <w:p w14:paraId="7F88245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3437" w:type="dxa"/>
            <w:gridSpan w:val="2"/>
            <w:tcBorders>
              <w:tl2br w:val="nil"/>
              <w:tr2bl w:val="nil"/>
            </w:tcBorders>
            <w:vAlign w:val="center"/>
          </w:tcPr>
          <w:p w14:paraId="42F2A66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造成特别重大安全事故的</w:t>
            </w:r>
            <w:r>
              <w:rPr>
                <w:rFonts w:hint="eastAsia" w:ascii="仿宋_GB2312" w:hAnsi="宋体" w:eastAsia="仿宋_GB2312"/>
                <w:color w:val="auto"/>
                <w:kern w:val="0"/>
                <w:sz w:val="13"/>
                <w:szCs w:val="13"/>
                <w:highlight w:val="none"/>
                <w:lang w:eastAsia="zh-CN"/>
              </w:rPr>
              <w:t>；</w:t>
            </w:r>
            <w:r>
              <w:rPr>
                <w:rFonts w:hint="eastAsia" w:ascii="仿宋_GB2312" w:hAnsi="宋体" w:eastAsia="仿宋_GB2312"/>
                <w:color w:val="auto"/>
                <w:kern w:val="0"/>
                <w:sz w:val="13"/>
                <w:szCs w:val="13"/>
                <w:highlight w:val="none"/>
                <w:lang w:val="en-US" w:eastAsia="zh-CN"/>
              </w:rPr>
              <w:t>或造成特别严重社会影响的。</w:t>
            </w:r>
            <w:r>
              <w:rPr>
                <w:rFonts w:hint="eastAsia" w:ascii="仿宋_GB2312" w:hAnsi="宋体" w:eastAsia="仿宋_GB2312"/>
                <w:color w:val="auto"/>
                <w:kern w:val="0"/>
                <w:sz w:val="13"/>
                <w:szCs w:val="13"/>
                <w:highlight w:val="none"/>
              </w:rPr>
              <w:t>。</w:t>
            </w:r>
          </w:p>
        </w:tc>
        <w:tc>
          <w:tcPr>
            <w:tcW w:w="3058" w:type="dxa"/>
            <w:tcBorders>
              <w:tl2br w:val="nil"/>
              <w:tr2bl w:val="nil"/>
            </w:tcBorders>
            <w:vAlign w:val="center"/>
          </w:tcPr>
          <w:p w14:paraId="558DD4DD">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对工程监理单位处30万元的罚款，吊销资质证书。</w:t>
            </w:r>
          </w:p>
        </w:tc>
      </w:tr>
      <w:tr w14:paraId="1FA3849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0" w:hRule="atLeast"/>
          <w:jc w:val="center"/>
        </w:trPr>
        <w:tc>
          <w:tcPr>
            <w:tcW w:w="443" w:type="dxa"/>
            <w:gridSpan w:val="2"/>
            <w:vMerge w:val="restart"/>
            <w:tcBorders>
              <w:tl2br w:val="nil"/>
              <w:tr2bl w:val="nil"/>
            </w:tcBorders>
            <w:vAlign w:val="center"/>
          </w:tcPr>
          <w:p w14:paraId="3BE6AB22">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仿宋" w:eastAsia="仿宋_GB2312" w:cs="Times New Roman"/>
                <w:color w:val="auto"/>
                <w:kern w:val="0"/>
                <w:sz w:val="13"/>
                <w:szCs w:val="13"/>
                <w:highlight w:val="none"/>
                <w:lang w:val="en-US"/>
              </w:rPr>
            </w:pPr>
            <w:r>
              <w:rPr>
                <w:rFonts w:hint="default" w:ascii="仿宋_GB2312" w:hAnsi="宋体" w:eastAsia="仿宋_GB2312" w:cs="仿宋_GB2312"/>
                <w:i w:val="0"/>
                <w:color w:val="auto"/>
                <w:kern w:val="0"/>
                <w:sz w:val="13"/>
                <w:szCs w:val="13"/>
                <w:highlight w:val="none"/>
                <w:u w:val="none"/>
                <w:lang w:val="en-US" w:eastAsia="zh-CN" w:bidi="ar"/>
              </w:rPr>
              <w:t>1</w:t>
            </w:r>
            <w:r>
              <w:rPr>
                <w:rFonts w:hint="eastAsia" w:ascii="仿宋_GB2312" w:hAnsi="宋体" w:eastAsia="仿宋_GB2312" w:cs="仿宋_GB2312"/>
                <w:i w:val="0"/>
                <w:color w:val="auto"/>
                <w:kern w:val="0"/>
                <w:sz w:val="13"/>
                <w:szCs w:val="13"/>
                <w:highlight w:val="none"/>
                <w:u w:val="none"/>
                <w:lang w:val="en-US" w:eastAsia="zh-CN" w:bidi="ar"/>
              </w:rPr>
              <w:t>16</w:t>
            </w:r>
          </w:p>
        </w:tc>
        <w:tc>
          <w:tcPr>
            <w:tcW w:w="1550" w:type="dxa"/>
            <w:vMerge w:val="restart"/>
            <w:tcBorders>
              <w:tl2br w:val="nil"/>
              <w:tr2bl w:val="nil"/>
            </w:tcBorders>
            <w:vAlign w:val="center"/>
          </w:tcPr>
          <w:p w14:paraId="73AFAE8D">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95" w:firstLineChars="15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工程监理单位发现安全事故隐患未及时要求施工单位整改或者暂时停止施工且逾期未改正的</w:t>
            </w:r>
          </w:p>
        </w:tc>
        <w:tc>
          <w:tcPr>
            <w:tcW w:w="4820" w:type="dxa"/>
            <w:vMerge w:val="restart"/>
            <w:tcBorders>
              <w:tl2br w:val="nil"/>
              <w:tr2bl w:val="nil"/>
            </w:tcBorders>
            <w:vAlign w:val="center"/>
          </w:tcPr>
          <w:p w14:paraId="4565372B">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《建设工程安全生产管理条例》</w:t>
            </w:r>
          </w:p>
          <w:p w14:paraId="696A8C11">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rPr>
              <w:t>第五十七条</w:t>
            </w:r>
            <w:r>
              <w:rPr>
                <w:rFonts w:hint="eastAsia" w:ascii="仿宋_GB2312" w:hAnsi="宋体" w:eastAsia="仿宋_GB2312"/>
                <w:color w:val="auto"/>
                <w:kern w:val="0"/>
                <w:sz w:val="13"/>
                <w:szCs w:val="13"/>
                <w:highlight w:val="none"/>
                <w:lang w:eastAsia="zh-CN"/>
              </w:rPr>
              <w:t>（</w:t>
            </w:r>
            <w:r>
              <w:rPr>
                <w:rFonts w:hint="eastAsia" w:ascii="仿宋_GB2312" w:hAnsi="宋体" w:eastAsia="仿宋_GB2312"/>
                <w:color w:val="auto"/>
                <w:kern w:val="0"/>
                <w:sz w:val="13"/>
                <w:szCs w:val="13"/>
                <w:highlight w:val="none"/>
                <w:lang w:val="en-US" w:eastAsia="zh-CN"/>
              </w:rPr>
              <w:t>二</w:t>
            </w:r>
            <w:r>
              <w:rPr>
                <w:rFonts w:hint="eastAsia" w:ascii="仿宋_GB2312" w:hAnsi="宋体" w:eastAsia="仿宋_GB2312"/>
                <w:color w:val="auto"/>
                <w:kern w:val="0"/>
                <w:sz w:val="13"/>
                <w:szCs w:val="13"/>
                <w:highlight w:val="none"/>
                <w:lang w:eastAsia="zh-CN"/>
              </w:rPr>
              <w:t>）</w:t>
            </w:r>
            <w:r>
              <w:rPr>
                <w:rFonts w:ascii="仿宋_GB2312" w:hAnsi="宋体" w:eastAsia="仿宋_GB2312"/>
                <w:color w:val="auto"/>
                <w:kern w:val="0"/>
                <w:sz w:val="13"/>
                <w:szCs w:val="13"/>
                <w:highlight w:val="none"/>
              </w:rPr>
              <w:t>项</w:t>
            </w:r>
            <w:r>
              <w:rPr>
                <w:rFonts w:hint="eastAsia" w:ascii="仿宋_GB2312" w:hAnsi="宋体" w:eastAsia="仿宋_GB2312"/>
                <w:color w:val="auto"/>
                <w:kern w:val="0"/>
                <w:sz w:val="13"/>
                <w:szCs w:val="13"/>
                <w:highlight w:val="none"/>
              </w:rPr>
              <w:t>违反本条例的规定，工程监理单位有下列行为之一的，责令限期改正；逾期未改正的，责令停业整顿，并处10万元以上30万元以下的罚款；情节严重的，降低资质等级，直至吊销资质证书；造成重大安全事故，构成犯罪的，对直接责任人员，依照刑法有关规定追究刑事责任；造成损失的，依法承担赔偿责任：</w:t>
            </w:r>
          </w:p>
          <w:p w14:paraId="07D78900">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(二)发现安全事故隐患未及时要求施工单位整改或者暂时停止施工的；</w:t>
            </w:r>
          </w:p>
        </w:tc>
        <w:tc>
          <w:tcPr>
            <w:tcW w:w="823" w:type="dxa"/>
            <w:tcBorders>
              <w:tl2br w:val="nil"/>
              <w:tr2bl w:val="nil"/>
            </w:tcBorders>
            <w:vAlign w:val="center"/>
          </w:tcPr>
          <w:p w14:paraId="2D94D5E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vAlign w:val="center"/>
          </w:tcPr>
          <w:p w14:paraId="4D60803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初次违法，危害后果较轻的，主动消除或减轻违法行为危害后果的。</w:t>
            </w:r>
          </w:p>
        </w:tc>
        <w:tc>
          <w:tcPr>
            <w:tcW w:w="3058" w:type="dxa"/>
            <w:tcBorders>
              <w:tl2br w:val="nil"/>
              <w:tr2bl w:val="nil"/>
            </w:tcBorders>
            <w:vAlign w:val="center"/>
          </w:tcPr>
          <w:p w14:paraId="3A9F489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责令停业整顿，直至改正违法行为；处10万元以上12万元以下的罚款。</w:t>
            </w:r>
          </w:p>
        </w:tc>
      </w:tr>
      <w:tr w14:paraId="3FABA54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0" w:hRule="atLeast"/>
          <w:jc w:val="center"/>
        </w:trPr>
        <w:tc>
          <w:tcPr>
            <w:tcW w:w="443" w:type="dxa"/>
            <w:gridSpan w:val="2"/>
            <w:vMerge w:val="continue"/>
            <w:tcBorders>
              <w:tl2br w:val="nil"/>
              <w:tr2bl w:val="nil"/>
            </w:tcBorders>
            <w:vAlign w:val="center"/>
          </w:tcPr>
          <w:p w14:paraId="3C569DB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仿宋" w:eastAsia="仿宋_GB2312" w:cs="Times New Roman"/>
                <w:color w:val="auto"/>
                <w:kern w:val="0"/>
                <w:sz w:val="13"/>
                <w:szCs w:val="13"/>
                <w:highlight w:val="none"/>
              </w:rPr>
            </w:pPr>
          </w:p>
        </w:tc>
        <w:tc>
          <w:tcPr>
            <w:tcW w:w="1550" w:type="dxa"/>
            <w:vMerge w:val="continue"/>
            <w:tcBorders>
              <w:tl2br w:val="nil"/>
              <w:tr2bl w:val="nil"/>
            </w:tcBorders>
            <w:vAlign w:val="center"/>
          </w:tcPr>
          <w:p w14:paraId="46E5C98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tcPr>
          <w:p w14:paraId="4B89C5D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tcBorders>
              <w:tl2br w:val="nil"/>
              <w:tr2bl w:val="nil"/>
            </w:tcBorders>
            <w:vAlign w:val="center"/>
          </w:tcPr>
          <w:p w14:paraId="7B6C07B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一般情节</w:t>
            </w:r>
          </w:p>
        </w:tc>
        <w:tc>
          <w:tcPr>
            <w:tcW w:w="3437" w:type="dxa"/>
            <w:gridSpan w:val="2"/>
            <w:tcBorders>
              <w:tl2br w:val="nil"/>
              <w:tr2bl w:val="nil"/>
            </w:tcBorders>
            <w:vAlign w:val="center"/>
          </w:tcPr>
          <w:p w14:paraId="3B14530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不具有从轻、</w:t>
            </w:r>
            <w:r>
              <w:rPr>
                <w:rFonts w:hint="eastAsia" w:ascii="仿宋_GB2312" w:hAnsi="宋体" w:eastAsia="仿宋_GB2312"/>
                <w:color w:val="auto"/>
                <w:kern w:val="0"/>
                <w:sz w:val="13"/>
                <w:szCs w:val="13"/>
                <w:highlight w:val="none"/>
                <w:lang w:eastAsia="zh-CN"/>
              </w:rPr>
              <w:t>从重情节</w:t>
            </w:r>
            <w:r>
              <w:rPr>
                <w:rFonts w:hint="eastAsia" w:ascii="仿宋_GB2312" w:hAnsi="宋体" w:eastAsia="仿宋_GB2312"/>
                <w:color w:val="auto"/>
                <w:kern w:val="0"/>
                <w:sz w:val="13"/>
                <w:szCs w:val="13"/>
                <w:highlight w:val="none"/>
              </w:rPr>
              <w:t>的。</w:t>
            </w:r>
          </w:p>
        </w:tc>
        <w:tc>
          <w:tcPr>
            <w:tcW w:w="3058" w:type="dxa"/>
            <w:tcBorders>
              <w:tl2br w:val="nil"/>
              <w:tr2bl w:val="nil"/>
            </w:tcBorders>
            <w:vAlign w:val="center"/>
          </w:tcPr>
          <w:p w14:paraId="1CE5E9C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责令停业整顿，直至改正违法行为；处12万元以上30万元以下的罚款。</w:t>
            </w:r>
          </w:p>
        </w:tc>
      </w:tr>
      <w:tr w14:paraId="4694280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0" w:hRule="atLeast"/>
          <w:jc w:val="center"/>
        </w:trPr>
        <w:tc>
          <w:tcPr>
            <w:tcW w:w="443" w:type="dxa"/>
            <w:gridSpan w:val="2"/>
            <w:vMerge w:val="continue"/>
            <w:tcBorders>
              <w:tl2br w:val="nil"/>
              <w:tr2bl w:val="nil"/>
            </w:tcBorders>
            <w:vAlign w:val="center"/>
          </w:tcPr>
          <w:p w14:paraId="2211D9A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仿宋" w:eastAsia="仿宋_GB2312" w:cs="Times New Roman"/>
                <w:color w:val="auto"/>
                <w:kern w:val="0"/>
                <w:sz w:val="13"/>
                <w:szCs w:val="13"/>
                <w:highlight w:val="none"/>
              </w:rPr>
            </w:pPr>
          </w:p>
        </w:tc>
        <w:tc>
          <w:tcPr>
            <w:tcW w:w="1550" w:type="dxa"/>
            <w:vMerge w:val="continue"/>
            <w:tcBorders>
              <w:tl2br w:val="nil"/>
              <w:tr2bl w:val="nil"/>
            </w:tcBorders>
            <w:vAlign w:val="center"/>
          </w:tcPr>
          <w:p w14:paraId="260799A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tcPr>
          <w:p w14:paraId="260EBF1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vMerge w:val="restart"/>
            <w:tcBorders>
              <w:tl2br w:val="nil"/>
              <w:tr2bl w:val="nil"/>
            </w:tcBorders>
            <w:vAlign w:val="center"/>
          </w:tcPr>
          <w:p w14:paraId="6C175ED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从重情节</w:t>
            </w:r>
          </w:p>
        </w:tc>
        <w:tc>
          <w:tcPr>
            <w:tcW w:w="3437" w:type="dxa"/>
            <w:gridSpan w:val="2"/>
            <w:tcBorders>
              <w:tl2br w:val="nil"/>
              <w:tr2bl w:val="nil"/>
            </w:tcBorders>
            <w:vAlign w:val="center"/>
          </w:tcPr>
          <w:p w14:paraId="161D94B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造成3人以下死亡，或者10人以下重伤，或者1000万元以下直接经济损失。</w:t>
            </w:r>
          </w:p>
        </w:tc>
        <w:tc>
          <w:tcPr>
            <w:tcW w:w="3058" w:type="dxa"/>
            <w:tcBorders>
              <w:tl2br w:val="nil"/>
              <w:tr2bl w:val="nil"/>
            </w:tcBorders>
            <w:vAlign w:val="center"/>
          </w:tcPr>
          <w:p w14:paraId="5B391C2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责令停业整顿</w:t>
            </w:r>
            <w:r>
              <w:rPr>
                <w:rFonts w:hint="eastAsia" w:ascii="仿宋_GB2312" w:hAnsi="宋体" w:eastAsia="仿宋_GB2312"/>
                <w:color w:val="auto"/>
                <w:kern w:val="0"/>
                <w:sz w:val="13"/>
                <w:szCs w:val="13"/>
                <w:highlight w:val="none"/>
                <w:lang w:eastAsia="zh-CN"/>
              </w:rPr>
              <w:t>30日-</w:t>
            </w:r>
            <w:r>
              <w:rPr>
                <w:rFonts w:hint="eastAsia" w:ascii="仿宋_GB2312" w:hAnsi="宋体" w:eastAsia="仿宋_GB2312"/>
                <w:color w:val="auto"/>
                <w:kern w:val="0"/>
                <w:sz w:val="13"/>
                <w:szCs w:val="13"/>
                <w:highlight w:val="none"/>
              </w:rPr>
              <w:t>60日；处25万元以上30万元以下的罚款。</w:t>
            </w:r>
          </w:p>
        </w:tc>
      </w:tr>
      <w:tr w14:paraId="21BFFE5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8" w:hRule="atLeast"/>
          <w:jc w:val="center"/>
        </w:trPr>
        <w:tc>
          <w:tcPr>
            <w:tcW w:w="443" w:type="dxa"/>
            <w:gridSpan w:val="2"/>
            <w:vMerge w:val="continue"/>
            <w:tcBorders>
              <w:tl2br w:val="nil"/>
              <w:tr2bl w:val="nil"/>
            </w:tcBorders>
            <w:vAlign w:val="center"/>
          </w:tcPr>
          <w:p w14:paraId="6E28716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仿宋" w:eastAsia="仿宋_GB2312" w:cs="Times New Roman"/>
                <w:color w:val="auto"/>
                <w:kern w:val="0"/>
                <w:sz w:val="13"/>
                <w:szCs w:val="13"/>
                <w:highlight w:val="none"/>
              </w:rPr>
            </w:pPr>
          </w:p>
        </w:tc>
        <w:tc>
          <w:tcPr>
            <w:tcW w:w="1550" w:type="dxa"/>
            <w:vMerge w:val="continue"/>
            <w:tcBorders>
              <w:tl2br w:val="nil"/>
              <w:tr2bl w:val="nil"/>
            </w:tcBorders>
            <w:vAlign w:val="center"/>
          </w:tcPr>
          <w:p w14:paraId="721BFA2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tcPr>
          <w:p w14:paraId="458FFD0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vMerge w:val="continue"/>
            <w:tcBorders>
              <w:tl2br w:val="nil"/>
              <w:tr2bl w:val="nil"/>
            </w:tcBorders>
            <w:vAlign w:val="center"/>
          </w:tcPr>
          <w:p w14:paraId="001349D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3437" w:type="dxa"/>
            <w:gridSpan w:val="2"/>
            <w:tcBorders>
              <w:tl2br w:val="nil"/>
              <w:tr2bl w:val="nil"/>
            </w:tcBorders>
            <w:vAlign w:val="center"/>
          </w:tcPr>
          <w:p w14:paraId="368C125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造成3人以上5人以下死亡；或者10人以上20人以下重伤；或者1000万元以上2000万元以下直接经济损失的。</w:t>
            </w:r>
          </w:p>
        </w:tc>
        <w:tc>
          <w:tcPr>
            <w:tcW w:w="3058" w:type="dxa"/>
            <w:tcBorders>
              <w:tl2br w:val="nil"/>
              <w:tr2bl w:val="nil"/>
            </w:tcBorders>
            <w:vAlign w:val="center"/>
          </w:tcPr>
          <w:p w14:paraId="3B94D891">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责令停业整顿</w:t>
            </w:r>
            <w:r>
              <w:rPr>
                <w:rFonts w:hint="eastAsia" w:ascii="仿宋_GB2312" w:hAnsi="宋体" w:eastAsia="仿宋_GB2312"/>
                <w:color w:val="auto"/>
                <w:kern w:val="0"/>
                <w:sz w:val="13"/>
                <w:szCs w:val="13"/>
                <w:highlight w:val="none"/>
                <w:lang w:eastAsia="zh-CN"/>
              </w:rPr>
              <w:t>60日-</w:t>
            </w:r>
            <w:r>
              <w:rPr>
                <w:rFonts w:hint="eastAsia" w:ascii="仿宋_GB2312" w:hAnsi="宋体" w:eastAsia="仿宋_GB2312"/>
                <w:color w:val="auto"/>
                <w:kern w:val="0"/>
                <w:sz w:val="13"/>
                <w:szCs w:val="13"/>
                <w:highlight w:val="none"/>
              </w:rPr>
              <w:t>90日；处30万元的罚款。</w:t>
            </w:r>
          </w:p>
        </w:tc>
      </w:tr>
      <w:tr w14:paraId="230D9BB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8" w:hRule="atLeast"/>
          <w:jc w:val="center"/>
        </w:trPr>
        <w:tc>
          <w:tcPr>
            <w:tcW w:w="443" w:type="dxa"/>
            <w:gridSpan w:val="2"/>
            <w:vMerge w:val="continue"/>
            <w:tcBorders>
              <w:tl2br w:val="nil"/>
              <w:tr2bl w:val="nil"/>
            </w:tcBorders>
            <w:vAlign w:val="center"/>
          </w:tcPr>
          <w:p w14:paraId="5DCA542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仿宋" w:eastAsia="仿宋_GB2312" w:cs="Times New Roman"/>
                <w:color w:val="auto"/>
                <w:kern w:val="0"/>
                <w:sz w:val="13"/>
                <w:szCs w:val="13"/>
                <w:highlight w:val="none"/>
              </w:rPr>
            </w:pPr>
          </w:p>
        </w:tc>
        <w:tc>
          <w:tcPr>
            <w:tcW w:w="1550" w:type="dxa"/>
            <w:vMerge w:val="continue"/>
            <w:tcBorders>
              <w:tl2br w:val="nil"/>
              <w:tr2bl w:val="nil"/>
            </w:tcBorders>
            <w:vAlign w:val="center"/>
          </w:tcPr>
          <w:p w14:paraId="3F7386B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tcPr>
          <w:p w14:paraId="38A916F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vMerge w:val="continue"/>
            <w:tcBorders>
              <w:tl2br w:val="nil"/>
              <w:tr2bl w:val="nil"/>
            </w:tcBorders>
            <w:vAlign w:val="center"/>
          </w:tcPr>
          <w:p w14:paraId="7CE3167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3437" w:type="dxa"/>
            <w:gridSpan w:val="2"/>
            <w:tcBorders>
              <w:tl2br w:val="nil"/>
              <w:tr2bl w:val="nil"/>
            </w:tcBorders>
            <w:vAlign w:val="center"/>
          </w:tcPr>
          <w:p w14:paraId="6CCDE8B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造成5人以上7人以下死亡；或者20人以上30人以下重伤；或者2000万元以上3000万元以下直接经济损失的。</w:t>
            </w:r>
          </w:p>
        </w:tc>
        <w:tc>
          <w:tcPr>
            <w:tcW w:w="3058" w:type="dxa"/>
            <w:tcBorders>
              <w:tl2br w:val="nil"/>
              <w:tr2bl w:val="nil"/>
            </w:tcBorders>
            <w:vAlign w:val="center"/>
          </w:tcPr>
          <w:p w14:paraId="77BF277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责令停业整顿</w:t>
            </w:r>
            <w:r>
              <w:rPr>
                <w:rFonts w:hint="eastAsia" w:ascii="仿宋_GB2312" w:hAnsi="宋体" w:eastAsia="仿宋_GB2312"/>
                <w:color w:val="auto"/>
                <w:kern w:val="0"/>
                <w:sz w:val="13"/>
                <w:szCs w:val="13"/>
                <w:highlight w:val="none"/>
                <w:lang w:eastAsia="zh-CN"/>
              </w:rPr>
              <w:t>90日-</w:t>
            </w:r>
            <w:r>
              <w:rPr>
                <w:rFonts w:hint="eastAsia" w:ascii="仿宋_GB2312" w:hAnsi="宋体" w:eastAsia="仿宋_GB2312"/>
                <w:color w:val="auto"/>
                <w:kern w:val="0"/>
                <w:sz w:val="13"/>
                <w:szCs w:val="13"/>
                <w:highlight w:val="none"/>
              </w:rPr>
              <w:t>120日；处30万元的罚款。</w:t>
            </w:r>
          </w:p>
        </w:tc>
      </w:tr>
      <w:tr w14:paraId="3C01C09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8" w:hRule="atLeast"/>
          <w:jc w:val="center"/>
        </w:trPr>
        <w:tc>
          <w:tcPr>
            <w:tcW w:w="443" w:type="dxa"/>
            <w:gridSpan w:val="2"/>
            <w:vMerge w:val="continue"/>
            <w:tcBorders>
              <w:tl2br w:val="nil"/>
              <w:tr2bl w:val="nil"/>
            </w:tcBorders>
            <w:vAlign w:val="center"/>
          </w:tcPr>
          <w:p w14:paraId="58B209A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仿宋" w:eastAsia="仿宋_GB2312" w:cs="Times New Roman"/>
                <w:color w:val="auto"/>
                <w:kern w:val="0"/>
                <w:sz w:val="13"/>
                <w:szCs w:val="13"/>
                <w:highlight w:val="none"/>
              </w:rPr>
            </w:pPr>
          </w:p>
        </w:tc>
        <w:tc>
          <w:tcPr>
            <w:tcW w:w="1550" w:type="dxa"/>
            <w:vMerge w:val="continue"/>
            <w:tcBorders>
              <w:tl2br w:val="nil"/>
              <w:tr2bl w:val="nil"/>
            </w:tcBorders>
            <w:vAlign w:val="center"/>
          </w:tcPr>
          <w:p w14:paraId="3459591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tcPr>
          <w:p w14:paraId="1DE5FF6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vMerge w:val="continue"/>
            <w:tcBorders>
              <w:tl2br w:val="nil"/>
              <w:tr2bl w:val="nil"/>
            </w:tcBorders>
            <w:vAlign w:val="center"/>
          </w:tcPr>
          <w:p w14:paraId="39A6235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3437" w:type="dxa"/>
            <w:gridSpan w:val="2"/>
            <w:tcBorders>
              <w:tl2br w:val="nil"/>
              <w:tr2bl w:val="nil"/>
            </w:tcBorders>
            <w:vAlign w:val="center"/>
          </w:tcPr>
          <w:p w14:paraId="680961E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造成7人以上10人以下死亡；或者30人以上50人以下重伤；或者3000万元以上5000万元以下直接经济损失的。</w:t>
            </w:r>
          </w:p>
        </w:tc>
        <w:tc>
          <w:tcPr>
            <w:tcW w:w="3058" w:type="dxa"/>
            <w:tcBorders>
              <w:tl2br w:val="nil"/>
              <w:tr2bl w:val="nil"/>
            </w:tcBorders>
            <w:vAlign w:val="center"/>
          </w:tcPr>
          <w:p w14:paraId="17AD0F87">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责令停业整顿</w:t>
            </w:r>
            <w:r>
              <w:rPr>
                <w:rFonts w:hint="eastAsia" w:ascii="仿宋_GB2312" w:hAnsi="宋体" w:eastAsia="仿宋_GB2312"/>
                <w:color w:val="auto"/>
                <w:kern w:val="0"/>
                <w:sz w:val="13"/>
                <w:szCs w:val="13"/>
                <w:highlight w:val="none"/>
                <w:lang w:eastAsia="zh-CN"/>
              </w:rPr>
              <w:t>120日-</w:t>
            </w:r>
            <w:r>
              <w:rPr>
                <w:rFonts w:hint="eastAsia" w:ascii="仿宋_GB2312" w:hAnsi="宋体" w:eastAsia="仿宋_GB2312"/>
                <w:color w:val="auto"/>
                <w:kern w:val="0"/>
                <w:sz w:val="13"/>
                <w:szCs w:val="13"/>
                <w:highlight w:val="none"/>
              </w:rPr>
              <w:t>180日；处30万元的罚款。</w:t>
            </w:r>
          </w:p>
        </w:tc>
      </w:tr>
      <w:tr w14:paraId="067A1BE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01" w:hRule="atLeast"/>
          <w:jc w:val="center"/>
        </w:trPr>
        <w:tc>
          <w:tcPr>
            <w:tcW w:w="443" w:type="dxa"/>
            <w:gridSpan w:val="2"/>
            <w:vMerge w:val="continue"/>
            <w:tcBorders>
              <w:tl2br w:val="nil"/>
              <w:tr2bl w:val="nil"/>
            </w:tcBorders>
            <w:vAlign w:val="center"/>
          </w:tcPr>
          <w:p w14:paraId="03C3B1A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仿宋" w:eastAsia="仿宋_GB2312" w:cs="Times New Roman"/>
                <w:color w:val="auto"/>
                <w:kern w:val="0"/>
                <w:sz w:val="13"/>
                <w:szCs w:val="13"/>
                <w:highlight w:val="none"/>
              </w:rPr>
            </w:pPr>
          </w:p>
        </w:tc>
        <w:tc>
          <w:tcPr>
            <w:tcW w:w="1550" w:type="dxa"/>
            <w:vMerge w:val="continue"/>
            <w:tcBorders>
              <w:tl2br w:val="nil"/>
              <w:tr2bl w:val="nil"/>
            </w:tcBorders>
            <w:vAlign w:val="center"/>
          </w:tcPr>
          <w:p w14:paraId="352B769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tcPr>
          <w:p w14:paraId="0DA17B6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vMerge w:val="continue"/>
            <w:tcBorders>
              <w:tl2br w:val="nil"/>
              <w:tr2bl w:val="nil"/>
            </w:tcBorders>
            <w:vAlign w:val="center"/>
          </w:tcPr>
          <w:p w14:paraId="366C2DF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3437" w:type="dxa"/>
            <w:gridSpan w:val="2"/>
            <w:tcBorders>
              <w:tl2br w:val="nil"/>
              <w:tr2bl w:val="nil"/>
            </w:tcBorders>
            <w:vAlign w:val="center"/>
          </w:tcPr>
          <w:p w14:paraId="09452A7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造成重大安全事故的</w:t>
            </w:r>
            <w:r>
              <w:rPr>
                <w:rFonts w:hint="eastAsia" w:ascii="仿宋_GB2312" w:hAnsi="宋体" w:eastAsia="仿宋_GB2312"/>
                <w:color w:val="auto"/>
                <w:kern w:val="0"/>
                <w:sz w:val="13"/>
                <w:szCs w:val="13"/>
                <w:highlight w:val="none"/>
                <w:lang w:val="en-US" w:eastAsia="zh-CN"/>
              </w:rPr>
              <w:t>。</w:t>
            </w:r>
          </w:p>
        </w:tc>
        <w:tc>
          <w:tcPr>
            <w:tcW w:w="3058" w:type="dxa"/>
            <w:tcBorders>
              <w:tl2br w:val="nil"/>
              <w:tr2bl w:val="nil"/>
            </w:tcBorders>
            <w:vAlign w:val="center"/>
          </w:tcPr>
          <w:p w14:paraId="30C8A73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处30万元的罚款；降低资质等级。</w:t>
            </w:r>
          </w:p>
        </w:tc>
      </w:tr>
      <w:tr w14:paraId="0E48E79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88" w:hRule="atLeast"/>
          <w:jc w:val="center"/>
        </w:trPr>
        <w:tc>
          <w:tcPr>
            <w:tcW w:w="443" w:type="dxa"/>
            <w:gridSpan w:val="2"/>
            <w:vMerge w:val="continue"/>
            <w:tcBorders>
              <w:tl2br w:val="nil"/>
              <w:tr2bl w:val="nil"/>
            </w:tcBorders>
            <w:vAlign w:val="center"/>
          </w:tcPr>
          <w:p w14:paraId="625EF7A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仿宋" w:eastAsia="仿宋_GB2312" w:cs="Times New Roman"/>
                <w:color w:val="auto"/>
                <w:kern w:val="0"/>
                <w:sz w:val="13"/>
                <w:szCs w:val="13"/>
                <w:highlight w:val="none"/>
              </w:rPr>
            </w:pPr>
          </w:p>
        </w:tc>
        <w:tc>
          <w:tcPr>
            <w:tcW w:w="1550" w:type="dxa"/>
            <w:vMerge w:val="continue"/>
            <w:tcBorders>
              <w:tl2br w:val="nil"/>
              <w:tr2bl w:val="nil"/>
            </w:tcBorders>
            <w:vAlign w:val="center"/>
          </w:tcPr>
          <w:p w14:paraId="57D84EF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tcPr>
          <w:p w14:paraId="6D88EDA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vMerge w:val="continue"/>
            <w:tcBorders>
              <w:tl2br w:val="nil"/>
              <w:tr2bl w:val="nil"/>
            </w:tcBorders>
            <w:vAlign w:val="center"/>
          </w:tcPr>
          <w:p w14:paraId="1C3197A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3437" w:type="dxa"/>
            <w:gridSpan w:val="2"/>
            <w:tcBorders>
              <w:tl2br w:val="nil"/>
              <w:tr2bl w:val="nil"/>
            </w:tcBorders>
            <w:vAlign w:val="center"/>
          </w:tcPr>
          <w:p w14:paraId="7793A45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造成特别重大安全事故的</w:t>
            </w:r>
            <w:r>
              <w:rPr>
                <w:rFonts w:hint="eastAsia" w:ascii="仿宋_GB2312" w:hAnsi="宋体" w:eastAsia="仿宋_GB2312"/>
                <w:color w:val="auto"/>
                <w:kern w:val="0"/>
                <w:sz w:val="13"/>
                <w:szCs w:val="13"/>
                <w:highlight w:val="none"/>
                <w:lang w:eastAsia="zh-CN"/>
              </w:rPr>
              <w:t>；</w:t>
            </w:r>
            <w:r>
              <w:rPr>
                <w:rFonts w:hint="eastAsia" w:ascii="仿宋_GB2312" w:hAnsi="宋体" w:eastAsia="仿宋_GB2312"/>
                <w:color w:val="auto"/>
                <w:kern w:val="0"/>
                <w:sz w:val="13"/>
                <w:szCs w:val="13"/>
                <w:highlight w:val="none"/>
                <w:lang w:val="en-US" w:eastAsia="zh-CN"/>
              </w:rPr>
              <w:t>或造成特别严重社会影响的。</w:t>
            </w:r>
          </w:p>
        </w:tc>
        <w:tc>
          <w:tcPr>
            <w:tcW w:w="3058" w:type="dxa"/>
            <w:tcBorders>
              <w:tl2br w:val="nil"/>
              <w:tr2bl w:val="nil"/>
            </w:tcBorders>
            <w:vAlign w:val="center"/>
          </w:tcPr>
          <w:p w14:paraId="3DE7A4F8">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处30万元的罚款；吊销资质证书。</w:t>
            </w:r>
          </w:p>
        </w:tc>
      </w:tr>
      <w:tr w14:paraId="7FE4496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0" w:hRule="atLeast"/>
          <w:jc w:val="center"/>
        </w:trPr>
        <w:tc>
          <w:tcPr>
            <w:tcW w:w="443" w:type="dxa"/>
            <w:gridSpan w:val="2"/>
            <w:vMerge w:val="restart"/>
            <w:tcBorders>
              <w:tl2br w:val="nil"/>
              <w:tr2bl w:val="nil"/>
            </w:tcBorders>
            <w:vAlign w:val="center"/>
          </w:tcPr>
          <w:p w14:paraId="4F8BA917">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仿宋" w:eastAsia="仿宋_GB2312" w:cs="Times New Roman"/>
                <w:color w:val="auto"/>
                <w:kern w:val="0"/>
                <w:sz w:val="13"/>
                <w:szCs w:val="13"/>
                <w:highlight w:val="none"/>
                <w:lang w:val="en-US"/>
              </w:rPr>
            </w:pPr>
            <w:r>
              <w:rPr>
                <w:rFonts w:hint="default" w:ascii="仿宋_GB2312" w:hAnsi="宋体" w:eastAsia="仿宋_GB2312" w:cs="仿宋_GB2312"/>
                <w:i w:val="0"/>
                <w:color w:val="auto"/>
                <w:kern w:val="0"/>
                <w:sz w:val="13"/>
                <w:szCs w:val="13"/>
                <w:highlight w:val="none"/>
                <w:u w:val="none"/>
                <w:lang w:val="en-US" w:eastAsia="zh-CN" w:bidi="ar"/>
              </w:rPr>
              <w:t>1</w:t>
            </w:r>
            <w:r>
              <w:rPr>
                <w:rFonts w:hint="eastAsia" w:ascii="仿宋_GB2312" w:hAnsi="宋体" w:eastAsia="仿宋_GB2312" w:cs="仿宋_GB2312"/>
                <w:i w:val="0"/>
                <w:color w:val="auto"/>
                <w:kern w:val="0"/>
                <w:sz w:val="13"/>
                <w:szCs w:val="13"/>
                <w:highlight w:val="none"/>
                <w:u w:val="none"/>
                <w:lang w:val="en-US" w:eastAsia="zh-CN" w:bidi="ar"/>
              </w:rPr>
              <w:t>17</w:t>
            </w:r>
          </w:p>
        </w:tc>
        <w:tc>
          <w:tcPr>
            <w:tcW w:w="1550" w:type="dxa"/>
            <w:vMerge w:val="restart"/>
            <w:tcBorders>
              <w:tl2br w:val="nil"/>
              <w:tr2bl w:val="nil"/>
            </w:tcBorders>
            <w:vAlign w:val="center"/>
          </w:tcPr>
          <w:p w14:paraId="089EEB8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p>
          <w:p w14:paraId="7ABEC07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p>
          <w:p w14:paraId="51F0C76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工程监理单位对施工单位拒不整改或者不停止施工，未及时向有关主管部门报告且经责令限期改正逾期未改正的</w:t>
            </w:r>
          </w:p>
        </w:tc>
        <w:tc>
          <w:tcPr>
            <w:tcW w:w="4820" w:type="dxa"/>
            <w:vMerge w:val="restart"/>
            <w:tcBorders>
              <w:tl2br w:val="nil"/>
              <w:tr2bl w:val="nil"/>
            </w:tcBorders>
            <w:vAlign w:val="center"/>
          </w:tcPr>
          <w:p w14:paraId="47B2CA15">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《建设工程安全生产管理条例》</w:t>
            </w:r>
          </w:p>
          <w:p w14:paraId="24A36101">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第五十七条</w:t>
            </w:r>
            <w:r>
              <w:rPr>
                <w:rFonts w:hint="eastAsia" w:ascii="仿宋_GB2312" w:hAnsi="宋体" w:eastAsia="仿宋_GB2312"/>
                <w:color w:val="auto"/>
                <w:kern w:val="0"/>
                <w:sz w:val="13"/>
                <w:szCs w:val="13"/>
                <w:highlight w:val="none"/>
                <w:lang w:eastAsia="zh-CN"/>
              </w:rPr>
              <w:t>（</w:t>
            </w:r>
            <w:r>
              <w:rPr>
                <w:rFonts w:hint="eastAsia" w:ascii="仿宋_GB2312" w:hAnsi="宋体" w:eastAsia="仿宋_GB2312"/>
                <w:color w:val="auto"/>
                <w:kern w:val="0"/>
                <w:sz w:val="13"/>
                <w:szCs w:val="13"/>
                <w:highlight w:val="none"/>
                <w:lang w:val="en-US" w:eastAsia="zh-CN"/>
              </w:rPr>
              <w:t>三</w:t>
            </w:r>
            <w:r>
              <w:rPr>
                <w:rFonts w:hint="eastAsia" w:ascii="仿宋_GB2312" w:hAnsi="宋体" w:eastAsia="仿宋_GB2312"/>
                <w:color w:val="auto"/>
                <w:kern w:val="0"/>
                <w:sz w:val="13"/>
                <w:szCs w:val="13"/>
                <w:highlight w:val="none"/>
                <w:lang w:eastAsia="zh-CN"/>
              </w:rPr>
              <w:t>）</w:t>
            </w:r>
            <w:r>
              <w:rPr>
                <w:rFonts w:ascii="仿宋_GB2312" w:hAnsi="宋体" w:eastAsia="仿宋_GB2312"/>
                <w:color w:val="auto"/>
                <w:kern w:val="0"/>
                <w:sz w:val="13"/>
                <w:szCs w:val="13"/>
                <w:highlight w:val="none"/>
              </w:rPr>
              <w:t>项</w:t>
            </w:r>
            <w:r>
              <w:rPr>
                <w:rFonts w:hint="eastAsia" w:ascii="仿宋_GB2312" w:hAnsi="宋体" w:eastAsia="仿宋_GB2312"/>
                <w:color w:val="auto"/>
                <w:kern w:val="0"/>
                <w:sz w:val="13"/>
                <w:szCs w:val="13"/>
                <w:highlight w:val="none"/>
              </w:rPr>
              <w:t>违反本条例的规定，工程监理单位有下列行为之一的，责令限期改正；逾期未改正的，责令停业整顿，并处10万元以上30万元以下的罚款；情节严重的，降低资质等级，直至吊销资质证书；造成重大安全事故，构成犯罪的，对直接责任人员，依照刑法有关规定追究刑事责任；造成损失的，依法承担赔偿责任：</w:t>
            </w:r>
          </w:p>
          <w:p w14:paraId="1C6A6F19">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(三)施工单位拒不整改或者不停止施工，未及时向有关主管部门报告的；</w:t>
            </w:r>
          </w:p>
        </w:tc>
        <w:tc>
          <w:tcPr>
            <w:tcW w:w="823" w:type="dxa"/>
            <w:tcBorders>
              <w:tl2br w:val="nil"/>
              <w:tr2bl w:val="nil"/>
            </w:tcBorders>
            <w:vAlign w:val="center"/>
          </w:tcPr>
          <w:p w14:paraId="44F6BEF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vAlign w:val="center"/>
          </w:tcPr>
          <w:p w14:paraId="18F1EDE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初次违法，危害后果较轻的，主动消除或减轻违法行为危害后果的。</w:t>
            </w:r>
          </w:p>
        </w:tc>
        <w:tc>
          <w:tcPr>
            <w:tcW w:w="3058" w:type="dxa"/>
            <w:tcBorders>
              <w:tl2br w:val="nil"/>
              <w:tr2bl w:val="nil"/>
            </w:tcBorders>
            <w:vAlign w:val="center"/>
          </w:tcPr>
          <w:p w14:paraId="164F6FC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责令停业整顿，直至改正违法行为；处10万元以上12万元以下的罚款。</w:t>
            </w:r>
          </w:p>
        </w:tc>
      </w:tr>
      <w:tr w14:paraId="7E47FE9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0" w:hRule="atLeast"/>
          <w:jc w:val="center"/>
        </w:trPr>
        <w:tc>
          <w:tcPr>
            <w:tcW w:w="443" w:type="dxa"/>
            <w:gridSpan w:val="2"/>
            <w:vMerge w:val="continue"/>
            <w:tcBorders>
              <w:tl2br w:val="nil"/>
              <w:tr2bl w:val="nil"/>
            </w:tcBorders>
            <w:vAlign w:val="center"/>
          </w:tcPr>
          <w:p w14:paraId="7E32CAC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仿宋" w:eastAsia="仿宋_GB2312" w:cs="Times New Roman"/>
                <w:color w:val="auto"/>
                <w:kern w:val="0"/>
                <w:sz w:val="13"/>
                <w:szCs w:val="13"/>
                <w:highlight w:val="none"/>
              </w:rPr>
            </w:pPr>
          </w:p>
        </w:tc>
        <w:tc>
          <w:tcPr>
            <w:tcW w:w="1550" w:type="dxa"/>
            <w:vMerge w:val="continue"/>
            <w:tcBorders>
              <w:tl2br w:val="nil"/>
              <w:tr2bl w:val="nil"/>
            </w:tcBorders>
            <w:vAlign w:val="center"/>
          </w:tcPr>
          <w:p w14:paraId="1DFF829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tcPr>
          <w:p w14:paraId="2CF2F9D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tcBorders>
              <w:tl2br w:val="nil"/>
              <w:tr2bl w:val="nil"/>
            </w:tcBorders>
            <w:vAlign w:val="center"/>
          </w:tcPr>
          <w:p w14:paraId="7C9ABD0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一般情节</w:t>
            </w:r>
          </w:p>
        </w:tc>
        <w:tc>
          <w:tcPr>
            <w:tcW w:w="3437" w:type="dxa"/>
            <w:gridSpan w:val="2"/>
            <w:tcBorders>
              <w:tl2br w:val="nil"/>
              <w:tr2bl w:val="nil"/>
            </w:tcBorders>
            <w:vAlign w:val="center"/>
          </w:tcPr>
          <w:p w14:paraId="0CB8466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不具有从轻、</w:t>
            </w:r>
            <w:r>
              <w:rPr>
                <w:rFonts w:hint="eastAsia" w:ascii="仿宋_GB2312" w:hAnsi="宋体" w:eastAsia="仿宋_GB2312"/>
                <w:color w:val="auto"/>
                <w:kern w:val="0"/>
                <w:sz w:val="13"/>
                <w:szCs w:val="13"/>
                <w:highlight w:val="none"/>
                <w:lang w:eastAsia="zh-CN"/>
              </w:rPr>
              <w:t>从重情节</w:t>
            </w:r>
            <w:r>
              <w:rPr>
                <w:rFonts w:hint="eastAsia" w:ascii="仿宋_GB2312" w:hAnsi="宋体" w:eastAsia="仿宋_GB2312"/>
                <w:color w:val="auto"/>
                <w:kern w:val="0"/>
                <w:sz w:val="13"/>
                <w:szCs w:val="13"/>
                <w:highlight w:val="none"/>
              </w:rPr>
              <w:t>的。</w:t>
            </w:r>
          </w:p>
        </w:tc>
        <w:tc>
          <w:tcPr>
            <w:tcW w:w="3058" w:type="dxa"/>
            <w:tcBorders>
              <w:tl2br w:val="nil"/>
              <w:tr2bl w:val="nil"/>
            </w:tcBorders>
            <w:vAlign w:val="center"/>
          </w:tcPr>
          <w:p w14:paraId="76E832B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责令停业整顿，直至改正违法行为；处12万元以上</w:t>
            </w:r>
            <w:r>
              <w:rPr>
                <w:rFonts w:hint="eastAsia" w:ascii="仿宋_GB2312" w:hAnsi="宋体" w:eastAsia="仿宋_GB2312"/>
                <w:color w:val="auto"/>
                <w:kern w:val="0"/>
                <w:sz w:val="13"/>
                <w:szCs w:val="13"/>
                <w:highlight w:val="none"/>
                <w:lang w:val="en-US" w:eastAsia="zh-CN"/>
              </w:rPr>
              <w:t>25</w:t>
            </w:r>
            <w:r>
              <w:rPr>
                <w:rFonts w:hint="eastAsia" w:ascii="仿宋_GB2312" w:hAnsi="宋体" w:eastAsia="仿宋_GB2312"/>
                <w:color w:val="auto"/>
                <w:kern w:val="0"/>
                <w:sz w:val="13"/>
                <w:szCs w:val="13"/>
                <w:highlight w:val="none"/>
              </w:rPr>
              <w:t>万元以下的罚款。</w:t>
            </w:r>
          </w:p>
        </w:tc>
      </w:tr>
      <w:tr w14:paraId="77DB247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75" w:hRule="atLeast"/>
          <w:jc w:val="center"/>
        </w:trPr>
        <w:tc>
          <w:tcPr>
            <w:tcW w:w="443" w:type="dxa"/>
            <w:gridSpan w:val="2"/>
            <w:vMerge w:val="continue"/>
            <w:tcBorders>
              <w:tl2br w:val="nil"/>
              <w:tr2bl w:val="nil"/>
            </w:tcBorders>
            <w:vAlign w:val="center"/>
          </w:tcPr>
          <w:p w14:paraId="50275CC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仿宋" w:eastAsia="仿宋_GB2312" w:cs="Times New Roman"/>
                <w:color w:val="auto"/>
                <w:kern w:val="0"/>
                <w:sz w:val="13"/>
                <w:szCs w:val="13"/>
                <w:highlight w:val="none"/>
              </w:rPr>
            </w:pPr>
          </w:p>
        </w:tc>
        <w:tc>
          <w:tcPr>
            <w:tcW w:w="1550" w:type="dxa"/>
            <w:vMerge w:val="continue"/>
            <w:tcBorders>
              <w:tl2br w:val="nil"/>
              <w:tr2bl w:val="nil"/>
            </w:tcBorders>
            <w:vAlign w:val="center"/>
          </w:tcPr>
          <w:p w14:paraId="250C4C5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tcPr>
          <w:p w14:paraId="076DD1F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vMerge w:val="restart"/>
            <w:tcBorders>
              <w:tl2br w:val="nil"/>
              <w:tr2bl w:val="nil"/>
            </w:tcBorders>
            <w:vAlign w:val="center"/>
          </w:tcPr>
          <w:p w14:paraId="67736FF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从重情节</w:t>
            </w:r>
          </w:p>
        </w:tc>
        <w:tc>
          <w:tcPr>
            <w:tcW w:w="3437" w:type="dxa"/>
            <w:gridSpan w:val="2"/>
            <w:tcBorders>
              <w:tl2br w:val="nil"/>
              <w:tr2bl w:val="nil"/>
            </w:tcBorders>
            <w:vAlign w:val="center"/>
          </w:tcPr>
          <w:p w14:paraId="3CF1C1B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造成3人以下死亡，或者10人以下重伤，或者1000万元以下直接经济损失。</w:t>
            </w:r>
          </w:p>
        </w:tc>
        <w:tc>
          <w:tcPr>
            <w:tcW w:w="3058" w:type="dxa"/>
            <w:tcBorders>
              <w:tl2br w:val="nil"/>
              <w:tr2bl w:val="nil"/>
            </w:tcBorders>
            <w:vAlign w:val="center"/>
          </w:tcPr>
          <w:p w14:paraId="4C25829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责令停业整顿</w:t>
            </w:r>
            <w:r>
              <w:rPr>
                <w:rFonts w:hint="eastAsia" w:ascii="仿宋_GB2312" w:hAnsi="宋体" w:eastAsia="仿宋_GB2312"/>
                <w:color w:val="auto"/>
                <w:kern w:val="0"/>
                <w:sz w:val="13"/>
                <w:szCs w:val="13"/>
                <w:highlight w:val="none"/>
                <w:lang w:eastAsia="zh-CN"/>
              </w:rPr>
              <w:t>30日-</w:t>
            </w:r>
            <w:r>
              <w:rPr>
                <w:rFonts w:hint="eastAsia" w:ascii="仿宋_GB2312" w:hAnsi="宋体" w:eastAsia="仿宋_GB2312"/>
                <w:color w:val="auto"/>
                <w:kern w:val="0"/>
                <w:sz w:val="13"/>
                <w:szCs w:val="13"/>
                <w:highlight w:val="none"/>
              </w:rPr>
              <w:t>60日；处25万元以上30万元以下的罚款。</w:t>
            </w:r>
          </w:p>
        </w:tc>
      </w:tr>
      <w:tr w14:paraId="47F5F18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8" w:hRule="atLeast"/>
          <w:jc w:val="center"/>
        </w:trPr>
        <w:tc>
          <w:tcPr>
            <w:tcW w:w="443" w:type="dxa"/>
            <w:gridSpan w:val="2"/>
            <w:vMerge w:val="continue"/>
            <w:tcBorders>
              <w:tl2br w:val="nil"/>
              <w:tr2bl w:val="nil"/>
            </w:tcBorders>
            <w:vAlign w:val="center"/>
          </w:tcPr>
          <w:p w14:paraId="55099F5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仿宋" w:eastAsia="仿宋_GB2312" w:cs="Times New Roman"/>
                <w:color w:val="auto"/>
                <w:kern w:val="0"/>
                <w:sz w:val="13"/>
                <w:szCs w:val="13"/>
                <w:highlight w:val="none"/>
              </w:rPr>
            </w:pPr>
          </w:p>
        </w:tc>
        <w:tc>
          <w:tcPr>
            <w:tcW w:w="1550" w:type="dxa"/>
            <w:vMerge w:val="continue"/>
            <w:tcBorders>
              <w:tl2br w:val="nil"/>
              <w:tr2bl w:val="nil"/>
            </w:tcBorders>
            <w:vAlign w:val="center"/>
          </w:tcPr>
          <w:p w14:paraId="7A972FE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tcPr>
          <w:p w14:paraId="2760927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vMerge w:val="continue"/>
            <w:tcBorders>
              <w:tl2br w:val="nil"/>
              <w:tr2bl w:val="nil"/>
            </w:tcBorders>
            <w:vAlign w:val="center"/>
          </w:tcPr>
          <w:p w14:paraId="3326992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3437" w:type="dxa"/>
            <w:gridSpan w:val="2"/>
            <w:tcBorders>
              <w:tl2br w:val="nil"/>
              <w:tr2bl w:val="nil"/>
            </w:tcBorders>
            <w:vAlign w:val="center"/>
          </w:tcPr>
          <w:p w14:paraId="56A2E00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造成3人以上5人以下死亡；或者10人以上20人以下重伤；或者1000万元以上2000万元以下直接经济损失的。</w:t>
            </w:r>
          </w:p>
        </w:tc>
        <w:tc>
          <w:tcPr>
            <w:tcW w:w="3058" w:type="dxa"/>
            <w:tcBorders>
              <w:tl2br w:val="nil"/>
              <w:tr2bl w:val="nil"/>
            </w:tcBorders>
            <w:vAlign w:val="center"/>
          </w:tcPr>
          <w:p w14:paraId="52852703">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责令停业整顿</w:t>
            </w:r>
            <w:r>
              <w:rPr>
                <w:rFonts w:hint="eastAsia" w:ascii="仿宋_GB2312" w:hAnsi="宋体" w:eastAsia="仿宋_GB2312"/>
                <w:color w:val="auto"/>
                <w:kern w:val="0"/>
                <w:sz w:val="13"/>
                <w:szCs w:val="13"/>
                <w:highlight w:val="none"/>
                <w:lang w:eastAsia="zh-CN"/>
              </w:rPr>
              <w:t>60日-</w:t>
            </w:r>
            <w:r>
              <w:rPr>
                <w:rFonts w:hint="eastAsia" w:ascii="仿宋_GB2312" w:hAnsi="宋体" w:eastAsia="仿宋_GB2312"/>
                <w:color w:val="auto"/>
                <w:kern w:val="0"/>
                <w:sz w:val="13"/>
                <w:szCs w:val="13"/>
                <w:highlight w:val="none"/>
              </w:rPr>
              <w:t>90日；处30万元的罚款。</w:t>
            </w:r>
          </w:p>
        </w:tc>
      </w:tr>
      <w:tr w14:paraId="4A2553E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8" w:hRule="atLeast"/>
          <w:jc w:val="center"/>
        </w:trPr>
        <w:tc>
          <w:tcPr>
            <w:tcW w:w="443" w:type="dxa"/>
            <w:gridSpan w:val="2"/>
            <w:vMerge w:val="continue"/>
            <w:tcBorders>
              <w:tl2br w:val="nil"/>
              <w:tr2bl w:val="nil"/>
            </w:tcBorders>
            <w:vAlign w:val="center"/>
          </w:tcPr>
          <w:p w14:paraId="32FACBA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仿宋" w:eastAsia="仿宋_GB2312" w:cs="Times New Roman"/>
                <w:color w:val="auto"/>
                <w:kern w:val="0"/>
                <w:sz w:val="13"/>
                <w:szCs w:val="13"/>
                <w:highlight w:val="none"/>
              </w:rPr>
            </w:pPr>
          </w:p>
        </w:tc>
        <w:tc>
          <w:tcPr>
            <w:tcW w:w="1550" w:type="dxa"/>
            <w:vMerge w:val="continue"/>
            <w:tcBorders>
              <w:tl2br w:val="nil"/>
              <w:tr2bl w:val="nil"/>
            </w:tcBorders>
            <w:vAlign w:val="center"/>
          </w:tcPr>
          <w:p w14:paraId="31653FF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tcPr>
          <w:p w14:paraId="4D95958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vMerge w:val="continue"/>
            <w:tcBorders>
              <w:tl2br w:val="nil"/>
              <w:tr2bl w:val="nil"/>
            </w:tcBorders>
            <w:vAlign w:val="center"/>
          </w:tcPr>
          <w:p w14:paraId="28EA338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3437" w:type="dxa"/>
            <w:gridSpan w:val="2"/>
            <w:tcBorders>
              <w:tl2br w:val="nil"/>
              <w:tr2bl w:val="nil"/>
            </w:tcBorders>
            <w:vAlign w:val="center"/>
          </w:tcPr>
          <w:p w14:paraId="41AC870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造成5人以上7人以下死亡；或者20人以上30人以下重伤；或者2000万元以上3000万元以下直接经济损失的。</w:t>
            </w:r>
          </w:p>
        </w:tc>
        <w:tc>
          <w:tcPr>
            <w:tcW w:w="3058" w:type="dxa"/>
            <w:tcBorders>
              <w:tl2br w:val="nil"/>
              <w:tr2bl w:val="nil"/>
            </w:tcBorders>
            <w:vAlign w:val="center"/>
          </w:tcPr>
          <w:p w14:paraId="3EB62E5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责令停业整顿</w:t>
            </w:r>
            <w:r>
              <w:rPr>
                <w:rFonts w:hint="eastAsia" w:ascii="仿宋_GB2312" w:hAnsi="宋体" w:eastAsia="仿宋_GB2312"/>
                <w:color w:val="auto"/>
                <w:kern w:val="0"/>
                <w:sz w:val="13"/>
                <w:szCs w:val="13"/>
                <w:highlight w:val="none"/>
                <w:lang w:eastAsia="zh-CN"/>
              </w:rPr>
              <w:t>90日-</w:t>
            </w:r>
            <w:r>
              <w:rPr>
                <w:rFonts w:hint="eastAsia" w:ascii="仿宋_GB2312" w:hAnsi="宋体" w:eastAsia="仿宋_GB2312"/>
                <w:color w:val="auto"/>
                <w:kern w:val="0"/>
                <w:sz w:val="13"/>
                <w:szCs w:val="13"/>
                <w:highlight w:val="none"/>
              </w:rPr>
              <w:t>120日；处30万元的罚款。</w:t>
            </w:r>
          </w:p>
        </w:tc>
      </w:tr>
      <w:tr w14:paraId="251AA28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8" w:hRule="atLeast"/>
          <w:jc w:val="center"/>
        </w:trPr>
        <w:tc>
          <w:tcPr>
            <w:tcW w:w="443" w:type="dxa"/>
            <w:gridSpan w:val="2"/>
            <w:vMerge w:val="continue"/>
            <w:tcBorders>
              <w:tl2br w:val="nil"/>
              <w:tr2bl w:val="nil"/>
            </w:tcBorders>
            <w:vAlign w:val="center"/>
          </w:tcPr>
          <w:p w14:paraId="2E2AAC3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仿宋" w:eastAsia="仿宋_GB2312" w:cs="Times New Roman"/>
                <w:color w:val="auto"/>
                <w:kern w:val="0"/>
                <w:sz w:val="13"/>
                <w:szCs w:val="13"/>
                <w:highlight w:val="none"/>
              </w:rPr>
            </w:pPr>
          </w:p>
        </w:tc>
        <w:tc>
          <w:tcPr>
            <w:tcW w:w="1550" w:type="dxa"/>
            <w:vMerge w:val="continue"/>
            <w:tcBorders>
              <w:tl2br w:val="nil"/>
              <w:tr2bl w:val="nil"/>
            </w:tcBorders>
            <w:vAlign w:val="center"/>
          </w:tcPr>
          <w:p w14:paraId="07F5A54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tcPr>
          <w:p w14:paraId="4306F2B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vMerge w:val="continue"/>
            <w:tcBorders>
              <w:tl2br w:val="nil"/>
              <w:tr2bl w:val="nil"/>
            </w:tcBorders>
            <w:vAlign w:val="center"/>
          </w:tcPr>
          <w:p w14:paraId="71F1ACC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3437" w:type="dxa"/>
            <w:gridSpan w:val="2"/>
            <w:tcBorders>
              <w:tl2br w:val="nil"/>
              <w:tr2bl w:val="nil"/>
            </w:tcBorders>
            <w:vAlign w:val="center"/>
          </w:tcPr>
          <w:p w14:paraId="31B3D6E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造成7人以上10人以下死亡；或者30人以上50人以下重伤；或者3000万元以上5000万元以下直接经济损失的。</w:t>
            </w:r>
          </w:p>
        </w:tc>
        <w:tc>
          <w:tcPr>
            <w:tcW w:w="3058" w:type="dxa"/>
            <w:tcBorders>
              <w:tl2br w:val="nil"/>
              <w:tr2bl w:val="nil"/>
            </w:tcBorders>
            <w:vAlign w:val="center"/>
          </w:tcPr>
          <w:p w14:paraId="270C6408">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责令停业整顿</w:t>
            </w:r>
            <w:r>
              <w:rPr>
                <w:rFonts w:hint="eastAsia" w:ascii="仿宋_GB2312" w:hAnsi="宋体" w:eastAsia="仿宋_GB2312"/>
                <w:color w:val="auto"/>
                <w:kern w:val="0"/>
                <w:sz w:val="13"/>
                <w:szCs w:val="13"/>
                <w:highlight w:val="none"/>
                <w:lang w:eastAsia="zh-CN"/>
              </w:rPr>
              <w:t>120日-</w:t>
            </w:r>
            <w:r>
              <w:rPr>
                <w:rFonts w:hint="eastAsia" w:ascii="仿宋_GB2312" w:hAnsi="宋体" w:eastAsia="仿宋_GB2312"/>
                <w:color w:val="auto"/>
                <w:kern w:val="0"/>
                <w:sz w:val="13"/>
                <w:szCs w:val="13"/>
                <w:highlight w:val="none"/>
              </w:rPr>
              <w:t>180日；处30万元的罚款。</w:t>
            </w:r>
          </w:p>
        </w:tc>
      </w:tr>
      <w:tr w14:paraId="75A5496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0" w:hRule="atLeast"/>
          <w:jc w:val="center"/>
        </w:trPr>
        <w:tc>
          <w:tcPr>
            <w:tcW w:w="443" w:type="dxa"/>
            <w:gridSpan w:val="2"/>
            <w:vMerge w:val="continue"/>
            <w:tcBorders>
              <w:tl2br w:val="nil"/>
              <w:tr2bl w:val="nil"/>
            </w:tcBorders>
            <w:vAlign w:val="center"/>
          </w:tcPr>
          <w:p w14:paraId="7399FBB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仿宋" w:eastAsia="仿宋_GB2312" w:cs="Times New Roman"/>
                <w:color w:val="auto"/>
                <w:kern w:val="0"/>
                <w:sz w:val="13"/>
                <w:szCs w:val="13"/>
                <w:highlight w:val="none"/>
              </w:rPr>
            </w:pPr>
          </w:p>
        </w:tc>
        <w:tc>
          <w:tcPr>
            <w:tcW w:w="1550" w:type="dxa"/>
            <w:vMerge w:val="continue"/>
            <w:tcBorders>
              <w:tl2br w:val="nil"/>
              <w:tr2bl w:val="nil"/>
            </w:tcBorders>
            <w:vAlign w:val="center"/>
          </w:tcPr>
          <w:p w14:paraId="51E3D9C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tcPr>
          <w:p w14:paraId="02144A0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vMerge w:val="continue"/>
            <w:tcBorders>
              <w:tl2br w:val="nil"/>
              <w:tr2bl w:val="nil"/>
            </w:tcBorders>
            <w:vAlign w:val="center"/>
          </w:tcPr>
          <w:p w14:paraId="156D5D4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3437" w:type="dxa"/>
            <w:gridSpan w:val="2"/>
            <w:tcBorders>
              <w:tl2br w:val="nil"/>
              <w:tr2bl w:val="nil"/>
            </w:tcBorders>
            <w:vAlign w:val="center"/>
          </w:tcPr>
          <w:p w14:paraId="1624629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造成重大安全事故的</w:t>
            </w:r>
            <w:r>
              <w:rPr>
                <w:rFonts w:hint="eastAsia" w:ascii="仿宋_GB2312" w:hAnsi="宋体" w:eastAsia="仿宋_GB2312"/>
                <w:color w:val="auto"/>
                <w:kern w:val="0"/>
                <w:sz w:val="13"/>
                <w:szCs w:val="13"/>
                <w:highlight w:val="none"/>
                <w:lang w:val="en-US" w:eastAsia="zh-CN"/>
              </w:rPr>
              <w:t>。</w:t>
            </w:r>
          </w:p>
        </w:tc>
        <w:tc>
          <w:tcPr>
            <w:tcW w:w="3058" w:type="dxa"/>
            <w:tcBorders>
              <w:tl2br w:val="nil"/>
              <w:tr2bl w:val="nil"/>
            </w:tcBorders>
            <w:vAlign w:val="center"/>
          </w:tcPr>
          <w:p w14:paraId="35B2F2B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处30万元的罚款；降低资质等级。</w:t>
            </w:r>
          </w:p>
        </w:tc>
      </w:tr>
      <w:tr w14:paraId="3D7D310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0" w:hRule="atLeast"/>
          <w:jc w:val="center"/>
        </w:trPr>
        <w:tc>
          <w:tcPr>
            <w:tcW w:w="443" w:type="dxa"/>
            <w:gridSpan w:val="2"/>
            <w:vMerge w:val="continue"/>
            <w:tcBorders>
              <w:tl2br w:val="nil"/>
              <w:tr2bl w:val="nil"/>
            </w:tcBorders>
            <w:vAlign w:val="center"/>
          </w:tcPr>
          <w:p w14:paraId="71278E1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仿宋" w:eastAsia="仿宋_GB2312" w:cs="Times New Roman"/>
                <w:color w:val="auto"/>
                <w:kern w:val="0"/>
                <w:sz w:val="13"/>
                <w:szCs w:val="13"/>
                <w:highlight w:val="none"/>
              </w:rPr>
            </w:pPr>
          </w:p>
        </w:tc>
        <w:tc>
          <w:tcPr>
            <w:tcW w:w="1550" w:type="dxa"/>
            <w:vMerge w:val="continue"/>
            <w:tcBorders>
              <w:tl2br w:val="nil"/>
              <w:tr2bl w:val="nil"/>
            </w:tcBorders>
            <w:vAlign w:val="center"/>
          </w:tcPr>
          <w:p w14:paraId="0273A08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tcPr>
          <w:p w14:paraId="29542EF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vMerge w:val="continue"/>
            <w:tcBorders>
              <w:tl2br w:val="nil"/>
              <w:tr2bl w:val="nil"/>
            </w:tcBorders>
            <w:vAlign w:val="center"/>
          </w:tcPr>
          <w:p w14:paraId="16809FB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3437" w:type="dxa"/>
            <w:gridSpan w:val="2"/>
            <w:tcBorders>
              <w:tl2br w:val="nil"/>
              <w:tr2bl w:val="nil"/>
            </w:tcBorders>
            <w:vAlign w:val="center"/>
          </w:tcPr>
          <w:p w14:paraId="1AE28E6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造成特别重大安全事故的</w:t>
            </w:r>
            <w:r>
              <w:rPr>
                <w:rFonts w:hint="eastAsia" w:ascii="仿宋_GB2312" w:hAnsi="宋体" w:eastAsia="仿宋_GB2312"/>
                <w:color w:val="auto"/>
                <w:kern w:val="0"/>
                <w:sz w:val="13"/>
                <w:szCs w:val="13"/>
                <w:highlight w:val="none"/>
                <w:lang w:eastAsia="zh-CN"/>
              </w:rPr>
              <w:t>；</w:t>
            </w:r>
            <w:r>
              <w:rPr>
                <w:rFonts w:hint="eastAsia" w:ascii="仿宋_GB2312" w:hAnsi="宋体" w:eastAsia="仿宋_GB2312"/>
                <w:color w:val="auto"/>
                <w:kern w:val="0"/>
                <w:sz w:val="13"/>
                <w:szCs w:val="13"/>
                <w:highlight w:val="none"/>
                <w:lang w:val="en-US" w:eastAsia="zh-CN"/>
              </w:rPr>
              <w:t>或造成特别严重社会影响的。</w:t>
            </w:r>
          </w:p>
        </w:tc>
        <w:tc>
          <w:tcPr>
            <w:tcW w:w="3058" w:type="dxa"/>
            <w:tcBorders>
              <w:tl2br w:val="nil"/>
              <w:tr2bl w:val="nil"/>
            </w:tcBorders>
            <w:vAlign w:val="center"/>
          </w:tcPr>
          <w:p w14:paraId="0713ABCB">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处30万元的罚款；吊销资质证书。</w:t>
            </w:r>
          </w:p>
        </w:tc>
      </w:tr>
      <w:tr w14:paraId="07099B1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0" w:hRule="atLeast"/>
          <w:jc w:val="center"/>
        </w:trPr>
        <w:tc>
          <w:tcPr>
            <w:tcW w:w="443" w:type="dxa"/>
            <w:gridSpan w:val="2"/>
            <w:vMerge w:val="restart"/>
            <w:tcBorders>
              <w:tl2br w:val="nil"/>
              <w:tr2bl w:val="nil"/>
            </w:tcBorders>
            <w:vAlign w:val="center"/>
          </w:tcPr>
          <w:p w14:paraId="4847C195">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仿宋" w:eastAsia="仿宋_GB2312" w:cs="Times New Roman"/>
                <w:color w:val="auto"/>
                <w:kern w:val="0"/>
                <w:sz w:val="13"/>
                <w:szCs w:val="13"/>
                <w:highlight w:val="none"/>
                <w:lang w:val="en-US"/>
              </w:rPr>
            </w:pPr>
            <w:r>
              <w:rPr>
                <w:rFonts w:hint="default" w:ascii="仿宋_GB2312" w:hAnsi="宋体" w:eastAsia="仿宋_GB2312" w:cs="仿宋_GB2312"/>
                <w:i w:val="0"/>
                <w:color w:val="auto"/>
                <w:kern w:val="0"/>
                <w:sz w:val="13"/>
                <w:szCs w:val="13"/>
                <w:highlight w:val="none"/>
                <w:u w:val="none"/>
                <w:lang w:val="en-US" w:eastAsia="zh-CN" w:bidi="ar"/>
              </w:rPr>
              <w:t>1</w:t>
            </w:r>
            <w:r>
              <w:rPr>
                <w:rFonts w:hint="eastAsia" w:ascii="仿宋_GB2312" w:hAnsi="宋体" w:eastAsia="仿宋_GB2312" w:cs="仿宋_GB2312"/>
                <w:i w:val="0"/>
                <w:color w:val="auto"/>
                <w:kern w:val="0"/>
                <w:sz w:val="13"/>
                <w:szCs w:val="13"/>
                <w:highlight w:val="none"/>
                <w:u w:val="none"/>
                <w:lang w:val="en-US" w:eastAsia="zh-CN" w:bidi="ar"/>
              </w:rPr>
              <w:t>18</w:t>
            </w:r>
          </w:p>
        </w:tc>
        <w:tc>
          <w:tcPr>
            <w:tcW w:w="1550" w:type="dxa"/>
            <w:vMerge w:val="restart"/>
            <w:tcBorders>
              <w:tl2br w:val="nil"/>
              <w:tr2bl w:val="nil"/>
            </w:tcBorders>
            <w:vAlign w:val="center"/>
          </w:tcPr>
          <w:p w14:paraId="53E2C88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工程监理单位未依照法律、法规和工程建设强制性标准实施监理且逾期未改正的</w:t>
            </w:r>
          </w:p>
        </w:tc>
        <w:tc>
          <w:tcPr>
            <w:tcW w:w="4820" w:type="dxa"/>
            <w:vMerge w:val="restart"/>
            <w:tcBorders>
              <w:tl2br w:val="nil"/>
              <w:tr2bl w:val="nil"/>
            </w:tcBorders>
            <w:vAlign w:val="center"/>
          </w:tcPr>
          <w:p w14:paraId="3FA58B88">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《建设工程安全生产管理条例》</w:t>
            </w:r>
          </w:p>
          <w:p w14:paraId="24C809A4">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rPr>
              <w:t>第五十七条</w:t>
            </w:r>
            <w:r>
              <w:rPr>
                <w:rFonts w:hint="eastAsia" w:ascii="仿宋_GB2312" w:hAnsi="宋体" w:eastAsia="仿宋_GB2312"/>
                <w:color w:val="auto"/>
                <w:kern w:val="0"/>
                <w:sz w:val="13"/>
                <w:szCs w:val="13"/>
                <w:highlight w:val="none"/>
                <w:lang w:eastAsia="zh-CN"/>
              </w:rPr>
              <w:t>（</w:t>
            </w:r>
            <w:r>
              <w:rPr>
                <w:rFonts w:hint="eastAsia" w:ascii="仿宋_GB2312" w:hAnsi="宋体" w:eastAsia="仿宋_GB2312"/>
                <w:color w:val="auto"/>
                <w:kern w:val="0"/>
                <w:sz w:val="13"/>
                <w:szCs w:val="13"/>
                <w:highlight w:val="none"/>
                <w:lang w:val="en-US" w:eastAsia="zh-CN"/>
              </w:rPr>
              <w:t>四</w:t>
            </w:r>
            <w:r>
              <w:rPr>
                <w:rFonts w:hint="eastAsia" w:ascii="仿宋_GB2312" w:hAnsi="宋体" w:eastAsia="仿宋_GB2312"/>
                <w:color w:val="auto"/>
                <w:kern w:val="0"/>
                <w:sz w:val="13"/>
                <w:szCs w:val="13"/>
                <w:highlight w:val="none"/>
                <w:lang w:eastAsia="zh-CN"/>
              </w:rPr>
              <w:t>）</w:t>
            </w:r>
            <w:r>
              <w:rPr>
                <w:rFonts w:ascii="仿宋_GB2312" w:hAnsi="宋体" w:eastAsia="仿宋_GB2312"/>
                <w:color w:val="auto"/>
                <w:kern w:val="0"/>
                <w:sz w:val="13"/>
                <w:szCs w:val="13"/>
                <w:highlight w:val="none"/>
              </w:rPr>
              <w:t>项</w:t>
            </w:r>
            <w:r>
              <w:rPr>
                <w:rFonts w:hint="eastAsia" w:ascii="仿宋_GB2312" w:hAnsi="宋体" w:eastAsia="仿宋_GB2312"/>
                <w:color w:val="auto"/>
                <w:kern w:val="0"/>
                <w:sz w:val="13"/>
                <w:szCs w:val="13"/>
                <w:highlight w:val="none"/>
              </w:rPr>
              <w:t>违反本条例的规定，工程监理单位有下列行为之一的，责令限期改正；逾期未改正的，责令停业整顿，并处10万元以上30万元以下的罚款；情节严重的，降低资质等级，直至吊销资质证书；造成重大安全事故，构成犯罪的，对直接责任人员，依照刑法有关规定追究刑事责任；造成损失的，依法承担赔偿责任：</w:t>
            </w:r>
          </w:p>
          <w:p w14:paraId="197897F5">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宋体" w:cs="宋体"/>
                <w:bCs/>
                <w:color w:val="auto"/>
                <w:kern w:val="0"/>
                <w:sz w:val="13"/>
                <w:szCs w:val="13"/>
                <w:highlight w:val="none"/>
              </w:rPr>
            </w:pPr>
            <w:r>
              <w:rPr>
                <w:rFonts w:hint="eastAsia" w:ascii="仿宋_GB2312" w:hAnsi="宋体" w:eastAsia="仿宋_GB2312"/>
                <w:color w:val="auto"/>
                <w:kern w:val="0"/>
                <w:sz w:val="13"/>
                <w:szCs w:val="13"/>
                <w:highlight w:val="none"/>
              </w:rPr>
              <w:t>(四)未依照法律、法规和工程建设强制性标准实施监理的。</w:t>
            </w:r>
          </w:p>
        </w:tc>
        <w:tc>
          <w:tcPr>
            <w:tcW w:w="823" w:type="dxa"/>
            <w:tcBorders>
              <w:tl2br w:val="nil"/>
              <w:tr2bl w:val="nil"/>
            </w:tcBorders>
            <w:vAlign w:val="center"/>
          </w:tcPr>
          <w:p w14:paraId="2838D41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vAlign w:val="center"/>
          </w:tcPr>
          <w:p w14:paraId="55FE2A2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初次违法，危害后果较轻的，主动消除或减轻违法行为危害后果的。</w:t>
            </w:r>
          </w:p>
        </w:tc>
        <w:tc>
          <w:tcPr>
            <w:tcW w:w="3058" w:type="dxa"/>
            <w:tcBorders>
              <w:tl2br w:val="nil"/>
              <w:tr2bl w:val="nil"/>
            </w:tcBorders>
            <w:vAlign w:val="center"/>
          </w:tcPr>
          <w:p w14:paraId="6585705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责令停业整顿，直至改正违法行为；处10万元以上12万元以下的罚款。</w:t>
            </w:r>
          </w:p>
        </w:tc>
      </w:tr>
      <w:tr w14:paraId="238D076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0" w:hRule="atLeast"/>
          <w:jc w:val="center"/>
        </w:trPr>
        <w:tc>
          <w:tcPr>
            <w:tcW w:w="443" w:type="dxa"/>
            <w:gridSpan w:val="2"/>
            <w:vMerge w:val="continue"/>
            <w:tcBorders>
              <w:tl2br w:val="nil"/>
              <w:tr2bl w:val="nil"/>
            </w:tcBorders>
            <w:vAlign w:val="center"/>
          </w:tcPr>
          <w:p w14:paraId="5313FA9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仿宋" w:eastAsia="仿宋_GB2312" w:cs="Times New Roman"/>
                <w:color w:val="auto"/>
                <w:kern w:val="0"/>
                <w:sz w:val="13"/>
                <w:szCs w:val="13"/>
                <w:highlight w:val="none"/>
              </w:rPr>
            </w:pPr>
          </w:p>
        </w:tc>
        <w:tc>
          <w:tcPr>
            <w:tcW w:w="1550" w:type="dxa"/>
            <w:vMerge w:val="continue"/>
            <w:tcBorders>
              <w:tl2br w:val="nil"/>
              <w:tr2bl w:val="nil"/>
            </w:tcBorders>
            <w:vAlign w:val="center"/>
          </w:tcPr>
          <w:p w14:paraId="401295F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tcPr>
          <w:p w14:paraId="6CD67D2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tcBorders>
              <w:tl2br w:val="nil"/>
              <w:tr2bl w:val="nil"/>
            </w:tcBorders>
            <w:vAlign w:val="center"/>
          </w:tcPr>
          <w:p w14:paraId="5D1EE1F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一般情节</w:t>
            </w:r>
          </w:p>
        </w:tc>
        <w:tc>
          <w:tcPr>
            <w:tcW w:w="3437" w:type="dxa"/>
            <w:gridSpan w:val="2"/>
            <w:tcBorders>
              <w:tl2br w:val="nil"/>
              <w:tr2bl w:val="nil"/>
            </w:tcBorders>
            <w:vAlign w:val="center"/>
          </w:tcPr>
          <w:p w14:paraId="2F880B0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不具有从轻、</w:t>
            </w:r>
            <w:r>
              <w:rPr>
                <w:rFonts w:hint="eastAsia" w:ascii="仿宋_GB2312" w:hAnsi="宋体" w:eastAsia="仿宋_GB2312"/>
                <w:color w:val="auto"/>
                <w:kern w:val="0"/>
                <w:sz w:val="13"/>
                <w:szCs w:val="13"/>
                <w:highlight w:val="none"/>
                <w:lang w:eastAsia="zh-CN"/>
              </w:rPr>
              <w:t>从重情节</w:t>
            </w:r>
            <w:r>
              <w:rPr>
                <w:rFonts w:hint="eastAsia" w:ascii="仿宋_GB2312" w:hAnsi="宋体" w:eastAsia="仿宋_GB2312"/>
                <w:color w:val="auto"/>
                <w:kern w:val="0"/>
                <w:sz w:val="13"/>
                <w:szCs w:val="13"/>
                <w:highlight w:val="none"/>
              </w:rPr>
              <w:t>的。</w:t>
            </w:r>
          </w:p>
        </w:tc>
        <w:tc>
          <w:tcPr>
            <w:tcW w:w="3058" w:type="dxa"/>
            <w:tcBorders>
              <w:tl2br w:val="nil"/>
              <w:tr2bl w:val="nil"/>
            </w:tcBorders>
            <w:vAlign w:val="center"/>
          </w:tcPr>
          <w:p w14:paraId="026E663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责令停业整顿，直至改正违法行为；处12万元以上25万元以下的罚款。</w:t>
            </w:r>
          </w:p>
        </w:tc>
      </w:tr>
      <w:tr w14:paraId="23B4BB1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0" w:hRule="atLeast"/>
          <w:jc w:val="center"/>
        </w:trPr>
        <w:tc>
          <w:tcPr>
            <w:tcW w:w="443" w:type="dxa"/>
            <w:gridSpan w:val="2"/>
            <w:vMerge w:val="continue"/>
            <w:tcBorders>
              <w:tl2br w:val="nil"/>
              <w:tr2bl w:val="nil"/>
            </w:tcBorders>
            <w:vAlign w:val="center"/>
          </w:tcPr>
          <w:p w14:paraId="74034CC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仿宋" w:eastAsia="仿宋_GB2312" w:cs="Times New Roman"/>
                <w:color w:val="auto"/>
                <w:kern w:val="0"/>
                <w:sz w:val="13"/>
                <w:szCs w:val="13"/>
                <w:highlight w:val="none"/>
              </w:rPr>
            </w:pPr>
          </w:p>
        </w:tc>
        <w:tc>
          <w:tcPr>
            <w:tcW w:w="1550" w:type="dxa"/>
            <w:vMerge w:val="continue"/>
            <w:tcBorders>
              <w:tl2br w:val="nil"/>
              <w:tr2bl w:val="nil"/>
            </w:tcBorders>
            <w:vAlign w:val="center"/>
          </w:tcPr>
          <w:p w14:paraId="7FB1993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tcPr>
          <w:p w14:paraId="2B10816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vMerge w:val="restart"/>
            <w:tcBorders>
              <w:tl2br w:val="nil"/>
              <w:tr2bl w:val="nil"/>
            </w:tcBorders>
            <w:vAlign w:val="center"/>
          </w:tcPr>
          <w:p w14:paraId="40E8A41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从重情节</w:t>
            </w:r>
          </w:p>
        </w:tc>
        <w:tc>
          <w:tcPr>
            <w:tcW w:w="3437" w:type="dxa"/>
            <w:gridSpan w:val="2"/>
            <w:tcBorders>
              <w:tl2br w:val="nil"/>
              <w:tr2bl w:val="nil"/>
            </w:tcBorders>
            <w:vAlign w:val="center"/>
          </w:tcPr>
          <w:p w14:paraId="3CBDFA9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造成3人以下死亡，或者10人以下重伤，或者1000万元以下直接经济损失。</w:t>
            </w:r>
          </w:p>
        </w:tc>
        <w:tc>
          <w:tcPr>
            <w:tcW w:w="3058" w:type="dxa"/>
            <w:tcBorders>
              <w:tl2br w:val="nil"/>
              <w:tr2bl w:val="nil"/>
            </w:tcBorders>
            <w:vAlign w:val="center"/>
          </w:tcPr>
          <w:p w14:paraId="4D4FBF3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责令停业整顿30—60日；处25万元以上30万元以下的罚款。</w:t>
            </w:r>
          </w:p>
        </w:tc>
      </w:tr>
      <w:tr w14:paraId="08B3C4D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8" w:hRule="atLeast"/>
          <w:jc w:val="center"/>
        </w:trPr>
        <w:tc>
          <w:tcPr>
            <w:tcW w:w="443" w:type="dxa"/>
            <w:gridSpan w:val="2"/>
            <w:vMerge w:val="continue"/>
            <w:tcBorders>
              <w:tl2br w:val="nil"/>
              <w:tr2bl w:val="nil"/>
            </w:tcBorders>
            <w:vAlign w:val="center"/>
          </w:tcPr>
          <w:p w14:paraId="7A4FF00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仿宋" w:eastAsia="仿宋_GB2312" w:cs="Times New Roman"/>
                <w:color w:val="auto"/>
                <w:kern w:val="0"/>
                <w:sz w:val="13"/>
                <w:szCs w:val="13"/>
                <w:highlight w:val="none"/>
              </w:rPr>
            </w:pPr>
          </w:p>
        </w:tc>
        <w:tc>
          <w:tcPr>
            <w:tcW w:w="1550" w:type="dxa"/>
            <w:vMerge w:val="continue"/>
            <w:tcBorders>
              <w:tl2br w:val="nil"/>
              <w:tr2bl w:val="nil"/>
            </w:tcBorders>
            <w:vAlign w:val="center"/>
          </w:tcPr>
          <w:p w14:paraId="4987EB8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tcPr>
          <w:p w14:paraId="71B6DA5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vMerge w:val="continue"/>
            <w:tcBorders>
              <w:tl2br w:val="nil"/>
              <w:tr2bl w:val="nil"/>
            </w:tcBorders>
            <w:vAlign w:val="center"/>
          </w:tcPr>
          <w:p w14:paraId="1020E03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3437" w:type="dxa"/>
            <w:gridSpan w:val="2"/>
            <w:tcBorders>
              <w:tl2br w:val="nil"/>
              <w:tr2bl w:val="nil"/>
            </w:tcBorders>
            <w:vAlign w:val="center"/>
          </w:tcPr>
          <w:p w14:paraId="4175CA2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造成3人以上5人以下死亡；或者10人以上20人以下重伤；或者1000万元以上2000万元以下直接经济损失的。</w:t>
            </w:r>
          </w:p>
        </w:tc>
        <w:tc>
          <w:tcPr>
            <w:tcW w:w="3058" w:type="dxa"/>
            <w:tcBorders>
              <w:tl2br w:val="nil"/>
              <w:tr2bl w:val="nil"/>
            </w:tcBorders>
            <w:vAlign w:val="center"/>
          </w:tcPr>
          <w:p w14:paraId="090A6F8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责令停业整顿</w:t>
            </w:r>
            <w:r>
              <w:rPr>
                <w:rFonts w:hint="eastAsia" w:ascii="仿宋_GB2312" w:hAnsi="宋体" w:eastAsia="仿宋_GB2312"/>
                <w:color w:val="auto"/>
                <w:kern w:val="0"/>
                <w:sz w:val="13"/>
                <w:szCs w:val="13"/>
                <w:highlight w:val="none"/>
                <w:lang w:eastAsia="zh-CN"/>
              </w:rPr>
              <w:t>60日-</w:t>
            </w:r>
            <w:r>
              <w:rPr>
                <w:rFonts w:hint="eastAsia" w:ascii="仿宋_GB2312" w:hAnsi="宋体" w:eastAsia="仿宋_GB2312"/>
                <w:color w:val="auto"/>
                <w:kern w:val="0"/>
                <w:sz w:val="13"/>
                <w:szCs w:val="13"/>
                <w:highlight w:val="none"/>
              </w:rPr>
              <w:t>90日；处30万元的罚款。</w:t>
            </w:r>
          </w:p>
        </w:tc>
      </w:tr>
      <w:tr w14:paraId="6C6AA58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8" w:hRule="atLeast"/>
          <w:jc w:val="center"/>
        </w:trPr>
        <w:tc>
          <w:tcPr>
            <w:tcW w:w="443" w:type="dxa"/>
            <w:gridSpan w:val="2"/>
            <w:vMerge w:val="continue"/>
            <w:tcBorders>
              <w:tl2br w:val="nil"/>
              <w:tr2bl w:val="nil"/>
            </w:tcBorders>
            <w:vAlign w:val="center"/>
          </w:tcPr>
          <w:p w14:paraId="2BF4BA1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仿宋" w:eastAsia="仿宋_GB2312" w:cs="Times New Roman"/>
                <w:color w:val="auto"/>
                <w:kern w:val="0"/>
                <w:sz w:val="13"/>
                <w:szCs w:val="13"/>
                <w:highlight w:val="none"/>
              </w:rPr>
            </w:pPr>
          </w:p>
        </w:tc>
        <w:tc>
          <w:tcPr>
            <w:tcW w:w="1550" w:type="dxa"/>
            <w:vMerge w:val="continue"/>
            <w:tcBorders>
              <w:tl2br w:val="nil"/>
              <w:tr2bl w:val="nil"/>
            </w:tcBorders>
            <w:vAlign w:val="center"/>
          </w:tcPr>
          <w:p w14:paraId="74D4D25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tcPr>
          <w:p w14:paraId="1438CD9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vMerge w:val="continue"/>
            <w:tcBorders>
              <w:tl2br w:val="nil"/>
              <w:tr2bl w:val="nil"/>
            </w:tcBorders>
            <w:vAlign w:val="center"/>
          </w:tcPr>
          <w:p w14:paraId="1EA858C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3437" w:type="dxa"/>
            <w:gridSpan w:val="2"/>
            <w:tcBorders>
              <w:tl2br w:val="nil"/>
              <w:tr2bl w:val="nil"/>
            </w:tcBorders>
            <w:vAlign w:val="center"/>
          </w:tcPr>
          <w:p w14:paraId="3864683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造成5人以上7人以下死亡；或者20人以上30人以下重伤；或者2000万元以上3000万元以下直接经济损失的。</w:t>
            </w:r>
          </w:p>
        </w:tc>
        <w:tc>
          <w:tcPr>
            <w:tcW w:w="3058" w:type="dxa"/>
            <w:tcBorders>
              <w:tl2br w:val="nil"/>
              <w:tr2bl w:val="nil"/>
            </w:tcBorders>
            <w:vAlign w:val="center"/>
          </w:tcPr>
          <w:p w14:paraId="3844313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责令停业整顿</w:t>
            </w:r>
            <w:r>
              <w:rPr>
                <w:rFonts w:hint="eastAsia" w:ascii="仿宋_GB2312" w:hAnsi="宋体" w:eastAsia="仿宋_GB2312"/>
                <w:color w:val="auto"/>
                <w:kern w:val="0"/>
                <w:sz w:val="13"/>
                <w:szCs w:val="13"/>
                <w:highlight w:val="none"/>
                <w:lang w:eastAsia="zh-CN"/>
              </w:rPr>
              <w:t>90日-</w:t>
            </w:r>
            <w:r>
              <w:rPr>
                <w:rFonts w:hint="eastAsia" w:ascii="仿宋_GB2312" w:hAnsi="宋体" w:eastAsia="仿宋_GB2312"/>
                <w:color w:val="auto"/>
                <w:kern w:val="0"/>
                <w:sz w:val="13"/>
                <w:szCs w:val="13"/>
                <w:highlight w:val="none"/>
              </w:rPr>
              <w:t>120日；处30万元的罚款。</w:t>
            </w:r>
          </w:p>
        </w:tc>
      </w:tr>
      <w:tr w14:paraId="5C0B9F2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8" w:hRule="atLeast"/>
          <w:jc w:val="center"/>
        </w:trPr>
        <w:tc>
          <w:tcPr>
            <w:tcW w:w="443" w:type="dxa"/>
            <w:gridSpan w:val="2"/>
            <w:vMerge w:val="continue"/>
            <w:tcBorders>
              <w:tl2br w:val="nil"/>
              <w:tr2bl w:val="nil"/>
            </w:tcBorders>
            <w:vAlign w:val="center"/>
          </w:tcPr>
          <w:p w14:paraId="781C26A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仿宋" w:eastAsia="仿宋_GB2312" w:cs="Times New Roman"/>
                <w:color w:val="auto"/>
                <w:kern w:val="0"/>
                <w:sz w:val="13"/>
                <w:szCs w:val="13"/>
                <w:highlight w:val="none"/>
              </w:rPr>
            </w:pPr>
          </w:p>
        </w:tc>
        <w:tc>
          <w:tcPr>
            <w:tcW w:w="1550" w:type="dxa"/>
            <w:vMerge w:val="continue"/>
            <w:tcBorders>
              <w:tl2br w:val="nil"/>
              <w:tr2bl w:val="nil"/>
            </w:tcBorders>
            <w:vAlign w:val="center"/>
          </w:tcPr>
          <w:p w14:paraId="25FCA36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tcPr>
          <w:p w14:paraId="6936FAF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vMerge w:val="continue"/>
            <w:tcBorders>
              <w:tl2br w:val="nil"/>
              <w:tr2bl w:val="nil"/>
            </w:tcBorders>
            <w:vAlign w:val="center"/>
          </w:tcPr>
          <w:p w14:paraId="4B22A61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3437" w:type="dxa"/>
            <w:gridSpan w:val="2"/>
            <w:tcBorders>
              <w:tl2br w:val="nil"/>
              <w:tr2bl w:val="nil"/>
            </w:tcBorders>
            <w:vAlign w:val="center"/>
          </w:tcPr>
          <w:p w14:paraId="3985164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造成7人以上10人以下死亡；或者30人以上50人以下重伤；或者3000万元以上5000万元以下直接经济损失的。</w:t>
            </w:r>
          </w:p>
        </w:tc>
        <w:tc>
          <w:tcPr>
            <w:tcW w:w="3058" w:type="dxa"/>
            <w:tcBorders>
              <w:tl2br w:val="nil"/>
              <w:tr2bl w:val="nil"/>
            </w:tcBorders>
            <w:vAlign w:val="center"/>
          </w:tcPr>
          <w:p w14:paraId="07825AEB">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责令停业整顿</w:t>
            </w:r>
            <w:r>
              <w:rPr>
                <w:rFonts w:hint="eastAsia" w:ascii="仿宋_GB2312" w:hAnsi="宋体" w:eastAsia="仿宋_GB2312"/>
                <w:color w:val="auto"/>
                <w:kern w:val="0"/>
                <w:sz w:val="13"/>
                <w:szCs w:val="13"/>
                <w:highlight w:val="none"/>
                <w:lang w:eastAsia="zh-CN"/>
              </w:rPr>
              <w:t>120日-</w:t>
            </w:r>
            <w:r>
              <w:rPr>
                <w:rFonts w:hint="eastAsia" w:ascii="仿宋_GB2312" w:hAnsi="宋体" w:eastAsia="仿宋_GB2312"/>
                <w:color w:val="auto"/>
                <w:kern w:val="0"/>
                <w:sz w:val="13"/>
                <w:szCs w:val="13"/>
                <w:highlight w:val="none"/>
              </w:rPr>
              <w:t>180日；处30万元的罚款。</w:t>
            </w:r>
          </w:p>
        </w:tc>
      </w:tr>
      <w:tr w14:paraId="209072D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88" w:hRule="atLeast"/>
          <w:jc w:val="center"/>
        </w:trPr>
        <w:tc>
          <w:tcPr>
            <w:tcW w:w="443" w:type="dxa"/>
            <w:gridSpan w:val="2"/>
            <w:vMerge w:val="continue"/>
            <w:tcBorders>
              <w:tl2br w:val="nil"/>
              <w:tr2bl w:val="nil"/>
            </w:tcBorders>
            <w:vAlign w:val="center"/>
          </w:tcPr>
          <w:p w14:paraId="3AE97B8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仿宋" w:eastAsia="仿宋_GB2312" w:cs="Times New Roman"/>
                <w:color w:val="auto"/>
                <w:kern w:val="0"/>
                <w:sz w:val="13"/>
                <w:szCs w:val="13"/>
                <w:highlight w:val="none"/>
              </w:rPr>
            </w:pPr>
          </w:p>
        </w:tc>
        <w:tc>
          <w:tcPr>
            <w:tcW w:w="1550" w:type="dxa"/>
            <w:vMerge w:val="continue"/>
            <w:tcBorders>
              <w:tl2br w:val="nil"/>
              <w:tr2bl w:val="nil"/>
            </w:tcBorders>
            <w:vAlign w:val="center"/>
          </w:tcPr>
          <w:p w14:paraId="1D3DC22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tcPr>
          <w:p w14:paraId="73C964F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vMerge w:val="continue"/>
            <w:tcBorders>
              <w:tl2br w:val="nil"/>
              <w:tr2bl w:val="nil"/>
            </w:tcBorders>
            <w:vAlign w:val="center"/>
          </w:tcPr>
          <w:p w14:paraId="173FB4F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3437" w:type="dxa"/>
            <w:gridSpan w:val="2"/>
            <w:tcBorders>
              <w:tl2br w:val="nil"/>
              <w:tr2bl w:val="nil"/>
            </w:tcBorders>
            <w:vAlign w:val="center"/>
          </w:tcPr>
          <w:p w14:paraId="66C37D6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造成重大安全事故的。</w:t>
            </w:r>
          </w:p>
        </w:tc>
        <w:tc>
          <w:tcPr>
            <w:tcW w:w="3058" w:type="dxa"/>
            <w:tcBorders>
              <w:tl2br w:val="nil"/>
              <w:tr2bl w:val="nil"/>
            </w:tcBorders>
            <w:vAlign w:val="center"/>
          </w:tcPr>
          <w:p w14:paraId="0728A47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处30万元的罚款；降低资质等级。</w:t>
            </w:r>
          </w:p>
        </w:tc>
      </w:tr>
      <w:tr w14:paraId="1C1AEF6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71" w:hRule="atLeast"/>
          <w:jc w:val="center"/>
        </w:trPr>
        <w:tc>
          <w:tcPr>
            <w:tcW w:w="443" w:type="dxa"/>
            <w:gridSpan w:val="2"/>
            <w:vMerge w:val="continue"/>
            <w:tcBorders>
              <w:tl2br w:val="nil"/>
              <w:tr2bl w:val="nil"/>
            </w:tcBorders>
            <w:vAlign w:val="center"/>
          </w:tcPr>
          <w:p w14:paraId="5830671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仿宋" w:eastAsia="仿宋_GB2312" w:cs="Times New Roman"/>
                <w:color w:val="auto"/>
                <w:kern w:val="0"/>
                <w:sz w:val="13"/>
                <w:szCs w:val="13"/>
                <w:highlight w:val="none"/>
              </w:rPr>
            </w:pPr>
          </w:p>
        </w:tc>
        <w:tc>
          <w:tcPr>
            <w:tcW w:w="1550" w:type="dxa"/>
            <w:vMerge w:val="continue"/>
            <w:tcBorders>
              <w:tl2br w:val="nil"/>
              <w:tr2bl w:val="nil"/>
            </w:tcBorders>
            <w:vAlign w:val="center"/>
          </w:tcPr>
          <w:p w14:paraId="5C103D1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tcPr>
          <w:p w14:paraId="1AB2B6D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vMerge w:val="continue"/>
            <w:tcBorders>
              <w:tl2br w:val="nil"/>
              <w:tr2bl w:val="nil"/>
            </w:tcBorders>
            <w:vAlign w:val="center"/>
          </w:tcPr>
          <w:p w14:paraId="5B02482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3437" w:type="dxa"/>
            <w:gridSpan w:val="2"/>
            <w:tcBorders>
              <w:tl2br w:val="nil"/>
              <w:tr2bl w:val="nil"/>
            </w:tcBorders>
            <w:vAlign w:val="center"/>
          </w:tcPr>
          <w:p w14:paraId="5DAF96F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造成特别重大安全事故的</w:t>
            </w:r>
            <w:r>
              <w:rPr>
                <w:rFonts w:hint="eastAsia" w:ascii="仿宋_GB2312" w:hAnsi="宋体" w:eastAsia="仿宋_GB2312"/>
                <w:color w:val="auto"/>
                <w:kern w:val="0"/>
                <w:sz w:val="13"/>
                <w:szCs w:val="13"/>
                <w:highlight w:val="none"/>
                <w:lang w:eastAsia="zh-CN"/>
              </w:rPr>
              <w:t>；</w:t>
            </w:r>
            <w:r>
              <w:rPr>
                <w:rFonts w:hint="eastAsia" w:ascii="仿宋_GB2312" w:hAnsi="宋体" w:eastAsia="仿宋_GB2312"/>
                <w:color w:val="auto"/>
                <w:kern w:val="0"/>
                <w:sz w:val="13"/>
                <w:szCs w:val="13"/>
                <w:highlight w:val="none"/>
                <w:lang w:val="en-US" w:eastAsia="zh-CN"/>
              </w:rPr>
              <w:t>或造成特别严重社会影响的。</w:t>
            </w:r>
          </w:p>
        </w:tc>
        <w:tc>
          <w:tcPr>
            <w:tcW w:w="3058" w:type="dxa"/>
            <w:tcBorders>
              <w:tl2br w:val="nil"/>
              <w:tr2bl w:val="nil"/>
            </w:tcBorders>
            <w:vAlign w:val="center"/>
          </w:tcPr>
          <w:p w14:paraId="4DA2F217">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处30万元的罚款；吊销资质证书。</w:t>
            </w:r>
          </w:p>
        </w:tc>
      </w:tr>
      <w:tr w14:paraId="659FB5D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0" w:hRule="atLeast"/>
          <w:jc w:val="center"/>
        </w:trPr>
        <w:tc>
          <w:tcPr>
            <w:tcW w:w="443" w:type="dxa"/>
            <w:gridSpan w:val="2"/>
            <w:vMerge w:val="restart"/>
            <w:tcBorders>
              <w:tl2br w:val="nil"/>
              <w:tr2bl w:val="nil"/>
            </w:tcBorders>
            <w:vAlign w:val="center"/>
          </w:tcPr>
          <w:p w14:paraId="23417515">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仿宋" w:eastAsia="仿宋_GB2312" w:cs="Times New Roman"/>
                <w:color w:val="auto"/>
                <w:kern w:val="0"/>
                <w:sz w:val="13"/>
                <w:szCs w:val="13"/>
                <w:highlight w:val="none"/>
                <w:lang w:val="en-US"/>
              </w:rPr>
            </w:pPr>
            <w:r>
              <w:rPr>
                <w:rFonts w:hint="default" w:ascii="仿宋_GB2312" w:hAnsi="宋体" w:eastAsia="仿宋_GB2312" w:cs="仿宋_GB2312"/>
                <w:i w:val="0"/>
                <w:color w:val="auto"/>
                <w:kern w:val="0"/>
                <w:sz w:val="13"/>
                <w:szCs w:val="13"/>
                <w:highlight w:val="none"/>
                <w:u w:val="none"/>
                <w:lang w:val="en-US" w:eastAsia="zh-CN" w:bidi="ar"/>
              </w:rPr>
              <w:t>1</w:t>
            </w:r>
            <w:r>
              <w:rPr>
                <w:rFonts w:hint="eastAsia" w:ascii="仿宋_GB2312" w:hAnsi="宋体" w:eastAsia="仿宋_GB2312" w:cs="仿宋_GB2312"/>
                <w:i w:val="0"/>
                <w:color w:val="auto"/>
                <w:kern w:val="0"/>
                <w:sz w:val="13"/>
                <w:szCs w:val="13"/>
                <w:highlight w:val="none"/>
                <w:u w:val="none"/>
                <w:lang w:val="en-US" w:eastAsia="zh-CN" w:bidi="ar"/>
              </w:rPr>
              <w:t>19</w:t>
            </w:r>
          </w:p>
        </w:tc>
        <w:tc>
          <w:tcPr>
            <w:tcW w:w="1550" w:type="dxa"/>
            <w:vMerge w:val="restart"/>
            <w:tcBorders>
              <w:tl2br w:val="nil"/>
              <w:tr2bl w:val="nil"/>
            </w:tcBorders>
            <w:vAlign w:val="center"/>
          </w:tcPr>
          <w:p w14:paraId="62BAE055">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宋体" w:cs="宋体"/>
                <w:color w:val="auto"/>
                <w:kern w:val="0"/>
                <w:sz w:val="13"/>
                <w:szCs w:val="13"/>
                <w:highlight w:val="none"/>
              </w:rPr>
            </w:pPr>
            <w:r>
              <w:rPr>
                <w:rFonts w:hint="eastAsia" w:ascii="仿宋_GB2312" w:hAnsi="宋体" w:eastAsia="仿宋_GB2312"/>
                <w:color w:val="auto"/>
                <w:kern w:val="0"/>
                <w:sz w:val="13"/>
                <w:szCs w:val="13"/>
                <w:highlight w:val="none"/>
              </w:rPr>
              <w:t>注册执业人员未执行法律、法规和工程建设强制性标准的</w:t>
            </w:r>
          </w:p>
        </w:tc>
        <w:tc>
          <w:tcPr>
            <w:tcW w:w="4820" w:type="dxa"/>
            <w:vMerge w:val="restart"/>
            <w:tcBorders>
              <w:tl2br w:val="nil"/>
              <w:tr2bl w:val="nil"/>
            </w:tcBorders>
            <w:vAlign w:val="center"/>
          </w:tcPr>
          <w:p w14:paraId="36C898AF">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p w14:paraId="5CB1409C">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《建设工程安全生产管理条例》</w:t>
            </w:r>
          </w:p>
          <w:p w14:paraId="58E0DAEC">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color w:val="auto"/>
                <w:sz w:val="13"/>
                <w:szCs w:val="13"/>
                <w:highlight w:val="none"/>
              </w:rPr>
            </w:pPr>
            <w:r>
              <w:rPr>
                <w:rFonts w:hint="eastAsia" w:ascii="仿宋_GB2312" w:hAnsi="宋体" w:eastAsia="仿宋_GB2312"/>
                <w:color w:val="auto"/>
                <w:kern w:val="0"/>
                <w:sz w:val="13"/>
                <w:szCs w:val="13"/>
                <w:highlight w:val="none"/>
              </w:rPr>
              <w:t>第五十八条注册执业人员未执行法律、法规和工程建设强制性标准的，责令停止执业3个月以上1年以下；情节严重的，吊销执业资格证书，5年内不予注册；造成重大安全事故的，终身不予注册；构成犯罪的，依照刑法有关规定追究刑事责任。</w:t>
            </w:r>
          </w:p>
        </w:tc>
        <w:tc>
          <w:tcPr>
            <w:tcW w:w="823" w:type="dxa"/>
            <w:tcBorders>
              <w:tl2br w:val="nil"/>
              <w:tr2bl w:val="nil"/>
            </w:tcBorders>
            <w:vAlign w:val="center"/>
          </w:tcPr>
          <w:p w14:paraId="50D1D0C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vAlign w:val="center"/>
          </w:tcPr>
          <w:p w14:paraId="6E60877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初次违法，危害后果较轻的，主动消除或减轻违法行为危害后果的。</w:t>
            </w:r>
          </w:p>
        </w:tc>
        <w:tc>
          <w:tcPr>
            <w:tcW w:w="3058" w:type="dxa"/>
            <w:tcBorders>
              <w:tl2br w:val="nil"/>
              <w:tr2bl w:val="nil"/>
            </w:tcBorders>
            <w:vAlign w:val="center"/>
          </w:tcPr>
          <w:p w14:paraId="27BB11A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责令停止执业3个月以上</w:t>
            </w:r>
            <w:r>
              <w:rPr>
                <w:rFonts w:hint="eastAsia" w:ascii="仿宋_GB2312" w:hAnsi="宋体" w:eastAsia="仿宋_GB2312"/>
                <w:color w:val="auto"/>
                <w:kern w:val="0"/>
                <w:sz w:val="13"/>
                <w:szCs w:val="13"/>
                <w:highlight w:val="none"/>
                <w:lang w:val="en-US" w:eastAsia="zh-CN"/>
              </w:rPr>
              <w:t>6个月以下</w:t>
            </w:r>
          </w:p>
        </w:tc>
      </w:tr>
      <w:tr w14:paraId="2184826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95" w:hRule="atLeast"/>
          <w:jc w:val="center"/>
        </w:trPr>
        <w:tc>
          <w:tcPr>
            <w:tcW w:w="443" w:type="dxa"/>
            <w:gridSpan w:val="2"/>
            <w:vMerge w:val="continue"/>
            <w:tcBorders>
              <w:tl2br w:val="nil"/>
              <w:tr2bl w:val="nil"/>
            </w:tcBorders>
            <w:vAlign w:val="center"/>
          </w:tcPr>
          <w:p w14:paraId="0B60482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仿宋" w:eastAsia="仿宋_GB2312" w:cs="Times New Roman"/>
                <w:color w:val="auto"/>
                <w:kern w:val="0"/>
                <w:sz w:val="13"/>
                <w:szCs w:val="13"/>
                <w:highlight w:val="none"/>
              </w:rPr>
            </w:pPr>
          </w:p>
        </w:tc>
        <w:tc>
          <w:tcPr>
            <w:tcW w:w="1550" w:type="dxa"/>
            <w:vMerge w:val="continue"/>
            <w:tcBorders>
              <w:tl2br w:val="nil"/>
              <w:tr2bl w:val="nil"/>
            </w:tcBorders>
            <w:vAlign w:val="center"/>
          </w:tcPr>
          <w:p w14:paraId="15B0204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vAlign w:val="center"/>
          </w:tcPr>
          <w:p w14:paraId="2CFF315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tcBorders>
              <w:tl2br w:val="nil"/>
              <w:tr2bl w:val="nil"/>
            </w:tcBorders>
            <w:vAlign w:val="center"/>
          </w:tcPr>
          <w:p w14:paraId="02D7DA5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一般情节</w:t>
            </w:r>
          </w:p>
        </w:tc>
        <w:tc>
          <w:tcPr>
            <w:tcW w:w="3437" w:type="dxa"/>
            <w:gridSpan w:val="2"/>
            <w:tcBorders>
              <w:tl2br w:val="nil"/>
              <w:tr2bl w:val="nil"/>
            </w:tcBorders>
            <w:vAlign w:val="center"/>
          </w:tcPr>
          <w:p w14:paraId="2FA2F28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不具有从轻、</w:t>
            </w:r>
            <w:r>
              <w:rPr>
                <w:rFonts w:hint="eastAsia" w:ascii="仿宋_GB2312" w:hAnsi="宋体" w:eastAsia="仿宋_GB2312"/>
                <w:color w:val="auto"/>
                <w:kern w:val="0"/>
                <w:sz w:val="13"/>
                <w:szCs w:val="13"/>
                <w:highlight w:val="none"/>
                <w:lang w:eastAsia="zh-CN"/>
              </w:rPr>
              <w:t>从重情节</w:t>
            </w:r>
            <w:r>
              <w:rPr>
                <w:rFonts w:hint="eastAsia" w:ascii="仿宋_GB2312" w:hAnsi="宋体" w:eastAsia="仿宋_GB2312"/>
                <w:color w:val="auto"/>
                <w:kern w:val="0"/>
                <w:sz w:val="13"/>
                <w:szCs w:val="13"/>
                <w:highlight w:val="none"/>
              </w:rPr>
              <w:t>的。</w:t>
            </w:r>
          </w:p>
        </w:tc>
        <w:tc>
          <w:tcPr>
            <w:tcW w:w="3058" w:type="dxa"/>
            <w:tcBorders>
              <w:tl2br w:val="nil"/>
              <w:tr2bl w:val="nil"/>
            </w:tcBorders>
            <w:vAlign w:val="center"/>
          </w:tcPr>
          <w:p w14:paraId="189C19F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责令停止执业</w:t>
            </w:r>
            <w:r>
              <w:rPr>
                <w:rFonts w:hint="eastAsia" w:ascii="仿宋_GB2312" w:hAnsi="宋体" w:eastAsia="仿宋_GB2312"/>
                <w:color w:val="auto"/>
                <w:kern w:val="0"/>
                <w:sz w:val="13"/>
                <w:szCs w:val="13"/>
                <w:highlight w:val="none"/>
                <w:lang w:val="en-US" w:eastAsia="zh-CN"/>
              </w:rPr>
              <w:t>6</w:t>
            </w:r>
            <w:r>
              <w:rPr>
                <w:rFonts w:hint="eastAsia" w:ascii="仿宋_GB2312" w:hAnsi="宋体" w:eastAsia="仿宋_GB2312"/>
                <w:color w:val="auto"/>
                <w:kern w:val="0"/>
                <w:sz w:val="13"/>
                <w:szCs w:val="13"/>
                <w:highlight w:val="none"/>
              </w:rPr>
              <w:t>个月以上1年以下。</w:t>
            </w:r>
          </w:p>
        </w:tc>
      </w:tr>
      <w:tr w14:paraId="1D68F30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95" w:hRule="atLeast"/>
          <w:jc w:val="center"/>
        </w:trPr>
        <w:tc>
          <w:tcPr>
            <w:tcW w:w="443" w:type="dxa"/>
            <w:gridSpan w:val="2"/>
            <w:vMerge w:val="continue"/>
            <w:tcBorders>
              <w:tl2br w:val="nil"/>
              <w:tr2bl w:val="nil"/>
            </w:tcBorders>
            <w:vAlign w:val="center"/>
          </w:tcPr>
          <w:p w14:paraId="58F7D8B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仿宋" w:eastAsia="仿宋_GB2312" w:cs="Times New Roman"/>
                <w:color w:val="auto"/>
                <w:kern w:val="0"/>
                <w:sz w:val="13"/>
                <w:szCs w:val="13"/>
                <w:highlight w:val="none"/>
              </w:rPr>
            </w:pPr>
          </w:p>
        </w:tc>
        <w:tc>
          <w:tcPr>
            <w:tcW w:w="1550" w:type="dxa"/>
            <w:vMerge w:val="continue"/>
            <w:tcBorders>
              <w:tl2br w:val="nil"/>
              <w:tr2bl w:val="nil"/>
            </w:tcBorders>
            <w:vAlign w:val="center"/>
          </w:tcPr>
          <w:p w14:paraId="629AF97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vAlign w:val="center"/>
          </w:tcPr>
          <w:p w14:paraId="33B6476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vMerge w:val="restart"/>
            <w:tcBorders>
              <w:tl2br w:val="nil"/>
              <w:tr2bl w:val="nil"/>
            </w:tcBorders>
            <w:vAlign w:val="center"/>
          </w:tcPr>
          <w:p w14:paraId="0BD3E79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从重情节</w:t>
            </w:r>
          </w:p>
        </w:tc>
        <w:tc>
          <w:tcPr>
            <w:tcW w:w="3437" w:type="dxa"/>
            <w:gridSpan w:val="2"/>
            <w:tcBorders>
              <w:tl2br w:val="nil"/>
              <w:tr2bl w:val="nil"/>
            </w:tcBorders>
            <w:vAlign w:val="center"/>
          </w:tcPr>
          <w:p w14:paraId="60CBC19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（1）多次实施同类违法行为的；</w:t>
            </w:r>
          </w:p>
          <w:p w14:paraId="02ECF14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（2）造成较大质量安全事故或其他严重后果的。</w:t>
            </w:r>
          </w:p>
        </w:tc>
        <w:tc>
          <w:tcPr>
            <w:tcW w:w="3058" w:type="dxa"/>
            <w:tcBorders>
              <w:tl2br w:val="nil"/>
              <w:tr2bl w:val="nil"/>
            </w:tcBorders>
            <w:vAlign w:val="center"/>
          </w:tcPr>
          <w:p w14:paraId="2D5AD8D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吊销执业资格证书，5年内不予注册。</w:t>
            </w:r>
          </w:p>
        </w:tc>
      </w:tr>
      <w:tr w14:paraId="3595B86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0" w:hRule="atLeast"/>
          <w:jc w:val="center"/>
        </w:trPr>
        <w:tc>
          <w:tcPr>
            <w:tcW w:w="443" w:type="dxa"/>
            <w:gridSpan w:val="2"/>
            <w:vMerge w:val="continue"/>
            <w:tcBorders>
              <w:tl2br w:val="nil"/>
              <w:tr2bl w:val="nil"/>
            </w:tcBorders>
            <w:vAlign w:val="center"/>
          </w:tcPr>
          <w:p w14:paraId="4C77A9A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仿宋" w:eastAsia="仿宋_GB2312" w:cs="Times New Roman"/>
                <w:color w:val="auto"/>
                <w:kern w:val="0"/>
                <w:sz w:val="13"/>
                <w:szCs w:val="13"/>
                <w:highlight w:val="none"/>
              </w:rPr>
            </w:pPr>
          </w:p>
        </w:tc>
        <w:tc>
          <w:tcPr>
            <w:tcW w:w="1550" w:type="dxa"/>
            <w:vMerge w:val="continue"/>
            <w:tcBorders>
              <w:tl2br w:val="nil"/>
              <w:tr2bl w:val="nil"/>
            </w:tcBorders>
            <w:vAlign w:val="center"/>
          </w:tcPr>
          <w:p w14:paraId="6D475F3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vAlign w:val="center"/>
          </w:tcPr>
          <w:p w14:paraId="2D36586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vMerge w:val="continue"/>
            <w:tcBorders>
              <w:tl2br w:val="nil"/>
              <w:tr2bl w:val="nil"/>
            </w:tcBorders>
            <w:vAlign w:val="center"/>
          </w:tcPr>
          <w:p w14:paraId="5361029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p>
        </w:tc>
        <w:tc>
          <w:tcPr>
            <w:tcW w:w="3437" w:type="dxa"/>
            <w:gridSpan w:val="2"/>
            <w:tcBorders>
              <w:tl2br w:val="nil"/>
              <w:tr2bl w:val="nil"/>
            </w:tcBorders>
            <w:vAlign w:val="center"/>
          </w:tcPr>
          <w:p w14:paraId="262C04D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造成重大、</w:t>
            </w:r>
            <w:r>
              <w:rPr>
                <w:rFonts w:hint="eastAsia" w:ascii="仿宋_GB2312" w:hAnsi="宋体" w:eastAsia="仿宋_GB2312"/>
                <w:color w:val="auto"/>
                <w:kern w:val="0"/>
                <w:sz w:val="13"/>
                <w:szCs w:val="13"/>
                <w:highlight w:val="none"/>
                <w:lang w:val="en-US" w:eastAsia="zh-CN"/>
              </w:rPr>
              <w:t>特别重大</w:t>
            </w:r>
            <w:r>
              <w:rPr>
                <w:rFonts w:hint="eastAsia" w:ascii="仿宋_GB2312" w:hAnsi="宋体" w:eastAsia="仿宋_GB2312"/>
                <w:color w:val="auto"/>
                <w:kern w:val="0"/>
                <w:sz w:val="13"/>
                <w:szCs w:val="13"/>
                <w:highlight w:val="none"/>
                <w:lang w:eastAsia="zh-CN"/>
              </w:rPr>
              <w:t>安全事故的。</w:t>
            </w:r>
          </w:p>
        </w:tc>
        <w:tc>
          <w:tcPr>
            <w:tcW w:w="3058" w:type="dxa"/>
            <w:tcBorders>
              <w:tl2br w:val="nil"/>
              <w:tr2bl w:val="nil"/>
            </w:tcBorders>
            <w:vAlign w:val="center"/>
          </w:tcPr>
          <w:p w14:paraId="7DB086A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吊销执业资格证书，终身不予注册。</w:t>
            </w:r>
          </w:p>
        </w:tc>
      </w:tr>
      <w:tr w14:paraId="46AC129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0" w:hRule="atLeast"/>
          <w:jc w:val="center"/>
        </w:trPr>
        <w:tc>
          <w:tcPr>
            <w:tcW w:w="443" w:type="dxa"/>
            <w:gridSpan w:val="2"/>
            <w:vMerge w:val="restart"/>
            <w:tcBorders>
              <w:tl2br w:val="nil"/>
              <w:tr2bl w:val="nil"/>
            </w:tcBorders>
            <w:vAlign w:val="center"/>
          </w:tcPr>
          <w:p w14:paraId="3AC87BD5">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仿宋" w:eastAsia="仿宋_GB2312" w:cs="Times New Roman"/>
                <w:color w:val="auto"/>
                <w:kern w:val="0"/>
                <w:sz w:val="13"/>
                <w:szCs w:val="13"/>
                <w:highlight w:val="none"/>
                <w:lang w:val="en-US"/>
              </w:rPr>
            </w:pPr>
            <w:r>
              <w:rPr>
                <w:rFonts w:hint="default" w:ascii="仿宋_GB2312" w:hAnsi="宋体" w:eastAsia="仿宋_GB2312" w:cs="仿宋_GB2312"/>
                <w:i w:val="0"/>
                <w:color w:val="auto"/>
                <w:kern w:val="0"/>
                <w:sz w:val="13"/>
                <w:szCs w:val="13"/>
                <w:highlight w:val="none"/>
                <w:u w:val="none"/>
                <w:lang w:val="en-US" w:eastAsia="zh-CN" w:bidi="ar"/>
              </w:rPr>
              <w:t>1</w:t>
            </w:r>
            <w:r>
              <w:rPr>
                <w:rFonts w:hint="eastAsia" w:ascii="仿宋_GB2312" w:hAnsi="宋体" w:eastAsia="仿宋_GB2312" w:cs="仿宋_GB2312"/>
                <w:i w:val="0"/>
                <w:color w:val="auto"/>
                <w:kern w:val="0"/>
                <w:sz w:val="13"/>
                <w:szCs w:val="13"/>
                <w:highlight w:val="none"/>
                <w:u w:val="none"/>
                <w:lang w:val="en-US" w:eastAsia="zh-CN" w:bidi="ar"/>
              </w:rPr>
              <w:t>20</w:t>
            </w:r>
          </w:p>
        </w:tc>
        <w:tc>
          <w:tcPr>
            <w:tcW w:w="1550" w:type="dxa"/>
            <w:vMerge w:val="restart"/>
            <w:tcBorders>
              <w:tl2br w:val="nil"/>
              <w:tr2bl w:val="nil"/>
            </w:tcBorders>
            <w:vAlign w:val="center"/>
          </w:tcPr>
          <w:p w14:paraId="6C1C41D6">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为建设工程提供机械设备和配件的单位，未按照安全施工要求配备齐全有效的保险、限位等安全设施和装置的处罚的</w:t>
            </w:r>
          </w:p>
        </w:tc>
        <w:tc>
          <w:tcPr>
            <w:tcW w:w="4820" w:type="dxa"/>
            <w:vMerge w:val="restart"/>
            <w:tcBorders>
              <w:tl2br w:val="nil"/>
              <w:tr2bl w:val="nil"/>
            </w:tcBorders>
            <w:vAlign w:val="center"/>
          </w:tcPr>
          <w:p w14:paraId="70375CD5">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《建设工程安全生产管理条例》</w:t>
            </w:r>
          </w:p>
          <w:p w14:paraId="2F053439">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第五十九条违反本条例的规定，为建设工程提供机械设备和配件的单位，未按照安全施工的要求配备齐全有效的保险、限位等安全设施和装置的，责令限期改正，处合同价款1倍以上3倍以下的罚款；造成损失的，依法承担赔偿责任。</w:t>
            </w:r>
          </w:p>
        </w:tc>
        <w:tc>
          <w:tcPr>
            <w:tcW w:w="823" w:type="dxa"/>
            <w:tcBorders>
              <w:tl2br w:val="nil"/>
              <w:tr2bl w:val="nil"/>
            </w:tcBorders>
            <w:vAlign w:val="center"/>
          </w:tcPr>
          <w:p w14:paraId="7BFCB91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vAlign w:val="center"/>
          </w:tcPr>
          <w:p w14:paraId="28F62E5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初次违法，危害后果较轻的，主动消除或减轻违法行为危害后果的。</w:t>
            </w:r>
          </w:p>
        </w:tc>
        <w:tc>
          <w:tcPr>
            <w:tcW w:w="3058" w:type="dxa"/>
            <w:tcBorders>
              <w:tl2br w:val="nil"/>
              <w:tr2bl w:val="nil"/>
            </w:tcBorders>
            <w:vAlign w:val="center"/>
          </w:tcPr>
          <w:p w14:paraId="5E0FED9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责令限期改正，处合同价款1倍以上2倍以下罚款。</w:t>
            </w:r>
          </w:p>
        </w:tc>
      </w:tr>
      <w:tr w14:paraId="1B6E7C8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90" w:hRule="atLeast"/>
          <w:jc w:val="center"/>
        </w:trPr>
        <w:tc>
          <w:tcPr>
            <w:tcW w:w="443" w:type="dxa"/>
            <w:gridSpan w:val="2"/>
            <w:vMerge w:val="continue"/>
            <w:tcBorders>
              <w:tl2br w:val="nil"/>
              <w:tr2bl w:val="nil"/>
            </w:tcBorders>
            <w:vAlign w:val="center"/>
          </w:tcPr>
          <w:p w14:paraId="02141EC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仿宋" w:eastAsia="仿宋_GB2312" w:cs="Times New Roman"/>
                <w:color w:val="auto"/>
                <w:kern w:val="0"/>
                <w:sz w:val="13"/>
                <w:szCs w:val="13"/>
                <w:highlight w:val="none"/>
              </w:rPr>
            </w:pPr>
          </w:p>
        </w:tc>
        <w:tc>
          <w:tcPr>
            <w:tcW w:w="1550" w:type="dxa"/>
            <w:vMerge w:val="continue"/>
            <w:tcBorders>
              <w:tl2br w:val="nil"/>
              <w:tr2bl w:val="nil"/>
            </w:tcBorders>
            <w:vAlign w:val="center"/>
          </w:tcPr>
          <w:p w14:paraId="4D426B2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47756984">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tc>
        <w:tc>
          <w:tcPr>
            <w:tcW w:w="823" w:type="dxa"/>
            <w:tcBorders>
              <w:tl2br w:val="nil"/>
              <w:tr2bl w:val="nil"/>
            </w:tcBorders>
            <w:vAlign w:val="center"/>
          </w:tcPr>
          <w:p w14:paraId="654F97D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一般情节</w:t>
            </w:r>
          </w:p>
        </w:tc>
        <w:tc>
          <w:tcPr>
            <w:tcW w:w="3437" w:type="dxa"/>
            <w:gridSpan w:val="2"/>
            <w:tcBorders>
              <w:tl2br w:val="nil"/>
              <w:tr2bl w:val="nil"/>
            </w:tcBorders>
            <w:vAlign w:val="center"/>
          </w:tcPr>
          <w:p w14:paraId="179F329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不具有从轻、</w:t>
            </w:r>
            <w:r>
              <w:rPr>
                <w:rFonts w:hint="eastAsia" w:ascii="仿宋_GB2312" w:hAnsi="宋体" w:eastAsia="仿宋_GB2312"/>
                <w:color w:val="auto"/>
                <w:kern w:val="0"/>
                <w:sz w:val="13"/>
                <w:szCs w:val="13"/>
                <w:highlight w:val="none"/>
                <w:lang w:eastAsia="zh-CN"/>
              </w:rPr>
              <w:t>从重情节</w:t>
            </w:r>
            <w:r>
              <w:rPr>
                <w:rFonts w:hint="eastAsia" w:ascii="仿宋_GB2312" w:hAnsi="宋体" w:eastAsia="仿宋_GB2312"/>
                <w:color w:val="auto"/>
                <w:kern w:val="0"/>
                <w:sz w:val="13"/>
                <w:szCs w:val="13"/>
                <w:highlight w:val="none"/>
              </w:rPr>
              <w:t>的。</w:t>
            </w:r>
          </w:p>
        </w:tc>
        <w:tc>
          <w:tcPr>
            <w:tcW w:w="3058" w:type="dxa"/>
            <w:tcBorders>
              <w:tl2br w:val="nil"/>
              <w:tr2bl w:val="nil"/>
            </w:tcBorders>
            <w:vAlign w:val="center"/>
          </w:tcPr>
          <w:p w14:paraId="4366269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责令限期改正，处合同价款2倍以上3倍以下罚款。</w:t>
            </w:r>
          </w:p>
        </w:tc>
      </w:tr>
      <w:tr w14:paraId="63A11EF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8" w:hRule="atLeast"/>
          <w:jc w:val="center"/>
        </w:trPr>
        <w:tc>
          <w:tcPr>
            <w:tcW w:w="443" w:type="dxa"/>
            <w:gridSpan w:val="2"/>
            <w:vMerge w:val="continue"/>
            <w:tcBorders>
              <w:tl2br w:val="nil"/>
              <w:tr2bl w:val="nil"/>
            </w:tcBorders>
            <w:vAlign w:val="center"/>
          </w:tcPr>
          <w:p w14:paraId="1920713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仿宋" w:eastAsia="仿宋_GB2312" w:cs="Times New Roman"/>
                <w:color w:val="auto"/>
                <w:kern w:val="0"/>
                <w:sz w:val="13"/>
                <w:szCs w:val="13"/>
                <w:highlight w:val="none"/>
              </w:rPr>
            </w:pPr>
          </w:p>
        </w:tc>
        <w:tc>
          <w:tcPr>
            <w:tcW w:w="1550" w:type="dxa"/>
            <w:vMerge w:val="continue"/>
            <w:tcBorders>
              <w:tl2br w:val="nil"/>
              <w:tr2bl w:val="nil"/>
            </w:tcBorders>
            <w:vAlign w:val="center"/>
          </w:tcPr>
          <w:p w14:paraId="4366C99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583D1B6B">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tc>
        <w:tc>
          <w:tcPr>
            <w:tcW w:w="823" w:type="dxa"/>
            <w:tcBorders>
              <w:tl2br w:val="nil"/>
              <w:tr2bl w:val="nil"/>
            </w:tcBorders>
            <w:vAlign w:val="center"/>
          </w:tcPr>
          <w:p w14:paraId="16A02B7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从重情节</w:t>
            </w:r>
          </w:p>
        </w:tc>
        <w:tc>
          <w:tcPr>
            <w:tcW w:w="3437" w:type="dxa"/>
            <w:gridSpan w:val="2"/>
            <w:tcBorders>
              <w:tl2br w:val="nil"/>
              <w:tr2bl w:val="nil"/>
            </w:tcBorders>
            <w:vAlign w:val="center"/>
          </w:tcPr>
          <w:p w14:paraId="0A8D056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（1）多次实施同类违法行为的；</w:t>
            </w:r>
          </w:p>
          <w:p w14:paraId="0C1965B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（2）造成质量安全事故或其他严重后果的。</w:t>
            </w:r>
          </w:p>
        </w:tc>
        <w:tc>
          <w:tcPr>
            <w:tcW w:w="3058" w:type="dxa"/>
            <w:tcBorders>
              <w:tl2br w:val="nil"/>
              <w:tr2bl w:val="nil"/>
            </w:tcBorders>
            <w:vAlign w:val="center"/>
          </w:tcPr>
          <w:p w14:paraId="1CC1D97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责令限期改正，处合同价款3倍的罚款。</w:t>
            </w:r>
          </w:p>
        </w:tc>
      </w:tr>
      <w:tr w14:paraId="0D58F6D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0" w:hRule="atLeast"/>
          <w:jc w:val="center"/>
        </w:trPr>
        <w:tc>
          <w:tcPr>
            <w:tcW w:w="443" w:type="dxa"/>
            <w:gridSpan w:val="2"/>
            <w:vMerge w:val="restart"/>
            <w:tcBorders>
              <w:tl2br w:val="nil"/>
              <w:tr2bl w:val="nil"/>
            </w:tcBorders>
            <w:vAlign w:val="center"/>
          </w:tcPr>
          <w:p w14:paraId="424D0D66">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仿宋" w:eastAsia="仿宋_GB2312" w:cs="Times New Roman"/>
                <w:color w:val="auto"/>
                <w:kern w:val="0"/>
                <w:sz w:val="13"/>
                <w:szCs w:val="13"/>
                <w:highlight w:val="none"/>
                <w:lang w:val="en-US"/>
              </w:rPr>
            </w:pPr>
            <w:r>
              <w:rPr>
                <w:rFonts w:hint="default" w:ascii="仿宋_GB2312" w:hAnsi="宋体" w:eastAsia="仿宋_GB2312" w:cs="仿宋_GB2312"/>
                <w:i w:val="0"/>
                <w:color w:val="auto"/>
                <w:kern w:val="0"/>
                <w:sz w:val="13"/>
                <w:szCs w:val="13"/>
                <w:highlight w:val="none"/>
                <w:u w:val="none"/>
                <w:lang w:val="en-US" w:eastAsia="zh-CN" w:bidi="ar"/>
              </w:rPr>
              <w:t>1</w:t>
            </w:r>
            <w:r>
              <w:rPr>
                <w:rFonts w:hint="eastAsia" w:ascii="仿宋_GB2312" w:hAnsi="宋体" w:eastAsia="仿宋_GB2312" w:cs="仿宋_GB2312"/>
                <w:i w:val="0"/>
                <w:color w:val="auto"/>
                <w:kern w:val="0"/>
                <w:sz w:val="13"/>
                <w:szCs w:val="13"/>
                <w:highlight w:val="none"/>
                <w:u w:val="none"/>
                <w:lang w:val="en-US" w:eastAsia="zh-CN" w:bidi="ar"/>
              </w:rPr>
              <w:t>21</w:t>
            </w:r>
          </w:p>
        </w:tc>
        <w:tc>
          <w:tcPr>
            <w:tcW w:w="1550" w:type="dxa"/>
            <w:vMerge w:val="restart"/>
            <w:tcBorders>
              <w:tl2br w:val="nil"/>
              <w:tr2bl w:val="nil"/>
            </w:tcBorders>
            <w:vAlign w:val="center"/>
          </w:tcPr>
          <w:p w14:paraId="4152F562">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出租单位出租未经安全性能检测或者经检测不合格的机械设备和施工机具及配件的</w:t>
            </w:r>
          </w:p>
        </w:tc>
        <w:tc>
          <w:tcPr>
            <w:tcW w:w="4820" w:type="dxa"/>
            <w:vMerge w:val="restart"/>
            <w:tcBorders>
              <w:tl2br w:val="nil"/>
              <w:tr2bl w:val="nil"/>
            </w:tcBorders>
            <w:vAlign w:val="center"/>
          </w:tcPr>
          <w:p w14:paraId="6EBA2741">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p w14:paraId="43E5DDD4">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《建设工程安全生产管理条例》</w:t>
            </w:r>
          </w:p>
          <w:p w14:paraId="3B3370F6">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第六十条违反本条例的规定，出租单位出租未经安全性能检测或者经检测不合格的机械设备和施工机具及配件的，责令停业整顿，并处5万元以上10万元以下的罚款；造成损失的，依法承担赔偿责任。</w:t>
            </w:r>
          </w:p>
        </w:tc>
        <w:tc>
          <w:tcPr>
            <w:tcW w:w="823" w:type="dxa"/>
            <w:tcBorders>
              <w:tl2br w:val="nil"/>
              <w:tr2bl w:val="nil"/>
            </w:tcBorders>
            <w:vAlign w:val="center"/>
          </w:tcPr>
          <w:p w14:paraId="7BA270D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vAlign w:val="center"/>
          </w:tcPr>
          <w:p w14:paraId="631366F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初次违法，危害后果较轻的，主动消除或减轻违法行为危害后果的。</w:t>
            </w:r>
          </w:p>
        </w:tc>
        <w:tc>
          <w:tcPr>
            <w:tcW w:w="3058" w:type="dxa"/>
            <w:tcBorders>
              <w:tl2br w:val="nil"/>
              <w:tr2bl w:val="nil"/>
            </w:tcBorders>
            <w:vAlign w:val="center"/>
          </w:tcPr>
          <w:p w14:paraId="7B63783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责令停业整顿，直至改正违法行为，并处5万以上7万元以下罚款。</w:t>
            </w:r>
          </w:p>
        </w:tc>
      </w:tr>
      <w:tr w14:paraId="031A40A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0" w:hRule="atLeast"/>
          <w:jc w:val="center"/>
        </w:trPr>
        <w:tc>
          <w:tcPr>
            <w:tcW w:w="443" w:type="dxa"/>
            <w:gridSpan w:val="2"/>
            <w:vMerge w:val="continue"/>
            <w:tcBorders>
              <w:tl2br w:val="nil"/>
              <w:tr2bl w:val="nil"/>
            </w:tcBorders>
            <w:vAlign w:val="center"/>
          </w:tcPr>
          <w:p w14:paraId="1DB2EDD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仿宋" w:eastAsia="仿宋_GB2312" w:cs="Times New Roman"/>
                <w:color w:val="auto"/>
                <w:kern w:val="0"/>
                <w:sz w:val="13"/>
                <w:szCs w:val="13"/>
                <w:highlight w:val="none"/>
              </w:rPr>
            </w:pPr>
          </w:p>
        </w:tc>
        <w:tc>
          <w:tcPr>
            <w:tcW w:w="1550" w:type="dxa"/>
            <w:vMerge w:val="continue"/>
            <w:tcBorders>
              <w:tl2br w:val="nil"/>
              <w:tr2bl w:val="nil"/>
            </w:tcBorders>
            <w:vAlign w:val="center"/>
          </w:tcPr>
          <w:p w14:paraId="08F852B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vAlign w:val="center"/>
          </w:tcPr>
          <w:p w14:paraId="1B7A693F">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tc>
        <w:tc>
          <w:tcPr>
            <w:tcW w:w="823" w:type="dxa"/>
            <w:tcBorders>
              <w:tl2br w:val="nil"/>
              <w:tr2bl w:val="nil"/>
            </w:tcBorders>
            <w:vAlign w:val="center"/>
          </w:tcPr>
          <w:p w14:paraId="3D78681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一般情节</w:t>
            </w:r>
          </w:p>
        </w:tc>
        <w:tc>
          <w:tcPr>
            <w:tcW w:w="3437" w:type="dxa"/>
            <w:gridSpan w:val="2"/>
            <w:tcBorders>
              <w:tl2br w:val="nil"/>
              <w:tr2bl w:val="nil"/>
            </w:tcBorders>
            <w:vAlign w:val="center"/>
          </w:tcPr>
          <w:p w14:paraId="2D3AF5C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不具有从轻、</w:t>
            </w:r>
            <w:r>
              <w:rPr>
                <w:rFonts w:hint="eastAsia" w:ascii="仿宋_GB2312" w:hAnsi="宋体" w:eastAsia="仿宋_GB2312"/>
                <w:color w:val="auto"/>
                <w:kern w:val="0"/>
                <w:sz w:val="13"/>
                <w:szCs w:val="13"/>
                <w:highlight w:val="none"/>
                <w:lang w:eastAsia="zh-CN"/>
              </w:rPr>
              <w:t>从重情节</w:t>
            </w:r>
            <w:r>
              <w:rPr>
                <w:rFonts w:hint="eastAsia" w:ascii="仿宋_GB2312" w:hAnsi="宋体" w:eastAsia="仿宋_GB2312"/>
                <w:color w:val="auto"/>
                <w:kern w:val="0"/>
                <w:sz w:val="13"/>
                <w:szCs w:val="13"/>
                <w:highlight w:val="none"/>
              </w:rPr>
              <w:t>的。</w:t>
            </w:r>
          </w:p>
        </w:tc>
        <w:tc>
          <w:tcPr>
            <w:tcW w:w="3058" w:type="dxa"/>
            <w:tcBorders>
              <w:tl2br w:val="nil"/>
              <w:tr2bl w:val="nil"/>
            </w:tcBorders>
            <w:vAlign w:val="center"/>
          </w:tcPr>
          <w:p w14:paraId="4220502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责令停业整顿，直至改正违法行为，并处7万元以上9万元以下罚款。</w:t>
            </w:r>
          </w:p>
        </w:tc>
      </w:tr>
      <w:tr w14:paraId="1A6B35A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8" w:hRule="atLeast"/>
          <w:jc w:val="center"/>
        </w:trPr>
        <w:tc>
          <w:tcPr>
            <w:tcW w:w="443" w:type="dxa"/>
            <w:gridSpan w:val="2"/>
            <w:vMerge w:val="continue"/>
            <w:tcBorders>
              <w:tl2br w:val="nil"/>
              <w:tr2bl w:val="nil"/>
            </w:tcBorders>
            <w:vAlign w:val="center"/>
          </w:tcPr>
          <w:p w14:paraId="1BB1679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仿宋" w:eastAsia="仿宋_GB2312" w:cs="Times New Roman"/>
                <w:color w:val="auto"/>
                <w:kern w:val="0"/>
                <w:sz w:val="13"/>
                <w:szCs w:val="13"/>
                <w:highlight w:val="none"/>
              </w:rPr>
            </w:pPr>
          </w:p>
        </w:tc>
        <w:tc>
          <w:tcPr>
            <w:tcW w:w="1550" w:type="dxa"/>
            <w:vMerge w:val="continue"/>
            <w:tcBorders>
              <w:tl2br w:val="nil"/>
              <w:tr2bl w:val="nil"/>
            </w:tcBorders>
            <w:vAlign w:val="center"/>
          </w:tcPr>
          <w:p w14:paraId="1BAB0FF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vAlign w:val="center"/>
          </w:tcPr>
          <w:p w14:paraId="593D0EC3">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tc>
        <w:tc>
          <w:tcPr>
            <w:tcW w:w="823" w:type="dxa"/>
            <w:tcBorders>
              <w:tl2br w:val="nil"/>
              <w:tr2bl w:val="nil"/>
            </w:tcBorders>
            <w:vAlign w:val="center"/>
          </w:tcPr>
          <w:p w14:paraId="37EBF13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从重情节</w:t>
            </w:r>
          </w:p>
        </w:tc>
        <w:tc>
          <w:tcPr>
            <w:tcW w:w="3437" w:type="dxa"/>
            <w:gridSpan w:val="2"/>
            <w:tcBorders>
              <w:tl2br w:val="nil"/>
              <w:tr2bl w:val="nil"/>
            </w:tcBorders>
            <w:vAlign w:val="center"/>
          </w:tcPr>
          <w:p w14:paraId="6C6DA49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（1）多次实施同类违法行为的；</w:t>
            </w:r>
          </w:p>
          <w:p w14:paraId="1987F64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（2）造成质量安全事故或其他严重后果的。</w:t>
            </w:r>
          </w:p>
        </w:tc>
        <w:tc>
          <w:tcPr>
            <w:tcW w:w="3058" w:type="dxa"/>
            <w:tcBorders>
              <w:tl2br w:val="nil"/>
              <w:tr2bl w:val="nil"/>
            </w:tcBorders>
            <w:vAlign w:val="center"/>
          </w:tcPr>
          <w:p w14:paraId="7389FA6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责令停业整顿，直至改正违法行为，并处9万元以上10万元以下罚款。</w:t>
            </w:r>
          </w:p>
        </w:tc>
      </w:tr>
      <w:tr w14:paraId="75C75DD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0" w:hRule="atLeast"/>
          <w:jc w:val="center"/>
        </w:trPr>
        <w:tc>
          <w:tcPr>
            <w:tcW w:w="443" w:type="dxa"/>
            <w:gridSpan w:val="2"/>
            <w:vMerge w:val="restart"/>
            <w:tcBorders>
              <w:tl2br w:val="nil"/>
              <w:tr2bl w:val="nil"/>
            </w:tcBorders>
            <w:vAlign w:val="center"/>
          </w:tcPr>
          <w:p w14:paraId="0D934BC4">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仿宋" w:eastAsia="仿宋_GB2312" w:cs="Times New Roman"/>
                <w:color w:val="auto"/>
                <w:kern w:val="0"/>
                <w:sz w:val="13"/>
                <w:szCs w:val="13"/>
                <w:highlight w:val="none"/>
                <w:lang w:val="en-US"/>
              </w:rPr>
            </w:pPr>
            <w:r>
              <w:rPr>
                <w:rFonts w:hint="default" w:ascii="仿宋_GB2312" w:hAnsi="宋体" w:eastAsia="仿宋_GB2312" w:cs="仿宋_GB2312"/>
                <w:i w:val="0"/>
                <w:color w:val="auto"/>
                <w:kern w:val="0"/>
                <w:sz w:val="13"/>
                <w:szCs w:val="13"/>
                <w:highlight w:val="none"/>
                <w:u w:val="none"/>
                <w:lang w:val="en-US" w:eastAsia="zh-CN" w:bidi="ar"/>
              </w:rPr>
              <w:t>1</w:t>
            </w:r>
            <w:r>
              <w:rPr>
                <w:rFonts w:hint="eastAsia" w:ascii="仿宋_GB2312" w:hAnsi="宋体" w:eastAsia="仿宋_GB2312" w:cs="仿宋_GB2312"/>
                <w:i w:val="0"/>
                <w:color w:val="auto"/>
                <w:kern w:val="0"/>
                <w:sz w:val="13"/>
                <w:szCs w:val="13"/>
                <w:highlight w:val="none"/>
                <w:u w:val="none"/>
                <w:lang w:val="en-US" w:eastAsia="zh-CN" w:bidi="ar"/>
              </w:rPr>
              <w:t>22</w:t>
            </w:r>
          </w:p>
        </w:tc>
        <w:tc>
          <w:tcPr>
            <w:tcW w:w="1550" w:type="dxa"/>
            <w:vMerge w:val="restart"/>
            <w:tcBorders>
              <w:tl2br w:val="nil"/>
              <w:tr2bl w:val="nil"/>
            </w:tcBorders>
            <w:vAlign w:val="center"/>
          </w:tcPr>
          <w:p w14:paraId="74E9990E">
            <w:pPr>
              <w:keepNext w:val="0"/>
              <w:keepLines w:val="0"/>
              <w:pageBreakBefore w:val="0"/>
              <w:widowControl/>
              <w:shd w:val="clear" w:color="auto" w:fill="FFFFFF"/>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p>
          <w:p w14:paraId="0CF72FE4">
            <w:pPr>
              <w:keepNext w:val="0"/>
              <w:keepLines w:val="0"/>
              <w:pageBreakBefore w:val="0"/>
              <w:widowControl/>
              <w:shd w:val="clear" w:color="auto" w:fill="FFFFFF"/>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ascii="仿宋_GB2312" w:hAnsi="宋体" w:eastAsia="仿宋_GB2312"/>
                <w:color w:val="auto"/>
                <w:kern w:val="0"/>
                <w:sz w:val="13"/>
                <w:szCs w:val="13"/>
                <w:highlight w:val="none"/>
              </w:rPr>
              <w:t>施工起重机械和整体提升脚手架、模板等自升式架设设施安装、拆卸单位有下列行为之一的</w:t>
            </w:r>
            <w:r>
              <w:rPr>
                <w:rFonts w:hint="eastAsia" w:ascii="仿宋_GB2312" w:hAnsi="宋体" w:eastAsia="仿宋_GB2312"/>
                <w:color w:val="auto"/>
                <w:kern w:val="0"/>
                <w:sz w:val="13"/>
                <w:szCs w:val="13"/>
                <w:highlight w:val="none"/>
              </w:rPr>
              <w:t>：</w:t>
            </w:r>
            <w:r>
              <w:rPr>
                <w:rFonts w:ascii="仿宋_GB2312" w:hAnsi="宋体" w:eastAsia="仿宋_GB2312"/>
                <w:color w:val="auto"/>
                <w:kern w:val="0"/>
                <w:sz w:val="13"/>
                <w:szCs w:val="13"/>
                <w:highlight w:val="none"/>
              </w:rPr>
              <w:t>(一)未编制拆装方案、制定安全施工措施的；</w:t>
            </w:r>
          </w:p>
          <w:p w14:paraId="73504CB0">
            <w:pPr>
              <w:keepNext w:val="0"/>
              <w:keepLines w:val="0"/>
              <w:pageBreakBefore w:val="0"/>
              <w:widowControl/>
              <w:shd w:val="clear" w:color="auto" w:fill="FFFFFF"/>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r>
              <w:rPr>
                <w:rFonts w:ascii="仿宋_GB2312" w:hAnsi="宋体" w:eastAsia="仿宋_GB2312"/>
                <w:color w:val="auto"/>
                <w:kern w:val="0"/>
                <w:sz w:val="13"/>
                <w:szCs w:val="13"/>
                <w:highlight w:val="none"/>
              </w:rPr>
              <w:t>(二)未由专业技术人员现场监督的；</w:t>
            </w:r>
          </w:p>
          <w:p w14:paraId="1A399AFC">
            <w:pPr>
              <w:keepNext w:val="0"/>
              <w:keepLines w:val="0"/>
              <w:pageBreakBefore w:val="0"/>
              <w:widowControl/>
              <w:shd w:val="clear" w:color="auto" w:fill="FFFFFF"/>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r>
              <w:rPr>
                <w:rFonts w:ascii="仿宋_GB2312" w:hAnsi="宋体" w:eastAsia="仿宋_GB2312"/>
                <w:color w:val="auto"/>
                <w:kern w:val="0"/>
                <w:sz w:val="13"/>
                <w:szCs w:val="13"/>
                <w:highlight w:val="none"/>
              </w:rPr>
              <w:t>(三)未出具自检合格证明或者出具虚假证明的；</w:t>
            </w:r>
          </w:p>
          <w:p w14:paraId="0EFB918B">
            <w:pPr>
              <w:keepNext w:val="0"/>
              <w:keepLines w:val="0"/>
              <w:pageBreakBefore w:val="0"/>
              <w:widowControl/>
              <w:shd w:val="clear" w:color="auto" w:fill="FFFFFF"/>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r>
              <w:rPr>
                <w:rFonts w:ascii="仿宋_GB2312" w:hAnsi="宋体" w:eastAsia="仿宋_GB2312"/>
                <w:color w:val="auto"/>
                <w:kern w:val="0"/>
                <w:sz w:val="13"/>
                <w:szCs w:val="13"/>
                <w:highlight w:val="none"/>
              </w:rPr>
              <w:t>(四)未向施工单位进行安全使用说明，办理移交手续的。</w:t>
            </w:r>
          </w:p>
        </w:tc>
        <w:tc>
          <w:tcPr>
            <w:tcW w:w="4820" w:type="dxa"/>
            <w:vMerge w:val="restart"/>
            <w:tcBorders>
              <w:tl2br w:val="nil"/>
              <w:tr2bl w:val="nil"/>
            </w:tcBorders>
            <w:vAlign w:val="center"/>
          </w:tcPr>
          <w:p w14:paraId="1D834271">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p w14:paraId="48F96E40">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《建设工程安全生产管理条例》</w:t>
            </w:r>
          </w:p>
          <w:p w14:paraId="01A8A0F3">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第六十一条</w:t>
            </w:r>
            <w:r>
              <w:rPr>
                <w:rFonts w:ascii="仿宋_GB2312" w:hAnsi="宋体" w:eastAsia="仿宋_GB2312"/>
                <w:color w:val="auto"/>
                <w:kern w:val="0"/>
                <w:sz w:val="13"/>
                <w:szCs w:val="13"/>
                <w:highlight w:val="none"/>
              </w:rPr>
              <w:t>违反本条例的规定，施工起重机械和整体提升脚手架、模板等自升式架设设施安装、拆卸单位有下列行为之一的，责令限期改正，处5万元以上10万元以下的罚款；情节严重的，责令停业整顿，降低资质等级，直至吊销资质证书；造成损失的，依法承担赔偿责任：</w:t>
            </w:r>
          </w:p>
          <w:p w14:paraId="65EFC5F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r>
              <w:rPr>
                <w:rFonts w:ascii="仿宋_GB2312" w:hAnsi="宋体" w:eastAsia="仿宋_GB2312"/>
                <w:color w:val="auto"/>
                <w:kern w:val="0"/>
                <w:sz w:val="13"/>
                <w:szCs w:val="13"/>
                <w:highlight w:val="none"/>
              </w:rPr>
              <w:t>(一)未编制拆装方案、制定安全施工措施的；</w:t>
            </w:r>
          </w:p>
          <w:p w14:paraId="754EA8E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r>
              <w:rPr>
                <w:rFonts w:ascii="仿宋_GB2312" w:hAnsi="宋体" w:eastAsia="仿宋_GB2312"/>
                <w:color w:val="auto"/>
                <w:kern w:val="0"/>
                <w:sz w:val="13"/>
                <w:szCs w:val="13"/>
                <w:highlight w:val="none"/>
              </w:rPr>
              <w:t>(二)未由专业技术人员现场监督的；</w:t>
            </w:r>
          </w:p>
          <w:p w14:paraId="72F3672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r>
              <w:rPr>
                <w:rFonts w:ascii="仿宋_GB2312" w:hAnsi="宋体" w:eastAsia="仿宋_GB2312"/>
                <w:color w:val="auto"/>
                <w:kern w:val="0"/>
                <w:sz w:val="13"/>
                <w:szCs w:val="13"/>
                <w:highlight w:val="none"/>
              </w:rPr>
              <w:t>(三)未出具自检合格证明或者出具虚假证明的；</w:t>
            </w:r>
          </w:p>
          <w:p w14:paraId="0394689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r>
              <w:rPr>
                <w:rFonts w:ascii="仿宋_GB2312" w:hAnsi="宋体" w:eastAsia="仿宋_GB2312"/>
                <w:color w:val="auto"/>
                <w:kern w:val="0"/>
                <w:sz w:val="13"/>
                <w:szCs w:val="13"/>
                <w:highlight w:val="none"/>
              </w:rPr>
              <w:t>(四)未向施工单位进行安全使用说明，办理移交手续的。</w:t>
            </w:r>
          </w:p>
          <w:p w14:paraId="2B58E6E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r>
              <w:rPr>
                <w:rFonts w:ascii="仿宋_GB2312" w:hAnsi="宋体" w:eastAsia="仿宋_GB2312"/>
                <w:color w:val="auto"/>
                <w:kern w:val="0"/>
                <w:sz w:val="13"/>
                <w:szCs w:val="13"/>
                <w:highlight w:val="none"/>
              </w:rPr>
              <w:t>施工起重机械和整体提升脚手架、模板等自升式架设设施安装、拆卸单位有前款规定的第(一)项、第(三)项行为，经有关部门或者单位职工提出后，对事故隐患仍不采取措施，因而发生重大伤亡事故或者造成其他严重后果，构成犯罪的，对直接责任人员，依照刑法有关规定追究刑事责任。</w:t>
            </w:r>
          </w:p>
          <w:p w14:paraId="4DB908F2">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p w14:paraId="4DC30E1C">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tc>
        <w:tc>
          <w:tcPr>
            <w:tcW w:w="823" w:type="dxa"/>
            <w:tcBorders>
              <w:tl2br w:val="nil"/>
              <w:tr2bl w:val="nil"/>
            </w:tcBorders>
            <w:vAlign w:val="center"/>
          </w:tcPr>
          <w:p w14:paraId="055F9CD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vAlign w:val="center"/>
          </w:tcPr>
          <w:p w14:paraId="217F3E4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初次违法，危害后果较轻的，主动消除或减轻违法行为危害后果的。</w:t>
            </w:r>
          </w:p>
        </w:tc>
        <w:tc>
          <w:tcPr>
            <w:tcW w:w="3058" w:type="dxa"/>
            <w:tcBorders>
              <w:tl2br w:val="nil"/>
              <w:tr2bl w:val="nil"/>
            </w:tcBorders>
            <w:vAlign w:val="center"/>
          </w:tcPr>
          <w:p w14:paraId="37D9CF5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责令限期改正，处5万元以上6万元以下的罚款。</w:t>
            </w:r>
          </w:p>
        </w:tc>
      </w:tr>
      <w:tr w14:paraId="403EEC7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90" w:hRule="atLeast"/>
          <w:jc w:val="center"/>
        </w:trPr>
        <w:tc>
          <w:tcPr>
            <w:tcW w:w="443" w:type="dxa"/>
            <w:gridSpan w:val="2"/>
            <w:vMerge w:val="continue"/>
            <w:tcBorders>
              <w:tl2br w:val="nil"/>
              <w:tr2bl w:val="nil"/>
            </w:tcBorders>
            <w:vAlign w:val="center"/>
          </w:tcPr>
          <w:p w14:paraId="5A324D7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仿宋" w:eastAsia="仿宋_GB2312" w:cs="Times New Roman"/>
                <w:color w:val="auto"/>
                <w:kern w:val="0"/>
                <w:sz w:val="13"/>
                <w:szCs w:val="13"/>
                <w:highlight w:val="none"/>
              </w:rPr>
            </w:pPr>
          </w:p>
        </w:tc>
        <w:tc>
          <w:tcPr>
            <w:tcW w:w="1550" w:type="dxa"/>
            <w:vMerge w:val="continue"/>
            <w:tcBorders>
              <w:tl2br w:val="nil"/>
              <w:tr2bl w:val="nil"/>
            </w:tcBorders>
            <w:vAlign w:val="center"/>
          </w:tcPr>
          <w:p w14:paraId="11202B5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62C0CF8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tcBorders>
              <w:tl2br w:val="nil"/>
              <w:tr2bl w:val="nil"/>
            </w:tcBorders>
            <w:vAlign w:val="center"/>
          </w:tcPr>
          <w:p w14:paraId="1495064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一般情节</w:t>
            </w:r>
          </w:p>
        </w:tc>
        <w:tc>
          <w:tcPr>
            <w:tcW w:w="3437" w:type="dxa"/>
            <w:gridSpan w:val="2"/>
            <w:tcBorders>
              <w:tl2br w:val="nil"/>
              <w:tr2bl w:val="nil"/>
            </w:tcBorders>
            <w:vAlign w:val="center"/>
          </w:tcPr>
          <w:p w14:paraId="04E9049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不具有从轻、</w:t>
            </w:r>
            <w:r>
              <w:rPr>
                <w:rFonts w:hint="eastAsia" w:ascii="仿宋_GB2312" w:hAnsi="宋体" w:eastAsia="仿宋_GB2312"/>
                <w:color w:val="auto"/>
                <w:kern w:val="0"/>
                <w:sz w:val="13"/>
                <w:szCs w:val="13"/>
                <w:highlight w:val="none"/>
                <w:lang w:eastAsia="zh-CN"/>
              </w:rPr>
              <w:t>从重情节</w:t>
            </w:r>
            <w:r>
              <w:rPr>
                <w:rFonts w:hint="eastAsia" w:ascii="仿宋_GB2312" w:hAnsi="宋体" w:eastAsia="仿宋_GB2312"/>
                <w:color w:val="auto"/>
                <w:kern w:val="0"/>
                <w:sz w:val="13"/>
                <w:szCs w:val="13"/>
                <w:highlight w:val="none"/>
              </w:rPr>
              <w:t>的。</w:t>
            </w:r>
          </w:p>
        </w:tc>
        <w:tc>
          <w:tcPr>
            <w:tcW w:w="3058" w:type="dxa"/>
            <w:tcBorders>
              <w:tl2br w:val="nil"/>
              <w:tr2bl w:val="nil"/>
            </w:tcBorders>
            <w:vAlign w:val="center"/>
          </w:tcPr>
          <w:p w14:paraId="2FA3B4D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责令限期改正，处6万元以上8.5万元以下的罚款。</w:t>
            </w:r>
          </w:p>
        </w:tc>
      </w:tr>
      <w:tr w14:paraId="224875A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0" w:hRule="atLeast"/>
          <w:jc w:val="center"/>
        </w:trPr>
        <w:tc>
          <w:tcPr>
            <w:tcW w:w="443" w:type="dxa"/>
            <w:gridSpan w:val="2"/>
            <w:vMerge w:val="continue"/>
            <w:tcBorders>
              <w:tl2br w:val="nil"/>
              <w:tr2bl w:val="nil"/>
            </w:tcBorders>
            <w:vAlign w:val="center"/>
          </w:tcPr>
          <w:p w14:paraId="6F48986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仿宋" w:eastAsia="仿宋_GB2312" w:cs="Times New Roman"/>
                <w:color w:val="auto"/>
                <w:kern w:val="0"/>
                <w:sz w:val="13"/>
                <w:szCs w:val="13"/>
                <w:highlight w:val="none"/>
              </w:rPr>
            </w:pPr>
          </w:p>
        </w:tc>
        <w:tc>
          <w:tcPr>
            <w:tcW w:w="1550" w:type="dxa"/>
            <w:vMerge w:val="continue"/>
            <w:tcBorders>
              <w:tl2br w:val="nil"/>
              <w:tr2bl w:val="nil"/>
            </w:tcBorders>
            <w:vAlign w:val="center"/>
          </w:tcPr>
          <w:p w14:paraId="3E5D2CE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3E9757F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vMerge w:val="restart"/>
            <w:tcBorders>
              <w:tl2br w:val="nil"/>
              <w:tr2bl w:val="nil"/>
            </w:tcBorders>
            <w:vAlign w:val="center"/>
          </w:tcPr>
          <w:p w14:paraId="6754019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从重情节</w:t>
            </w:r>
          </w:p>
        </w:tc>
        <w:tc>
          <w:tcPr>
            <w:tcW w:w="3437" w:type="dxa"/>
            <w:gridSpan w:val="2"/>
            <w:tcBorders>
              <w:tl2br w:val="nil"/>
              <w:tr2bl w:val="nil"/>
            </w:tcBorders>
            <w:vAlign w:val="center"/>
          </w:tcPr>
          <w:p w14:paraId="3724DF6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造成3人以下死亡，或者10人以下重伤，或者1000万元以下直接经济损失。</w:t>
            </w:r>
          </w:p>
        </w:tc>
        <w:tc>
          <w:tcPr>
            <w:tcW w:w="3058" w:type="dxa"/>
            <w:tcBorders>
              <w:tl2br w:val="nil"/>
              <w:tr2bl w:val="nil"/>
            </w:tcBorders>
            <w:vAlign w:val="center"/>
          </w:tcPr>
          <w:p w14:paraId="28744D9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责令限期改正，处8.5万元以上10万元以下的罚款；责令停业整顿</w:t>
            </w:r>
            <w:r>
              <w:rPr>
                <w:rFonts w:hint="eastAsia" w:ascii="仿宋_GB2312" w:hAnsi="宋体" w:eastAsia="仿宋_GB2312"/>
                <w:color w:val="auto"/>
                <w:kern w:val="0"/>
                <w:sz w:val="13"/>
                <w:szCs w:val="13"/>
                <w:highlight w:val="none"/>
                <w:lang w:eastAsia="zh-CN"/>
              </w:rPr>
              <w:t>30日-</w:t>
            </w:r>
            <w:r>
              <w:rPr>
                <w:rFonts w:hint="eastAsia" w:ascii="仿宋_GB2312" w:hAnsi="宋体" w:eastAsia="仿宋_GB2312"/>
                <w:color w:val="auto"/>
                <w:kern w:val="0"/>
                <w:sz w:val="13"/>
                <w:szCs w:val="13"/>
                <w:highlight w:val="none"/>
              </w:rPr>
              <w:t>60日。</w:t>
            </w:r>
          </w:p>
        </w:tc>
      </w:tr>
      <w:tr w14:paraId="1FBA737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8" w:hRule="atLeast"/>
          <w:jc w:val="center"/>
        </w:trPr>
        <w:tc>
          <w:tcPr>
            <w:tcW w:w="443" w:type="dxa"/>
            <w:gridSpan w:val="2"/>
            <w:vMerge w:val="continue"/>
            <w:tcBorders>
              <w:tl2br w:val="nil"/>
              <w:tr2bl w:val="nil"/>
            </w:tcBorders>
            <w:vAlign w:val="center"/>
          </w:tcPr>
          <w:p w14:paraId="0713132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仿宋" w:eastAsia="仿宋_GB2312" w:cs="Times New Roman"/>
                <w:color w:val="auto"/>
                <w:kern w:val="0"/>
                <w:sz w:val="13"/>
                <w:szCs w:val="13"/>
                <w:highlight w:val="none"/>
              </w:rPr>
            </w:pPr>
          </w:p>
        </w:tc>
        <w:tc>
          <w:tcPr>
            <w:tcW w:w="1550" w:type="dxa"/>
            <w:vMerge w:val="continue"/>
            <w:tcBorders>
              <w:tl2br w:val="nil"/>
              <w:tr2bl w:val="nil"/>
            </w:tcBorders>
            <w:vAlign w:val="center"/>
          </w:tcPr>
          <w:p w14:paraId="095D4CC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53979F6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vMerge w:val="continue"/>
            <w:tcBorders>
              <w:tl2br w:val="nil"/>
              <w:tr2bl w:val="nil"/>
            </w:tcBorders>
            <w:vAlign w:val="center"/>
          </w:tcPr>
          <w:p w14:paraId="47C7613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3437" w:type="dxa"/>
            <w:gridSpan w:val="2"/>
            <w:tcBorders>
              <w:tl2br w:val="nil"/>
              <w:tr2bl w:val="nil"/>
            </w:tcBorders>
            <w:vAlign w:val="center"/>
          </w:tcPr>
          <w:p w14:paraId="7B7A5D2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造成3人以上5人以下死亡；或者10人以上20人以下重伤；或者1000万元以上2000万元以下直接经济损失的。</w:t>
            </w:r>
          </w:p>
        </w:tc>
        <w:tc>
          <w:tcPr>
            <w:tcW w:w="3058" w:type="dxa"/>
            <w:tcBorders>
              <w:tl2br w:val="nil"/>
              <w:tr2bl w:val="nil"/>
            </w:tcBorders>
            <w:vAlign w:val="center"/>
          </w:tcPr>
          <w:p w14:paraId="1B17615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责令限期改正，处10万元的罚款；责令停业整顿</w:t>
            </w:r>
            <w:r>
              <w:rPr>
                <w:rFonts w:hint="eastAsia" w:ascii="仿宋_GB2312" w:hAnsi="宋体" w:eastAsia="仿宋_GB2312"/>
                <w:color w:val="auto"/>
                <w:kern w:val="0"/>
                <w:sz w:val="13"/>
                <w:szCs w:val="13"/>
                <w:highlight w:val="none"/>
                <w:lang w:eastAsia="zh-CN"/>
              </w:rPr>
              <w:t>60日-</w:t>
            </w:r>
            <w:r>
              <w:rPr>
                <w:rFonts w:hint="eastAsia" w:ascii="仿宋_GB2312" w:hAnsi="宋体" w:eastAsia="仿宋_GB2312"/>
                <w:color w:val="auto"/>
                <w:kern w:val="0"/>
                <w:sz w:val="13"/>
                <w:szCs w:val="13"/>
                <w:highlight w:val="none"/>
              </w:rPr>
              <w:t>90日。</w:t>
            </w:r>
          </w:p>
        </w:tc>
      </w:tr>
      <w:tr w14:paraId="0A27513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8" w:hRule="atLeast"/>
          <w:jc w:val="center"/>
        </w:trPr>
        <w:tc>
          <w:tcPr>
            <w:tcW w:w="443" w:type="dxa"/>
            <w:gridSpan w:val="2"/>
            <w:vMerge w:val="continue"/>
            <w:tcBorders>
              <w:tl2br w:val="nil"/>
              <w:tr2bl w:val="nil"/>
            </w:tcBorders>
            <w:vAlign w:val="center"/>
          </w:tcPr>
          <w:p w14:paraId="6C27519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仿宋" w:eastAsia="仿宋_GB2312" w:cs="Times New Roman"/>
                <w:color w:val="auto"/>
                <w:kern w:val="0"/>
                <w:sz w:val="13"/>
                <w:szCs w:val="13"/>
                <w:highlight w:val="none"/>
              </w:rPr>
            </w:pPr>
          </w:p>
        </w:tc>
        <w:tc>
          <w:tcPr>
            <w:tcW w:w="1550" w:type="dxa"/>
            <w:vMerge w:val="continue"/>
            <w:tcBorders>
              <w:tl2br w:val="nil"/>
              <w:tr2bl w:val="nil"/>
            </w:tcBorders>
            <w:vAlign w:val="center"/>
          </w:tcPr>
          <w:p w14:paraId="4B7B765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094CD18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vMerge w:val="continue"/>
            <w:tcBorders>
              <w:tl2br w:val="nil"/>
              <w:tr2bl w:val="nil"/>
            </w:tcBorders>
            <w:vAlign w:val="center"/>
          </w:tcPr>
          <w:p w14:paraId="621044A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3437" w:type="dxa"/>
            <w:gridSpan w:val="2"/>
            <w:tcBorders>
              <w:tl2br w:val="nil"/>
              <w:tr2bl w:val="nil"/>
            </w:tcBorders>
            <w:vAlign w:val="center"/>
          </w:tcPr>
          <w:p w14:paraId="2FB061D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造成5人以上7人以下死亡；或者20人以上30人以下重伤；或者2000万元以上3000万元以下直接经济损失的。</w:t>
            </w:r>
          </w:p>
        </w:tc>
        <w:tc>
          <w:tcPr>
            <w:tcW w:w="3058" w:type="dxa"/>
            <w:tcBorders>
              <w:tl2br w:val="nil"/>
              <w:tr2bl w:val="nil"/>
            </w:tcBorders>
            <w:vAlign w:val="center"/>
          </w:tcPr>
          <w:p w14:paraId="6896FD9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责令限期改正，处10万元的罚款；责令停业整顿</w:t>
            </w:r>
            <w:r>
              <w:rPr>
                <w:rFonts w:hint="eastAsia" w:ascii="仿宋_GB2312" w:hAnsi="宋体" w:eastAsia="仿宋_GB2312"/>
                <w:color w:val="auto"/>
                <w:kern w:val="0"/>
                <w:sz w:val="13"/>
                <w:szCs w:val="13"/>
                <w:highlight w:val="none"/>
                <w:lang w:eastAsia="zh-CN"/>
              </w:rPr>
              <w:t>90日-</w:t>
            </w:r>
            <w:r>
              <w:rPr>
                <w:rFonts w:hint="eastAsia" w:ascii="仿宋_GB2312" w:hAnsi="宋体" w:eastAsia="仿宋_GB2312"/>
                <w:color w:val="auto"/>
                <w:kern w:val="0"/>
                <w:sz w:val="13"/>
                <w:szCs w:val="13"/>
                <w:highlight w:val="none"/>
              </w:rPr>
              <w:t>120日。</w:t>
            </w:r>
          </w:p>
        </w:tc>
      </w:tr>
      <w:tr w14:paraId="7942E21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90" w:hRule="atLeast"/>
          <w:jc w:val="center"/>
        </w:trPr>
        <w:tc>
          <w:tcPr>
            <w:tcW w:w="443" w:type="dxa"/>
            <w:gridSpan w:val="2"/>
            <w:vMerge w:val="continue"/>
            <w:tcBorders>
              <w:tl2br w:val="nil"/>
              <w:tr2bl w:val="nil"/>
            </w:tcBorders>
            <w:vAlign w:val="center"/>
          </w:tcPr>
          <w:p w14:paraId="21B251F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仿宋" w:eastAsia="仿宋_GB2312" w:cs="Times New Roman"/>
                <w:color w:val="auto"/>
                <w:kern w:val="0"/>
                <w:sz w:val="13"/>
                <w:szCs w:val="13"/>
                <w:highlight w:val="none"/>
              </w:rPr>
            </w:pPr>
          </w:p>
        </w:tc>
        <w:tc>
          <w:tcPr>
            <w:tcW w:w="1550" w:type="dxa"/>
            <w:vMerge w:val="continue"/>
            <w:tcBorders>
              <w:tl2br w:val="nil"/>
              <w:tr2bl w:val="nil"/>
            </w:tcBorders>
            <w:vAlign w:val="center"/>
          </w:tcPr>
          <w:p w14:paraId="4A720A0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5D8BD21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vMerge w:val="continue"/>
            <w:tcBorders>
              <w:tl2br w:val="nil"/>
              <w:tr2bl w:val="nil"/>
            </w:tcBorders>
            <w:vAlign w:val="center"/>
          </w:tcPr>
          <w:p w14:paraId="5BE8D2A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3437" w:type="dxa"/>
            <w:gridSpan w:val="2"/>
            <w:tcBorders>
              <w:tl2br w:val="nil"/>
              <w:tr2bl w:val="nil"/>
            </w:tcBorders>
            <w:vAlign w:val="center"/>
          </w:tcPr>
          <w:p w14:paraId="0A96502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造成7人以上10人以下死亡；或者30人以上50人以下重伤；或者3000万元以上5000万元以下直接经济损失的。</w:t>
            </w:r>
          </w:p>
        </w:tc>
        <w:tc>
          <w:tcPr>
            <w:tcW w:w="3058" w:type="dxa"/>
            <w:tcBorders>
              <w:tl2br w:val="nil"/>
              <w:tr2bl w:val="nil"/>
            </w:tcBorders>
            <w:vAlign w:val="center"/>
          </w:tcPr>
          <w:p w14:paraId="0F82C61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责令限期改正，处10万元的罚款；责令停业整顿</w:t>
            </w:r>
            <w:r>
              <w:rPr>
                <w:rFonts w:hint="eastAsia" w:ascii="仿宋_GB2312" w:hAnsi="宋体" w:eastAsia="仿宋_GB2312"/>
                <w:color w:val="auto"/>
                <w:kern w:val="0"/>
                <w:sz w:val="13"/>
                <w:szCs w:val="13"/>
                <w:highlight w:val="none"/>
                <w:lang w:eastAsia="zh-CN"/>
              </w:rPr>
              <w:t>120日-</w:t>
            </w:r>
            <w:r>
              <w:rPr>
                <w:rFonts w:hint="eastAsia" w:ascii="仿宋_GB2312" w:hAnsi="宋体" w:eastAsia="仿宋_GB2312"/>
                <w:color w:val="auto"/>
                <w:kern w:val="0"/>
                <w:sz w:val="13"/>
                <w:szCs w:val="13"/>
                <w:highlight w:val="none"/>
              </w:rPr>
              <w:t>180日。</w:t>
            </w:r>
          </w:p>
        </w:tc>
      </w:tr>
      <w:tr w14:paraId="7E835C9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0" w:hRule="atLeast"/>
          <w:jc w:val="center"/>
        </w:trPr>
        <w:tc>
          <w:tcPr>
            <w:tcW w:w="443" w:type="dxa"/>
            <w:gridSpan w:val="2"/>
            <w:vMerge w:val="continue"/>
            <w:tcBorders>
              <w:tl2br w:val="nil"/>
              <w:tr2bl w:val="nil"/>
            </w:tcBorders>
            <w:vAlign w:val="center"/>
          </w:tcPr>
          <w:p w14:paraId="27D5E40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仿宋" w:eastAsia="仿宋_GB2312" w:cs="Times New Roman"/>
                <w:color w:val="auto"/>
                <w:kern w:val="0"/>
                <w:sz w:val="13"/>
                <w:szCs w:val="13"/>
                <w:highlight w:val="none"/>
              </w:rPr>
            </w:pPr>
          </w:p>
        </w:tc>
        <w:tc>
          <w:tcPr>
            <w:tcW w:w="1550" w:type="dxa"/>
            <w:vMerge w:val="continue"/>
            <w:tcBorders>
              <w:tl2br w:val="nil"/>
              <w:tr2bl w:val="nil"/>
            </w:tcBorders>
            <w:vAlign w:val="center"/>
          </w:tcPr>
          <w:p w14:paraId="15A91CB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6A87B64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vMerge w:val="continue"/>
            <w:tcBorders>
              <w:tl2br w:val="nil"/>
              <w:tr2bl w:val="nil"/>
            </w:tcBorders>
            <w:vAlign w:val="center"/>
          </w:tcPr>
          <w:p w14:paraId="6ED417D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3437" w:type="dxa"/>
            <w:gridSpan w:val="2"/>
            <w:tcBorders>
              <w:tl2br w:val="nil"/>
              <w:tr2bl w:val="nil"/>
            </w:tcBorders>
            <w:vAlign w:val="center"/>
          </w:tcPr>
          <w:p w14:paraId="3C598E0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造成重大安全事故的。</w:t>
            </w:r>
          </w:p>
        </w:tc>
        <w:tc>
          <w:tcPr>
            <w:tcW w:w="3058" w:type="dxa"/>
            <w:tcBorders>
              <w:tl2br w:val="nil"/>
              <w:tr2bl w:val="nil"/>
            </w:tcBorders>
            <w:vAlign w:val="center"/>
          </w:tcPr>
          <w:p w14:paraId="5CF6CE5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责令限期改正，处10万元的罚款；降低资质等级。</w:t>
            </w:r>
          </w:p>
        </w:tc>
      </w:tr>
      <w:tr w14:paraId="0339C30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0" w:hRule="atLeast"/>
          <w:jc w:val="center"/>
        </w:trPr>
        <w:tc>
          <w:tcPr>
            <w:tcW w:w="443" w:type="dxa"/>
            <w:gridSpan w:val="2"/>
            <w:vMerge w:val="continue"/>
            <w:tcBorders>
              <w:tl2br w:val="nil"/>
              <w:tr2bl w:val="nil"/>
            </w:tcBorders>
            <w:vAlign w:val="center"/>
          </w:tcPr>
          <w:p w14:paraId="2FBDEF9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仿宋" w:eastAsia="仿宋_GB2312" w:cs="Times New Roman"/>
                <w:color w:val="auto"/>
                <w:kern w:val="0"/>
                <w:sz w:val="13"/>
                <w:szCs w:val="13"/>
                <w:highlight w:val="none"/>
              </w:rPr>
            </w:pPr>
          </w:p>
        </w:tc>
        <w:tc>
          <w:tcPr>
            <w:tcW w:w="1550" w:type="dxa"/>
            <w:vMerge w:val="continue"/>
            <w:tcBorders>
              <w:tl2br w:val="nil"/>
              <w:tr2bl w:val="nil"/>
            </w:tcBorders>
            <w:vAlign w:val="center"/>
          </w:tcPr>
          <w:p w14:paraId="5B239FC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7F6ACFD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vMerge w:val="continue"/>
            <w:tcBorders>
              <w:tl2br w:val="nil"/>
              <w:tr2bl w:val="nil"/>
            </w:tcBorders>
            <w:vAlign w:val="center"/>
          </w:tcPr>
          <w:p w14:paraId="153561A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3437" w:type="dxa"/>
            <w:gridSpan w:val="2"/>
            <w:tcBorders>
              <w:tl2br w:val="nil"/>
              <w:tr2bl w:val="nil"/>
            </w:tcBorders>
            <w:vAlign w:val="center"/>
          </w:tcPr>
          <w:p w14:paraId="36CBC67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造成特别重大安全事故的</w:t>
            </w:r>
            <w:r>
              <w:rPr>
                <w:rFonts w:hint="eastAsia" w:ascii="仿宋_GB2312" w:hAnsi="宋体" w:eastAsia="仿宋_GB2312"/>
                <w:color w:val="auto"/>
                <w:kern w:val="0"/>
                <w:sz w:val="13"/>
                <w:szCs w:val="13"/>
                <w:highlight w:val="none"/>
                <w:lang w:eastAsia="zh-CN"/>
              </w:rPr>
              <w:t>；</w:t>
            </w:r>
            <w:r>
              <w:rPr>
                <w:rFonts w:hint="eastAsia" w:ascii="仿宋_GB2312" w:hAnsi="宋体" w:eastAsia="仿宋_GB2312"/>
                <w:color w:val="auto"/>
                <w:kern w:val="0"/>
                <w:sz w:val="13"/>
                <w:szCs w:val="13"/>
                <w:highlight w:val="none"/>
                <w:lang w:val="en-US" w:eastAsia="zh-CN"/>
              </w:rPr>
              <w:t>或造成特别严重社会影响的。</w:t>
            </w:r>
          </w:p>
        </w:tc>
        <w:tc>
          <w:tcPr>
            <w:tcW w:w="3058" w:type="dxa"/>
            <w:tcBorders>
              <w:tl2br w:val="nil"/>
              <w:tr2bl w:val="nil"/>
            </w:tcBorders>
            <w:vAlign w:val="center"/>
          </w:tcPr>
          <w:p w14:paraId="597D4EE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责令限期改正，处10万元的罚款；吊销资质证书。</w:t>
            </w:r>
          </w:p>
          <w:p w14:paraId="2238685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p>
        </w:tc>
      </w:tr>
      <w:tr w14:paraId="54A41B4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53" w:hRule="atLeast"/>
          <w:jc w:val="center"/>
        </w:trPr>
        <w:tc>
          <w:tcPr>
            <w:tcW w:w="443" w:type="dxa"/>
            <w:gridSpan w:val="2"/>
            <w:vMerge w:val="restart"/>
            <w:tcBorders>
              <w:tl2br w:val="nil"/>
              <w:tr2bl w:val="nil"/>
            </w:tcBorders>
            <w:vAlign w:val="center"/>
          </w:tcPr>
          <w:p w14:paraId="4A090A8B">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仿宋" w:eastAsia="仿宋_GB2312" w:cs="Times New Roman"/>
                <w:color w:val="auto"/>
                <w:kern w:val="0"/>
                <w:sz w:val="13"/>
                <w:szCs w:val="13"/>
                <w:highlight w:val="none"/>
              </w:rPr>
            </w:pPr>
            <w:r>
              <w:rPr>
                <w:rFonts w:hint="default" w:ascii="仿宋_GB2312" w:hAnsi="宋体" w:eastAsia="仿宋_GB2312" w:cs="仿宋_GB2312"/>
                <w:i w:val="0"/>
                <w:color w:val="auto"/>
                <w:kern w:val="0"/>
                <w:sz w:val="13"/>
                <w:szCs w:val="13"/>
                <w:highlight w:val="none"/>
                <w:u w:val="none"/>
                <w:lang w:val="en-US" w:eastAsia="zh-CN" w:bidi="ar"/>
              </w:rPr>
              <w:t>1</w:t>
            </w:r>
            <w:r>
              <w:rPr>
                <w:rFonts w:hint="eastAsia" w:ascii="仿宋_GB2312" w:hAnsi="宋体" w:eastAsia="仿宋_GB2312" w:cs="仿宋_GB2312"/>
                <w:i w:val="0"/>
                <w:color w:val="auto"/>
                <w:kern w:val="0"/>
                <w:sz w:val="13"/>
                <w:szCs w:val="13"/>
                <w:highlight w:val="none"/>
                <w:u w:val="none"/>
                <w:lang w:val="en-US" w:eastAsia="zh-CN" w:bidi="ar"/>
              </w:rPr>
              <w:t>23</w:t>
            </w:r>
          </w:p>
        </w:tc>
        <w:tc>
          <w:tcPr>
            <w:tcW w:w="1550" w:type="dxa"/>
            <w:vMerge w:val="restart"/>
            <w:tcBorders>
              <w:tl2br w:val="nil"/>
              <w:tr2bl w:val="nil"/>
            </w:tcBorders>
            <w:vAlign w:val="center"/>
          </w:tcPr>
          <w:p w14:paraId="26A38E23">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施工单位未设立安全生产管理机构、配备专职安全生产管理人员或者分部分项工程施工时无专职安全生产管理人员现场监督</w:t>
            </w:r>
          </w:p>
        </w:tc>
        <w:tc>
          <w:tcPr>
            <w:tcW w:w="4820" w:type="dxa"/>
            <w:vMerge w:val="restart"/>
            <w:tcBorders>
              <w:tl2br w:val="nil"/>
              <w:tr2bl w:val="nil"/>
            </w:tcBorders>
            <w:vAlign w:val="center"/>
          </w:tcPr>
          <w:p w14:paraId="5AA8E62B">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《建设工程安全生产管理条例》</w:t>
            </w:r>
          </w:p>
          <w:p w14:paraId="39EEE767">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rPr>
              <w:t>第六十二条</w:t>
            </w:r>
            <w:r>
              <w:rPr>
                <w:rFonts w:hint="eastAsia" w:ascii="仿宋_GB2312" w:hAnsi="宋体" w:eastAsia="仿宋_GB2312"/>
                <w:color w:val="auto"/>
                <w:kern w:val="0"/>
                <w:sz w:val="13"/>
                <w:szCs w:val="13"/>
                <w:highlight w:val="none"/>
                <w:lang w:eastAsia="zh-CN"/>
              </w:rPr>
              <w:t>（</w:t>
            </w:r>
            <w:r>
              <w:rPr>
                <w:rFonts w:hint="eastAsia" w:ascii="仿宋_GB2312" w:hAnsi="宋体" w:eastAsia="仿宋_GB2312"/>
                <w:color w:val="auto"/>
                <w:kern w:val="0"/>
                <w:sz w:val="13"/>
                <w:szCs w:val="13"/>
                <w:highlight w:val="none"/>
                <w:lang w:val="en-US" w:eastAsia="zh-CN"/>
              </w:rPr>
              <w:t>一</w:t>
            </w:r>
            <w:r>
              <w:rPr>
                <w:rFonts w:hint="eastAsia" w:ascii="仿宋_GB2312" w:hAnsi="宋体" w:eastAsia="仿宋_GB2312"/>
                <w:color w:val="auto"/>
                <w:kern w:val="0"/>
                <w:sz w:val="13"/>
                <w:szCs w:val="13"/>
                <w:highlight w:val="none"/>
                <w:lang w:eastAsia="zh-CN"/>
              </w:rPr>
              <w:t>）</w:t>
            </w:r>
            <w:r>
              <w:rPr>
                <w:rFonts w:ascii="仿宋_GB2312" w:hAnsi="宋体" w:eastAsia="仿宋_GB2312"/>
                <w:color w:val="auto"/>
                <w:kern w:val="0"/>
                <w:sz w:val="13"/>
                <w:szCs w:val="13"/>
                <w:highlight w:val="none"/>
              </w:rPr>
              <w:t>项</w:t>
            </w:r>
            <w:r>
              <w:rPr>
                <w:rFonts w:hint="eastAsia" w:ascii="仿宋_GB2312" w:hAnsi="宋体" w:eastAsia="仿宋_GB2312"/>
                <w:color w:val="auto"/>
                <w:kern w:val="0"/>
                <w:sz w:val="13"/>
                <w:szCs w:val="13"/>
                <w:highlight w:val="none"/>
              </w:rPr>
              <w:t>违反本条例的规定，施工单位有下列行为之一的，责令限期改正；逾期未改正的，责令停业整顿，依照《中华人民共和国安全生产法》的有关规定处以罚款；造成重大安全事故，构成犯罪的，对直接责任人员，依照刑法有关规定追究刑事责任：</w:t>
            </w:r>
          </w:p>
          <w:p w14:paraId="71B39C2C">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(一)未设立安全生产管理机构、配备专职安全生产管理人员或者分部分项工程施工时无专职安全生产管理人员现场监督的；</w:t>
            </w:r>
          </w:p>
          <w:p w14:paraId="3F1CBBED">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p w14:paraId="150761AC">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《中华人民共和国安全生产法》</w:t>
            </w:r>
          </w:p>
          <w:p w14:paraId="530E7185">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第九十</w:t>
            </w:r>
            <w:r>
              <w:rPr>
                <w:rFonts w:hint="eastAsia" w:ascii="仿宋_GB2312" w:hAnsi="宋体" w:eastAsia="仿宋_GB2312"/>
                <w:color w:val="auto"/>
                <w:kern w:val="0"/>
                <w:sz w:val="13"/>
                <w:szCs w:val="13"/>
                <w:highlight w:val="none"/>
                <w:lang w:eastAsia="zh-CN"/>
              </w:rPr>
              <w:t>七</w:t>
            </w:r>
            <w:r>
              <w:rPr>
                <w:rFonts w:hint="eastAsia" w:ascii="仿宋_GB2312" w:hAnsi="宋体" w:eastAsia="仿宋_GB2312"/>
                <w:color w:val="auto"/>
                <w:kern w:val="0"/>
                <w:sz w:val="13"/>
                <w:szCs w:val="13"/>
                <w:highlight w:val="none"/>
              </w:rPr>
              <w:t>条</w:t>
            </w:r>
            <w:r>
              <w:rPr>
                <w:rFonts w:hint="eastAsia" w:ascii="仿宋_GB2312" w:hAnsi="宋体" w:eastAsia="仿宋_GB2312"/>
                <w:color w:val="auto"/>
                <w:kern w:val="0"/>
                <w:sz w:val="13"/>
                <w:szCs w:val="13"/>
                <w:highlight w:val="none"/>
                <w:lang w:eastAsia="zh-CN"/>
              </w:rPr>
              <w:t>（</w:t>
            </w:r>
            <w:r>
              <w:rPr>
                <w:rFonts w:hint="eastAsia" w:ascii="仿宋_GB2312" w:hAnsi="宋体" w:eastAsia="仿宋_GB2312"/>
                <w:color w:val="auto"/>
                <w:kern w:val="0"/>
                <w:sz w:val="13"/>
                <w:szCs w:val="13"/>
                <w:highlight w:val="none"/>
                <w:lang w:val="en-US" w:eastAsia="zh-CN"/>
              </w:rPr>
              <w:t>一</w:t>
            </w:r>
            <w:r>
              <w:rPr>
                <w:rFonts w:hint="eastAsia" w:ascii="仿宋_GB2312" w:hAnsi="宋体" w:eastAsia="仿宋_GB2312"/>
                <w:color w:val="auto"/>
                <w:kern w:val="0"/>
                <w:sz w:val="13"/>
                <w:szCs w:val="13"/>
                <w:highlight w:val="none"/>
                <w:lang w:eastAsia="zh-CN"/>
              </w:rPr>
              <w:t>）</w:t>
            </w:r>
            <w:r>
              <w:rPr>
                <w:rFonts w:hint="eastAsia" w:ascii="仿宋_GB2312" w:hAnsi="宋体" w:eastAsia="仿宋_GB2312"/>
                <w:color w:val="auto"/>
                <w:kern w:val="0"/>
                <w:sz w:val="13"/>
                <w:szCs w:val="13"/>
                <w:highlight w:val="none"/>
              </w:rPr>
              <w:t>项</w:t>
            </w:r>
            <w:r>
              <w:rPr>
                <w:rFonts w:hint="eastAsia" w:ascii="仿宋_GB2312" w:hAnsi="宋体" w:eastAsia="仿宋_GB2312"/>
                <w:color w:val="auto"/>
                <w:kern w:val="0"/>
                <w:sz w:val="13"/>
                <w:szCs w:val="13"/>
                <w:highlight w:val="none"/>
                <w:lang w:val="en-US" w:eastAsia="zh-CN"/>
              </w:rPr>
              <w:t>生产经营单位有下列行为之一的，责令限期改正，处十万元以下的罚款；逾期未改正的，责令停产停业整顿，并处十万元以上二十万元以下的罚款，对其直接负责的主管人员和其他直接责任人员处二万元以上五万元以下的罚款：</w:t>
            </w:r>
          </w:p>
          <w:p w14:paraId="4A822771">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color w:val="auto"/>
                <w:sz w:val="13"/>
                <w:szCs w:val="13"/>
                <w:highlight w:val="none"/>
              </w:rPr>
            </w:pPr>
            <w:r>
              <w:rPr>
                <w:rFonts w:hint="eastAsia" w:ascii="仿宋_GB2312" w:hAnsi="宋体" w:eastAsia="仿宋_GB2312"/>
                <w:color w:val="auto"/>
                <w:kern w:val="0"/>
                <w:sz w:val="13"/>
                <w:szCs w:val="13"/>
                <w:highlight w:val="none"/>
              </w:rPr>
              <w:t>（一）未按照规定设置安全生产管理机构或者配备安全生产管理人员、注册安全工程师的；</w:t>
            </w:r>
          </w:p>
        </w:tc>
        <w:tc>
          <w:tcPr>
            <w:tcW w:w="823" w:type="dxa"/>
            <w:tcBorders>
              <w:tl2br w:val="nil"/>
              <w:tr2bl w:val="nil"/>
            </w:tcBorders>
            <w:vAlign w:val="center"/>
          </w:tcPr>
          <w:p w14:paraId="57FD8C9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vAlign w:val="center"/>
          </w:tcPr>
          <w:p w14:paraId="31B184C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经责令限期改正，限期内整改完毕的。</w:t>
            </w:r>
          </w:p>
        </w:tc>
        <w:tc>
          <w:tcPr>
            <w:tcW w:w="3058" w:type="dxa"/>
            <w:tcBorders>
              <w:tl2br w:val="nil"/>
              <w:tr2bl w:val="nil"/>
            </w:tcBorders>
            <w:vAlign w:val="center"/>
          </w:tcPr>
          <w:p w14:paraId="1E64183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对生产经营单位处</w:t>
            </w:r>
            <w:r>
              <w:rPr>
                <w:rFonts w:hint="eastAsia" w:ascii="仿宋_GB2312" w:hAnsi="宋体" w:eastAsia="仿宋_GB2312"/>
                <w:color w:val="auto"/>
                <w:kern w:val="0"/>
                <w:sz w:val="13"/>
                <w:szCs w:val="13"/>
                <w:highlight w:val="none"/>
                <w:lang w:val="en-US" w:eastAsia="zh-CN"/>
              </w:rPr>
              <w:t>10</w:t>
            </w:r>
            <w:r>
              <w:rPr>
                <w:rFonts w:hint="eastAsia" w:ascii="仿宋_GB2312" w:hAnsi="宋体" w:eastAsia="仿宋_GB2312"/>
                <w:color w:val="auto"/>
                <w:kern w:val="0"/>
                <w:sz w:val="13"/>
                <w:szCs w:val="13"/>
                <w:highlight w:val="none"/>
              </w:rPr>
              <w:t>万元以下的罚款。</w:t>
            </w:r>
          </w:p>
        </w:tc>
      </w:tr>
      <w:tr w14:paraId="2D304D8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8" w:hRule="atLeast"/>
          <w:jc w:val="center"/>
        </w:trPr>
        <w:tc>
          <w:tcPr>
            <w:tcW w:w="443" w:type="dxa"/>
            <w:gridSpan w:val="2"/>
            <w:vMerge w:val="continue"/>
            <w:tcBorders>
              <w:tl2br w:val="nil"/>
              <w:tr2bl w:val="nil"/>
            </w:tcBorders>
            <w:vAlign w:val="center"/>
          </w:tcPr>
          <w:p w14:paraId="3C9A7E1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仿宋" w:eastAsia="仿宋_GB2312" w:cs="Times New Roman"/>
                <w:color w:val="auto"/>
                <w:kern w:val="0"/>
                <w:sz w:val="13"/>
                <w:szCs w:val="13"/>
                <w:highlight w:val="none"/>
              </w:rPr>
            </w:pPr>
          </w:p>
        </w:tc>
        <w:tc>
          <w:tcPr>
            <w:tcW w:w="1550" w:type="dxa"/>
            <w:vMerge w:val="continue"/>
            <w:tcBorders>
              <w:tl2br w:val="nil"/>
              <w:tr2bl w:val="nil"/>
            </w:tcBorders>
            <w:vAlign w:val="center"/>
          </w:tcPr>
          <w:p w14:paraId="5772A75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vAlign w:val="center"/>
          </w:tcPr>
          <w:p w14:paraId="2EB955E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tcBorders>
              <w:tl2br w:val="nil"/>
              <w:tr2bl w:val="nil"/>
            </w:tcBorders>
            <w:vAlign w:val="center"/>
          </w:tcPr>
          <w:p w14:paraId="622ADBC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一般情节</w:t>
            </w:r>
          </w:p>
        </w:tc>
        <w:tc>
          <w:tcPr>
            <w:tcW w:w="3437" w:type="dxa"/>
            <w:gridSpan w:val="2"/>
            <w:tcBorders>
              <w:tl2br w:val="nil"/>
              <w:tr2bl w:val="nil"/>
            </w:tcBorders>
            <w:vAlign w:val="center"/>
          </w:tcPr>
          <w:p w14:paraId="6C9A132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经责令限期改正，逾期未改正，尚未造成安全生产事故的。</w:t>
            </w:r>
          </w:p>
        </w:tc>
        <w:tc>
          <w:tcPr>
            <w:tcW w:w="3058" w:type="dxa"/>
            <w:tcBorders>
              <w:tl2br w:val="nil"/>
              <w:tr2bl w:val="nil"/>
            </w:tcBorders>
            <w:vAlign w:val="center"/>
          </w:tcPr>
          <w:p w14:paraId="0CB86A2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责令停业整顿，直至改正违法行为；对生产经营单位处</w:t>
            </w:r>
            <w:r>
              <w:rPr>
                <w:rFonts w:hint="eastAsia" w:ascii="仿宋_GB2312" w:hAnsi="宋体" w:eastAsia="仿宋_GB2312"/>
                <w:color w:val="auto"/>
                <w:kern w:val="0"/>
                <w:sz w:val="13"/>
                <w:szCs w:val="13"/>
                <w:highlight w:val="none"/>
                <w:lang w:val="en-US" w:eastAsia="zh-CN"/>
              </w:rPr>
              <w:t>10</w:t>
            </w:r>
            <w:r>
              <w:rPr>
                <w:rFonts w:hint="eastAsia" w:ascii="仿宋_GB2312" w:hAnsi="宋体" w:eastAsia="仿宋_GB2312"/>
                <w:color w:val="auto"/>
                <w:kern w:val="0"/>
                <w:sz w:val="13"/>
                <w:szCs w:val="13"/>
                <w:highlight w:val="none"/>
              </w:rPr>
              <w:t>万元以上</w:t>
            </w:r>
            <w:r>
              <w:rPr>
                <w:rFonts w:hint="eastAsia" w:ascii="仿宋_GB2312" w:hAnsi="宋体" w:eastAsia="仿宋_GB2312"/>
                <w:color w:val="auto"/>
                <w:kern w:val="0"/>
                <w:sz w:val="13"/>
                <w:szCs w:val="13"/>
                <w:highlight w:val="none"/>
                <w:lang w:val="en-US" w:eastAsia="zh-CN"/>
              </w:rPr>
              <w:t>15</w:t>
            </w:r>
            <w:r>
              <w:rPr>
                <w:rFonts w:hint="eastAsia" w:ascii="仿宋_GB2312" w:hAnsi="宋体" w:eastAsia="仿宋_GB2312"/>
                <w:color w:val="auto"/>
                <w:kern w:val="0"/>
                <w:sz w:val="13"/>
                <w:szCs w:val="13"/>
                <w:highlight w:val="none"/>
              </w:rPr>
              <w:t>万元以下的罚款，对其直接负责的主管人员</w:t>
            </w:r>
            <w:r>
              <w:rPr>
                <w:rFonts w:hint="eastAsia" w:ascii="仿宋_GB2312" w:hAnsi="宋体" w:eastAsia="仿宋_GB2312"/>
                <w:color w:val="auto"/>
                <w:kern w:val="0"/>
                <w:sz w:val="13"/>
                <w:szCs w:val="13"/>
                <w:highlight w:val="none"/>
                <w:lang w:val="en-US" w:eastAsia="zh-CN"/>
              </w:rPr>
              <w:t>6666666</w:t>
            </w:r>
            <w:r>
              <w:rPr>
                <w:rFonts w:hint="eastAsia" w:ascii="仿宋_GB2312" w:hAnsi="宋体" w:eastAsia="仿宋_GB2312"/>
                <w:color w:val="auto"/>
                <w:kern w:val="0"/>
                <w:sz w:val="13"/>
                <w:szCs w:val="13"/>
                <w:highlight w:val="none"/>
              </w:rPr>
              <w:t>和其他直接责任人员处</w:t>
            </w:r>
            <w:r>
              <w:rPr>
                <w:rFonts w:hint="eastAsia" w:ascii="仿宋_GB2312" w:hAnsi="宋体" w:eastAsia="仿宋_GB2312"/>
                <w:color w:val="auto"/>
                <w:kern w:val="0"/>
                <w:sz w:val="13"/>
                <w:szCs w:val="13"/>
                <w:highlight w:val="none"/>
                <w:lang w:val="en-US" w:eastAsia="zh-CN"/>
              </w:rPr>
              <w:t>2</w:t>
            </w:r>
            <w:r>
              <w:rPr>
                <w:rFonts w:hint="eastAsia" w:ascii="仿宋_GB2312" w:hAnsi="宋体" w:eastAsia="仿宋_GB2312"/>
                <w:color w:val="auto"/>
                <w:kern w:val="0"/>
                <w:sz w:val="13"/>
                <w:szCs w:val="13"/>
                <w:highlight w:val="none"/>
              </w:rPr>
              <w:t>万元以上</w:t>
            </w:r>
            <w:r>
              <w:rPr>
                <w:rFonts w:hint="eastAsia" w:ascii="仿宋_GB2312" w:hAnsi="宋体" w:eastAsia="仿宋_GB2312"/>
                <w:color w:val="auto"/>
                <w:kern w:val="0"/>
                <w:sz w:val="13"/>
                <w:szCs w:val="13"/>
                <w:highlight w:val="none"/>
                <w:lang w:val="en-US" w:eastAsia="zh-CN"/>
              </w:rPr>
              <w:t>3</w:t>
            </w:r>
            <w:r>
              <w:rPr>
                <w:rFonts w:hint="eastAsia" w:ascii="仿宋_GB2312" w:hAnsi="宋体" w:eastAsia="仿宋_GB2312"/>
                <w:color w:val="auto"/>
                <w:kern w:val="0"/>
                <w:sz w:val="13"/>
                <w:szCs w:val="13"/>
                <w:highlight w:val="none"/>
              </w:rPr>
              <w:t>万元以下的罚款。</w:t>
            </w:r>
          </w:p>
        </w:tc>
      </w:tr>
      <w:tr w14:paraId="45B8083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447" w:hRule="atLeast"/>
          <w:jc w:val="center"/>
        </w:trPr>
        <w:tc>
          <w:tcPr>
            <w:tcW w:w="443" w:type="dxa"/>
            <w:gridSpan w:val="2"/>
            <w:vMerge w:val="continue"/>
            <w:tcBorders>
              <w:tl2br w:val="nil"/>
              <w:tr2bl w:val="nil"/>
            </w:tcBorders>
            <w:vAlign w:val="center"/>
          </w:tcPr>
          <w:p w14:paraId="379ADBA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仿宋" w:eastAsia="仿宋_GB2312" w:cs="Times New Roman"/>
                <w:color w:val="auto"/>
                <w:kern w:val="0"/>
                <w:sz w:val="13"/>
                <w:szCs w:val="13"/>
                <w:highlight w:val="none"/>
              </w:rPr>
            </w:pPr>
          </w:p>
        </w:tc>
        <w:tc>
          <w:tcPr>
            <w:tcW w:w="1550" w:type="dxa"/>
            <w:vMerge w:val="continue"/>
            <w:tcBorders>
              <w:tl2br w:val="nil"/>
              <w:tr2bl w:val="nil"/>
            </w:tcBorders>
            <w:vAlign w:val="center"/>
          </w:tcPr>
          <w:p w14:paraId="57F155E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vAlign w:val="center"/>
          </w:tcPr>
          <w:p w14:paraId="769AE35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vMerge w:val="restart"/>
            <w:tcBorders>
              <w:tl2br w:val="nil"/>
              <w:tr2bl w:val="nil"/>
            </w:tcBorders>
            <w:vAlign w:val="center"/>
          </w:tcPr>
          <w:p w14:paraId="1AEF4E4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从重情节</w:t>
            </w:r>
          </w:p>
        </w:tc>
        <w:tc>
          <w:tcPr>
            <w:tcW w:w="3437" w:type="dxa"/>
            <w:gridSpan w:val="2"/>
            <w:tcBorders>
              <w:tl2br w:val="nil"/>
              <w:tr2bl w:val="nil"/>
            </w:tcBorders>
            <w:vAlign w:val="center"/>
          </w:tcPr>
          <w:p w14:paraId="0567BD2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lang w:val="en-US" w:eastAsia="zh-CN"/>
              </w:rPr>
              <w:t>经责令限期改正，逾期未改正，造成一般安全生产事故的。</w:t>
            </w:r>
          </w:p>
        </w:tc>
        <w:tc>
          <w:tcPr>
            <w:tcW w:w="3058" w:type="dxa"/>
            <w:tcBorders>
              <w:tl2br w:val="nil"/>
              <w:tr2bl w:val="nil"/>
            </w:tcBorders>
            <w:vAlign w:val="center"/>
          </w:tcPr>
          <w:p w14:paraId="6CD5780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lang w:val="en-US" w:eastAsia="zh-CN"/>
              </w:rPr>
              <w:t>责令停业整顿60日-90日；对生产经营单位处15万元以上20万元以下的罚款，对其直接负责的主管人员和其他直接责任人员处3万元以上5万元罚款。</w:t>
            </w:r>
          </w:p>
        </w:tc>
      </w:tr>
      <w:tr w14:paraId="6D6BA4F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447" w:hRule="atLeast"/>
          <w:jc w:val="center"/>
        </w:trPr>
        <w:tc>
          <w:tcPr>
            <w:tcW w:w="443" w:type="dxa"/>
            <w:gridSpan w:val="2"/>
            <w:vMerge w:val="continue"/>
            <w:tcBorders>
              <w:tl2br w:val="nil"/>
              <w:tr2bl w:val="nil"/>
            </w:tcBorders>
            <w:vAlign w:val="center"/>
          </w:tcPr>
          <w:p w14:paraId="409FB4E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10" w:firstLineChars="100"/>
              <w:jc w:val="left"/>
              <w:rPr>
                <w:color w:val="auto"/>
                <w:highlight w:val="none"/>
              </w:rPr>
            </w:pPr>
          </w:p>
        </w:tc>
        <w:tc>
          <w:tcPr>
            <w:tcW w:w="1550" w:type="dxa"/>
            <w:vMerge w:val="continue"/>
            <w:tcBorders>
              <w:tl2br w:val="nil"/>
              <w:tr2bl w:val="nil"/>
            </w:tcBorders>
            <w:vAlign w:val="center"/>
          </w:tcPr>
          <w:p w14:paraId="7258CF8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10" w:firstLineChars="100"/>
              <w:jc w:val="left"/>
              <w:rPr>
                <w:color w:val="auto"/>
                <w:highlight w:val="none"/>
              </w:rPr>
            </w:pPr>
          </w:p>
        </w:tc>
        <w:tc>
          <w:tcPr>
            <w:tcW w:w="4820" w:type="dxa"/>
            <w:vMerge w:val="continue"/>
            <w:tcBorders>
              <w:tl2br w:val="nil"/>
              <w:tr2bl w:val="nil"/>
            </w:tcBorders>
            <w:vAlign w:val="center"/>
          </w:tcPr>
          <w:p w14:paraId="446BCD4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10" w:firstLineChars="100"/>
              <w:jc w:val="left"/>
              <w:rPr>
                <w:color w:val="auto"/>
                <w:highlight w:val="none"/>
              </w:rPr>
            </w:pPr>
          </w:p>
        </w:tc>
        <w:tc>
          <w:tcPr>
            <w:tcW w:w="823" w:type="dxa"/>
            <w:vMerge w:val="continue"/>
            <w:tcBorders>
              <w:tl2br w:val="nil"/>
              <w:tr2bl w:val="nil"/>
            </w:tcBorders>
            <w:vAlign w:val="center"/>
          </w:tcPr>
          <w:p w14:paraId="1CAE2B1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10" w:firstLineChars="100"/>
              <w:jc w:val="left"/>
              <w:rPr>
                <w:color w:val="auto"/>
                <w:highlight w:val="none"/>
              </w:rPr>
            </w:pPr>
          </w:p>
        </w:tc>
        <w:tc>
          <w:tcPr>
            <w:tcW w:w="3437" w:type="dxa"/>
            <w:gridSpan w:val="2"/>
            <w:tcBorders>
              <w:tl2br w:val="nil"/>
              <w:tr2bl w:val="nil"/>
            </w:tcBorders>
            <w:vAlign w:val="center"/>
          </w:tcPr>
          <w:p w14:paraId="0ABC54F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lang w:val="en-US" w:eastAsia="zh-CN"/>
              </w:rPr>
              <w:t>经责令限期改正，逾期未改正，造成较大安全生产事故的。</w:t>
            </w:r>
          </w:p>
        </w:tc>
        <w:tc>
          <w:tcPr>
            <w:tcW w:w="3058" w:type="dxa"/>
            <w:tcBorders>
              <w:tl2br w:val="nil"/>
              <w:tr2bl w:val="nil"/>
            </w:tcBorders>
            <w:vAlign w:val="center"/>
          </w:tcPr>
          <w:p w14:paraId="30F57DC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lang w:val="en-US" w:eastAsia="zh-CN"/>
              </w:rPr>
              <w:t>责令停业整顿90日-120；对生产经营单位处20万元以下的罚款，对其直接负责的主管人员和其他直接责任人员处5万元罚款。</w:t>
            </w:r>
          </w:p>
        </w:tc>
      </w:tr>
      <w:tr w14:paraId="3D64157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447" w:hRule="atLeast"/>
          <w:jc w:val="center"/>
        </w:trPr>
        <w:tc>
          <w:tcPr>
            <w:tcW w:w="443" w:type="dxa"/>
            <w:gridSpan w:val="2"/>
            <w:vMerge w:val="continue"/>
            <w:tcBorders>
              <w:tl2br w:val="nil"/>
              <w:tr2bl w:val="nil"/>
            </w:tcBorders>
            <w:vAlign w:val="center"/>
          </w:tcPr>
          <w:p w14:paraId="5DBECA4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rPr>
            </w:pPr>
          </w:p>
        </w:tc>
        <w:tc>
          <w:tcPr>
            <w:tcW w:w="1550" w:type="dxa"/>
            <w:vMerge w:val="continue"/>
            <w:tcBorders>
              <w:tl2br w:val="nil"/>
              <w:tr2bl w:val="nil"/>
            </w:tcBorders>
            <w:vAlign w:val="center"/>
          </w:tcPr>
          <w:p w14:paraId="438D054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675F0D7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rPr>
            </w:pPr>
          </w:p>
        </w:tc>
        <w:tc>
          <w:tcPr>
            <w:tcW w:w="823" w:type="dxa"/>
            <w:vMerge w:val="continue"/>
            <w:tcBorders>
              <w:tl2br w:val="nil"/>
              <w:tr2bl w:val="nil"/>
            </w:tcBorders>
            <w:vAlign w:val="center"/>
          </w:tcPr>
          <w:p w14:paraId="0EE6341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rPr>
            </w:pPr>
          </w:p>
        </w:tc>
        <w:tc>
          <w:tcPr>
            <w:tcW w:w="3437" w:type="dxa"/>
            <w:gridSpan w:val="2"/>
            <w:tcBorders>
              <w:tl2br w:val="nil"/>
              <w:tr2bl w:val="nil"/>
            </w:tcBorders>
            <w:vAlign w:val="center"/>
          </w:tcPr>
          <w:p w14:paraId="7053B3D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lang w:val="en-US" w:eastAsia="zh-CN"/>
              </w:rPr>
              <w:t>经责令限期改正，逾期未改正，造成重大安全生产事故的。</w:t>
            </w:r>
          </w:p>
        </w:tc>
        <w:tc>
          <w:tcPr>
            <w:tcW w:w="3058" w:type="dxa"/>
            <w:tcBorders>
              <w:tl2br w:val="nil"/>
              <w:tr2bl w:val="nil"/>
            </w:tcBorders>
            <w:vAlign w:val="center"/>
          </w:tcPr>
          <w:p w14:paraId="0A107F9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lang w:val="en-US" w:eastAsia="zh-CN"/>
              </w:rPr>
              <w:t>责令停业整顿120日-180日；对生产经营单位处20万元以下的罚款，对其直接负责的主管人员和其他直接责任人员处5万元罚款。</w:t>
            </w:r>
          </w:p>
        </w:tc>
      </w:tr>
      <w:tr w14:paraId="45BB046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447" w:hRule="atLeast"/>
          <w:jc w:val="center"/>
        </w:trPr>
        <w:tc>
          <w:tcPr>
            <w:tcW w:w="443" w:type="dxa"/>
            <w:gridSpan w:val="2"/>
            <w:vMerge w:val="continue"/>
            <w:tcBorders>
              <w:tl2br w:val="nil"/>
              <w:tr2bl w:val="nil"/>
            </w:tcBorders>
            <w:vAlign w:val="center"/>
          </w:tcPr>
          <w:p w14:paraId="1E8B576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rPr>
            </w:pPr>
          </w:p>
        </w:tc>
        <w:tc>
          <w:tcPr>
            <w:tcW w:w="1550" w:type="dxa"/>
            <w:vMerge w:val="continue"/>
            <w:tcBorders>
              <w:tl2br w:val="nil"/>
              <w:tr2bl w:val="nil"/>
            </w:tcBorders>
            <w:vAlign w:val="center"/>
          </w:tcPr>
          <w:p w14:paraId="313ACE6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5F1A0C4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rPr>
            </w:pPr>
          </w:p>
        </w:tc>
        <w:tc>
          <w:tcPr>
            <w:tcW w:w="823" w:type="dxa"/>
            <w:vMerge w:val="continue"/>
            <w:tcBorders>
              <w:tl2br w:val="nil"/>
              <w:tr2bl w:val="nil"/>
            </w:tcBorders>
            <w:vAlign w:val="center"/>
          </w:tcPr>
          <w:p w14:paraId="4001C0B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rPr>
            </w:pPr>
          </w:p>
        </w:tc>
        <w:tc>
          <w:tcPr>
            <w:tcW w:w="3437" w:type="dxa"/>
            <w:gridSpan w:val="2"/>
            <w:tcBorders>
              <w:tl2br w:val="nil"/>
              <w:tr2bl w:val="nil"/>
            </w:tcBorders>
            <w:vAlign w:val="center"/>
          </w:tcPr>
          <w:p w14:paraId="43C780D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lang w:val="en-US" w:eastAsia="zh-CN"/>
              </w:rPr>
              <w:t>经责令限期改正，逾期未改正，造成特别重大安全生产事故的。</w:t>
            </w:r>
          </w:p>
        </w:tc>
        <w:tc>
          <w:tcPr>
            <w:tcW w:w="3058" w:type="dxa"/>
            <w:tcBorders>
              <w:tl2br w:val="nil"/>
              <w:tr2bl w:val="nil"/>
            </w:tcBorders>
            <w:vAlign w:val="center"/>
          </w:tcPr>
          <w:p w14:paraId="27AAAA1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lang w:val="en-US" w:eastAsia="zh-CN"/>
              </w:rPr>
              <w:t>责令停业整顿180日；对生产经营单位处20万元的罚款，对其直接负责的主管人员和其他直接责任人员处5万元罚款。</w:t>
            </w:r>
          </w:p>
        </w:tc>
      </w:tr>
      <w:tr w14:paraId="4F8421F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645" w:hRule="atLeast"/>
          <w:jc w:val="center"/>
        </w:trPr>
        <w:tc>
          <w:tcPr>
            <w:tcW w:w="443" w:type="dxa"/>
            <w:gridSpan w:val="2"/>
            <w:vMerge w:val="restart"/>
            <w:tcBorders>
              <w:tl2br w:val="nil"/>
              <w:tr2bl w:val="nil"/>
            </w:tcBorders>
            <w:vAlign w:val="center"/>
          </w:tcPr>
          <w:p w14:paraId="74097476">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仿宋" w:eastAsia="仿宋_GB2312" w:cs="Times New Roman"/>
                <w:color w:val="auto"/>
                <w:kern w:val="0"/>
                <w:sz w:val="13"/>
                <w:szCs w:val="13"/>
                <w:highlight w:val="none"/>
              </w:rPr>
            </w:pPr>
            <w:r>
              <w:rPr>
                <w:rFonts w:hint="default" w:ascii="仿宋_GB2312" w:hAnsi="宋体" w:eastAsia="仿宋_GB2312" w:cs="仿宋_GB2312"/>
                <w:i w:val="0"/>
                <w:color w:val="auto"/>
                <w:kern w:val="0"/>
                <w:sz w:val="13"/>
                <w:szCs w:val="13"/>
                <w:highlight w:val="none"/>
                <w:u w:val="none"/>
                <w:lang w:val="en-US" w:eastAsia="zh-CN" w:bidi="ar"/>
              </w:rPr>
              <w:t>1</w:t>
            </w:r>
            <w:r>
              <w:rPr>
                <w:rFonts w:hint="eastAsia" w:ascii="仿宋_GB2312" w:hAnsi="宋体" w:eastAsia="仿宋_GB2312" w:cs="仿宋_GB2312"/>
                <w:i w:val="0"/>
                <w:color w:val="auto"/>
                <w:kern w:val="0"/>
                <w:sz w:val="13"/>
                <w:szCs w:val="13"/>
                <w:highlight w:val="none"/>
                <w:u w:val="none"/>
                <w:lang w:val="en-US" w:eastAsia="zh-CN" w:bidi="ar"/>
              </w:rPr>
              <w:t>24</w:t>
            </w:r>
          </w:p>
        </w:tc>
        <w:tc>
          <w:tcPr>
            <w:tcW w:w="1550" w:type="dxa"/>
            <w:vMerge w:val="restart"/>
            <w:tcBorders>
              <w:tl2br w:val="nil"/>
              <w:tr2bl w:val="nil"/>
            </w:tcBorders>
            <w:vAlign w:val="center"/>
          </w:tcPr>
          <w:p w14:paraId="3D7C7158">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宋体" w:hAnsi="宋体" w:cs="宋体"/>
                <w:color w:val="auto"/>
                <w:kern w:val="0"/>
                <w:sz w:val="13"/>
                <w:szCs w:val="13"/>
                <w:highlight w:val="none"/>
              </w:rPr>
            </w:pPr>
            <w:r>
              <w:rPr>
                <w:rFonts w:hint="eastAsia" w:ascii="仿宋_GB2312" w:hAnsi="宋体" w:eastAsia="仿宋_GB2312"/>
                <w:color w:val="auto"/>
                <w:kern w:val="0"/>
                <w:sz w:val="13"/>
                <w:szCs w:val="13"/>
                <w:highlight w:val="none"/>
              </w:rPr>
              <w:t>施工单位的主要负责人、项目负责人、专职安全生产管理人员、作业人员或者特种作业人员，未经安全教育培训或者考核不合格即从事相关工作且</w:t>
            </w:r>
          </w:p>
        </w:tc>
        <w:tc>
          <w:tcPr>
            <w:tcW w:w="4820" w:type="dxa"/>
            <w:vMerge w:val="restart"/>
            <w:tcBorders>
              <w:tl2br w:val="nil"/>
              <w:tr2bl w:val="nil"/>
            </w:tcBorders>
            <w:vAlign w:val="center"/>
          </w:tcPr>
          <w:p w14:paraId="455239AF">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《建设工程安全生产管理条例》</w:t>
            </w:r>
          </w:p>
          <w:p w14:paraId="464534C2">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第六十二条</w:t>
            </w:r>
            <w:r>
              <w:rPr>
                <w:rFonts w:hint="eastAsia" w:ascii="仿宋_GB2312" w:hAnsi="宋体" w:eastAsia="仿宋_GB2312"/>
                <w:color w:val="auto"/>
                <w:kern w:val="0"/>
                <w:sz w:val="13"/>
                <w:szCs w:val="13"/>
                <w:highlight w:val="none"/>
                <w:lang w:eastAsia="zh-CN"/>
              </w:rPr>
              <w:t>（</w:t>
            </w:r>
            <w:r>
              <w:rPr>
                <w:rFonts w:hint="eastAsia" w:ascii="仿宋_GB2312" w:hAnsi="宋体" w:eastAsia="仿宋_GB2312"/>
                <w:color w:val="auto"/>
                <w:kern w:val="0"/>
                <w:sz w:val="13"/>
                <w:szCs w:val="13"/>
                <w:highlight w:val="none"/>
                <w:lang w:val="en-US" w:eastAsia="zh-CN"/>
              </w:rPr>
              <w:t>二</w:t>
            </w:r>
            <w:r>
              <w:rPr>
                <w:rFonts w:hint="eastAsia" w:ascii="仿宋_GB2312" w:hAnsi="宋体" w:eastAsia="仿宋_GB2312"/>
                <w:color w:val="auto"/>
                <w:kern w:val="0"/>
                <w:sz w:val="13"/>
                <w:szCs w:val="13"/>
                <w:highlight w:val="none"/>
                <w:lang w:eastAsia="zh-CN"/>
              </w:rPr>
              <w:t>）</w:t>
            </w:r>
            <w:r>
              <w:rPr>
                <w:rFonts w:ascii="仿宋_GB2312" w:hAnsi="宋体" w:eastAsia="仿宋_GB2312"/>
                <w:color w:val="auto"/>
                <w:kern w:val="0"/>
                <w:sz w:val="13"/>
                <w:szCs w:val="13"/>
                <w:highlight w:val="none"/>
              </w:rPr>
              <w:t>项</w:t>
            </w:r>
            <w:r>
              <w:rPr>
                <w:rFonts w:hint="eastAsia" w:ascii="仿宋_GB2312" w:hAnsi="宋体" w:eastAsia="仿宋_GB2312"/>
                <w:color w:val="auto"/>
                <w:kern w:val="0"/>
                <w:sz w:val="13"/>
                <w:szCs w:val="13"/>
                <w:highlight w:val="none"/>
              </w:rPr>
              <w:t>违反本条例的规定，施工单位有下列行为之一的，责令限期改正；逾期未改正的，责令停业整顿，依照《中华人民共和国安全生产法》的有关规定处以罚款；造成重大安全事故，构成犯罪的，对直接责任人员，依照刑法有关规定追究刑事责任：</w:t>
            </w:r>
          </w:p>
          <w:p w14:paraId="40DE8F81">
            <w:pPr>
              <w:keepNext w:val="0"/>
              <w:keepLines w:val="0"/>
              <w:pageBreakBefore w:val="0"/>
              <w:numPr>
                <w:ilvl w:val="0"/>
                <w:numId w:val="0"/>
              </w:numPr>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lang w:eastAsia="zh-CN"/>
              </w:rPr>
              <w:t>（二）</w:t>
            </w:r>
            <w:r>
              <w:rPr>
                <w:rFonts w:hint="eastAsia" w:ascii="仿宋_GB2312" w:hAnsi="宋体" w:eastAsia="仿宋_GB2312"/>
                <w:color w:val="auto"/>
                <w:kern w:val="0"/>
                <w:sz w:val="13"/>
                <w:szCs w:val="13"/>
                <w:highlight w:val="none"/>
              </w:rPr>
              <w:t>施工单位的主要负责人、项目负责人、专职安全生产管理人员、作业人员或者特种作业人员，未经安全教育培训或者经考核不合格即从事相关工作的；</w:t>
            </w:r>
          </w:p>
          <w:p w14:paraId="0BC0783A">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hint="eastAsia" w:ascii="仿宋_GB2312" w:hAnsi="宋体" w:eastAsia="仿宋_GB2312"/>
                <w:color w:val="auto"/>
                <w:kern w:val="0"/>
                <w:sz w:val="13"/>
                <w:szCs w:val="13"/>
                <w:highlight w:val="none"/>
              </w:rPr>
            </w:pPr>
          </w:p>
          <w:p w14:paraId="0044D6F8">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《中华人民共和国安全生产法》</w:t>
            </w:r>
          </w:p>
          <w:p w14:paraId="7E18B1F5">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第九十七条（</w:t>
            </w:r>
            <w:r>
              <w:rPr>
                <w:rFonts w:hint="eastAsia" w:ascii="仿宋_GB2312" w:hAnsi="宋体" w:eastAsia="仿宋_GB2312"/>
                <w:color w:val="auto"/>
                <w:kern w:val="0"/>
                <w:sz w:val="13"/>
                <w:szCs w:val="13"/>
                <w:highlight w:val="none"/>
                <w:lang w:val="en-US" w:eastAsia="zh-CN"/>
              </w:rPr>
              <w:t>二</w:t>
            </w:r>
            <w:r>
              <w:rPr>
                <w:rFonts w:hint="eastAsia" w:ascii="仿宋_GB2312" w:hAnsi="宋体" w:eastAsia="仿宋_GB2312"/>
                <w:color w:val="auto"/>
                <w:kern w:val="0"/>
                <w:sz w:val="13"/>
                <w:szCs w:val="13"/>
                <w:highlight w:val="none"/>
                <w:lang w:eastAsia="zh-CN"/>
              </w:rPr>
              <w:t>）（</w:t>
            </w:r>
            <w:r>
              <w:rPr>
                <w:rFonts w:hint="eastAsia" w:ascii="仿宋_GB2312" w:hAnsi="宋体" w:eastAsia="仿宋_GB2312"/>
                <w:color w:val="auto"/>
                <w:kern w:val="0"/>
                <w:sz w:val="13"/>
                <w:szCs w:val="13"/>
                <w:highlight w:val="none"/>
                <w:lang w:val="en-US" w:eastAsia="zh-CN"/>
              </w:rPr>
              <w:t>三</w:t>
            </w:r>
            <w:r>
              <w:rPr>
                <w:rFonts w:hint="eastAsia" w:ascii="仿宋_GB2312" w:hAnsi="宋体" w:eastAsia="仿宋_GB2312"/>
                <w:color w:val="auto"/>
                <w:kern w:val="0"/>
                <w:sz w:val="13"/>
                <w:szCs w:val="13"/>
                <w:highlight w:val="none"/>
                <w:lang w:eastAsia="zh-CN"/>
              </w:rPr>
              <w:t>）（</w:t>
            </w:r>
            <w:r>
              <w:rPr>
                <w:rFonts w:hint="eastAsia" w:ascii="仿宋_GB2312" w:hAnsi="宋体" w:eastAsia="仿宋_GB2312"/>
                <w:color w:val="auto"/>
                <w:kern w:val="0"/>
                <w:sz w:val="13"/>
                <w:szCs w:val="13"/>
                <w:highlight w:val="none"/>
                <w:lang w:val="en-US" w:eastAsia="zh-CN"/>
              </w:rPr>
              <w:t>七</w:t>
            </w:r>
            <w:r>
              <w:rPr>
                <w:rFonts w:hint="eastAsia" w:ascii="仿宋_GB2312" w:hAnsi="宋体" w:eastAsia="仿宋_GB2312"/>
                <w:color w:val="auto"/>
                <w:kern w:val="0"/>
                <w:sz w:val="13"/>
                <w:szCs w:val="13"/>
                <w:highlight w:val="none"/>
                <w:lang w:eastAsia="zh-CN"/>
              </w:rPr>
              <w:t>）项生产经营单位有下列行为之一的，责令限期改正，处十万元以下的罚款；逾期未改正的，责令停产停业整顿，并处十万元以上二十万元以下的罚款，对其直接负责的主管人员和其他直接责任人员处二万元以上五万元以下的罚款：</w:t>
            </w:r>
          </w:p>
          <w:p w14:paraId="77C792CA">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（二）危险物品的生产、经营、储存、装卸单位以及矿山、金属冶炼、建筑施工、运输单位的主要负责人和安全生产管理人员未按照规定经考核合格的；</w:t>
            </w:r>
          </w:p>
          <w:p w14:paraId="456ADBB7">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（三）未按照规定对从业人员、被派遣劳动者、实习学生进行安全生产教育和培训，或者未按照规定如实告知有关的安全生产事项的；</w:t>
            </w:r>
          </w:p>
          <w:p w14:paraId="2982ADB7">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宋体" w:hAnsi="宋体"/>
                <w:color w:val="auto"/>
                <w:kern w:val="0"/>
                <w:sz w:val="13"/>
                <w:szCs w:val="13"/>
                <w:highlight w:val="none"/>
              </w:rPr>
            </w:pPr>
            <w:r>
              <w:rPr>
                <w:rFonts w:hint="eastAsia" w:ascii="仿宋_GB2312" w:hAnsi="宋体" w:eastAsia="仿宋_GB2312"/>
                <w:color w:val="auto"/>
                <w:kern w:val="0"/>
                <w:sz w:val="13"/>
                <w:szCs w:val="13"/>
                <w:highlight w:val="none"/>
              </w:rPr>
              <w:t>（七）特种作业人员未按照规定经专门的安全作业培训并取得相应资格，上岗作业的。</w:t>
            </w:r>
          </w:p>
        </w:tc>
        <w:tc>
          <w:tcPr>
            <w:tcW w:w="823" w:type="dxa"/>
            <w:tcBorders>
              <w:tl2br w:val="nil"/>
              <w:tr2bl w:val="nil"/>
            </w:tcBorders>
            <w:vAlign w:val="center"/>
          </w:tcPr>
          <w:p w14:paraId="2A49FFC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vAlign w:val="center"/>
          </w:tcPr>
          <w:p w14:paraId="4A309AA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经责令限期改正，限期内整改完毕的。</w:t>
            </w:r>
          </w:p>
        </w:tc>
        <w:tc>
          <w:tcPr>
            <w:tcW w:w="3058" w:type="dxa"/>
            <w:tcBorders>
              <w:tl2br w:val="nil"/>
              <w:tr2bl w:val="nil"/>
            </w:tcBorders>
            <w:vAlign w:val="center"/>
          </w:tcPr>
          <w:p w14:paraId="177CDF2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对生产经营单位处</w:t>
            </w:r>
            <w:r>
              <w:rPr>
                <w:rFonts w:hint="eastAsia" w:ascii="仿宋_GB2312" w:hAnsi="宋体" w:eastAsia="仿宋_GB2312"/>
                <w:color w:val="auto"/>
                <w:kern w:val="0"/>
                <w:sz w:val="13"/>
                <w:szCs w:val="13"/>
                <w:highlight w:val="none"/>
                <w:lang w:val="en-US" w:eastAsia="zh-CN"/>
              </w:rPr>
              <w:t>10</w:t>
            </w:r>
            <w:r>
              <w:rPr>
                <w:rFonts w:hint="eastAsia" w:ascii="仿宋_GB2312" w:hAnsi="宋体" w:eastAsia="仿宋_GB2312"/>
                <w:color w:val="auto"/>
                <w:kern w:val="0"/>
                <w:sz w:val="13"/>
                <w:szCs w:val="13"/>
                <w:highlight w:val="none"/>
              </w:rPr>
              <w:t>万元以下的罚款。</w:t>
            </w:r>
          </w:p>
        </w:tc>
      </w:tr>
      <w:tr w14:paraId="51E17E8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815" w:hRule="atLeast"/>
          <w:jc w:val="center"/>
        </w:trPr>
        <w:tc>
          <w:tcPr>
            <w:tcW w:w="443" w:type="dxa"/>
            <w:gridSpan w:val="2"/>
            <w:vMerge w:val="continue"/>
            <w:tcBorders>
              <w:tl2br w:val="nil"/>
              <w:tr2bl w:val="nil"/>
            </w:tcBorders>
            <w:vAlign w:val="center"/>
          </w:tcPr>
          <w:p w14:paraId="3426F22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仿宋" w:eastAsia="仿宋_GB2312" w:cs="Times New Roman"/>
                <w:color w:val="auto"/>
                <w:kern w:val="0"/>
                <w:sz w:val="13"/>
                <w:szCs w:val="13"/>
                <w:highlight w:val="none"/>
              </w:rPr>
            </w:pPr>
          </w:p>
        </w:tc>
        <w:tc>
          <w:tcPr>
            <w:tcW w:w="1550" w:type="dxa"/>
            <w:vMerge w:val="continue"/>
            <w:tcBorders>
              <w:tl2br w:val="nil"/>
              <w:tr2bl w:val="nil"/>
            </w:tcBorders>
            <w:vAlign w:val="center"/>
          </w:tcPr>
          <w:p w14:paraId="5B15990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vAlign w:val="center"/>
          </w:tcPr>
          <w:p w14:paraId="46F4F72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tcBorders>
              <w:tl2br w:val="nil"/>
              <w:tr2bl w:val="nil"/>
            </w:tcBorders>
            <w:vAlign w:val="center"/>
          </w:tcPr>
          <w:p w14:paraId="5E9A6CD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一般情节</w:t>
            </w:r>
          </w:p>
        </w:tc>
        <w:tc>
          <w:tcPr>
            <w:tcW w:w="3437" w:type="dxa"/>
            <w:gridSpan w:val="2"/>
            <w:tcBorders>
              <w:tl2br w:val="nil"/>
              <w:tr2bl w:val="nil"/>
            </w:tcBorders>
            <w:vAlign w:val="center"/>
          </w:tcPr>
          <w:p w14:paraId="4A81B4F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经责令限期改正，逾期未改正，尚未造成安全生产事故的。</w:t>
            </w:r>
          </w:p>
        </w:tc>
        <w:tc>
          <w:tcPr>
            <w:tcW w:w="3058" w:type="dxa"/>
            <w:tcBorders>
              <w:tl2br w:val="nil"/>
              <w:tr2bl w:val="nil"/>
            </w:tcBorders>
            <w:vAlign w:val="center"/>
          </w:tcPr>
          <w:p w14:paraId="5B551AC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责令停业整顿，直至改正违法行为；对生产经营单位处</w:t>
            </w:r>
            <w:r>
              <w:rPr>
                <w:rFonts w:hint="eastAsia" w:ascii="仿宋_GB2312" w:hAnsi="宋体" w:eastAsia="仿宋_GB2312"/>
                <w:color w:val="auto"/>
                <w:kern w:val="0"/>
                <w:sz w:val="13"/>
                <w:szCs w:val="13"/>
                <w:highlight w:val="none"/>
                <w:lang w:val="en-US" w:eastAsia="zh-CN"/>
              </w:rPr>
              <w:t>10</w:t>
            </w:r>
            <w:r>
              <w:rPr>
                <w:rFonts w:hint="eastAsia" w:ascii="仿宋_GB2312" w:hAnsi="宋体" w:eastAsia="仿宋_GB2312"/>
                <w:color w:val="auto"/>
                <w:kern w:val="0"/>
                <w:sz w:val="13"/>
                <w:szCs w:val="13"/>
                <w:highlight w:val="none"/>
              </w:rPr>
              <w:t>万元以上</w:t>
            </w:r>
            <w:r>
              <w:rPr>
                <w:rFonts w:hint="eastAsia" w:ascii="仿宋_GB2312" w:hAnsi="宋体" w:eastAsia="仿宋_GB2312"/>
                <w:color w:val="auto"/>
                <w:kern w:val="0"/>
                <w:sz w:val="13"/>
                <w:szCs w:val="13"/>
                <w:highlight w:val="none"/>
                <w:lang w:val="en-US" w:eastAsia="zh-CN"/>
              </w:rPr>
              <w:t>15</w:t>
            </w:r>
            <w:r>
              <w:rPr>
                <w:rFonts w:hint="eastAsia" w:ascii="仿宋_GB2312" w:hAnsi="宋体" w:eastAsia="仿宋_GB2312"/>
                <w:color w:val="auto"/>
                <w:kern w:val="0"/>
                <w:sz w:val="13"/>
                <w:szCs w:val="13"/>
                <w:highlight w:val="none"/>
              </w:rPr>
              <w:t>万元以下的罚款，对其直接负责的主管人员和其他直接责任人员处</w:t>
            </w:r>
            <w:r>
              <w:rPr>
                <w:rFonts w:hint="eastAsia" w:ascii="仿宋_GB2312" w:hAnsi="宋体" w:eastAsia="仿宋_GB2312"/>
                <w:color w:val="auto"/>
                <w:kern w:val="0"/>
                <w:sz w:val="13"/>
                <w:szCs w:val="13"/>
                <w:highlight w:val="none"/>
                <w:lang w:val="en-US" w:eastAsia="zh-CN"/>
              </w:rPr>
              <w:t>2</w:t>
            </w:r>
            <w:r>
              <w:rPr>
                <w:rFonts w:hint="eastAsia" w:ascii="仿宋_GB2312" w:hAnsi="宋体" w:eastAsia="仿宋_GB2312"/>
                <w:color w:val="auto"/>
                <w:kern w:val="0"/>
                <w:sz w:val="13"/>
                <w:szCs w:val="13"/>
                <w:highlight w:val="none"/>
              </w:rPr>
              <w:t>万元以上</w:t>
            </w:r>
            <w:r>
              <w:rPr>
                <w:rFonts w:hint="eastAsia" w:ascii="仿宋_GB2312" w:hAnsi="宋体" w:eastAsia="仿宋_GB2312"/>
                <w:color w:val="auto"/>
                <w:kern w:val="0"/>
                <w:sz w:val="13"/>
                <w:szCs w:val="13"/>
                <w:highlight w:val="none"/>
                <w:lang w:val="en-US" w:eastAsia="zh-CN"/>
              </w:rPr>
              <w:t>3</w:t>
            </w:r>
            <w:r>
              <w:rPr>
                <w:rFonts w:hint="eastAsia" w:ascii="仿宋_GB2312" w:hAnsi="宋体" w:eastAsia="仿宋_GB2312"/>
                <w:color w:val="auto"/>
                <w:kern w:val="0"/>
                <w:sz w:val="13"/>
                <w:szCs w:val="13"/>
                <w:highlight w:val="none"/>
              </w:rPr>
              <w:t>万元以下的罚款。</w:t>
            </w:r>
          </w:p>
        </w:tc>
      </w:tr>
      <w:tr w14:paraId="4D6BAAE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611" w:hRule="atLeast"/>
          <w:jc w:val="center"/>
        </w:trPr>
        <w:tc>
          <w:tcPr>
            <w:tcW w:w="443" w:type="dxa"/>
            <w:gridSpan w:val="2"/>
            <w:vMerge w:val="continue"/>
            <w:tcBorders>
              <w:tl2br w:val="nil"/>
              <w:tr2bl w:val="nil"/>
            </w:tcBorders>
            <w:vAlign w:val="center"/>
          </w:tcPr>
          <w:p w14:paraId="4B17194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仿宋" w:eastAsia="仿宋_GB2312" w:cs="Times New Roman"/>
                <w:color w:val="auto"/>
                <w:kern w:val="0"/>
                <w:sz w:val="13"/>
                <w:szCs w:val="13"/>
                <w:highlight w:val="none"/>
              </w:rPr>
            </w:pPr>
          </w:p>
        </w:tc>
        <w:tc>
          <w:tcPr>
            <w:tcW w:w="1550" w:type="dxa"/>
            <w:vMerge w:val="continue"/>
            <w:tcBorders>
              <w:tl2br w:val="nil"/>
              <w:tr2bl w:val="nil"/>
            </w:tcBorders>
            <w:vAlign w:val="center"/>
          </w:tcPr>
          <w:p w14:paraId="0A0A2E0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vAlign w:val="center"/>
          </w:tcPr>
          <w:p w14:paraId="3118D7F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vMerge w:val="restart"/>
            <w:tcBorders>
              <w:tl2br w:val="nil"/>
              <w:tr2bl w:val="nil"/>
            </w:tcBorders>
            <w:vAlign w:val="center"/>
          </w:tcPr>
          <w:p w14:paraId="604FAD4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olor w:val="auto"/>
                <w:kern w:val="0"/>
                <w:sz w:val="13"/>
                <w:szCs w:val="13"/>
                <w:highlight w:val="none"/>
              </w:rPr>
            </w:pPr>
          </w:p>
          <w:p w14:paraId="4FFA36E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从重情节</w:t>
            </w:r>
          </w:p>
        </w:tc>
        <w:tc>
          <w:tcPr>
            <w:tcW w:w="3437" w:type="dxa"/>
            <w:gridSpan w:val="2"/>
            <w:tcBorders>
              <w:tl2br w:val="nil"/>
              <w:tr2bl w:val="nil"/>
            </w:tcBorders>
            <w:vAlign w:val="center"/>
          </w:tcPr>
          <w:p w14:paraId="74F6283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lang w:val="en-US" w:eastAsia="zh-CN"/>
              </w:rPr>
              <w:t>经责令限期改正，逾期未改正，造成一般安全生产事故的。</w:t>
            </w:r>
          </w:p>
        </w:tc>
        <w:tc>
          <w:tcPr>
            <w:tcW w:w="3058" w:type="dxa"/>
            <w:tcBorders>
              <w:tl2br w:val="nil"/>
              <w:tr2bl w:val="nil"/>
            </w:tcBorders>
            <w:vAlign w:val="center"/>
          </w:tcPr>
          <w:p w14:paraId="446261E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lang w:val="en-US" w:eastAsia="zh-CN"/>
              </w:rPr>
              <w:t>责令停业整顿60日至90日；对生产经营单位处15万元以上20万元以下的罚款，对其直接负责的主管人员和其他直接责任人员处3万元以上5万元罚款。</w:t>
            </w:r>
          </w:p>
        </w:tc>
      </w:tr>
      <w:tr w14:paraId="665341C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611" w:hRule="atLeast"/>
          <w:jc w:val="center"/>
        </w:trPr>
        <w:tc>
          <w:tcPr>
            <w:tcW w:w="443" w:type="dxa"/>
            <w:gridSpan w:val="2"/>
            <w:vMerge w:val="continue"/>
            <w:tcBorders>
              <w:tl2br w:val="nil"/>
              <w:tr2bl w:val="nil"/>
            </w:tcBorders>
            <w:vAlign w:val="center"/>
          </w:tcPr>
          <w:p w14:paraId="2CEFFCB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10" w:firstLineChars="100"/>
              <w:jc w:val="left"/>
              <w:rPr>
                <w:color w:val="auto"/>
                <w:highlight w:val="none"/>
              </w:rPr>
            </w:pPr>
          </w:p>
        </w:tc>
        <w:tc>
          <w:tcPr>
            <w:tcW w:w="1550" w:type="dxa"/>
            <w:vMerge w:val="continue"/>
            <w:tcBorders>
              <w:tl2br w:val="nil"/>
              <w:tr2bl w:val="nil"/>
            </w:tcBorders>
            <w:vAlign w:val="center"/>
          </w:tcPr>
          <w:p w14:paraId="2033D45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10" w:firstLineChars="100"/>
              <w:jc w:val="left"/>
              <w:rPr>
                <w:color w:val="auto"/>
                <w:highlight w:val="none"/>
              </w:rPr>
            </w:pPr>
          </w:p>
        </w:tc>
        <w:tc>
          <w:tcPr>
            <w:tcW w:w="4820" w:type="dxa"/>
            <w:vMerge w:val="continue"/>
            <w:tcBorders>
              <w:tl2br w:val="nil"/>
              <w:tr2bl w:val="nil"/>
            </w:tcBorders>
            <w:vAlign w:val="center"/>
          </w:tcPr>
          <w:p w14:paraId="5B9E399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10" w:firstLineChars="100"/>
              <w:jc w:val="left"/>
              <w:rPr>
                <w:color w:val="auto"/>
                <w:highlight w:val="none"/>
              </w:rPr>
            </w:pPr>
          </w:p>
        </w:tc>
        <w:tc>
          <w:tcPr>
            <w:tcW w:w="823" w:type="dxa"/>
            <w:vMerge w:val="continue"/>
            <w:tcBorders>
              <w:tl2br w:val="nil"/>
              <w:tr2bl w:val="nil"/>
            </w:tcBorders>
            <w:vAlign w:val="center"/>
          </w:tcPr>
          <w:p w14:paraId="34DD049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10" w:firstLineChars="100"/>
              <w:jc w:val="left"/>
              <w:rPr>
                <w:color w:val="auto"/>
                <w:highlight w:val="none"/>
              </w:rPr>
            </w:pPr>
          </w:p>
        </w:tc>
        <w:tc>
          <w:tcPr>
            <w:tcW w:w="3437" w:type="dxa"/>
            <w:gridSpan w:val="2"/>
            <w:tcBorders>
              <w:tl2br w:val="nil"/>
              <w:tr2bl w:val="nil"/>
            </w:tcBorders>
            <w:vAlign w:val="center"/>
          </w:tcPr>
          <w:p w14:paraId="5B6CCE4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lang w:val="en-US" w:eastAsia="zh-CN"/>
              </w:rPr>
              <w:t>经责令限期改正，逾期未改正，造成较大安全生产事故的。</w:t>
            </w:r>
          </w:p>
        </w:tc>
        <w:tc>
          <w:tcPr>
            <w:tcW w:w="3058" w:type="dxa"/>
            <w:tcBorders>
              <w:tl2br w:val="nil"/>
              <w:tr2bl w:val="nil"/>
            </w:tcBorders>
            <w:vAlign w:val="center"/>
          </w:tcPr>
          <w:p w14:paraId="63F79D9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lang w:val="en-US" w:eastAsia="zh-CN"/>
              </w:rPr>
              <w:t>责令停业整顿90日至120；对生产经营单位处20万元以下的罚款，对其直接负责的主管人员和其他直接责任人员处5万元罚款。</w:t>
            </w:r>
          </w:p>
        </w:tc>
      </w:tr>
      <w:tr w14:paraId="79E1AD9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611" w:hRule="atLeast"/>
          <w:jc w:val="center"/>
        </w:trPr>
        <w:tc>
          <w:tcPr>
            <w:tcW w:w="443" w:type="dxa"/>
            <w:gridSpan w:val="2"/>
            <w:vMerge w:val="continue"/>
            <w:tcBorders>
              <w:tl2br w:val="nil"/>
              <w:tr2bl w:val="nil"/>
            </w:tcBorders>
            <w:vAlign w:val="center"/>
          </w:tcPr>
          <w:p w14:paraId="4742744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rPr>
            </w:pPr>
          </w:p>
        </w:tc>
        <w:tc>
          <w:tcPr>
            <w:tcW w:w="1550" w:type="dxa"/>
            <w:vMerge w:val="continue"/>
            <w:tcBorders>
              <w:tl2br w:val="nil"/>
              <w:tr2bl w:val="nil"/>
            </w:tcBorders>
            <w:vAlign w:val="center"/>
          </w:tcPr>
          <w:p w14:paraId="1ABA575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53EC4D5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rPr>
            </w:pPr>
          </w:p>
        </w:tc>
        <w:tc>
          <w:tcPr>
            <w:tcW w:w="823" w:type="dxa"/>
            <w:vMerge w:val="continue"/>
            <w:tcBorders>
              <w:tl2br w:val="nil"/>
              <w:tr2bl w:val="nil"/>
            </w:tcBorders>
            <w:vAlign w:val="center"/>
          </w:tcPr>
          <w:p w14:paraId="051EDDD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rPr>
            </w:pPr>
          </w:p>
        </w:tc>
        <w:tc>
          <w:tcPr>
            <w:tcW w:w="3437" w:type="dxa"/>
            <w:gridSpan w:val="2"/>
            <w:tcBorders>
              <w:tl2br w:val="nil"/>
              <w:tr2bl w:val="nil"/>
            </w:tcBorders>
            <w:vAlign w:val="center"/>
          </w:tcPr>
          <w:p w14:paraId="6E0631E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lang w:val="en-US" w:eastAsia="zh-CN"/>
              </w:rPr>
              <w:t>经责令限期改正，逾期未改正，造成重大安全生产事故的。</w:t>
            </w:r>
          </w:p>
        </w:tc>
        <w:tc>
          <w:tcPr>
            <w:tcW w:w="3058" w:type="dxa"/>
            <w:tcBorders>
              <w:tl2br w:val="nil"/>
              <w:tr2bl w:val="nil"/>
            </w:tcBorders>
            <w:vAlign w:val="center"/>
          </w:tcPr>
          <w:p w14:paraId="10EB82F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lang w:val="en-US" w:eastAsia="zh-CN"/>
              </w:rPr>
              <w:t>责令停业整顿120日至180日；对生产经营单位处20万元以下的罚款，对其直接负责的主管人员和其他直接责任人员处5万元罚款。</w:t>
            </w:r>
          </w:p>
        </w:tc>
      </w:tr>
      <w:tr w14:paraId="59EB884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611" w:hRule="atLeast"/>
          <w:jc w:val="center"/>
        </w:trPr>
        <w:tc>
          <w:tcPr>
            <w:tcW w:w="443" w:type="dxa"/>
            <w:gridSpan w:val="2"/>
            <w:vMerge w:val="continue"/>
            <w:tcBorders>
              <w:tl2br w:val="nil"/>
              <w:tr2bl w:val="nil"/>
            </w:tcBorders>
            <w:vAlign w:val="center"/>
          </w:tcPr>
          <w:p w14:paraId="581B6B9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rPr>
            </w:pPr>
          </w:p>
        </w:tc>
        <w:tc>
          <w:tcPr>
            <w:tcW w:w="1550" w:type="dxa"/>
            <w:vMerge w:val="continue"/>
            <w:tcBorders>
              <w:tl2br w:val="nil"/>
              <w:tr2bl w:val="nil"/>
            </w:tcBorders>
            <w:vAlign w:val="center"/>
          </w:tcPr>
          <w:p w14:paraId="2197588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63BA5E7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rPr>
            </w:pPr>
          </w:p>
        </w:tc>
        <w:tc>
          <w:tcPr>
            <w:tcW w:w="823" w:type="dxa"/>
            <w:vMerge w:val="continue"/>
            <w:tcBorders>
              <w:tl2br w:val="nil"/>
              <w:tr2bl w:val="nil"/>
            </w:tcBorders>
            <w:vAlign w:val="center"/>
          </w:tcPr>
          <w:p w14:paraId="1BF1BEB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rPr>
            </w:pPr>
          </w:p>
        </w:tc>
        <w:tc>
          <w:tcPr>
            <w:tcW w:w="3437" w:type="dxa"/>
            <w:gridSpan w:val="2"/>
            <w:tcBorders>
              <w:tl2br w:val="nil"/>
              <w:tr2bl w:val="nil"/>
            </w:tcBorders>
            <w:vAlign w:val="center"/>
          </w:tcPr>
          <w:p w14:paraId="1A787E5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lang w:val="en-US" w:eastAsia="zh-CN"/>
              </w:rPr>
              <w:t>经责令限期改正，逾期未改正，造成特别重大安全生产事故的。</w:t>
            </w:r>
          </w:p>
        </w:tc>
        <w:tc>
          <w:tcPr>
            <w:tcW w:w="3058" w:type="dxa"/>
            <w:tcBorders>
              <w:tl2br w:val="nil"/>
              <w:tr2bl w:val="nil"/>
            </w:tcBorders>
            <w:vAlign w:val="center"/>
          </w:tcPr>
          <w:p w14:paraId="737885A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lang w:val="en-US" w:eastAsia="zh-CN"/>
              </w:rPr>
              <w:t>责令停业整顿180日；对生产经营单位处20万元的罚款，对其直接负责的主管人员和其他直接责任人员处5万元罚款。</w:t>
            </w:r>
          </w:p>
        </w:tc>
      </w:tr>
      <w:tr w14:paraId="6DB8FF6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431" w:hRule="atLeast"/>
          <w:jc w:val="center"/>
        </w:trPr>
        <w:tc>
          <w:tcPr>
            <w:tcW w:w="443" w:type="dxa"/>
            <w:gridSpan w:val="2"/>
            <w:vMerge w:val="restart"/>
            <w:tcBorders>
              <w:tl2br w:val="nil"/>
              <w:tr2bl w:val="nil"/>
            </w:tcBorders>
            <w:vAlign w:val="center"/>
          </w:tcPr>
          <w:p w14:paraId="696A5BB3">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仿宋" w:eastAsia="仿宋_GB2312" w:cs="Times New Roman"/>
                <w:color w:val="auto"/>
                <w:kern w:val="0"/>
                <w:sz w:val="13"/>
                <w:szCs w:val="13"/>
                <w:highlight w:val="none"/>
              </w:rPr>
            </w:pPr>
            <w:r>
              <w:rPr>
                <w:rFonts w:hint="default" w:ascii="仿宋_GB2312" w:hAnsi="宋体" w:eastAsia="仿宋_GB2312" w:cs="仿宋_GB2312"/>
                <w:i w:val="0"/>
                <w:color w:val="auto"/>
                <w:kern w:val="0"/>
                <w:sz w:val="13"/>
                <w:szCs w:val="13"/>
                <w:highlight w:val="none"/>
                <w:u w:val="none"/>
                <w:lang w:val="en-US" w:eastAsia="zh-CN" w:bidi="ar"/>
              </w:rPr>
              <w:t>1</w:t>
            </w:r>
            <w:r>
              <w:rPr>
                <w:rFonts w:hint="eastAsia" w:ascii="仿宋_GB2312" w:hAnsi="宋体" w:eastAsia="仿宋_GB2312" w:cs="仿宋_GB2312"/>
                <w:i w:val="0"/>
                <w:color w:val="auto"/>
                <w:kern w:val="0"/>
                <w:sz w:val="13"/>
                <w:szCs w:val="13"/>
                <w:highlight w:val="none"/>
                <w:u w:val="none"/>
                <w:lang w:val="en-US" w:eastAsia="zh-CN" w:bidi="ar"/>
              </w:rPr>
              <w:t>25</w:t>
            </w:r>
          </w:p>
        </w:tc>
        <w:tc>
          <w:tcPr>
            <w:tcW w:w="1550" w:type="dxa"/>
            <w:vMerge w:val="restart"/>
            <w:tcBorders>
              <w:tl2br w:val="nil"/>
              <w:tr2bl w:val="nil"/>
            </w:tcBorders>
            <w:vAlign w:val="center"/>
          </w:tcPr>
          <w:p w14:paraId="3A455F83">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p>
          <w:p w14:paraId="62AA5758">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p>
          <w:p w14:paraId="50D6E711">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宋体" w:hAnsi="宋体"/>
                <w:color w:val="auto"/>
                <w:kern w:val="0"/>
                <w:sz w:val="13"/>
                <w:szCs w:val="13"/>
                <w:highlight w:val="none"/>
              </w:rPr>
            </w:pPr>
            <w:r>
              <w:rPr>
                <w:rFonts w:hint="eastAsia" w:ascii="仿宋_GB2312" w:hAnsi="宋体" w:eastAsia="仿宋_GB2312"/>
                <w:color w:val="auto"/>
                <w:kern w:val="0"/>
                <w:sz w:val="13"/>
                <w:szCs w:val="13"/>
                <w:highlight w:val="none"/>
              </w:rPr>
              <w:t>施工单位未在施工现场的危险部位设置明显的安全警示标志，或者未按照国家有关规定在施工现场设置消防通道、消防水源，配备消防设施和灭火器材</w:t>
            </w:r>
          </w:p>
        </w:tc>
        <w:tc>
          <w:tcPr>
            <w:tcW w:w="4820" w:type="dxa"/>
            <w:vMerge w:val="restart"/>
            <w:tcBorders>
              <w:tl2br w:val="nil"/>
              <w:tr2bl w:val="nil"/>
            </w:tcBorders>
            <w:vAlign w:val="center"/>
          </w:tcPr>
          <w:p w14:paraId="40191B11">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《建设工程安全生产管理条例》</w:t>
            </w:r>
          </w:p>
          <w:p w14:paraId="6C336697">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rPr>
              <w:t>第六十二条</w:t>
            </w:r>
            <w:r>
              <w:rPr>
                <w:rFonts w:hint="eastAsia" w:ascii="仿宋_GB2312" w:hAnsi="宋体" w:eastAsia="仿宋_GB2312"/>
                <w:color w:val="auto"/>
                <w:kern w:val="0"/>
                <w:sz w:val="13"/>
                <w:szCs w:val="13"/>
                <w:highlight w:val="none"/>
                <w:lang w:eastAsia="zh-CN"/>
              </w:rPr>
              <w:t>（</w:t>
            </w:r>
            <w:r>
              <w:rPr>
                <w:rFonts w:hint="eastAsia" w:ascii="仿宋_GB2312" w:hAnsi="宋体" w:eastAsia="仿宋_GB2312"/>
                <w:color w:val="auto"/>
                <w:kern w:val="0"/>
                <w:sz w:val="13"/>
                <w:szCs w:val="13"/>
                <w:highlight w:val="none"/>
                <w:lang w:val="en-US" w:eastAsia="zh-CN"/>
              </w:rPr>
              <w:t>三</w:t>
            </w:r>
            <w:r>
              <w:rPr>
                <w:rFonts w:hint="eastAsia" w:ascii="仿宋_GB2312" w:hAnsi="宋体" w:eastAsia="仿宋_GB2312"/>
                <w:color w:val="auto"/>
                <w:kern w:val="0"/>
                <w:sz w:val="13"/>
                <w:szCs w:val="13"/>
                <w:highlight w:val="none"/>
                <w:lang w:eastAsia="zh-CN"/>
              </w:rPr>
              <w:t>）</w:t>
            </w:r>
            <w:r>
              <w:rPr>
                <w:rFonts w:ascii="仿宋_GB2312" w:hAnsi="宋体" w:eastAsia="仿宋_GB2312"/>
                <w:color w:val="auto"/>
                <w:kern w:val="0"/>
                <w:sz w:val="13"/>
                <w:szCs w:val="13"/>
                <w:highlight w:val="none"/>
              </w:rPr>
              <w:t>项</w:t>
            </w:r>
            <w:r>
              <w:rPr>
                <w:rFonts w:hint="eastAsia" w:ascii="仿宋_GB2312" w:hAnsi="宋体" w:eastAsia="仿宋_GB2312"/>
                <w:color w:val="auto"/>
                <w:kern w:val="0"/>
                <w:sz w:val="13"/>
                <w:szCs w:val="13"/>
                <w:highlight w:val="none"/>
              </w:rPr>
              <w:t>违反本条例的规定，施工单位有下列行为之一的，责令限期改正；逾期未改正的，责令停业整顿，依照《中华人民共和国安全生产法》的有关规定处以罚款；造成重大安全事故，构成犯罪的，对直接责任人员，依照刑法有关规定追究刑事责任：</w:t>
            </w:r>
          </w:p>
          <w:p w14:paraId="7C092498">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(三)未在施工现场的危险部位设置明显的安全警示标志，或者未按照国家有关规定在施工现场设置消防通道、消防水源、配备消防设施和灭火器材的；</w:t>
            </w:r>
          </w:p>
          <w:p w14:paraId="2C794515">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p w14:paraId="63DC1BE4">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《中华人民共和国安全生产法》</w:t>
            </w:r>
          </w:p>
          <w:p w14:paraId="2B8E77C4">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第九十九条</w:t>
            </w:r>
            <w:r>
              <w:rPr>
                <w:rFonts w:hint="eastAsia" w:ascii="仿宋_GB2312" w:hAnsi="宋体" w:eastAsia="仿宋_GB2312"/>
                <w:color w:val="auto"/>
                <w:kern w:val="0"/>
                <w:sz w:val="13"/>
                <w:szCs w:val="13"/>
                <w:highlight w:val="none"/>
                <w:lang w:eastAsia="zh-CN"/>
              </w:rPr>
              <w:t>（</w:t>
            </w:r>
            <w:r>
              <w:rPr>
                <w:rFonts w:hint="eastAsia" w:ascii="仿宋_GB2312" w:hAnsi="宋体" w:eastAsia="仿宋_GB2312"/>
                <w:color w:val="auto"/>
                <w:kern w:val="0"/>
                <w:sz w:val="13"/>
                <w:szCs w:val="13"/>
                <w:highlight w:val="none"/>
                <w:lang w:val="en-US" w:eastAsia="zh-CN"/>
              </w:rPr>
              <w:t>一</w:t>
            </w:r>
            <w:r>
              <w:rPr>
                <w:rFonts w:hint="eastAsia" w:ascii="仿宋_GB2312" w:hAnsi="宋体" w:eastAsia="仿宋_GB2312"/>
                <w:color w:val="auto"/>
                <w:kern w:val="0"/>
                <w:sz w:val="13"/>
                <w:szCs w:val="13"/>
                <w:highlight w:val="none"/>
                <w:lang w:eastAsia="zh-CN"/>
              </w:rPr>
              <w:t>）（</w:t>
            </w:r>
            <w:r>
              <w:rPr>
                <w:rFonts w:hint="eastAsia" w:ascii="仿宋_GB2312" w:hAnsi="宋体" w:eastAsia="仿宋_GB2312"/>
                <w:color w:val="auto"/>
                <w:kern w:val="0"/>
                <w:sz w:val="13"/>
                <w:szCs w:val="13"/>
                <w:highlight w:val="none"/>
                <w:lang w:val="en-US" w:eastAsia="zh-CN"/>
              </w:rPr>
              <w:t>二</w:t>
            </w:r>
            <w:r>
              <w:rPr>
                <w:rFonts w:hint="eastAsia" w:ascii="仿宋_GB2312" w:hAnsi="宋体" w:eastAsia="仿宋_GB2312"/>
                <w:color w:val="auto"/>
                <w:kern w:val="0"/>
                <w:sz w:val="13"/>
                <w:szCs w:val="13"/>
                <w:highlight w:val="none"/>
                <w:lang w:eastAsia="zh-CN"/>
              </w:rPr>
              <w:t>）</w:t>
            </w:r>
            <w:r>
              <w:rPr>
                <w:rFonts w:hint="eastAsia" w:ascii="仿宋_GB2312" w:hAnsi="宋体" w:eastAsia="仿宋_GB2312"/>
                <w:color w:val="auto"/>
                <w:kern w:val="0"/>
                <w:sz w:val="13"/>
                <w:szCs w:val="13"/>
                <w:highlight w:val="none"/>
                <w:lang w:val="en-US" w:eastAsia="zh-CN"/>
              </w:rPr>
              <w:t>项</w:t>
            </w:r>
            <w:r>
              <w:rPr>
                <w:rFonts w:hint="eastAsia" w:ascii="仿宋_GB2312" w:hAnsi="宋体" w:eastAsia="仿宋_GB2312"/>
                <w:color w:val="auto"/>
                <w:kern w:val="0"/>
                <w:sz w:val="13"/>
                <w:szCs w:val="13"/>
                <w:highlight w:val="none"/>
              </w:rPr>
              <w:t>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14:paraId="1AB76D9A">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（一）未在有较大危险因素的生产经营场所和有关设施、设备上设置明显的安全警示标志的；</w:t>
            </w:r>
          </w:p>
          <w:p w14:paraId="4D21A0E1">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（二）安全设备的安装、使用、检测、改造和报废不符合国家标准或者行业标准的；</w:t>
            </w:r>
          </w:p>
        </w:tc>
        <w:tc>
          <w:tcPr>
            <w:tcW w:w="823" w:type="dxa"/>
            <w:tcBorders>
              <w:tl2br w:val="nil"/>
              <w:tr2bl w:val="nil"/>
            </w:tcBorders>
            <w:vAlign w:val="center"/>
          </w:tcPr>
          <w:p w14:paraId="7CDFB28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vAlign w:val="center"/>
          </w:tcPr>
          <w:p w14:paraId="03D77FB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经责令限期改正，限期内整改完毕的。</w:t>
            </w:r>
          </w:p>
        </w:tc>
        <w:tc>
          <w:tcPr>
            <w:tcW w:w="3058" w:type="dxa"/>
            <w:tcBorders>
              <w:tl2br w:val="nil"/>
              <w:tr2bl w:val="nil"/>
            </w:tcBorders>
            <w:vAlign w:val="center"/>
          </w:tcPr>
          <w:p w14:paraId="2583771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对生产经营单位处5万元以下的罚款。</w:t>
            </w:r>
          </w:p>
        </w:tc>
      </w:tr>
      <w:tr w14:paraId="24909FA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737" w:hRule="atLeast"/>
          <w:jc w:val="center"/>
        </w:trPr>
        <w:tc>
          <w:tcPr>
            <w:tcW w:w="443" w:type="dxa"/>
            <w:gridSpan w:val="2"/>
            <w:vMerge w:val="continue"/>
            <w:tcBorders>
              <w:tl2br w:val="nil"/>
              <w:tr2bl w:val="nil"/>
            </w:tcBorders>
            <w:vAlign w:val="center"/>
          </w:tcPr>
          <w:p w14:paraId="3518A8F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仿宋" w:eastAsia="仿宋_GB2312" w:cs="Times New Roman"/>
                <w:color w:val="auto"/>
                <w:kern w:val="0"/>
                <w:sz w:val="13"/>
                <w:szCs w:val="13"/>
                <w:highlight w:val="none"/>
              </w:rPr>
            </w:pPr>
          </w:p>
        </w:tc>
        <w:tc>
          <w:tcPr>
            <w:tcW w:w="1550" w:type="dxa"/>
            <w:vMerge w:val="continue"/>
            <w:tcBorders>
              <w:tl2br w:val="nil"/>
              <w:tr2bl w:val="nil"/>
            </w:tcBorders>
            <w:vAlign w:val="center"/>
          </w:tcPr>
          <w:p w14:paraId="5834E59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vAlign w:val="center"/>
          </w:tcPr>
          <w:p w14:paraId="209F3EE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tcBorders>
              <w:tl2br w:val="nil"/>
              <w:tr2bl w:val="nil"/>
            </w:tcBorders>
            <w:vAlign w:val="center"/>
          </w:tcPr>
          <w:p w14:paraId="405E087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一般情节</w:t>
            </w:r>
          </w:p>
        </w:tc>
        <w:tc>
          <w:tcPr>
            <w:tcW w:w="3437" w:type="dxa"/>
            <w:gridSpan w:val="2"/>
            <w:tcBorders>
              <w:tl2br w:val="nil"/>
              <w:tr2bl w:val="nil"/>
            </w:tcBorders>
            <w:vAlign w:val="center"/>
          </w:tcPr>
          <w:p w14:paraId="53D113B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经责令限期改正，逾期未改正，不涉及危险性较大分部分项工程，且尚未造成安全生产事故的。</w:t>
            </w:r>
          </w:p>
        </w:tc>
        <w:tc>
          <w:tcPr>
            <w:tcW w:w="3058" w:type="dxa"/>
            <w:tcBorders>
              <w:tl2br w:val="nil"/>
              <w:tr2bl w:val="nil"/>
            </w:tcBorders>
            <w:vAlign w:val="center"/>
          </w:tcPr>
          <w:p w14:paraId="69857AD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对生产经营单位处5万元以上1</w:t>
            </w:r>
            <w:r>
              <w:rPr>
                <w:rFonts w:hint="eastAsia" w:ascii="仿宋_GB2312" w:hAnsi="宋体" w:eastAsia="仿宋_GB2312"/>
                <w:color w:val="auto"/>
                <w:kern w:val="0"/>
                <w:sz w:val="13"/>
                <w:szCs w:val="13"/>
                <w:highlight w:val="none"/>
                <w:lang w:val="en-US" w:eastAsia="zh-CN"/>
              </w:rPr>
              <w:t>0</w:t>
            </w:r>
            <w:r>
              <w:rPr>
                <w:rFonts w:hint="eastAsia" w:ascii="仿宋_GB2312" w:hAnsi="宋体" w:eastAsia="仿宋_GB2312"/>
                <w:color w:val="auto"/>
                <w:kern w:val="0"/>
                <w:sz w:val="13"/>
                <w:szCs w:val="13"/>
                <w:highlight w:val="none"/>
              </w:rPr>
              <w:t>万元以下的罚款；对其直接负责的主管人员和其他直接责任人员处1万元以上1.</w:t>
            </w:r>
            <w:r>
              <w:rPr>
                <w:rFonts w:hint="eastAsia" w:ascii="仿宋_GB2312" w:hAnsi="宋体" w:eastAsia="仿宋_GB2312"/>
                <w:color w:val="auto"/>
                <w:kern w:val="0"/>
                <w:sz w:val="13"/>
                <w:szCs w:val="13"/>
                <w:highlight w:val="none"/>
                <w:lang w:val="en-US" w:eastAsia="zh-CN"/>
              </w:rPr>
              <w:t>5</w:t>
            </w:r>
            <w:r>
              <w:rPr>
                <w:rFonts w:hint="eastAsia" w:ascii="仿宋_GB2312" w:hAnsi="宋体" w:eastAsia="仿宋_GB2312"/>
                <w:color w:val="auto"/>
                <w:kern w:val="0"/>
                <w:sz w:val="13"/>
                <w:szCs w:val="13"/>
                <w:highlight w:val="none"/>
              </w:rPr>
              <w:t>万元以下的罚款。</w:t>
            </w:r>
          </w:p>
        </w:tc>
      </w:tr>
      <w:tr w14:paraId="0B11580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675" w:hRule="atLeast"/>
          <w:jc w:val="center"/>
        </w:trPr>
        <w:tc>
          <w:tcPr>
            <w:tcW w:w="443" w:type="dxa"/>
            <w:gridSpan w:val="2"/>
            <w:vMerge w:val="continue"/>
            <w:tcBorders>
              <w:tl2br w:val="nil"/>
              <w:tr2bl w:val="nil"/>
            </w:tcBorders>
            <w:vAlign w:val="center"/>
          </w:tcPr>
          <w:p w14:paraId="6A02773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仿宋" w:eastAsia="仿宋_GB2312" w:cs="Times New Roman"/>
                <w:color w:val="auto"/>
                <w:kern w:val="0"/>
                <w:sz w:val="13"/>
                <w:szCs w:val="13"/>
                <w:highlight w:val="none"/>
              </w:rPr>
            </w:pPr>
          </w:p>
        </w:tc>
        <w:tc>
          <w:tcPr>
            <w:tcW w:w="1550" w:type="dxa"/>
            <w:vMerge w:val="continue"/>
            <w:tcBorders>
              <w:tl2br w:val="nil"/>
              <w:tr2bl w:val="nil"/>
            </w:tcBorders>
            <w:vAlign w:val="center"/>
          </w:tcPr>
          <w:p w14:paraId="3B8ECB2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vAlign w:val="center"/>
          </w:tcPr>
          <w:p w14:paraId="3A302CB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vMerge w:val="restart"/>
            <w:tcBorders>
              <w:tl2br w:val="nil"/>
              <w:tr2bl w:val="nil"/>
            </w:tcBorders>
            <w:vAlign w:val="center"/>
          </w:tcPr>
          <w:p w14:paraId="2C3359E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从重情节</w:t>
            </w:r>
          </w:p>
        </w:tc>
        <w:tc>
          <w:tcPr>
            <w:tcW w:w="3437" w:type="dxa"/>
            <w:gridSpan w:val="2"/>
            <w:tcBorders>
              <w:tl2br w:val="nil"/>
              <w:tr2bl w:val="nil"/>
            </w:tcBorders>
            <w:vAlign w:val="center"/>
          </w:tcPr>
          <w:p w14:paraId="0A2D70D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（1）经责令限期改正，逾期未改正，涉及危险性较大分部分项工程，且尚未造成安全生产事故的。</w:t>
            </w:r>
          </w:p>
        </w:tc>
        <w:tc>
          <w:tcPr>
            <w:tcW w:w="3058" w:type="dxa"/>
            <w:tcBorders>
              <w:tl2br w:val="nil"/>
              <w:tr2bl w:val="nil"/>
            </w:tcBorders>
            <w:vAlign w:val="center"/>
          </w:tcPr>
          <w:p w14:paraId="4358704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对生产经营单位处10万元以上20万元以下的罚款；对其直接负责的主管人员和其他直接责任人员处1.</w:t>
            </w:r>
            <w:r>
              <w:rPr>
                <w:rFonts w:hint="eastAsia" w:ascii="仿宋_GB2312" w:hAnsi="宋体" w:eastAsia="仿宋_GB2312"/>
                <w:color w:val="auto"/>
                <w:kern w:val="0"/>
                <w:sz w:val="13"/>
                <w:szCs w:val="13"/>
                <w:highlight w:val="none"/>
                <w:lang w:val="en-US" w:eastAsia="zh-CN"/>
              </w:rPr>
              <w:t>5</w:t>
            </w:r>
            <w:r>
              <w:rPr>
                <w:rFonts w:hint="eastAsia" w:ascii="仿宋_GB2312" w:hAnsi="宋体" w:eastAsia="仿宋_GB2312"/>
                <w:color w:val="auto"/>
                <w:kern w:val="0"/>
                <w:sz w:val="13"/>
                <w:szCs w:val="13"/>
                <w:highlight w:val="none"/>
              </w:rPr>
              <w:t>万元以上2万元以下的罚款。</w:t>
            </w:r>
          </w:p>
        </w:tc>
      </w:tr>
      <w:tr w14:paraId="1B8FFA2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512" w:hRule="atLeast"/>
          <w:jc w:val="center"/>
        </w:trPr>
        <w:tc>
          <w:tcPr>
            <w:tcW w:w="443" w:type="dxa"/>
            <w:gridSpan w:val="2"/>
            <w:vMerge w:val="continue"/>
            <w:tcBorders>
              <w:tl2br w:val="nil"/>
              <w:tr2bl w:val="nil"/>
            </w:tcBorders>
            <w:vAlign w:val="center"/>
          </w:tcPr>
          <w:p w14:paraId="3C3427F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仿宋" w:eastAsia="仿宋_GB2312" w:cs="Times New Roman"/>
                <w:color w:val="auto"/>
                <w:kern w:val="0"/>
                <w:sz w:val="13"/>
                <w:szCs w:val="13"/>
                <w:highlight w:val="none"/>
              </w:rPr>
            </w:pPr>
          </w:p>
        </w:tc>
        <w:tc>
          <w:tcPr>
            <w:tcW w:w="1550" w:type="dxa"/>
            <w:vMerge w:val="continue"/>
            <w:tcBorders>
              <w:tl2br w:val="nil"/>
              <w:tr2bl w:val="nil"/>
            </w:tcBorders>
            <w:vAlign w:val="center"/>
          </w:tcPr>
          <w:p w14:paraId="3F299C3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vAlign w:val="center"/>
          </w:tcPr>
          <w:p w14:paraId="465B294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vMerge w:val="continue"/>
            <w:tcBorders>
              <w:tl2br w:val="nil"/>
              <w:tr2bl w:val="nil"/>
            </w:tcBorders>
            <w:vAlign w:val="center"/>
          </w:tcPr>
          <w:p w14:paraId="3B140DE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3437" w:type="dxa"/>
            <w:gridSpan w:val="2"/>
            <w:tcBorders>
              <w:tl2br w:val="nil"/>
              <w:tr2bl w:val="nil"/>
            </w:tcBorders>
            <w:vAlign w:val="center"/>
          </w:tcPr>
          <w:p w14:paraId="495631D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w:t>
            </w:r>
            <w:r>
              <w:rPr>
                <w:rFonts w:hint="eastAsia" w:ascii="仿宋_GB2312" w:hAnsi="宋体" w:eastAsia="仿宋_GB2312"/>
                <w:color w:val="auto"/>
                <w:kern w:val="0"/>
                <w:sz w:val="13"/>
                <w:szCs w:val="13"/>
                <w:highlight w:val="none"/>
                <w:lang w:val="en-US" w:eastAsia="zh-CN"/>
              </w:rPr>
              <w:t>2</w:t>
            </w:r>
            <w:r>
              <w:rPr>
                <w:rFonts w:hint="eastAsia" w:ascii="仿宋_GB2312" w:hAnsi="宋体" w:eastAsia="仿宋_GB2312"/>
                <w:color w:val="auto"/>
                <w:kern w:val="0"/>
                <w:sz w:val="13"/>
                <w:szCs w:val="13"/>
                <w:highlight w:val="none"/>
              </w:rPr>
              <w:t>）经责令限期改正，逾期未改正，涉及危险性较大分部分项工程，</w:t>
            </w:r>
            <w:r>
              <w:rPr>
                <w:rFonts w:hint="eastAsia" w:ascii="仿宋_GB2312" w:hAnsi="宋体" w:eastAsia="仿宋_GB2312"/>
                <w:color w:val="auto"/>
                <w:kern w:val="0"/>
                <w:sz w:val="13"/>
                <w:szCs w:val="13"/>
                <w:highlight w:val="none"/>
                <w:lang w:eastAsia="zh-CN"/>
              </w:rPr>
              <w:t>或者</w:t>
            </w:r>
            <w:r>
              <w:rPr>
                <w:rFonts w:hint="eastAsia" w:ascii="仿宋_GB2312" w:hAnsi="宋体" w:eastAsia="仿宋_GB2312"/>
                <w:color w:val="auto"/>
                <w:kern w:val="0"/>
                <w:sz w:val="13"/>
                <w:szCs w:val="13"/>
                <w:highlight w:val="none"/>
              </w:rPr>
              <w:t>造成</w:t>
            </w:r>
            <w:r>
              <w:rPr>
                <w:rFonts w:hint="eastAsia" w:ascii="仿宋_GB2312" w:hAnsi="宋体" w:eastAsia="仿宋_GB2312"/>
                <w:color w:val="auto"/>
                <w:kern w:val="0"/>
                <w:sz w:val="13"/>
                <w:szCs w:val="13"/>
                <w:highlight w:val="none"/>
                <w:lang w:val="en-US" w:eastAsia="zh-CN"/>
              </w:rPr>
              <w:t>一般</w:t>
            </w:r>
            <w:r>
              <w:rPr>
                <w:rFonts w:hint="eastAsia" w:ascii="仿宋_GB2312" w:hAnsi="宋体" w:eastAsia="仿宋_GB2312"/>
                <w:color w:val="auto"/>
                <w:kern w:val="0"/>
                <w:sz w:val="13"/>
                <w:szCs w:val="13"/>
                <w:highlight w:val="none"/>
              </w:rPr>
              <w:t>安全生产事故的。</w:t>
            </w:r>
          </w:p>
        </w:tc>
        <w:tc>
          <w:tcPr>
            <w:tcW w:w="3058" w:type="dxa"/>
            <w:tcBorders>
              <w:tl2br w:val="nil"/>
              <w:tr2bl w:val="nil"/>
            </w:tcBorders>
            <w:vAlign w:val="center"/>
          </w:tcPr>
          <w:p w14:paraId="0C3BF7B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对生产经营单位处</w:t>
            </w:r>
            <w:r>
              <w:rPr>
                <w:rFonts w:hint="eastAsia" w:ascii="仿宋_GB2312" w:hAnsi="宋体" w:eastAsia="仿宋_GB2312"/>
                <w:color w:val="auto"/>
                <w:kern w:val="0"/>
                <w:sz w:val="13"/>
                <w:szCs w:val="13"/>
                <w:highlight w:val="none"/>
                <w:lang w:val="en-US" w:eastAsia="zh-CN"/>
              </w:rPr>
              <w:t>20</w:t>
            </w:r>
            <w:r>
              <w:rPr>
                <w:rFonts w:hint="eastAsia" w:ascii="仿宋_GB2312" w:hAnsi="宋体" w:eastAsia="仿宋_GB2312"/>
                <w:color w:val="auto"/>
                <w:kern w:val="0"/>
                <w:sz w:val="13"/>
                <w:szCs w:val="13"/>
                <w:highlight w:val="none"/>
              </w:rPr>
              <w:t>万元罚款；</w:t>
            </w:r>
            <w:r>
              <w:rPr>
                <w:rFonts w:hint="eastAsia" w:ascii="仿宋_GB2312" w:hAnsi="宋体" w:eastAsia="仿宋_GB2312"/>
                <w:color w:val="auto"/>
                <w:kern w:val="0"/>
                <w:sz w:val="13"/>
                <w:szCs w:val="13"/>
                <w:highlight w:val="none"/>
                <w:lang w:val="en-US" w:eastAsia="zh-CN"/>
              </w:rPr>
              <w:t>责令停业整顿60日-90日；</w:t>
            </w:r>
            <w:r>
              <w:rPr>
                <w:rFonts w:hint="eastAsia" w:ascii="仿宋_GB2312" w:hAnsi="宋体" w:eastAsia="仿宋_GB2312"/>
                <w:color w:val="auto"/>
                <w:kern w:val="0"/>
                <w:sz w:val="13"/>
                <w:szCs w:val="13"/>
                <w:highlight w:val="none"/>
              </w:rPr>
              <w:t>对其直接负责的主管人员和其他直接责任人员处</w:t>
            </w:r>
            <w:r>
              <w:rPr>
                <w:rFonts w:hint="eastAsia" w:ascii="仿宋_GB2312" w:hAnsi="宋体" w:eastAsia="仿宋_GB2312"/>
                <w:color w:val="auto"/>
                <w:kern w:val="0"/>
                <w:sz w:val="13"/>
                <w:szCs w:val="13"/>
                <w:highlight w:val="none"/>
                <w:lang w:val="en-US" w:eastAsia="zh-CN"/>
              </w:rPr>
              <w:t>2</w:t>
            </w:r>
            <w:r>
              <w:rPr>
                <w:rFonts w:hint="eastAsia" w:ascii="仿宋_GB2312" w:hAnsi="宋体" w:eastAsia="仿宋_GB2312"/>
                <w:color w:val="auto"/>
                <w:kern w:val="0"/>
                <w:sz w:val="13"/>
                <w:szCs w:val="13"/>
                <w:highlight w:val="none"/>
              </w:rPr>
              <w:t>万元罚款。</w:t>
            </w:r>
          </w:p>
        </w:tc>
      </w:tr>
      <w:tr w14:paraId="2E4E04B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512" w:hRule="atLeast"/>
          <w:jc w:val="center"/>
        </w:trPr>
        <w:tc>
          <w:tcPr>
            <w:tcW w:w="443" w:type="dxa"/>
            <w:gridSpan w:val="2"/>
            <w:vMerge w:val="continue"/>
            <w:tcBorders>
              <w:tl2br w:val="nil"/>
              <w:tr2bl w:val="nil"/>
            </w:tcBorders>
            <w:vAlign w:val="center"/>
          </w:tcPr>
          <w:p w14:paraId="362FC48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10" w:firstLineChars="100"/>
              <w:jc w:val="left"/>
              <w:rPr>
                <w:color w:val="auto"/>
                <w:highlight w:val="none"/>
              </w:rPr>
            </w:pPr>
          </w:p>
        </w:tc>
        <w:tc>
          <w:tcPr>
            <w:tcW w:w="1550" w:type="dxa"/>
            <w:vMerge w:val="continue"/>
            <w:tcBorders>
              <w:tl2br w:val="nil"/>
              <w:tr2bl w:val="nil"/>
            </w:tcBorders>
            <w:vAlign w:val="center"/>
          </w:tcPr>
          <w:p w14:paraId="3E4AF60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10" w:firstLineChars="100"/>
              <w:jc w:val="left"/>
              <w:rPr>
                <w:color w:val="auto"/>
                <w:highlight w:val="none"/>
              </w:rPr>
            </w:pPr>
          </w:p>
        </w:tc>
        <w:tc>
          <w:tcPr>
            <w:tcW w:w="4820" w:type="dxa"/>
            <w:vMerge w:val="continue"/>
            <w:tcBorders>
              <w:tl2br w:val="nil"/>
              <w:tr2bl w:val="nil"/>
            </w:tcBorders>
            <w:vAlign w:val="center"/>
          </w:tcPr>
          <w:p w14:paraId="0EDF0D1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10" w:firstLineChars="100"/>
              <w:jc w:val="left"/>
              <w:rPr>
                <w:color w:val="auto"/>
                <w:highlight w:val="none"/>
              </w:rPr>
            </w:pPr>
          </w:p>
        </w:tc>
        <w:tc>
          <w:tcPr>
            <w:tcW w:w="823" w:type="dxa"/>
            <w:vMerge w:val="continue"/>
            <w:tcBorders>
              <w:tl2br w:val="nil"/>
              <w:tr2bl w:val="nil"/>
            </w:tcBorders>
            <w:vAlign w:val="center"/>
          </w:tcPr>
          <w:p w14:paraId="73B551B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10" w:firstLineChars="100"/>
              <w:jc w:val="left"/>
              <w:rPr>
                <w:color w:val="auto"/>
                <w:highlight w:val="none"/>
              </w:rPr>
            </w:pPr>
          </w:p>
        </w:tc>
        <w:tc>
          <w:tcPr>
            <w:tcW w:w="3437" w:type="dxa"/>
            <w:gridSpan w:val="2"/>
            <w:tcBorders>
              <w:tl2br w:val="nil"/>
              <w:tr2bl w:val="nil"/>
            </w:tcBorders>
            <w:vAlign w:val="center"/>
          </w:tcPr>
          <w:p w14:paraId="415E586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w:t>
            </w:r>
            <w:r>
              <w:rPr>
                <w:rFonts w:hint="eastAsia" w:ascii="仿宋_GB2312" w:hAnsi="宋体" w:eastAsia="仿宋_GB2312"/>
                <w:color w:val="auto"/>
                <w:kern w:val="0"/>
                <w:sz w:val="13"/>
                <w:szCs w:val="13"/>
                <w:highlight w:val="none"/>
                <w:lang w:val="en-US" w:eastAsia="zh-CN"/>
              </w:rPr>
              <w:t>3</w:t>
            </w:r>
            <w:r>
              <w:rPr>
                <w:rFonts w:hint="eastAsia" w:ascii="仿宋_GB2312" w:hAnsi="宋体" w:eastAsia="仿宋_GB2312"/>
                <w:color w:val="auto"/>
                <w:kern w:val="0"/>
                <w:sz w:val="13"/>
                <w:szCs w:val="13"/>
                <w:highlight w:val="none"/>
              </w:rPr>
              <w:t>）经责令限期改正，逾期未改正，涉及危险性较大分部分项工程，</w:t>
            </w:r>
            <w:r>
              <w:rPr>
                <w:rFonts w:hint="eastAsia" w:ascii="仿宋_GB2312" w:hAnsi="宋体" w:eastAsia="仿宋_GB2312"/>
                <w:color w:val="auto"/>
                <w:kern w:val="0"/>
                <w:sz w:val="13"/>
                <w:szCs w:val="13"/>
                <w:highlight w:val="none"/>
                <w:lang w:eastAsia="zh-CN"/>
              </w:rPr>
              <w:t>或者</w:t>
            </w:r>
            <w:r>
              <w:rPr>
                <w:rFonts w:hint="eastAsia" w:ascii="仿宋_GB2312" w:hAnsi="宋体" w:eastAsia="仿宋_GB2312"/>
                <w:color w:val="auto"/>
                <w:kern w:val="0"/>
                <w:sz w:val="13"/>
                <w:szCs w:val="13"/>
                <w:highlight w:val="none"/>
              </w:rPr>
              <w:t>造成</w:t>
            </w:r>
            <w:r>
              <w:rPr>
                <w:rFonts w:hint="eastAsia" w:ascii="仿宋_GB2312" w:hAnsi="宋体" w:eastAsia="仿宋_GB2312"/>
                <w:color w:val="auto"/>
                <w:kern w:val="0"/>
                <w:sz w:val="13"/>
                <w:szCs w:val="13"/>
                <w:highlight w:val="none"/>
                <w:lang w:val="en-US" w:eastAsia="zh-CN"/>
              </w:rPr>
              <w:t>较大</w:t>
            </w:r>
            <w:r>
              <w:rPr>
                <w:rFonts w:hint="eastAsia" w:ascii="仿宋_GB2312" w:hAnsi="宋体" w:eastAsia="仿宋_GB2312"/>
                <w:color w:val="auto"/>
                <w:kern w:val="0"/>
                <w:sz w:val="13"/>
                <w:szCs w:val="13"/>
                <w:highlight w:val="none"/>
              </w:rPr>
              <w:t>安全生产事故的。</w:t>
            </w:r>
          </w:p>
        </w:tc>
        <w:tc>
          <w:tcPr>
            <w:tcW w:w="3058" w:type="dxa"/>
            <w:tcBorders>
              <w:tl2br w:val="nil"/>
              <w:tr2bl w:val="nil"/>
            </w:tcBorders>
            <w:vAlign w:val="center"/>
          </w:tcPr>
          <w:p w14:paraId="43F86C5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对生产经营单位处</w:t>
            </w:r>
            <w:r>
              <w:rPr>
                <w:rFonts w:hint="eastAsia" w:ascii="仿宋_GB2312" w:hAnsi="宋体" w:eastAsia="仿宋_GB2312"/>
                <w:color w:val="auto"/>
                <w:kern w:val="0"/>
                <w:sz w:val="13"/>
                <w:szCs w:val="13"/>
                <w:highlight w:val="none"/>
                <w:lang w:val="en-US" w:eastAsia="zh-CN"/>
              </w:rPr>
              <w:t>20万元</w:t>
            </w:r>
            <w:r>
              <w:rPr>
                <w:rFonts w:hint="eastAsia" w:ascii="仿宋_GB2312" w:hAnsi="宋体" w:eastAsia="仿宋_GB2312"/>
                <w:color w:val="auto"/>
                <w:kern w:val="0"/>
                <w:sz w:val="13"/>
                <w:szCs w:val="13"/>
                <w:highlight w:val="none"/>
              </w:rPr>
              <w:t>罚款；</w:t>
            </w:r>
            <w:r>
              <w:rPr>
                <w:rFonts w:hint="eastAsia" w:ascii="仿宋_GB2312" w:hAnsi="宋体" w:eastAsia="仿宋_GB2312"/>
                <w:color w:val="auto"/>
                <w:kern w:val="0"/>
                <w:sz w:val="13"/>
                <w:szCs w:val="13"/>
                <w:highlight w:val="none"/>
                <w:lang w:val="en-US" w:eastAsia="zh-CN"/>
              </w:rPr>
              <w:t>责令停业整顿90日-120日；</w:t>
            </w:r>
            <w:r>
              <w:rPr>
                <w:rFonts w:hint="eastAsia" w:ascii="仿宋_GB2312" w:hAnsi="宋体" w:eastAsia="仿宋_GB2312"/>
                <w:color w:val="auto"/>
                <w:kern w:val="0"/>
                <w:sz w:val="13"/>
                <w:szCs w:val="13"/>
                <w:highlight w:val="none"/>
              </w:rPr>
              <w:t>对其直接负责的主管人员和其他直接责任人员处</w:t>
            </w:r>
            <w:r>
              <w:rPr>
                <w:rFonts w:hint="eastAsia" w:ascii="仿宋_GB2312" w:hAnsi="宋体" w:eastAsia="仿宋_GB2312"/>
                <w:color w:val="auto"/>
                <w:kern w:val="0"/>
                <w:sz w:val="13"/>
                <w:szCs w:val="13"/>
                <w:highlight w:val="none"/>
                <w:lang w:val="en-US" w:eastAsia="zh-CN"/>
              </w:rPr>
              <w:t>2</w:t>
            </w:r>
            <w:r>
              <w:rPr>
                <w:rFonts w:hint="eastAsia" w:ascii="仿宋_GB2312" w:hAnsi="宋体" w:eastAsia="仿宋_GB2312"/>
                <w:color w:val="auto"/>
                <w:kern w:val="0"/>
                <w:sz w:val="13"/>
                <w:szCs w:val="13"/>
                <w:highlight w:val="none"/>
              </w:rPr>
              <w:t>万元以下的罚款。</w:t>
            </w:r>
          </w:p>
        </w:tc>
      </w:tr>
      <w:tr w14:paraId="12E501B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512" w:hRule="atLeast"/>
          <w:jc w:val="center"/>
        </w:trPr>
        <w:tc>
          <w:tcPr>
            <w:tcW w:w="443" w:type="dxa"/>
            <w:gridSpan w:val="2"/>
            <w:vMerge w:val="continue"/>
            <w:tcBorders>
              <w:tl2br w:val="nil"/>
              <w:tr2bl w:val="nil"/>
            </w:tcBorders>
            <w:vAlign w:val="center"/>
          </w:tcPr>
          <w:p w14:paraId="6C90130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rPr>
            </w:pPr>
          </w:p>
        </w:tc>
        <w:tc>
          <w:tcPr>
            <w:tcW w:w="1550" w:type="dxa"/>
            <w:vMerge w:val="continue"/>
            <w:tcBorders>
              <w:tl2br w:val="nil"/>
              <w:tr2bl w:val="nil"/>
            </w:tcBorders>
            <w:vAlign w:val="center"/>
          </w:tcPr>
          <w:p w14:paraId="6BBBFBB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16278BB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rPr>
            </w:pPr>
          </w:p>
        </w:tc>
        <w:tc>
          <w:tcPr>
            <w:tcW w:w="823" w:type="dxa"/>
            <w:vMerge w:val="continue"/>
            <w:tcBorders>
              <w:tl2br w:val="nil"/>
              <w:tr2bl w:val="nil"/>
            </w:tcBorders>
            <w:vAlign w:val="center"/>
          </w:tcPr>
          <w:p w14:paraId="2C1F3CC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rPr>
            </w:pPr>
          </w:p>
        </w:tc>
        <w:tc>
          <w:tcPr>
            <w:tcW w:w="3437" w:type="dxa"/>
            <w:gridSpan w:val="2"/>
            <w:tcBorders>
              <w:tl2br w:val="nil"/>
              <w:tr2bl w:val="nil"/>
            </w:tcBorders>
            <w:vAlign w:val="center"/>
          </w:tcPr>
          <w:p w14:paraId="1BE0B60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w:t>
            </w:r>
            <w:r>
              <w:rPr>
                <w:rFonts w:hint="eastAsia" w:ascii="仿宋_GB2312" w:hAnsi="宋体" w:eastAsia="仿宋_GB2312"/>
                <w:color w:val="auto"/>
                <w:kern w:val="0"/>
                <w:sz w:val="13"/>
                <w:szCs w:val="13"/>
                <w:highlight w:val="none"/>
                <w:lang w:val="en-US" w:eastAsia="zh-CN"/>
              </w:rPr>
              <w:t>4</w:t>
            </w:r>
            <w:r>
              <w:rPr>
                <w:rFonts w:hint="eastAsia" w:ascii="仿宋_GB2312" w:hAnsi="宋体" w:eastAsia="仿宋_GB2312"/>
                <w:color w:val="auto"/>
                <w:kern w:val="0"/>
                <w:sz w:val="13"/>
                <w:szCs w:val="13"/>
                <w:highlight w:val="none"/>
              </w:rPr>
              <w:t>）经责令限期改正，逾期未改正，涉及危险性较大分部分项工程，</w:t>
            </w:r>
            <w:r>
              <w:rPr>
                <w:rFonts w:hint="eastAsia" w:ascii="仿宋_GB2312" w:hAnsi="宋体" w:eastAsia="仿宋_GB2312"/>
                <w:color w:val="auto"/>
                <w:kern w:val="0"/>
                <w:sz w:val="13"/>
                <w:szCs w:val="13"/>
                <w:highlight w:val="none"/>
                <w:lang w:eastAsia="zh-CN"/>
              </w:rPr>
              <w:t>或者</w:t>
            </w:r>
            <w:r>
              <w:rPr>
                <w:rFonts w:hint="eastAsia" w:ascii="仿宋_GB2312" w:hAnsi="宋体" w:eastAsia="仿宋_GB2312"/>
                <w:color w:val="auto"/>
                <w:kern w:val="0"/>
                <w:sz w:val="13"/>
                <w:szCs w:val="13"/>
                <w:highlight w:val="none"/>
              </w:rPr>
              <w:t>造成</w:t>
            </w:r>
            <w:r>
              <w:rPr>
                <w:rFonts w:hint="eastAsia" w:ascii="仿宋_GB2312" w:hAnsi="宋体" w:eastAsia="仿宋_GB2312"/>
                <w:color w:val="auto"/>
                <w:kern w:val="0"/>
                <w:sz w:val="13"/>
                <w:szCs w:val="13"/>
                <w:highlight w:val="none"/>
                <w:lang w:val="en-US" w:eastAsia="zh-CN"/>
              </w:rPr>
              <w:t>重大大</w:t>
            </w:r>
            <w:r>
              <w:rPr>
                <w:rFonts w:hint="eastAsia" w:ascii="仿宋_GB2312" w:hAnsi="宋体" w:eastAsia="仿宋_GB2312"/>
                <w:color w:val="auto"/>
                <w:kern w:val="0"/>
                <w:sz w:val="13"/>
                <w:szCs w:val="13"/>
                <w:highlight w:val="none"/>
              </w:rPr>
              <w:t>安全生产事故的。</w:t>
            </w:r>
          </w:p>
        </w:tc>
        <w:tc>
          <w:tcPr>
            <w:tcW w:w="3058" w:type="dxa"/>
            <w:tcBorders>
              <w:tl2br w:val="nil"/>
              <w:tr2bl w:val="nil"/>
            </w:tcBorders>
            <w:vAlign w:val="center"/>
          </w:tcPr>
          <w:p w14:paraId="21E8BCF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对生产经营单位处</w:t>
            </w:r>
            <w:r>
              <w:rPr>
                <w:rFonts w:hint="eastAsia" w:ascii="仿宋_GB2312" w:hAnsi="宋体" w:eastAsia="仿宋_GB2312"/>
                <w:color w:val="auto"/>
                <w:kern w:val="0"/>
                <w:sz w:val="13"/>
                <w:szCs w:val="13"/>
                <w:highlight w:val="none"/>
                <w:lang w:val="en-US" w:eastAsia="zh-CN"/>
              </w:rPr>
              <w:t>20万元</w:t>
            </w:r>
            <w:r>
              <w:rPr>
                <w:rFonts w:hint="eastAsia" w:ascii="仿宋_GB2312" w:hAnsi="宋体" w:eastAsia="仿宋_GB2312"/>
                <w:color w:val="auto"/>
                <w:kern w:val="0"/>
                <w:sz w:val="13"/>
                <w:szCs w:val="13"/>
                <w:highlight w:val="none"/>
              </w:rPr>
              <w:t>罚款；</w:t>
            </w:r>
            <w:r>
              <w:rPr>
                <w:rFonts w:hint="eastAsia" w:ascii="仿宋_GB2312" w:hAnsi="宋体" w:eastAsia="仿宋_GB2312"/>
                <w:color w:val="auto"/>
                <w:kern w:val="0"/>
                <w:sz w:val="13"/>
                <w:szCs w:val="13"/>
                <w:highlight w:val="none"/>
                <w:lang w:val="en-US" w:eastAsia="zh-CN"/>
              </w:rPr>
              <w:t>责令停业整顿120日-180日；</w:t>
            </w:r>
            <w:r>
              <w:rPr>
                <w:rFonts w:hint="eastAsia" w:ascii="仿宋_GB2312" w:hAnsi="宋体" w:eastAsia="仿宋_GB2312"/>
                <w:color w:val="auto"/>
                <w:kern w:val="0"/>
                <w:sz w:val="13"/>
                <w:szCs w:val="13"/>
                <w:highlight w:val="none"/>
              </w:rPr>
              <w:t>对其直接负责的主管人员和其他直接责任人员处</w:t>
            </w:r>
            <w:r>
              <w:rPr>
                <w:rFonts w:hint="eastAsia" w:ascii="仿宋_GB2312" w:hAnsi="宋体" w:eastAsia="仿宋_GB2312"/>
                <w:color w:val="auto"/>
                <w:kern w:val="0"/>
                <w:sz w:val="13"/>
                <w:szCs w:val="13"/>
                <w:highlight w:val="none"/>
                <w:lang w:val="en-US" w:eastAsia="zh-CN"/>
              </w:rPr>
              <w:t>2万元</w:t>
            </w:r>
            <w:r>
              <w:rPr>
                <w:rFonts w:hint="eastAsia" w:ascii="仿宋_GB2312" w:hAnsi="宋体" w:eastAsia="仿宋_GB2312"/>
                <w:color w:val="auto"/>
                <w:kern w:val="0"/>
                <w:sz w:val="13"/>
                <w:szCs w:val="13"/>
                <w:highlight w:val="none"/>
              </w:rPr>
              <w:t>罚款。</w:t>
            </w:r>
          </w:p>
        </w:tc>
      </w:tr>
      <w:tr w14:paraId="6F20E30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512" w:hRule="atLeast"/>
          <w:jc w:val="center"/>
        </w:trPr>
        <w:tc>
          <w:tcPr>
            <w:tcW w:w="443" w:type="dxa"/>
            <w:gridSpan w:val="2"/>
            <w:vMerge w:val="continue"/>
            <w:tcBorders>
              <w:tl2br w:val="nil"/>
              <w:tr2bl w:val="nil"/>
            </w:tcBorders>
            <w:vAlign w:val="center"/>
          </w:tcPr>
          <w:p w14:paraId="0E75D12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rPr>
            </w:pPr>
          </w:p>
        </w:tc>
        <w:tc>
          <w:tcPr>
            <w:tcW w:w="1550" w:type="dxa"/>
            <w:vMerge w:val="continue"/>
            <w:tcBorders>
              <w:tl2br w:val="nil"/>
              <w:tr2bl w:val="nil"/>
            </w:tcBorders>
            <w:vAlign w:val="center"/>
          </w:tcPr>
          <w:p w14:paraId="1A5A413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3ECBCB9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rPr>
            </w:pPr>
          </w:p>
        </w:tc>
        <w:tc>
          <w:tcPr>
            <w:tcW w:w="823" w:type="dxa"/>
            <w:vMerge w:val="continue"/>
            <w:tcBorders>
              <w:tl2br w:val="nil"/>
              <w:tr2bl w:val="nil"/>
            </w:tcBorders>
            <w:vAlign w:val="center"/>
          </w:tcPr>
          <w:p w14:paraId="796BE4D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rPr>
            </w:pPr>
          </w:p>
        </w:tc>
        <w:tc>
          <w:tcPr>
            <w:tcW w:w="3437" w:type="dxa"/>
            <w:gridSpan w:val="2"/>
            <w:tcBorders>
              <w:tl2br w:val="nil"/>
              <w:tr2bl w:val="nil"/>
            </w:tcBorders>
            <w:vAlign w:val="center"/>
          </w:tcPr>
          <w:p w14:paraId="20DD930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w:t>
            </w:r>
            <w:r>
              <w:rPr>
                <w:rFonts w:hint="eastAsia" w:ascii="仿宋_GB2312" w:hAnsi="宋体" w:eastAsia="仿宋_GB2312"/>
                <w:color w:val="auto"/>
                <w:kern w:val="0"/>
                <w:sz w:val="13"/>
                <w:szCs w:val="13"/>
                <w:highlight w:val="none"/>
                <w:lang w:val="en-US" w:eastAsia="zh-CN"/>
              </w:rPr>
              <w:t>5</w:t>
            </w:r>
            <w:r>
              <w:rPr>
                <w:rFonts w:hint="eastAsia" w:ascii="仿宋_GB2312" w:hAnsi="宋体" w:eastAsia="仿宋_GB2312"/>
                <w:color w:val="auto"/>
                <w:kern w:val="0"/>
                <w:sz w:val="13"/>
                <w:szCs w:val="13"/>
                <w:highlight w:val="none"/>
              </w:rPr>
              <w:t>）经责令限期改正，逾期未改正，涉及危险性较大分部分项工程，</w:t>
            </w:r>
            <w:r>
              <w:rPr>
                <w:rFonts w:hint="eastAsia" w:ascii="仿宋_GB2312" w:hAnsi="宋体" w:eastAsia="仿宋_GB2312"/>
                <w:color w:val="auto"/>
                <w:kern w:val="0"/>
                <w:sz w:val="13"/>
                <w:szCs w:val="13"/>
                <w:highlight w:val="none"/>
                <w:lang w:eastAsia="zh-CN"/>
              </w:rPr>
              <w:t>或者</w:t>
            </w:r>
            <w:r>
              <w:rPr>
                <w:rFonts w:hint="eastAsia" w:ascii="仿宋_GB2312" w:hAnsi="宋体" w:eastAsia="仿宋_GB2312"/>
                <w:color w:val="auto"/>
                <w:kern w:val="0"/>
                <w:sz w:val="13"/>
                <w:szCs w:val="13"/>
                <w:highlight w:val="none"/>
              </w:rPr>
              <w:t>造成</w:t>
            </w:r>
            <w:r>
              <w:rPr>
                <w:rFonts w:hint="eastAsia" w:ascii="仿宋_GB2312" w:hAnsi="宋体" w:eastAsia="仿宋_GB2312"/>
                <w:color w:val="auto"/>
                <w:kern w:val="0"/>
                <w:sz w:val="13"/>
                <w:szCs w:val="13"/>
                <w:highlight w:val="none"/>
                <w:lang w:val="en-US" w:eastAsia="zh-CN"/>
              </w:rPr>
              <w:t>特别重大</w:t>
            </w:r>
            <w:r>
              <w:rPr>
                <w:rFonts w:hint="eastAsia" w:ascii="仿宋_GB2312" w:hAnsi="宋体" w:eastAsia="仿宋_GB2312"/>
                <w:color w:val="auto"/>
                <w:kern w:val="0"/>
                <w:sz w:val="13"/>
                <w:szCs w:val="13"/>
                <w:highlight w:val="none"/>
              </w:rPr>
              <w:t>安全生产事故的。</w:t>
            </w:r>
          </w:p>
        </w:tc>
        <w:tc>
          <w:tcPr>
            <w:tcW w:w="3058" w:type="dxa"/>
            <w:tcBorders>
              <w:tl2br w:val="nil"/>
              <w:tr2bl w:val="nil"/>
            </w:tcBorders>
            <w:vAlign w:val="center"/>
          </w:tcPr>
          <w:p w14:paraId="2D9B4C7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对生产经营单位处20万元的罚款；责令停业整顿</w:t>
            </w:r>
            <w:r>
              <w:rPr>
                <w:rFonts w:hint="eastAsia" w:ascii="仿宋_GB2312" w:hAnsi="宋体" w:eastAsia="仿宋_GB2312"/>
                <w:color w:val="auto"/>
                <w:kern w:val="0"/>
                <w:sz w:val="13"/>
                <w:szCs w:val="13"/>
                <w:highlight w:val="none"/>
                <w:lang w:val="en-US" w:eastAsia="zh-CN"/>
              </w:rPr>
              <w:t>180日</w:t>
            </w:r>
            <w:r>
              <w:rPr>
                <w:rFonts w:hint="eastAsia" w:ascii="仿宋_GB2312" w:hAnsi="宋体" w:eastAsia="仿宋_GB2312"/>
                <w:color w:val="auto"/>
                <w:kern w:val="0"/>
                <w:sz w:val="13"/>
                <w:szCs w:val="13"/>
                <w:highlight w:val="none"/>
              </w:rPr>
              <w:t>，对其直接负责的主管人员和其他直接责任人员处2万元罚款。</w:t>
            </w:r>
          </w:p>
        </w:tc>
      </w:tr>
      <w:tr w14:paraId="6F39066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47" w:hRule="atLeast"/>
          <w:jc w:val="center"/>
        </w:trPr>
        <w:tc>
          <w:tcPr>
            <w:tcW w:w="443" w:type="dxa"/>
            <w:gridSpan w:val="2"/>
            <w:vMerge w:val="restart"/>
            <w:tcBorders>
              <w:tl2br w:val="nil"/>
              <w:tr2bl w:val="nil"/>
            </w:tcBorders>
            <w:vAlign w:val="center"/>
          </w:tcPr>
          <w:p w14:paraId="5710F34D">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仿宋" w:eastAsia="仿宋_GB2312" w:cs="Times New Roman"/>
                <w:color w:val="auto"/>
                <w:kern w:val="0"/>
                <w:sz w:val="13"/>
                <w:szCs w:val="13"/>
                <w:highlight w:val="none"/>
              </w:rPr>
            </w:pPr>
            <w:r>
              <w:rPr>
                <w:rFonts w:hint="default" w:ascii="仿宋_GB2312" w:hAnsi="宋体" w:eastAsia="仿宋_GB2312" w:cs="仿宋_GB2312"/>
                <w:i w:val="0"/>
                <w:color w:val="auto"/>
                <w:kern w:val="0"/>
                <w:sz w:val="13"/>
                <w:szCs w:val="13"/>
                <w:highlight w:val="none"/>
                <w:u w:val="none"/>
                <w:lang w:val="en-US" w:eastAsia="zh-CN" w:bidi="ar"/>
              </w:rPr>
              <w:t>1</w:t>
            </w:r>
            <w:r>
              <w:rPr>
                <w:rFonts w:hint="eastAsia" w:ascii="仿宋_GB2312" w:hAnsi="宋体" w:eastAsia="仿宋_GB2312" w:cs="仿宋_GB2312"/>
                <w:i w:val="0"/>
                <w:color w:val="auto"/>
                <w:kern w:val="0"/>
                <w:sz w:val="13"/>
                <w:szCs w:val="13"/>
                <w:highlight w:val="none"/>
                <w:u w:val="none"/>
                <w:lang w:val="en-US" w:eastAsia="zh-CN" w:bidi="ar"/>
              </w:rPr>
              <w:t>26</w:t>
            </w:r>
          </w:p>
        </w:tc>
        <w:tc>
          <w:tcPr>
            <w:tcW w:w="1550" w:type="dxa"/>
            <w:vMerge w:val="restart"/>
            <w:tcBorders>
              <w:tl2br w:val="nil"/>
              <w:tr2bl w:val="nil"/>
            </w:tcBorders>
            <w:vAlign w:val="center"/>
          </w:tcPr>
          <w:p w14:paraId="25658E4E">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施工单位未向作业人员提供安全防护用具和安全防护服装</w:t>
            </w:r>
          </w:p>
        </w:tc>
        <w:tc>
          <w:tcPr>
            <w:tcW w:w="4820" w:type="dxa"/>
            <w:vMerge w:val="restart"/>
            <w:tcBorders>
              <w:tl2br w:val="nil"/>
              <w:tr2bl w:val="nil"/>
            </w:tcBorders>
            <w:vAlign w:val="center"/>
          </w:tcPr>
          <w:p w14:paraId="406F4E99">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《建设工程安全生产管理条例》</w:t>
            </w:r>
          </w:p>
          <w:p w14:paraId="33665A70">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rPr>
              <w:t>第六十二条</w:t>
            </w:r>
            <w:r>
              <w:rPr>
                <w:rFonts w:hint="eastAsia" w:ascii="仿宋_GB2312" w:hAnsi="宋体" w:eastAsia="仿宋_GB2312"/>
                <w:color w:val="auto"/>
                <w:kern w:val="0"/>
                <w:sz w:val="13"/>
                <w:szCs w:val="13"/>
                <w:highlight w:val="none"/>
                <w:lang w:eastAsia="zh-CN"/>
              </w:rPr>
              <w:t>（</w:t>
            </w:r>
            <w:r>
              <w:rPr>
                <w:rFonts w:hint="eastAsia" w:ascii="仿宋_GB2312" w:hAnsi="宋体" w:eastAsia="仿宋_GB2312"/>
                <w:color w:val="auto"/>
                <w:kern w:val="0"/>
                <w:sz w:val="13"/>
                <w:szCs w:val="13"/>
                <w:highlight w:val="none"/>
                <w:lang w:val="en-US" w:eastAsia="zh-CN"/>
              </w:rPr>
              <w:t>四</w:t>
            </w:r>
            <w:r>
              <w:rPr>
                <w:rFonts w:hint="eastAsia" w:ascii="仿宋_GB2312" w:hAnsi="宋体" w:eastAsia="仿宋_GB2312"/>
                <w:color w:val="auto"/>
                <w:kern w:val="0"/>
                <w:sz w:val="13"/>
                <w:szCs w:val="13"/>
                <w:highlight w:val="none"/>
                <w:lang w:eastAsia="zh-CN"/>
              </w:rPr>
              <w:t>）</w:t>
            </w:r>
            <w:r>
              <w:rPr>
                <w:rFonts w:ascii="仿宋_GB2312" w:hAnsi="宋体" w:eastAsia="仿宋_GB2312"/>
                <w:color w:val="auto"/>
                <w:kern w:val="0"/>
                <w:sz w:val="13"/>
                <w:szCs w:val="13"/>
                <w:highlight w:val="none"/>
              </w:rPr>
              <w:t>项</w:t>
            </w:r>
            <w:r>
              <w:rPr>
                <w:rFonts w:hint="eastAsia" w:ascii="仿宋_GB2312" w:hAnsi="宋体" w:eastAsia="仿宋_GB2312"/>
                <w:color w:val="auto"/>
                <w:kern w:val="0"/>
                <w:sz w:val="13"/>
                <w:szCs w:val="13"/>
                <w:highlight w:val="none"/>
              </w:rPr>
              <w:t>违反本条例的规定，施工单位有下列行为之一的，责令限期改正；逾期未改正的，责令停业整顿，依照《中华人民共和国安全生产法》的有关规定处以罚款；造成重大安全事故，构成犯罪的，对直接责任人员，依照刑法有关规定追究刑事责任：</w:t>
            </w:r>
          </w:p>
          <w:p w14:paraId="2A57766D">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(四)未向作业人员提供安全防护用具和安全防护服装的；</w:t>
            </w:r>
          </w:p>
          <w:p w14:paraId="323CFFD6">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p w14:paraId="2767718B">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《中华人民共和国安全生产法》</w:t>
            </w:r>
          </w:p>
          <w:p w14:paraId="36889932">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第九十九条</w:t>
            </w:r>
            <w:r>
              <w:rPr>
                <w:rFonts w:hint="eastAsia" w:ascii="仿宋_GB2312" w:hAnsi="宋体" w:eastAsia="仿宋_GB2312"/>
                <w:color w:val="auto"/>
                <w:kern w:val="0"/>
                <w:sz w:val="13"/>
                <w:szCs w:val="13"/>
                <w:highlight w:val="none"/>
                <w:lang w:eastAsia="zh-CN"/>
              </w:rPr>
              <w:t>（</w:t>
            </w:r>
            <w:r>
              <w:rPr>
                <w:rFonts w:hint="eastAsia" w:ascii="仿宋_GB2312" w:hAnsi="宋体" w:eastAsia="仿宋_GB2312"/>
                <w:color w:val="auto"/>
                <w:kern w:val="0"/>
                <w:sz w:val="13"/>
                <w:szCs w:val="13"/>
                <w:highlight w:val="none"/>
                <w:lang w:val="en-US" w:eastAsia="zh-CN"/>
              </w:rPr>
              <w:t>五</w:t>
            </w:r>
            <w:r>
              <w:rPr>
                <w:rFonts w:hint="eastAsia" w:ascii="仿宋_GB2312" w:hAnsi="宋体" w:eastAsia="仿宋_GB2312"/>
                <w:color w:val="auto"/>
                <w:kern w:val="0"/>
                <w:sz w:val="13"/>
                <w:szCs w:val="13"/>
                <w:highlight w:val="none"/>
                <w:lang w:eastAsia="zh-CN"/>
              </w:rPr>
              <w:t>）</w:t>
            </w:r>
            <w:r>
              <w:rPr>
                <w:rFonts w:hint="eastAsia" w:ascii="仿宋_GB2312" w:hAnsi="宋体" w:eastAsia="仿宋_GB2312"/>
                <w:color w:val="auto"/>
                <w:kern w:val="0"/>
                <w:sz w:val="13"/>
                <w:szCs w:val="13"/>
                <w:highlight w:val="none"/>
                <w:lang w:val="en-US" w:eastAsia="zh-CN"/>
              </w:rPr>
              <w:t>项</w:t>
            </w:r>
            <w:r>
              <w:rPr>
                <w:rFonts w:hint="eastAsia" w:ascii="仿宋_GB2312" w:hAnsi="宋体" w:eastAsia="仿宋_GB2312"/>
                <w:color w:val="auto"/>
                <w:kern w:val="0"/>
                <w:sz w:val="13"/>
                <w:szCs w:val="13"/>
                <w:highlight w:val="none"/>
              </w:rPr>
              <w:t>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14:paraId="4F2494C4">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（五）未为从业人员提供符合国家标准或者行业标准的劳动防护用品的；</w:t>
            </w:r>
          </w:p>
        </w:tc>
        <w:tc>
          <w:tcPr>
            <w:tcW w:w="823" w:type="dxa"/>
            <w:tcBorders>
              <w:tl2br w:val="nil"/>
              <w:tr2bl w:val="nil"/>
            </w:tcBorders>
            <w:vAlign w:val="center"/>
          </w:tcPr>
          <w:p w14:paraId="51034C6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vAlign w:val="center"/>
          </w:tcPr>
          <w:p w14:paraId="1337112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经责令限期改正，限期内整改完毕的。</w:t>
            </w:r>
          </w:p>
        </w:tc>
        <w:tc>
          <w:tcPr>
            <w:tcW w:w="3058" w:type="dxa"/>
            <w:tcBorders>
              <w:tl2br w:val="nil"/>
              <w:tr2bl w:val="nil"/>
            </w:tcBorders>
            <w:vAlign w:val="center"/>
          </w:tcPr>
          <w:p w14:paraId="59D1565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对生产经营单位处5万元以下的罚款。</w:t>
            </w:r>
          </w:p>
        </w:tc>
      </w:tr>
      <w:tr w14:paraId="5B628DF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511" w:hRule="atLeast"/>
          <w:jc w:val="center"/>
        </w:trPr>
        <w:tc>
          <w:tcPr>
            <w:tcW w:w="443" w:type="dxa"/>
            <w:gridSpan w:val="2"/>
            <w:vMerge w:val="continue"/>
            <w:tcBorders>
              <w:tl2br w:val="nil"/>
              <w:tr2bl w:val="nil"/>
            </w:tcBorders>
            <w:vAlign w:val="center"/>
          </w:tcPr>
          <w:p w14:paraId="487F3D6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color w:val="auto"/>
                <w:kern w:val="0"/>
                <w:sz w:val="13"/>
                <w:szCs w:val="13"/>
                <w:highlight w:val="none"/>
              </w:rPr>
            </w:pPr>
          </w:p>
        </w:tc>
        <w:tc>
          <w:tcPr>
            <w:tcW w:w="1550" w:type="dxa"/>
            <w:vMerge w:val="continue"/>
            <w:tcBorders>
              <w:tl2br w:val="nil"/>
              <w:tr2bl w:val="nil"/>
            </w:tcBorders>
            <w:vAlign w:val="center"/>
          </w:tcPr>
          <w:p w14:paraId="60FA5D8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vAlign w:val="center"/>
          </w:tcPr>
          <w:p w14:paraId="259DC8E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tcBorders>
              <w:tl2br w:val="nil"/>
              <w:tr2bl w:val="nil"/>
            </w:tcBorders>
            <w:vAlign w:val="center"/>
          </w:tcPr>
          <w:p w14:paraId="267EC7F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一般情节</w:t>
            </w:r>
          </w:p>
        </w:tc>
        <w:tc>
          <w:tcPr>
            <w:tcW w:w="3437" w:type="dxa"/>
            <w:gridSpan w:val="2"/>
            <w:tcBorders>
              <w:tl2br w:val="nil"/>
              <w:tr2bl w:val="nil"/>
            </w:tcBorders>
            <w:vAlign w:val="center"/>
          </w:tcPr>
          <w:p w14:paraId="5961F8D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经责令限期改正，逾期未改正，不涉及危险性较大分部分项工程，且尚未造成安全生产事故的。</w:t>
            </w:r>
          </w:p>
        </w:tc>
        <w:tc>
          <w:tcPr>
            <w:tcW w:w="3058" w:type="dxa"/>
            <w:tcBorders>
              <w:tl2br w:val="nil"/>
              <w:tr2bl w:val="nil"/>
            </w:tcBorders>
            <w:vAlign w:val="center"/>
          </w:tcPr>
          <w:p w14:paraId="5692D66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对生产经营单位处5万元以上10万元以下的罚款；对其直接负责的主管人员和其他直接责任人员处1万元以上1.</w:t>
            </w:r>
            <w:r>
              <w:rPr>
                <w:rFonts w:hint="eastAsia" w:ascii="仿宋_GB2312" w:hAnsi="宋体" w:eastAsia="仿宋_GB2312"/>
                <w:color w:val="auto"/>
                <w:kern w:val="0"/>
                <w:sz w:val="13"/>
                <w:szCs w:val="13"/>
                <w:highlight w:val="none"/>
                <w:lang w:val="en-US" w:eastAsia="zh-CN"/>
              </w:rPr>
              <w:t>5</w:t>
            </w:r>
            <w:r>
              <w:rPr>
                <w:rFonts w:hint="eastAsia" w:ascii="仿宋_GB2312" w:hAnsi="宋体" w:eastAsia="仿宋_GB2312"/>
                <w:color w:val="auto"/>
                <w:kern w:val="0"/>
                <w:sz w:val="13"/>
                <w:szCs w:val="13"/>
                <w:highlight w:val="none"/>
              </w:rPr>
              <w:t>万元以下的罚款。</w:t>
            </w:r>
          </w:p>
        </w:tc>
      </w:tr>
      <w:tr w14:paraId="3C0E407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513" w:hRule="atLeast"/>
          <w:jc w:val="center"/>
        </w:trPr>
        <w:tc>
          <w:tcPr>
            <w:tcW w:w="443" w:type="dxa"/>
            <w:gridSpan w:val="2"/>
            <w:vMerge w:val="continue"/>
            <w:tcBorders>
              <w:tl2br w:val="nil"/>
              <w:tr2bl w:val="nil"/>
            </w:tcBorders>
            <w:vAlign w:val="center"/>
          </w:tcPr>
          <w:p w14:paraId="42A9CE7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color w:val="auto"/>
                <w:kern w:val="0"/>
                <w:sz w:val="13"/>
                <w:szCs w:val="13"/>
                <w:highlight w:val="none"/>
              </w:rPr>
            </w:pPr>
          </w:p>
        </w:tc>
        <w:tc>
          <w:tcPr>
            <w:tcW w:w="1550" w:type="dxa"/>
            <w:vMerge w:val="continue"/>
            <w:tcBorders>
              <w:tl2br w:val="nil"/>
              <w:tr2bl w:val="nil"/>
            </w:tcBorders>
            <w:vAlign w:val="center"/>
          </w:tcPr>
          <w:p w14:paraId="7ABE021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vAlign w:val="center"/>
          </w:tcPr>
          <w:p w14:paraId="3D8C62A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vMerge w:val="restart"/>
            <w:tcBorders>
              <w:tl2br w:val="nil"/>
              <w:tr2bl w:val="nil"/>
            </w:tcBorders>
            <w:vAlign w:val="center"/>
          </w:tcPr>
          <w:p w14:paraId="594756B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从重情节</w:t>
            </w:r>
          </w:p>
        </w:tc>
        <w:tc>
          <w:tcPr>
            <w:tcW w:w="3437" w:type="dxa"/>
            <w:gridSpan w:val="2"/>
            <w:tcBorders>
              <w:tl2br w:val="nil"/>
              <w:tr2bl w:val="nil"/>
            </w:tcBorders>
            <w:vAlign w:val="center"/>
          </w:tcPr>
          <w:p w14:paraId="4271127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（1）经责令限期改正，逾期未改正，涉及危险性较大分部分项工程，且尚未造成安全生产事故的。</w:t>
            </w:r>
          </w:p>
        </w:tc>
        <w:tc>
          <w:tcPr>
            <w:tcW w:w="3058" w:type="dxa"/>
            <w:tcBorders>
              <w:tl2br w:val="nil"/>
              <w:tr2bl w:val="nil"/>
            </w:tcBorders>
            <w:vAlign w:val="center"/>
          </w:tcPr>
          <w:p w14:paraId="4639334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对生产经营单位处10万元以上20万元以下的罚款；对其直接负责的主管人员和其他直接责任人员处1.</w:t>
            </w:r>
            <w:r>
              <w:rPr>
                <w:rFonts w:hint="eastAsia" w:ascii="仿宋_GB2312" w:hAnsi="宋体" w:eastAsia="仿宋_GB2312"/>
                <w:color w:val="auto"/>
                <w:kern w:val="0"/>
                <w:sz w:val="13"/>
                <w:szCs w:val="13"/>
                <w:highlight w:val="none"/>
                <w:lang w:val="en-US" w:eastAsia="zh-CN"/>
              </w:rPr>
              <w:t>5</w:t>
            </w:r>
            <w:r>
              <w:rPr>
                <w:rFonts w:hint="eastAsia" w:ascii="仿宋_GB2312" w:hAnsi="宋体" w:eastAsia="仿宋_GB2312"/>
                <w:color w:val="auto"/>
                <w:kern w:val="0"/>
                <w:sz w:val="13"/>
                <w:szCs w:val="13"/>
                <w:highlight w:val="none"/>
              </w:rPr>
              <w:t>万元以上2万元以下的罚款。</w:t>
            </w:r>
          </w:p>
        </w:tc>
      </w:tr>
      <w:tr w14:paraId="4066AA7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752" w:hRule="atLeast"/>
          <w:jc w:val="center"/>
        </w:trPr>
        <w:tc>
          <w:tcPr>
            <w:tcW w:w="443" w:type="dxa"/>
            <w:gridSpan w:val="2"/>
            <w:vMerge w:val="continue"/>
            <w:tcBorders>
              <w:tl2br w:val="nil"/>
              <w:tr2bl w:val="nil"/>
            </w:tcBorders>
            <w:vAlign w:val="center"/>
          </w:tcPr>
          <w:p w14:paraId="72E825D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color w:val="auto"/>
                <w:kern w:val="0"/>
                <w:sz w:val="13"/>
                <w:szCs w:val="13"/>
                <w:highlight w:val="none"/>
              </w:rPr>
            </w:pPr>
          </w:p>
        </w:tc>
        <w:tc>
          <w:tcPr>
            <w:tcW w:w="1550" w:type="dxa"/>
            <w:vMerge w:val="continue"/>
            <w:tcBorders>
              <w:tl2br w:val="nil"/>
              <w:tr2bl w:val="nil"/>
            </w:tcBorders>
            <w:vAlign w:val="center"/>
          </w:tcPr>
          <w:p w14:paraId="4EAF6CB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vAlign w:val="center"/>
          </w:tcPr>
          <w:p w14:paraId="03D4BD1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vMerge w:val="continue"/>
            <w:tcBorders>
              <w:tl2br w:val="nil"/>
              <w:tr2bl w:val="nil"/>
            </w:tcBorders>
            <w:vAlign w:val="center"/>
          </w:tcPr>
          <w:p w14:paraId="399C531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3437" w:type="dxa"/>
            <w:gridSpan w:val="2"/>
            <w:tcBorders>
              <w:tl2br w:val="nil"/>
              <w:tr2bl w:val="nil"/>
            </w:tcBorders>
            <w:vAlign w:val="center"/>
          </w:tcPr>
          <w:p w14:paraId="3E30F16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w:t>
            </w:r>
            <w:r>
              <w:rPr>
                <w:rFonts w:hint="eastAsia" w:ascii="仿宋_GB2312" w:hAnsi="宋体" w:eastAsia="仿宋_GB2312"/>
                <w:color w:val="auto"/>
                <w:kern w:val="0"/>
                <w:sz w:val="13"/>
                <w:szCs w:val="13"/>
                <w:highlight w:val="none"/>
                <w:lang w:val="en-US" w:eastAsia="zh-CN"/>
              </w:rPr>
              <w:t>2</w:t>
            </w:r>
            <w:r>
              <w:rPr>
                <w:rFonts w:hint="eastAsia" w:ascii="仿宋_GB2312" w:hAnsi="宋体" w:eastAsia="仿宋_GB2312"/>
                <w:color w:val="auto"/>
                <w:kern w:val="0"/>
                <w:sz w:val="13"/>
                <w:szCs w:val="13"/>
                <w:highlight w:val="none"/>
              </w:rPr>
              <w:t>）经责令限期改正，逾期未改正，涉及危险性较大分部分项工程，</w:t>
            </w:r>
            <w:r>
              <w:rPr>
                <w:rFonts w:hint="eastAsia" w:ascii="仿宋_GB2312" w:hAnsi="宋体" w:eastAsia="仿宋_GB2312"/>
                <w:color w:val="auto"/>
                <w:kern w:val="0"/>
                <w:sz w:val="13"/>
                <w:szCs w:val="13"/>
                <w:highlight w:val="none"/>
                <w:lang w:eastAsia="zh-CN"/>
              </w:rPr>
              <w:t>或者</w:t>
            </w:r>
            <w:r>
              <w:rPr>
                <w:rFonts w:hint="eastAsia" w:ascii="仿宋_GB2312" w:hAnsi="宋体" w:eastAsia="仿宋_GB2312"/>
                <w:color w:val="auto"/>
                <w:kern w:val="0"/>
                <w:sz w:val="13"/>
                <w:szCs w:val="13"/>
                <w:highlight w:val="none"/>
              </w:rPr>
              <w:t>造成</w:t>
            </w:r>
            <w:r>
              <w:rPr>
                <w:rFonts w:hint="eastAsia" w:ascii="仿宋_GB2312" w:hAnsi="宋体" w:eastAsia="仿宋_GB2312"/>
                <w:color w:val="auto"/>
                <w:kern w:val="0"/>
                <w:sz w:val="13"/>
                <w:szCs w:val="13"/>
                <w:highlight w:val="none"/>
                <w:lang w:val="en-US" w:eastAsia="zh-CN"/>
              </w:rPr>
              <w:t>一般</w:t>
            </w:r>
            <w:r>
              <w:rPr>
                <w:rFonts w:hint="eastAsia" w:ascii="仿宋_GB2312" w:hAnsi="宋体" w:eastAsia="仿宋_GB2312"/>
                <w:color w:val="auto"/>
                <w:kern w:val="0"/>
                <w:sz w:val="13"/>
                <w:szCs w:val="13"/>
                <w:highlight w:val="none"/>
              </w:rPr>
              <w:t>安全生产事故的。</w:t>
            </w:r>
          </w:p>
        </w:tc>
        <w:tc>
          <w:tcPr>
            <w:tcW w:w="3058" w:type="dxa"/>
            <w:tcBorders>
              <w:tl2br w:val="nil"/>
              <w:tr2bl w:val="nil"/>
            </w:tcBorders>
            <w:vAlign w:val="center"/>
          </w:tcPr>
          <w:p w14:paraId="35EDBEF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对生产经营单位处</w:t>
            </w:r>
            <w:r>
              <w:rPr>
                <w:rFonts w:hint="eastAsia" w:ascii="仿宋_GB2312" w:hAnsi="宋体" w:eastAsia="仿宋_GB2312"/>
                <w:color w:val="auto"/>
                <w:kern w:val="0"/>
                <w:sz w:val="13"/>
                <w:szCs w:val="13"/>
                <w:highlight w:val="none"/>
                <w:lang w:val="en-US" w:eastAsia="zh-CN"/>
              </w:rPr>
              <w:t>20</w:t>
            </w:r>
            <w:r>
              <w:rPr>
                <w:rFonts w:hint="eastAsia" w:ascii="仿宋_GB2312" w:hAnsi="宋体" w:eastAsia="仿宋_GB2312"/>
                <w:color w:val="auto"/>
                <w:kern w:val="0"/>
                <w:sz w:val="13"/>
                <w:szCs w:val="13"/>
                <w:highlight w:val="none"/>
              </w:rPr>
              <w:t>万元罚款；</w:t>
            </w:r>
            <w:r>
              <w:rPr>
                <w:rFonts w:hint="eastAsia" w:ascii="仿宋_GB2312" w:hAnsi="宋体" w:eastAsia="仿宋_GB2312"/>
                <w:color w:val="auto"/>
                <w:kern w:val="0"/>
                <w:sz w:val="13"/>
                <w:szCs w:val="13"/>
                <w:highlight w:val="none"/>
                <w:lang w:val="en-US" w:eastAsia="zh-CN"/>
              </w:rPr>
              <w:t>责令停业整顿60日-90日；</w:t>
            </w:r>
            <w:r>
              <w:rPr>
                <w:rFonts w:hint="eastAsia" w:ascii="仿宋_GB2312" w:hAnsi="宋体" w:eastAsia="仿宋_GB2312"/>
                <w:color w:val="auto"/>
                <w:kern w:val="0"/>
                <w:sz w:val="13"/>
                <w:szCs w:val="13"/>
                <w:highlight w:val="none"/>
              </w:rPr>
              <w:t>对其直接负责的主管人员和其他直接责任人员处</w:t>
            </w:r>
            <w:r>
              <w:rPr>
                <w:rFonts w:hint="eastAsia" w:ascii="仿宋_GB2312" w:hAnsi="宋体" w:eastAsia="仿宋_GB2312"/>
                <w:color w:val="auto"/>
                <w:kern w:val="0"/>
                <w:sz w:val="13"/>
                <w:szCs w:val="13"/>
                <w:highlight w:val="none"/>
                <w:lang w:val="en-US" w:eastAsia="zh-CN"/>
              </w:rPr>
              <w:t>2</w:t>
            </w:r>
            <w:r>
              <w:rPr>
                <w:rFonts w:hint="eastAsia" w:ascii="仿宋_GB2312" w:hAnsi="宋体" w:eastAsia="仿宋_GB2312"/>
                <w:color w:val="auto"/>
                <w:kern w:val="0"/>
                <w:sz w:val="13"/>
                <w:szCs w:val="13"/>
                <w:highlight w:val="none"/>
              </w:rPr>
              <w:t>万元罚款。</w:t>
            </w:r>
          </w:p>
        </w:tc>
      </w:tr>
      <w:tr w14:paraId="24ACC74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82" w:hRule="atLeast"/>
          <w:jc w:val="center"/>
        </w:trPr>
        <w:tc>
          <w:tcPr>
            <w:tcW w:w="443" w:type="dxa"/>
            <w:gridSpan w:val="2"/>
            <w:vMerge w:val="continue"/>
            <w:tcBorders>
              <w:tl2br w:val="nil"/>
              <w:tr2bl w:val="nil"/>
            </w:tcBorders>
            <w:vAlign w:val="center"/>
          </w:tcPr>
          <w:p w14:paraId="587722C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10" w:firstLineChars="100"/>
              <w:jc w:val="left"/>
              <w:rPr>
                <w:color w:val="auto"/>
                <w:highlight w:val="none"/>
              </w:rPr>
            </w:pPr>
          </w:p>
        </w:tc>
        <w:tc>
          <w:tcPr>
            <w:tcW w:w="1550" w:type="dxa"/>
            <w:vMerge w:val="continue"/>
            <w:tcBorders>
              <w:tl2br w:val="nil"/>
              <w:tr2bl w:val="nil"/>
            </w:tcBorders>
            <w:vAlign w:val="center"/>
          </w:tcPr>
          <w:p w14:paraId="39CBC69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10" w:firstLineChars="100"/>
              <w:jc w:val="left"/>
              <w:rPr>
                <w:color w:val="auto"/>
                <w:highlight w:val="none"/>
              </w:rPr>
            </w:pPr>
          </w:p>
        </w:tc>
        <w:tc>
          <w:tcPr>
            <w:tcW w:w="4820" w:type="dxa"/>
            <w:vMerge w:val="continue"/>
            <w:tcBorders>
              <w:tl2br w:val="nil"/>
              <w:tr2bl w:val="nil"/>
            </w:tcBorders>
            <w:vAlign w:val="center"/>
          </w:tcPr>
          <w:p w14:paraId="0CCCD45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10" w:firstLineChars="100"/>
              <w:jc w:val="left"/>
              <w:rPr>
                <w:color w:val="auto"/>
                <w:highlight w:val="none"/>
              </w:rPr>
            </w:pPr>
          </w:p>
        </w:tc>
        <w:tc>
          <w:tcPr>
            <w:tcW w:w="823" w:type="dxa"/>
            <w:vMerge w:val="continue"/>
            <w:tcBorders>
              <w:tl2br w:val="nil"/>
              <w:tr2bl w:val="nil"/>
            </w:tcBorders>
            <w:vAlign w:val="center"/>
          </w:tcPr>
          <w:p w14:paraId="4C88F92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10" w:firstLineChars="100"/>
              <w:jc w:val="left"/>
              <w:rPr>
                <w:color w:val="auto"/>
                <w:highlight w:val="none"/>
              </w:rPr>
            </w:pPr>
          </w:p>
        </w:tc>
        <w:tc>
          <w:tcPr>
            <w:tcW w:w="3437" w:type="dxa"/>
            <w:gridSpan w:val="2"/>
            <w:tcBorders>
              <w:tl2br w:val="nil"/>
              <w:tr2bl w:val="nil"/>
            </w:tcBorders>
            <w:vAlign w:val="center"/>
          </w:tcPr>
          <w:p w14:paraId="1FE1317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w:t>
            </w:r>
            <w:r>
              <w:rPr>
                <w:rFonts w:hint="eastAsia" w:ascii="仿宋_GB2312" w:hAnsi="宋体" w:eastAsia="仿宋_GB2312"/>
                <w:color w:val="auto"/>
                <w:kern w:val="0"/>
                <w:sz w:val="13"/>
                <w:szCs w:val="13"/>
                <w:highlight w:val="none"/>
                <w:lang w:val="en-US" w:eastAsia="zh-CN"/>
              </w:rPr>
              <w:t>3</w:t>
            </w:r>
            <w:r>
              <w:rPr>
                <w:rFonts w:hint="eastAsia" w:ascii="仿宋_GB2312" w:hAnsi="宋体" w:eastAsia="仿宋_GB2312"/>
                <w:color w:val="auto"/>
                <w:kern w:val="0"/>
                <w:sz w:val="13"/>
                <w:szCs w:val="13"/>
                <w:highlight w:val="none"/>
              </w:rPr>
              <w:t>）经责令限期改正，逾期未改正，涉及危险性较大分部分项工程，</w:t>
            </w:r>
            <w:r>
              <w:rPr>
                <w:rFonts w:hint="eastAsia" w:ascii="仿宋_GB2312" w:hAnsi="宋体" w:eastAsia="仿宋_GB2312"/>
                <w:color w:val="auto"/>
                <w:kern w:val="0"/>
                <w:sz w:val="13"/>
                <w:szCs w:val="13"/>
                <w:highlight w:val="none"/>
                <w:lang w:eastAsia="zh-CN"/>
              </w:rPr>
              <w:t>或者</w:t>
            </w:r>
            <w:r>
              <w:rPr>
                <w:rFonts w:hint="eastAsia" w:ascii="仿宋_GB2312" w:hAnsi="宋体" w:eastAsia="仿宋_GB2312"/>
                <w:color w:val="auto"/>
                <w:kern w:val="0"/>
                <w:sz w:val="13"/>
                <w:szCs w:val="13"/>
                <w:highlight w:val="none"/>
              </w:rPr>
              <w:t>造成</w:t>
            </w:r>
            <w:r>
              <w:rPr>
                <w:rFonts w:hint="eastAsia" w:ascii="仿宋_GB2312" w:hAnsi="宋体" w:eastAsia="仿宋_GB2312"/>
                <w:color w:val="auto"/>
                <w:kern w:val="0"/>
                <w:sz w:val="13"/>
                <w:szCs w:val="13"/>
                <w:highlight w:val="none"/>
                <w:lang w:val="en-US" w:eastAsia="zh-CN"/>
              </w:rPr>
              <w:t>较大</w:t>
            </w:r>
            <w:r>
              <w:rPr>
                <w:rFonts w:hint="eastAsia" w:ascii="仿宋_GB2312" w:hAnsi="宋体" w:eastAsia="仿宋_GB2312"/>
                <w:color w:val="auto"/>
                <w:kern w:val="0"/>
                <w:sz w:val="13"/>
                <w:szCs w:val="13"/>
                <w:highlight w:val="none"/>
              </w:rPr>
              <w:t>安全生产事故的。</w:t>
            </w:r>
          </w:p>
        </w:tc>
        <w:tc>
          <w:tcPr>
            <w:tcW w:w="3058" w:type="dxa"/>
            <w:tcBorders>
              <w:tl2br w:val="nil"/>
              <w:tr2bl w:val="nil"/>
            </w:tcBorders>
            <w:vAlign w:val="center"/>
          </w:tcPr>
          <w:p w14:paraId="7DE24BC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对生产经营单位处</w:t>
            </w:r>
            <w:r>
              <w:rPr>
                <w:rFonts w:hint="eastAsia" w:ascii="仿宋_GB2312" w:hAnsi="宋体" w:eastAsia="仿宋_GB2312"/>
                <w:color w:val="auto"/>
                <w:kern w:val="0"/>
                <w:sz w:val="13"/>
                <w:szCs w:val="13"/>
                <w:highlight w:val="none"/>
                <w:lang w:val="en-US" w:eastAsia="zh-CN"/>
              </w:rPr>
              <w:t>20万元</w:t>
            </w:r>
            <w:r>
              <w:rPr>
                <w:rFonts w:hint="eastAsia" w:ascii="仿宋_GB2312" w:hAnsi="宋体" w:eastAsia="仿宋_GB2312"/>
                <w:color w:val="auto"/>
                <w:kern w:val="0"/>
                <w:sz w:val="13"/>
                <w:szCs w:val="13"/>
                <w:highlight w:val="none"/>
              </w:rPr>
              <w:t>罚款；</w:t>
            </w:r>
            <w:r>
              <w:rPr>
                <w:rFonts w:hint="eastAsia" w:ascii="仿宋_GB2312" w:hAnsi="宋体" w:eastAsia="仿宋_GB2312"/>
                <w:color w:val="auto"/>
                <w:kern w:val="0"/>
                <w:sz w:val="13"/>
                <w:szCs w:val="13"/>
                <w:highlight w:val="none"/>
                <w:lang w:val="en-US" w:eastAsia="zh-CN"/>
              </w:rPr>
              <w:t>责令停业整顿90日-120日；</w:t>
            </w:r>
            <w:r>
              <w:rPr>
                <w:rFonts w:hint="eastAsia" w:ascii="仿宋_GB2312" w:hAnsi="宋体" w:eastAsia="仿宋_GB2312"/>
                <w:color w:val="auto"/>
                <w:kern w:val="0"/>
                <w:sz w:val="13"/>
                <w:szCs w:val="13"/>
                <w:highlight w:val="none"/>
              </w:rPr>
              <w:t>对其直接负责的主管人员和其他直接责任人员处</w:t>
            </w:r>
            <w:r>
              <w:rPr>
                <w:rFonts w:hint="eastAsia" w:ascii="仿宋_GB2312" w:hAnsi="宋体" w:eastAsia="仿宋_GB2312"/>
                <w:color w:val="auto"/>
                <w:kern w:val="0"/>
                <w:sz w:val="13"/>
                <w:szCs w:val="13"/>
                <w:highlight w:val="none"/>
                <w:lang w:val="en-US" w:eastAsia="zh-CN"/>
              </w:rPr>
              <w:t>2</w:t>
            </w:r>
            <w:r>
              <w:rPr>
                <w:rFonts w:hint="eastAsia" w:ascii="仿宋_GB2312" w:hAnsi="宋体" w:eastAsia="仿宋_GB2312"/>
                <w:color w:val="auto"/>
                <w:kern w:val="0"/>
                <w:sz w:val="13"/>
                <w:szCs w:val="13"/>
                <w:highlight w:val="none"/>
              </w:rPr>
              <w:t>万元以下的罚款。</w:t>
            </w:r>
          </w:p>
        </w:tc>
      </w:tr>
      <w:tr w14:paraId="788FC16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718" w:hRule="atLeast"/>
          <w:jc w:val="center"/>
        </w:trPr>
        <w:tc>
          <w:tcPr>
            <w:tcW w:w="443" w:type="dxa"/>
            <w:gridSpan w:val="2"/>
            <w:vMerge w:val="continue"/>
            <w:tcBorders>
              <w:tl2br w:val="nil"/>
              <w:tr2bl w:val="nil"/>
            </w:tcBorders>
            <w:vAlign w:val="center"/>
          </w:tcPr>
          <w:p w14:paraId="287DD6A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rPr>
            </w:pPr>
          </w:p>
        </w:tc>
        <w:tc>
          <w:tcPr>
            <w:tcW w:w="1550" w:type="dxa"/>
            <w:vMerge w:val="continue"/>
            <w:tcBorders>
              <w:tl2br w:val="nil"/>
              <w:tr2bl w:val="nil"/>
            </w:tcBorders>
            <w:vAlign w:val="center"/>
          </w:tcPr>
          <w:p w14:paraId="6451176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5C39224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rPr>
            </w:pPr>
          </w:p>
        </w:tc>
        <w:tc>
          <w:tcPr>
            <w:tcW w:w="823" w:type="dxa"/>
            <w:vMerge w:val="continue"/>
            <w:tcBorders>
              <w:tl2br w:val="nil"/>
              <w:tr2bl w:val="nil"/>
            </w:tcBorders>
            <w:vAlign w:val="center"/>
          </w:tcPr>
          <w:p w14:paraId="47F316C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rPr>
            </w:pPr>
          </w:p>
        </w:tc>
        <w:tc>
          <w:tcPr>
            <w:tcW w:w="3437" w:type="dxa"/>
            <w:gridSpan w:val="2"/>
            <w:tcBorders>
              <w:tl2br w:val="nil"/>
              <w:tr2bl w:val="nil"/>
            </w:tcBorders>
            <w:vAlign w:val="center"/>
          </w:tcPr>
          <w:p w14:paraId="2DDA906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w:t>
            </w:r>
            <w:r>
              <w:rPr>
                <w:rFonts w:hint="eastAsia" w:ascii="仿宋_GB2312" w:hAnsi="宋体" w:eastAsia="仿宋_GB2312"/>
                <w:color w:val="auto"/>
                <w:kern w:val="0"/>
                <w:sz w:val="13"/>
                <w:szCs w:val="13"/>
                <w:highlight w:val="none"/>
                <w:lang w:val="en-US" w:eastAsia="zh-CN"/>
              </w:rPr>
              <w:t>4</w:t>
            </w:r>
            <w:r>
              <w:rPr>
                <w:rFonts w:hint="eastAsia" w:ascii="仿宋_GB2312" w:hAnsi="宋体" w:eastAsia="仿宋_GB2312"/>
                <w:color w:val="auto"/>
                <w:kern w:val="0"/>
                <w:sz w:val="13"/>
                <w:szCs w:val="13"/>
                <w:highlight w:val="none"/>
              </w:rPr>
              <w:t>）经责令限期改正，逾期未改正，涉及危险性较大分部分项工程，</w:t>
            </w:r>
            <w:r>
              <w:rPr>
                <w:rFonts w:hint="eastAsia" w:ascii="仿宋_GB2312" w:hAnsi="宋体" w:eastAsia="仿宋_GB2312"/>
                <w:color w:val="auto"/>
                <w:kern w:val="0"/>
                <w:sz w:val="13"/>
                <w:szCs w:val="13"/>
                <w:highlight w:val="none"/>
                <w:lang w:eastAsia="zh-CN"/>
              </w:rPr>
              <w:t>或者</w:t>
            </w:r>
            <w:r>
              <w:rPr>
                <w:rFonts w:hint="eastAsia" w:ascii="仿宋_GB2312" w:hAnsi="宋体" w:eastAsia="仿宋_GB2312"/>
                <w:color w:val="auto"/>
                <w:kern w:val="0"/>
                <w:sz w:val="13"/>
                <w:szCs w:val="13"/>
                <w:highlight w:val="none"/>
              </w:rPr>
              <w:t>造成</w:t>
            </w:r>
            <w:r>
              <w:rPr>
                <w:rFonts w:hint="eastAsia" w:ascii="仿宋_GB2312" w:hAnsi="宋体" w:eastAsia="仿宋_GB2312"/>
                <w:color w:val="auto"/>
                <w:kern w:val="0"/>
                <w:sz w:val="13"/>
                <w:szCs w:val="13"/>
                <w:highlight w:val="none"/>
                <w:lang w:val="en-US" w:eastAsia="zh-CN"/>
              </w:rPr>
              <w:t>重大大</w:t>
            </w:r>
            <w:r>
              <w:rPr>
                <w:rFonts w:hint="eastAsia" w:ascii="仿宋_GB2312" w:hAnsi="宋体" w:eastAsia="仿宋_GB2312"/>
                <w:color w:val="auto"/>
                <w:kern w:val="0"/>
                <w:sz w:val="13"/>
                <w:szCs w:val="13"/>
                <w:highlight w:val="none"/>
              </w:rPr>
              <w:t>安全生产事故的。</w:t>
            </w:r>
          </w:p>
        </w:tc>
        <w:tc>
          <w:tcPr>
            <w:tcW w:w="3058" w:type="dxa"/>
            <w:tcBorders>
              <w:tl2br w:val="nil"/>
              <w:tr2bl w:val="nil"/>
            </w:tcBorders>
            <w:vAlign w:val="center"/>
          </w:tcPr>
          <w:p w14:paraId="6C85C02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对生产经营单位处</w:t>
            </w:r>
            <w:r>
              <w:rPr>
                <w:rFonts w:hint="eastAsia" w:ascii="仿宋_GB2312" w:hAnsi="宋体" w:eastAsia="仿宋_GB2312"/>
                <w:color w:val="auto"/>
                <w:kern w:val="0"/>
                <w:sz w:val="13"/>
                <w:szCs w:val="13"/>
                <w:highlight w:val="none"/>
                <w:lang w:val="en-US" w:eastAsia="zh-CN"/>
              </w:rPr>
              <w:t>20万元</w:t>
            </w:r>
            <w:r>
              <w:rPr>
                <w:rFonts w:hint="eastAsia" w:ascii="仿宋_GB2312" w:hAnsi="宋体" w:eastAsia="仿宋_GB2312"/>
                <w:color w:val="auto"/>
                <w:kern w:val="0"/>
                <w:sz w:val="13"/>
                <w:szCs w:val="13"/>
                <w:highlight w:val="none"/>
              </w:rPr>
              <w:t>罚款；</w:t>
            </w:r>
            <w:r>
              <w:rPr>
                <w:rFonts w:hint="eastAsia" w:ascii="仿宋_GB2312" w:hAnsi="宋体" w:eastAsia="仿宋_GB2312"/>
                <w:color w:val="auto"/>
                <w:kern w:val="0"/>
                <w:sz w:val="13"/>
                <w:szCs w:val="13"/>
                <w:highlight w:val="none"/>
                <w:lang w:val="en-US" w:eastAsia="zh-CN"/>
              </w:rPr>
              <w:t>责令停业整顿120日-180日；</w:t>
            </w:r>
            <w:r>
              <w:rPr>
                <w:rFonts w:hint="eastAsia" w:ascii="仿宋_GB2312" w:hAnsi="宋体" w:eastAsia="仿宋_GB2312"/>
                <w:color w:val="auto"/>
                <w:kern w:val="0"/>
                <w:sz w:val="13"/>
                <w:szCs w:val="13"/>
                <w:highlight w:val="none"/>
              </w:rPr>
              <w:t>对其直接负责的主管人员和其他直接责任人员处</w:t>
            </w:r>
            <w:r>
              <w:rPr>
                <w:rFonts w:hint="eastAsia" w:ascii="仿宋_GB2312" w:hAnsi="宋体" w:eastAsia="仿宋_GB2312"/>
                <w:color w:val="auto"/>
                <w:kern w:val="0"/>
                <w:sz w:val="13"/>
                <w:szCs w:val="13"/>
                <w:highlight w:val="none"/>
                <w:lang w:val="en-US" w:eastAsia="zh-CN"/>
              </w:rPr>
              <w:t>2万元</w:t>
            </w:r>
            <w:r>
              <w:rPr>
                <w:rFonts w:hint="eastAsia" w:ascii="仿宋_GB2312" w:hAnsi="宋体" w:eastAsia="仿宋_GB2312"/>
                <w:color w:val="auto"/>
                <w:kern w:val="0"/>
                <w:sz w:val="13"/>
                <w:szCs w:val="13"/>
                <w:highlight w:val="none"/>
              </w:rPr>
              <w:t>罚款。</w:t>
            </w:r>
          </w:p>
        </w:tc>
      </w:tr>
      <w:tr w14:paraId="70E75A9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82" w:hRule="atLeast"/>
          <w:jc w:val="center"/>
        </w:trPr>
        <w:tc>
          <w:tcPr>
            <w:tcW w:w="443" w:type="dxa"/>
            <w:gridSpan w:val="2"/>
            <w:vMerge w:val="continue"/>
            <w:tcBorders>
              <w:tl2br w:val="nil"/>
              <w:tr2bl w:val="nil"/>
            </w:tcBorders>
            <w:vAlign w:val="center"/>
          </w:tcPr>
          <w:p w14:paraId="37939D0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rPr>
            </w:pPr>
          </w:p>
        </w:tc>
        <w:tc>
          <w:tcPr>
            <w:tcW w:w="1550" w:type="dxa"/>
            <w:vMerge w:val="continue"/>
            <w:tcBorders>
              <w:tl2br w:val="nil"/>
              <w:tr2bl w:val="nil"/>
            </w:tcBorders>
            <w:vAlign w:val="center"/>
          </w:tcPr>
          <w:p w14:paraId="765047C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4C014DD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rPr>
            </w:pPr>
          </w:p>
        </w:tc>
        <w:tc>
          <w:tcPr>
            <w:tcW w:w="823" w:type="dxa"/>
            <w:vMerge w:val="continue"/>
            <w:tcBorders>
              <w:tl2br w:val="nil"/>
              <w:tr2bl w:val="nil"/>
            </w:tcBorders>
            <w:vAlign w:val="center"/>
          </w:tcPr>
          <w:p w14:paraId="56E2770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rPr>
            </w:pPr>
          </w:p>
        </w:tc>
        <w:tc>
          <w:tcPr>
            <w:tcW w:w="3437" w:type="dxa"/>
            <w:gridSpan w:val="2"/>
            <w:tcBorders>
              <w:tl2br w:val="nil"/>
              <w:tr2bl w:val="nil"/>
            </w:tcBorders>
            <w:vAlign w:val="center"/>
          </w:tcPr>
          <w:p w14:paraId="6226661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w:t>
            </w:r>
            <w:r>
              <w:rPr>
                <w:rFonts w:hint="eastAsia" w:ascii="仿宋_GB2312" w:hAnsi="宋体" w:eastAsia="仿宋_GB2312"/>
                <w:color w:val="auto"/>
                <w:kern w:val="0"/>
                <w:sz w:val="13"/>
                <w:szCs w:val="13"/>
                <w:highlight w:val="none"/>
                <w:lang w:val="en-US" w:eastAsia="zh-CN"/>
              </w:rPr>
              <w:t>5</w:t>
            </w:r>
            <w:r>
              <w:rPr>
                <w:rFonts w:hint="eastAsia" w:ascii="仿宋_GB2312" w:hAnsi="宋体" w:eastAsia="仿宋_GB2312"/>
                <w:color w:val="auto"/>
                <w:kern w:val="0"/>
                <w:sz w:val="13"/>
                <w:szCs w:val="13"/>
                <w:highlight w:val="none"/>
              </w:rPr>
              <w:t>）经责令限期改正，逾期未改正，涉及危险性较大分部分项工程，</w:t>
            </w:r>
            <w:r>
              <w:rPr>
                <w:rFonts w:hint="eastAsia" w:ascii="仿宋_GB2312" w:hAnsi="宋体" w:eastAsia="仿宋_GB2312"/>
                <w:color w:val="auto"/>
                <w:kern w:val="0"/>
                <w:sz w:val="13"/>
                <w:szCs w:val="13"/>
                <w:highlight w:val="none"/>
                <w:lang w:eastAsia="zh-CN"/>
              </w:rPr>
              <w:t>或者</w:t>
            </w:r>
            <w:r>
              <w:rPr>
                <w:rFonts w:hint="eastAsia" w:ascii="仿宋_GB2312" w:hAnsi="宋体" w:eastAsia="仿宋_GB2312"/>
                <w:color w:val="auto"/>
                <w:kern w:val="0"/>
                <w:sz w:val="13"/>
                <w:szCs w:val="13"/>
                <w:highlight w:val="none"/>
              </w:rPr>
              <w:t>造成</w:t>
            </w:r>
            <w:r>
              <w:rPr>
                <w:rFonts w:hint="eastAsia" w:ascii="仿宋_GB2312" w:hAnsi="宋体" w:eastAsia="仿宋_GB2312"/>
                <w:color w:val="auto"/>
                <w:kern w:val="0"/>
                <w:sz w:val="13"/>
                <w:szCs w:val="13"/>
                <w:highlight w:val="none"/>
                <w:lang w:val="en-US" w:eastAsia="zh-CN"/>
              </w:rPr>
              <w:t>特别重大</w:t>
            </w:r>
            <w:r>
              <w:rPr>
                <w:rFonts w:hint="eastAsia" w:ascii="仿宋_GB2312" w:hAnsi="宋体" w:eastAsia="仿宋_GB2312"/>
                <w:color w:val="auto"/>
                <w:kern w:val="0"/>
                <w:sz w:val="13"/>
                <w:szCs w:val="13"/>
                <w:highlight w:val="none"/>
              </w:rPr>
              <w:t>安全生产事故的。</w:t>
            </w:r>
          </w:p>
        </w:tc>
        <w:tc>
          <w:tcPr>
            <w:tcW w:w="3058" w:type="dxa"/>
            <w:tcBorders>
              <w:tl2br w:val="nil"/>
              <w:tr2bl w:val="nil"/>
            </w:tcBorders>
            <w:vAlign w:val="center"/>
          </w:tcPr>
          <w:p w14:paraId="23ABDE6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对生产经营单位处20万元的罚款；责令停业整顿</w:t>
            </w:r>
            <w:r>
              <w:rPr>
                <w:rFonts w:hint="eastAsia" w:ascii="仿宋_GB2312" w:hAnsi="宋体" w:eastAsia="仿宋_GB2312"/>
                <w:color w:val="auto"/>
                <w:kern w:val="0"/>
                <w:sz w:val="13"/>
                <w:szCs w:val="13"/>
                <w:highlight w:val="none"/>
                <w:lang w:val="en-US" w:eastAsia="zh-CN"/>
              </w:rPr>
              <w:t>180日</w:t>
            </w:r>
            <w:r>
              <w:rPr>
                <w:rFonts w:hint="eastAsia" w:ascii="仿宋_GB2312" w:hAnsi="宋体" w:eastAsia="仿宋_GB2312"/>
                <w:color w:val="auto"/>
                <w:kern w:val="0"/>
                <w:sz w:val="13"/>
                <w:szCs w:val="13"/>
                <w:highlight w:val="none"/>
              </w:rPr>
              <w:t>，对其直接负责的主管人员和其他直接责任人员处2万元罚款。</w:t>
            </w:r>
          </w:p>
        </w:tc>
      </w:tr>
      <w:tr w14:paraId="016E5C2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8" w:hRule="atLeast"/>
          <w:jc w:val="center"/>
        </w:trPr>
        <w:tc>
          <w:tcPr>
            <w:tcW w:w="443" w:type="dxa"/>
            <w:gridSpan w:val="2"/>
            <w:vMerge w:val="restart"/>
            <w:tcBorders>
              <w:tl2br w:val="nil"/>
              <w:tr2bl w:val="nil"/>
            </w:tcBorders>
            <w:vAlign w:val="center"/>
          </w:tcPr>
          <w:p w14:paraId="7A6F7F6B">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color w:val="auto"/>
                <w:kern w:val="0"/>
                <w:sz w:val="13"/>
                <w:szCs w:val="13"/>
                <w:highlight w:val="none"/>
              </w:rPr>
            </w:pPr>
            <w:r>
              <w:rPr>
                <w:rFonts w:hint="default" w:ascii="仿宋_GB2312" w:hAnsi="宋体" w:eastAsia="仿宋_GB2312" w:cs="仿宋_GB2312"/>
                <w:i w:val="0"/>
                <w:color w:val="auto"/>
                <w:kern w:val="0"/>
                <w:sz w:val="13"/>
                <w:szCs w:val="13"/>
                <w:highlight w:val="none"/>
                <w:u w:val="none"/>
                <w:lang w:val="en-US" w:eastAsia="zh-CN" w:bidi="ar"/>
              </w:rPr>
              <w:t>1</w:t>
            </w:r>
            <w:r>
              <w:rPr>
                <w:rFonts w:hint="eastAsia" w:ascii="仿宋_GB2312" w:hAnsi="宋体" w:eastAsia="仿宋_GB2312" w:cs="仿宋_GB2312"/>
                <w:i w:val="0"/>
                <w:color w:val="auto"/>
                <w:kern w:val="0"/>
                <w:sz w:val="13"/>
                <w:szCs w:val="13"/>
                <w:highlight w:val="none"/>
                <w:u w:val="none"/>
                <w:lang w:val="en-US" w:eastAsia="zh-CN" w:bidi="ar"/>
              </w:rPr>
              <w:t>27</w:t>
            </w:r>
          </w:p>
        </w:tc>
        <w:tc>
          <w:tcPr>
            <w:tcW w:w="1550" w:type="dxa"/>
            <w:vMerge w:val="restart"/>
            <w:tcBorders>
              <w:tl2br w:val="nil"/>
              <w:tr2bl w:val="nil"/>
            </w:tcBorders>
            <w:vAlign w:val="center"/>
          </w:tcPr>
          <w:p w14:paraId="651BCF5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95" w:firstLineChars="150"/>
              <w:jc w:val="left"/>
              <w:rPr>
                <w:rFonts w:ascii="仿宋_GB2312" w:hAnsi="宋体" w:eastAsia="仿宋_GB2312"/>
                <w:color w:val="auto"/>
                <w:kern w:val="0"/>
                <w:sz w:val="13"/>
                <w:szCs w:val="13"/>
                <w:highlight w:val="none"/>
              </w:rPr>
            </w:pPr>
          </w:p>
          <w:p w14:paraId="7FB0F8E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95" w:firstLineChars="15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施工单位未按照规定在施工起重机械和整体提升脚手架、模板等自升式架设设施验收合格后登记</w:t>
            </w:r>
          </w:p>
        </w:tc>
        <w:tc>
          <w:tcPr>
            <w:tcW w:w="4820" w:type="dxa"/>
            <w:vMerge w:val="restart"/>
            <w:tcBorders>
              <w:tl2br w:val="nil"/>
              <w:tr2bl w:val="nil"/>
            </w:tcBorders>
            <w:vAlign w:val="center"/>
          </w:tcPr>
          <w:p w14:paraId="0E77FACD">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《建设工程安全生产管理条例》</w:t>
            </w:r>
          </w:p>
          <w:p w14:paraId="70C2B5F6">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rPr>
              <w:t>第六十二条</w:t>
            </w:r>
            <w:r>
              <w:rPr>
                <w:rFonts w:ascii="仿宋_GB2312" w:hAnsi="宋体" w:eastAsia="仿宋_GB2312"/>
                <w:color w:val="auto"/>
                <w:kern w:val="0"/>
                <w:sz w:val="13"/>
                <w:szCs w:val="13"/>
                <w:highlight w:val="none"/>
              </w:rPr>
              <w:t>第</w:t>
            </w:r>
            <w:r>
              <w:rPr>
                <w:rFonts w:hint="eastAsia" w:ascii="仿宋_GB2312" w:hAnsi="宋体" w:eastAsia="仿宋_GB2312"/>
                <w:color w:val="auto"/>
                <w:kern w:val="0"/>
                <w:sz w:val="13"/>
                <w:szCs w:val="13"/>
                <w:highlight w:val="none"/>
              </w:rPr>
              <w:t>（</w:t>
            </w:r>
            <w:r>
              <w:rPr>
                <w:rFonts w:ascii="仿宋_GB2312" w:hAnsi="宋体" w:eastAsia="仿宋_GB2312"/>
                <w:color w:val="auto"/>
                <w:kern w:val="0"/>
                <w:sz w:val="13"/>
                <w:szCs w:val="13"/>
                <w:highlight w:val="none"/>
              </w:rPr>
              <w:t>五</w:t>
            </w:r>
            <w:r>
              <w:rPr>
                <w:rFonts w:hint="eastAsia" w:ascii="仿宋_GB2312" w:hAnsi="宋体" w:eastAsia="仿宋_GB2312"/>
                <w:color w:val="auto"/>
                <w:kern w:val="0"/>
                <w:sz w:val="13"/>
                <w:szCs w:val="13"/>
                <w:highlight w:val="none"/>
              </w:rPr>
              <w:t>）</w:t>
            </w:r>
            <w:r>
              <w:rPr>
                <w:rFonts w:ascii="仿宋_GB2312" w:hAnsi="宋体" w:eastAsia="仿宋_GB2312"/>
                <w:color w:val="auto"/>
                <w:kern w:val="0"/>
                <w:sz w:val="13"/>
                <w:szCs w:val="13"/>
                <w:highlight w:val="none"/>
              </w:rPr>
              <w:t>项</w:t>
            </w:r>
            <w:r>
              <w:rPr>
                <w:rFonts w:hint="eastAsia" w:ascii="仿宋_GB2312" w:hAnsi="宋体" w:eastAsia="仿宋_GB2312"/>
                <w:color w:val="auto"/>
                <w:kern w:val="0"/>
                <w:sz w:val="13"/>
                <w:szCs w:val="13"/>
                <w:highlight w:val="none"/>
              </w:rPr>
              <w:t>违反本条例的规定，施工单位有下列行为之一的，责令限期改正；逾期未改正的，责令停业整顿，依照《中华人民共和国安全生产法》的有关规定处以罚款；造成重大安全事故，构成犯罪的，对直接责任人员，依照刑法有关规定追究刑事责任：</w:t>
            </w:r>
          </w:p>
          <w:p w14:paraId="05DDDFDA">
            <w:pPr>
              <w:keepNext w:val="0"/>
              <w:keepLines w:val="0"/>
              <w:pageBreakBefore w:val="0"/>
              <w:numPr>
                <w:ilvl w:val="0"/>
                <w:numId w:val="0"/>
              </w:numPr>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hint="eastAsia" w:ascii="仿宋_GB2312" w:hAnsi="宋体" w:eastAsia="仿宋_GB2312"/>
                <w:color w:val="auto"/>
                <w:kern w:val="0"/>
                <w:sz w:val="13"/>
                <w:szCs w:val="13"/>
                <w:highlight w:val="none"/>
              </w:rPr>
            </w:pPr>
            <w:r>
              <w:rPr>
                <w:rFonts w:hint="eastAsia" w:ascii="仿宋_GB2312" w:hAnsi="宋体" w:eastAsia="仿宋_GB2312" w:cstheme="minorBidi"/>
                <w:color w:val="auto"/>
                <w:kern w:val="0"/>
                <w:sz w:val="13"/>
                <w:szCs w:val="13"/>
                <w:highlight w:val="none"/>
                <w:lang w:val="en-US" w:eastAsia="zh-CN" w:bidi="ar-SA"/>
              </w:rPr>
              <w:t>(五)</w:t>
            </w:r>
            <w:r>
              <w:rPr>
                <w:rFonts w:hint="eastAsia" w:ascii="仿宋_GB2312" w:hAnsi="宋体" w:eastAsia="仿宋_GB2312"/>
                <w:color w:val="auto"/>
                <w:kern w:val="0"/>
                <w:sz w:val="13"/>
                <w:szCs w:val="13"/>
                <w:highlight w:val="none"/>
              </w:rPr>
              <w:t>未按照规定在施工起重机械和整体提升脚手架、模板等自升式架设设施验收合格后登记的；</w:t>
            </w:r>
          </w:p>
          <w:p w14:paraId="59ABD8B4">
            <w:pPr>
              <w:keepNext w:val="0"/>
              <w:keepLines w:val="0"/>
              <w:pageBreakBefore w:val="0"/>
              <w:numPr>
                <w:ilvl w:val="0"/>
                <w:numId w:val="0"/>
              </w:numPr>
              <w:kinsoku/>
              <w:overflowPunct/>
              <w:topLinePunct w:val="0"/>
              <w:autoSpaceDE/>
              <w:autoSpaceDN/>
              <w:bidi w:val="0"/>
              <w:adjustRightInd/>
              <w:snapToGrid/>
              <w:spacing w:beforeAutospacing="0" w:afterAutospacing="0" w:line="260" w:lineRule="exact"/>
              <w:ind w:left="0" w:leftChars="0" w:right="0" w:rightChars="0"/>
              <w:jc w:val="left"/>
              <w:rPr>
                <w:rFonts w:hint="eastAsia" w:ascii="仿宋_GB2312" w:hAnsi="宋体" w:eastAsia="仿宋_GB2312"/>
                <w:color w:val="auto"/>
                <w:kern w:val="0"/>
                <w:sz w:val="13"/>
                <w:szCs w:val="13"/>
                <w:highlight w:val="none"/>
                <w:lang w:val="en-US" w:eastAsia="zh-CN"/>
              </w:rPr>
            </w:pPr>
          </w:p>
          <w:p w14:paraId="48A0CCA4">
            <w:pPr>
              <w:keepNext w:val="0"/>
              <w:keepLines w:val="0"/>
              <w:pageBreakBefore w:val="0"/>
              <w:numPr>
                <w:ilvl w:val="0"/>
                <w:numId w:val="0"/>
              </w:numPr>
              <w:kinsoku/>
              <w:overflowPunct/>
              <w:topLinePunct w:val="0"/>
              <w:autoSpaceDE/>
              <w:autoSpaceDN/>
              <w:bidi w:val="0"/>
              <w:adjustRightInd/>
              <w:snapToGrid/>
              <w:spacing w:beforeAutospacing="0" w:afterAutospacing="0" w:line="260" w:lineRule="exact"/>
              <w:ind w:left="0" w:leftChars="0" w:right="0" w:rightChars="0"/>
              <w:jc w:val="left"/>
              <w:rPr>
                <w:rFonts w:hint="eastAsia" w:ascii="仿宋_GB2312" w:hAnsi="宋体" w:eastAsia="仿宋_GB2312"/>
                <w:color w:val="auto"/>
                <w:kern w:val="0"/>
                <w:sz w:val="13"/>
                <w:szCs w:val="13"/>
                <w:highlight w:val="none"/>
                <w:lang w:val="en-US" w:eastAsia="zh-CN"/>
              </w:rPr>
            </w:pPr>
            <w:r>
              <w:rPr>
                <w:rFonts w:hint="eastAsia" w:ascii="仿宋_GB2312" w:hAnsi="宋体" w:eastAsia="仿宋_GB2312"/>
                <w:color w:val="auto"/>
                <w:kern w:val="0"/>
                <w:sz w:val="13"/>
                <w:szCs w:val="13"/>
                <w:highlight w:val="none"/>
                <w:lang w:val="en-US" w:eastAsia="zh-CN"/>
              </w:rPr>
              <w:t>《建筑起重机械安全监督管理规定》</w:t>
            </w:r>
          </w:p>
          <w:p w14:paraId="3F4C47F0">
            <w:pPr>
              <w:keepNext w:val="0"/>
              <w:keepLines w:val="0"/>
              <w:pageBreakBefore w:val="0"/>
              <w:numPr>
                <w:ilvl w:val="0"/>
                <w:numId w:val="0"/>
              </w:numPr>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hint="default" w:ascii="仿宋_GB2312" w:hAnsi="宋体" w:eastAsia="仿宋_GB2312"/>
                <w:color w:val="auto"/>
                <w:kern w:val="0"/>
                <w:sz w:val="13"/>
                <w:szCs w:val="13"/>
                <w:highlight w:val="none"/>
                <w:lang w:val="en-US" w:eastAsia="zh-CN"/>
              </w:rPr>
            </w:pPr>
            <w:r>
              <w:rPr>
                <w:rFonts w:hint="default" w:ascii="仿宋_GB2312" w:hAnsi="宋体" w:eastAsia="仿宋_GB2312"/>
                <w:color w:val="auto"/>
                <w:kern w:val="0"/>
                <w:sz w:val="13"/>
                <w:szCs w:val="13"/>
                <w:highlight w:val="none"/>
                <w:lang w:val="en-US" w:eastAsia="zh-CN"/>
              </w:rPr>
              <w:t>第二十八条　违反本规定，出租单位、自购建筑起重机械的使用单位，有下列行为之一的，由县级以上地方人民政府建设主管部门责令限期改正，予以警告，并处以5000元以上1万元以下罚款：</w:t>
            </w:r>
          </w:p>
          <w:p w14:paraId="37177305">
            <w:pPr>
              <w:keepNext w:val="0"/>
              <w:keepLines w:val="0"/>
              <w:pageBreakBefore w:val="0"/>
              <w:numPr>
                <w:ilvl w:val="0"/>
                <w:numId w:val="0"/>
              </w:numPr>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hint="default" w:ascii="仿宋_GB2312" w:hAnsi="宋体" w:eastAsia="仿宋_GB2312"/>
                <w:color w:val="auto"/>
                <w:kern w:val="0"/>
                <w:sz w:val="13"/>
                <w:szCs w:val="13"/>
                <w:highlight w:val="none"/>
                <w:lang w:val="en-US" w:eastAsia="zh-CN"/>
              </w:rPr>
            </w:pPr>
            <w:r>
              <w:rPr>
                <w:rFonts w:hint="default" w:ascii="仿宋_GB2312" w:hAnsi="宋体" w:eastAsia="仿宋_GB2312"/>
                <w:color w:val="auto"/>
                <w:kern w:val="0"/>
                <w:sz w:val="13"/>
                <w:szCs w:val="13"/>
                <w:highlight w:val="none"/>
                <w:lang w:val="en-US" w:eastAsia="zh-CN"/>
              </w:rPr>
              <w:t>（一）未按照规定办理备案的；</w:t>
            </w:r>
          </w:p>
          <w:p w14:paraId="067A0540">
            <w:pPr>
              <w:keepNext w:val="0"/>
              <w:keepLines w:val="0"/>
              <w:pageBreakBefore w:val="0"/>
              <w:numPr>
                <w:ilvl w:val="0"/>
                <w:numId w:val="0"/>
              </w:numPr>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hint="default" w:ascii="仿宋_GB2312" w:hAnsi="宋体" w:eastAsia="仿宋_GB2312"/>
                <w:color w:val="auto"/>
                <w:kern w:val="0"/>
                <w:sz w:val="13"/>
                <w:szCs w:val="13"/>
                <w:highlight w:val="none"/>
                <w:lang w:val="en-US" w:eastAsia="zh-CN"/>
              </w:rPr>
            </w:pPr>
            <w:r>
              <w:rPr>
                <w:rFonts w:hint="default" w:ascii="仿宋_GB2312" w:hAnsi="宋体" w:eastAsia="仿宋_GB2312"/>
                <w:color w:val="auto"/>
                <w:kern w:val="0"/>
                <w:sz w:val="13"/>
                <w:szCs w:val="13"/>
                <w:highlight w:val="none"/>
                <w:lang w:val="en-US" w:eastAsia="zh-CN"/>
              </w:rPr>
              <w:t>（二）未按照规定办理注销手续的；</w:t>
            </w:r>
          </w:p>
          <w:p w14:paraId="02574618">
            <w:pPr>
              <w:keepNext w:val="0"/>
              <w:keepLines w:val="0"/>
              <w:pageBreakBefore w:val="0"/>
              <w:numPr>
                <w:ilvl w:val="0"/>
                <w:numId w:val="0"/>
              </w:numPr>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hint="default" w:ascii="仿宋_GB2312" w:hAnsi="宋体" w:eastAsia="仿宋_GB2312"/>
                <w:color w:val="auto"/>
                <w:kern w:val="0"/>
                <w:sz w:val="13"/>
                <w:szCs w:val="13"/>
                <w:highlight w:val="none"/>
                <w:lang w:val="en-US" w:eastAsia="zh-CN"/>
              </w:rPr>
            </w:pPr>
            <w:r>
              <w:rPr>
                <w:rFonts w:hint="default" w:ascii="仿宋_GB2312" w:hAnsi="宋体" w:eastAsia="仿宋_GB2312"/>
                <w:color w:val="auto"/>
                <w:kern w:val="0"/>
                <w:sz w:val="13"/>
                <w:szCs w:val="13"/>
                <w:highlight w:val="none"/>
                <w:lang w:val="en-US" w:eastAsia="zh-CN"/>
              </w:rPr>
              <w:t>（三）未按照规定建立建筑起重机械安全技术档案的。</w:t>
            </w:r>
          </w:p>
          <w:p w14:paraId="5BA85428">
            <w:pPr>
              <w:keepNext w:val="0"/>
              <w:keepLines w:val="0"/>
              <w:pageBreakBefore w:val="0"/>
              <w:numPr>
                <w:ilvl w:val="0"/>
                <w:numId w:val="0"/>
              </w:numPr>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hint="eastAsia" w:ascii="仿宋_GB2312" w:hAnsi="宋体" w:eastAsia="仿宋_GB2312"/>
                <w:color w:val="auto"/>
                <w:kern w:val="0"/>
                <w:sz w:val="13"/>
                <w:szCs w:val="13"/>
                <w:highlight w:val="none"/>
              </w:rPr>
            </w:pPr>
          </w:p>
          <w:p w14:paraId="3384F936">
            <w:pPr>
              <w:keepNext w:val="0"/>
              <w:keepLines w:val="0"/>
              <w:pageBreakBefore w:val="0"/>
              <w:numPr>
                <w:ilvl w:val="0"/>
                <w:numId w:val="0"/>
              </w:numPr>
              <w:kinsoku/>
              <w:overflowPunct/>
              <w:topLinePunct w:val="0"/>
              <w:autoSpaceDE/>
              <w:autoSpaceDN/>
              <w:bidi w:val="0"/>
              <w:adjustRightInd/>
              <w:snapToGrid/>
              <w:spacing w:beforeAutospacing="0" w:afterAutospacing="0" w:line="260" w:lineRule="exact"/>
              <w:ind w:left="0" w:leftChars="0" w:right="0" w:rightChars="0"/>
              <w:jc w:val="left"/>
              <w:rPr>
                <w:rFonts w:hint="default" w:ascii="仿宋_GB2312" w:hAnsi="宋体" w:eastAsia="仿宋_GB2312"/>
                <w:color w:val="auto"/>
                <w:kern w:val="0"/>
                <w:sz w:val="13"/>
                <w:szCs w:val="13"/>
                <w:highlight w:val="none"/>
                <w:lang w:val="en-US" w:eastAsia="zh-CN"/>
              </w:rPr>
            </w:pPr>
            <w:r>
              <w:rPr>
                <w:rFonts w:hint="eastAsia" w:ascii="仿宋_GB2312" w:hAnsi="宋体" w:eastAsia="仿宋_GB2312"/>
                <w:color w:val="auto"/>
                <w:kern w:val="0"/>
                <w:sz w:val="13"/>
                <w:szCs w:val="13"/>
                <w:highlight w:val="none"/>
                <w:lang w:val="en-US" w:eastAsia="zh-CN"/>
              </w:rPr>
              <w:t>#</w:t>
            </w:r>
            <w:r>
              <w:rPr>
                <w:rFonts w:hint="eastAsia" w:ascii="仿宋_GB2312" w:hAnsi="宋体" w:eastAsia="仿宋_GB2312"/>
                <w:color w:val="auto"/>
                <w:kern w:val="0"/>
                <w:sz w:val="13"/>
                <w:szCs w:val="13"/>
                <w:highlight w:val="none"/>
              </w:rPr>
              <w:t>整体提升脚手架、模板等自升式架设设施</w:t>
            </w:r>
            <w:r>
              <w:rPr>
                <w:rFonts w:hint="eastAsia" w:ascii="仿宋_GB2312" w:hAnsi="宋体" w:eastAsia="仿宋_GB2312"/>
                <w:color w:val="auto"/>
                <w:kern w:val="0"/>
                <w:sz w:val="13"/>
                <w:szCs w:val="13"/>
                <w:highlight w:val="none"/>
                <w:lang w:val="en-US" w:eastAsia="zh-CN"/>
              </w:rPr>
              <w:t>未登记的参照《建筑起重机械安全监督管理规定》</w:t>
            </w:r>
            <w:r>
              <w:rPr>
                <w:rFonts w:hint="default" w:ascii="仿宋_GB2312" w:hAnsi="宋体" w:eastAsia="仿宋_GB2312"/>
                <w:color w:val="auto"/>
                <w:kern w:val="0"/>
                <w:sz w:val="13"/>
                <w:szCs w:val="13"/>
                <w:highlight w:val="none"/>
                <w:lang w:val="en-US" w:eastAsia="zh-CN"/>
              </w:rPr>
              <w:t>第二十八条</w:t>
            </w:r>
            <w:r>
              <w:rPr>
                <w:rFonts w:hint="eastAsia" w:ascii="仿宋_GB2312" w:hAnsi="宋体" w:eastAsia="仿宋_GB2312"/>
                <w:color w:val="auto"/>
                <w:kern w:val="0"/>
                <w:sz w:val="13"/>
                <w:szCs w:val="13"/>
                <w:highlight w:val="none"/>
                <w:lang w:val="en-US" w:eastAsia="zh-CN"/>
              </w:rPr>
              <w:t>处罚</w:t>
            </w:r>
          </w:p>
          <w:p w14:paraId="060816BA">
            <w:pPr>
              <w:keepNext w:val="0"/>
              <w:keepLines w:val="0"/>
              <w:pageBreakBefore w:val="0"/>
              <w:numPr>
                <w:ilvl w:val="0"/>
                <w:numId w:val="0"/>
              </w:numPr>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hint="default" w:ascii="仿宋_GB2312" w:hAnsi="宋体" w:eastAsia="仿宋_GB2312"/>
                <w:color w:val="auto"/>
                <w:kern w:val="0"/>
                <w:sz w:val="13"/>
                <w:szCs w:val="13"/>
                <w:highlight w:val="none"/>
                <w:lang w:val="en-US" w:eastAsia="zh-CN"/>
              </w:rPr>
            </w:pPr>
          </w:p>
        </w:tc>
        <w:tc>
          <w:tcPr>
            <w:tcW w:w="823" w:type="dxa"/>
            <w:tcBorders>
              <w:tl2br w:val="nil"/>
              <w:tr2bl w:val="nil"/>
            </w:tcBorders>
            <w:vAlign w:val="center"/>
          </w:tcPr>
          <w:p w14:paraId="52B07A2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vAlign w:val="center"/>
          </w:tcPr>
          <w:p w14:paraId="6EC1055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1台施工起重机械和整体提升脚手架、模板等自升式架设设施验收合格后未登记的。</w:t>
            </w:r>
          </w:p>
        </w:tc>
        <w:tc>
          <w:tcPr>
            <w:tcW w:w="3058" w:type="dxa"/>
            <w:tcBorders>
              <w:tl2br w:val="nil"/>
              <w:tr2bl w:val="nil"/>
            </w:tcBorders>
            <w:vAlign w:val="center"/>
          </w:tcPr>
          <w:p w14:paraId="502C5F5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责令停业整顿，</w:t>
            </w:r>
            <w:r>
              <w:rPr>
                <w:rFonts w:hint="eastAsia" w:ascii="仿宋_GB2312" w:hAnsi="宋体" w:eastAsia="仿宋_GB2312"/>
                <w:color w:val="auto"/>
                <w:kern w:val="0"/>
                <w:sz w:val="13"/>
                <w:szCs w:val="13"/>
                <w:highlight w:val="none"/>
                <w:lang w:val="en-US" w:eastAsia="zh-CN"/>
              </w:rPr>
              <w:t>警告</w:t>
            </w:r>
            <w:r>
              <w:rPr>
                <w:rFonts w:hint="eastAsia" w:ascii="仿宋_GB2312" w:hAnsi="宋体" w:eastAsia="仿宋_GB2312"/>
                <w:color w:val="auto"/>
                <w:kern w:val="0"/>
                <w:sz w:val="13"/>
                <w:szCs w:val="13"/>
                <w:highlight w:val="none"/>
              </w:rPr>
              <w:t>并处</w:t>
            </w:r>
            <w:r>
              <w:rPr>
                <w:rFonts w:hint="eastAsia" w:ascii="仿宋_GB2312" w:hAnsi="宋体" w:eastAsia="仿宋_GB2312"/>
                <w:color w:val="auto"/>
                <w:kern w:val="0"/>
                <w:sz w:val="13"/>
                <w:szCs w:val="13"/>
                <w:highlight w:val="none"/>
                <w:lang w:val="en-US" w:eastAsia="zh-CN"/>
              </w:rPr>
              <w:t>5千</w:t>
            </w:r>
            <w:r>
              <w:rPr>
                <w:rFonts w:hint="eastAsia" w:ascii="仿宋_GB2312" w:hAnsi="宋体" w:eastAsia="仿宋_GB2312"/>
                <w:color w:val="auto"/>
                <w:kern w:val="0"/>
                <w:sz w:val="13"/>
                <w:szCs w:val="13"/>
                <w:highlight w:val="none"/>
              </w:rPr>
              <w:t>元罚款。</w:t>
            </w:r>
          </w:p>
        </w:tc>
      </w:tr>
      <w:tr w14:paraId="402F3BD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94" w:hRule="atLeast"/>
          <w:jc w:val="center"/>
        </w:trPr>
        <w:tc>
          <w:tcPr>
            <w:tcW w:w="443" w:type="dxa"/>
            <w:gridSpan w:val="2"/>
            <w:vMerge w:val="continue"/>
            <w:tcBorders>
              <w:tl2br w:val="nil"/>
              <w:tr2bl w:val="nil"/>
            </w:tcBorders>
            <w:vAlign w:val="center"/>
          </w:tcPr>
          <w:p w14:paraId="5E2E6D0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color w:val="auto"/>
                <w:kern w:val="0"/>
                <w:sz w:val="13"/>
                <w:szCs w:val="13"/>
                <w:highlight w:val="none"/>
              </w:rPr>
            </w:pPr>
          </w:p>
        </w:tc>
        <w:tc>
          <w:tcPr>
            <w:tcW w:w="1550" w:type="dxa"/>
            <w:vMerge w:val="continue"/>
            <w:tcBorders>
              <w:tl2br w:val="nil"/>
              <w:tr2bl w:val="nil"/>
            </w:tcBorders>
            <w:vAlign w:val="center"/>
          </w:tcPr>
          <w:p w14:paraId="51CF090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tcPr>
          <w:p w14:paraId="14225E4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tcBorders>
              <w:tl2br w:val="nil"/>
              <w:tr2bl w:val="nil"/>
            </w:tcBorders>
            <w:vAlign w:val="center"/>
          </w:tcPr>
          <w:p w14:paraId="480E9FD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一般情节</w:t>
            </w:r>
          </w:p>
        </w:tc>
        <w:tc>
          <w:tcPr>
            <w:tcW w:w="3437" w:type="dxa"/>
            <w:gridSpan w:val="2"/>
            <w:tcBorders>
              <w:tl2br w:val="nil"/>
              <w:tr2bl w:val="nil"/>
            </w:tcBorders>
            <w:vAlign w:val="center"/>
          </w:tcPr>
          <w:p w14:paraId="1EA933A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2台施工起重机械和整体提升脚手架、模板等自升式架设设施验收合格后未登记的。</w:t>
            </w:r>
          </w:p>
        </w:tc>
        <w:tc>
          <w:tcPr>
            <w:tcW w:w="3058" w:type="dxa"/>
            <w:tcBorders>
              <w:tl2br w:val="nil"/>
              <w:tr2bl w:val="nil"/>
            </w:tcBorders>
            <w:vAlign w:val="center"/>
          </w:tcPr>
          <w:p w14:paraId="16C8BEE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责令停业整顿，</w:t>
            </w:r>
            <w:r>
              <w:rPr>
                <w:rFonts w:hint="eastAsia" w:ascii="仿宋_GB2312" w:hAnsi="宋体" w:eastAsia="仿宋_GB2312"/>
                <w:color w:val="auto"/>
                <w:kern w:val="0"/>
                <w:sz w:val="13"/>
                <w:szCs w:val="13"/>
                <w:highlight w:val="none"/>
                <w:lang w:val="en-US" w:eastAsia="zh-CN"/>
              </w:rPr>
              <w:t>警告</w:t>
            </w:r>
            <w:r>
              <w:rPr>
                <w:rFonts w:hint="eastAsia" w:ascii="仿宋_GB2312" w:hAnsi="宋体" w:eastAsia="仿宋_GB2312"/>
                <w:color w:val="auto"/>
                <w:kern w:val="0"/>
                <w:sz w:val="13"/>
                <w:szCs w:val="13"/>
                <w:highlight w:val="none"/>
              </w:rPr>
              <w:t>并处</w:t>
            </w:r>
            <w:r>
              <w:rPr>
                <w:rFonts w:hint="eastAsia" w:ascii="仿宋_GB2312" w:hAnsi="宋体" w:eastAsia="仿宋_GB2312"/>
                <w:color w:val="auto"/>
                <w:kern w:val="0"/>
                <w:sz w:val="13"/>
                <w:szCs w:val="13"/>
                <w:highlight w:val="none"/>
                <w:lang w:val="en-US" w:eastAsia="zh-CN"/>
              </w:rPr>
              <w:t>5千</w:t>
            </w:r>
            <w:r>
              <w:rPr>
                <w:rFonts w:hint="eastAsia" w:ascii="仿宋_GB2312" w:hAnsi="宋体" w:eastAsia="仿宋_GB2312"/>
                <w:color w:val="auto"/>
                <w:kern w:val="0"/>
                <w:sz w:val="13"/>
                <w:szCs w:val="13"/>
                <w:highlight w:val="none"/>
              </w:rPr>
              <w:t>元以上</w:t>
            </w:r>
            <w:r>
              <w:rPr>
                <w:rFonts w:hint="eastAsia" w:ascii="仿宋_GB2312" w:hAnsi="宋体" w:eastAsia="仿宋_GB2312"/>
                <w:color w:val="auto"/>
                <w:kern w:val="0"/>
                <w:sz w:val="13"/>
                <w:szCs w:val="13"/>
                <w:highlight w:val="none"/>
                <w:lang w:val="en-US" w:eastAsia="zh-CN"/>
              </w:rPr>
              <w:t>1</w:t>
            </w:r>
            <w:r>
              <w:rPr>
                <w:rFonts w:hint="eastAsia" w:ascii="仿宋_GB2312" w:hAnsi="宋体" w:eastAsia="仿宋_GB2312"/>
                <w:color w:val="auto"/>
                <w:kern w:val="0"/>
                <w:sz w:val="13"/>
                <w:szCs w:val="13"/>
                <w:highlight w:val="none"/>
              </w:rPr>
              <w:t>万元以下的罚款。</w:t>
            </w:r>
          </w:p>
        </w:tc>
      </w:tr>
      <w:tr w14:paraId="11F9A03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432" w:hRule="atLeast"/>
          <w:jc w:val="center"/>
        </w:trPr>
        <w:tc>
          <w:tcPr>
            <w:tcW w:w="443" w:type="dxa"/>
            <w:gridSpan w:val="2"/>
            <w:vMerge w:val="continue"/>
            <w:tcBorders>
              <w:tl2br w:val="nil"/>
              <w:tr2bl w:val="nil"/>
            </w:tcBorders>
            <w:vAlign w:val="center"/>
          </w:tcPr>
          <w:p w14:paraId="509CBCD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color w:val="auto"/>
                <w:kern w:val="0"/>
                <w:sz w:val="13"/>
                <w:szCs w:val="13"/>
                <w:highlight w:val="none"/>
              </w:rPr>
            </w:pPr>
          </w:p>
        </w:tc>
        <w:tc>
          <w:tcPr>
            <w:tcW w:w="1550" w:type="dxa"/>
            <w:vMerge w:val="continue"/>
            <w:tcBorders>
              <w:tl2br w:val="nil"/>
              <w:tr2bl w:val="nil"/>
            </w:tcBorders>
            <w:vAlign w:val="center"/>
          </w:tcPr>
          <w:p w14:paraId="52DB5CF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tcPr>
          <w:p w14:paraId="509515C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tcBorders>
              <w:tl2br w:val="nil"/>
              <w:tr2bl w:val="nil"/>
            </w:tcBorders>
            <w:vAlign w:val="center"/>
          </w:tcPr>
          <w:p w14:paraId="27FA846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从重情节</w:t>
            </w:r>
          </w:p>
        </w:tc>
        <w:tc>
          <w:tcPr>
            <w:tcW w:w="3437" w:type="dxa"/>
            <w:gridSpan w:val="2"/>
            <w:tcBorders>
              <w:tl2br w:val="nil"/>
              <w:tr2bl w:val="nil"/>
            </w:tcBorders>
            <w:vAlign w:val="center"/>
          </w:tcPr>
          <w:p w14:paraId="2EB88D3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3台以上施工起重机械和整体提升脚手架、模板等自升式架设设施验收合格后未登记或发生安全事故的。</w:t>
            </w:r>
          </w:p>
        </w:tc>
        <w:tc>
          <w:tcPr>
            <w:tcW w:w="3058" w:type="dxa"/>
            <w:tcBorders>
              <w:tl2br w:val="nil"/>
              <w:tr2bl w:val="nil"/>
            </w:tcBorders>
            <w:vAlign w:val="center"/>
          </w:tcPr>
          <w:p w14:paraId="49FEF2C8">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责令停业整顿，</w:t>
            </w:r>
            <w:r>
              <w:rPr>
                <w:rFonts w:hint="eastAsia" w:ascii="仿宋_GB2312" w:hAnsi="宋体" w:eastAsia="仿宋_GB2312"/>
                <w:color w:val="auto"/>
                <w:kern w:val="0"/>
                <w:sz w:val="13"/>
                <w:szCs w:val="13"/>
                <w:highlight w:val="none"/>
                <w:lang w:val="en-US" w:eastAsia="zh-CN"/>
              </w:rPr>
              <w:t>警告</w:t>
            </w:r>
            <w:r>
              <w:rPr>
                <w:rFonts w:hint="eastAsia" w:ascii="仿宋_GB2312" w:hAnsi="宋体" w:eastAsia="仿宋_GB2312"/>
                <w:color w:val="auto"/>
                <w:kern w:val="0"/>
                <w:sz w:val="13"/>
                <w:szCs w:val="13"/>
                <w:highlight w:val="none"/>
              </w:rPr>
              <w:t>并处处</w:t>
            </w:r>
            <w:r>
              <w:rPr>
                <w:rFonts w:hint="eastAsia" w:ascii="仿宋_GB2312" w:hAnsi="宋体" w:eastAsia="仿宋_GB2312"/>
                <w:color w:val="auto"/>
                <w:kern w:val="0"/>
                <w:sz w:val="13"/>
                <w:szCs w:val="13"/>
                <w:highlight w:val="none"/>
                <w:lang w:val="en-US" w:eastAsia="zh-CN"/>
              </w:rPr>
              <w:t>1</w:t>
            </w:r>
            <w:r>
              <w:rPr>
                <w:rFonts w:hint="eastAsia" w:ascii="仿宋_GB2312" w:hAnsi="宋体" w:eastAsia="仿宋_GB2312"/>
                <w:color w:val="auto"/>
                <w:kern w:val="0"/>
                <w:sz w:val="13"/>
                <w:szCs w:val="13"/>
                <w:highlight w:val="none"/>
              </w:rPr>
              <w:t>万元罚款。</w:t>
            </w:r>
          </w:p>
        </w:tc>
      </w:tr>
      <w:tr w14:paraId="106F4A6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20" w:hRule="atLeast"/>
          <w:jc w:val="center"/>
        </w:trPr>
        <w:tc>
          <w:tcPr>
            <w:tcW w:w="443" w:type="dxa"/>
            <w:gridSpan w:val="2"/>
            <w:vMerge w:val="restart"/>
            <w:tcBorders>
              <w:tl2br w:val="nil"/>
              <w:tr2bl w:val="nil"/>
            </w:tcBorders>
            <w:vAlign w:val="center"/>
          </w:tcPr>
          <w:p w14:paraId="4A6B8390">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Times New Roman"/>
                <w:color w:val="auto"/>
                <w:kern w:val="0"/>
                <w:sz w:val="13"/>
                <w:szCs w:val="13"/>
                <w:highlight w:val="none"/>
                <w:lang w:val="en-US"/>
              </w:rPr>
            </w:pPr>
            <w:r>
              <w:rPr>
                <w:rFonts w:hint="default" w:ascii="仿宋_GB2312" w:hAnsi="宋体" w:eastAsia="仿宋_GB2312" w:cs="仿宋_GB2312"/>
                <w:i w:val="0"/>
                <w:color w:val="auto"/>
                <w:kern w:val="0"/>
                <w:sz w:val="13"/>
                <w:szCs w:val="13"/>
                <w:highlight w:val="none"/>
                <w:u w:val="none"/>
                <w:lang w:val="en-US" w:eastAsia="zh-CN" w:bidi="ar"/>
              </w:rPr>
              <w:t>1</w:t>
            </w:r>
            <w:r>
              <w:rPr>
                <w:rFonts w:hint="eastAsia" w:ascii="仿宋_GB2312" w:hAnsi="宋体" w:eastAsia="仿宋_GB2312" w:cs="仿宋_GB2312"/>
                <w:i w:val="0"/>
                <w:color w:val="auto"/>
                <w:kern w:val="0"/>
                <w:sz w:val="13"/>
                <w:szCs w:val="13"/>
                <w:highlight w:val="none"/>
                <w:u w:val="none"/>
                <w:lang w:val="en-US" w:eastAsia="zh-CN" w:bidi="ar"/>
              </w:rPr>
              <w:t>28</w:t>
            </w:r>
          </w:p>
        </w:tc>
        <w:tc>
          <w:tcPr>
            <w:tcW w:w="1550" w:type="dxa"/>
            <w:vMerge w:val="restart"/>
            <w:tcBorders>
              <w:tl2br w:val="nil"/>
              <w:tr2bl w:val="nil"/>
            </w:tcBorders>
            <w:vAlign w:val="center"/>
          </w:tcPr>
          <w:p w14:paraId="6E99AF0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95" w:firstLineChars="150"/>
              <w:jc w:val="left"/>
              <w:rPr>
                <w:rFonts w:ascii="仿宋_GB2312" w:hAnsi="宋体" w:eastAsia="仿宋_GB2312"/>
                <w:color w:val="auto"/>
                <w:kern w:val="0"/>
                <w:sz w:val="13"/>
                <w:szCs w:val="13"/>
                <w:highlight w:val="none"/>
              </w:rPr>
            </w:pPr>
          </w:p>
          <w:p w14:paraId="3F33EBB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95" w:firstLineChars="15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施工单位使用国家明令淘汰、禁止使用的危及施工安全的工艺、设备、材料</w:t>
            </w:r>
          </w:p>
        </w:tc>
        <w:tc>
          <w:tcPr>
            <w:tcW w:w="4820" w:type="dxa"/>
            <w:vMerge w:val="restart"/>
            <w:tcBorders>
              <w:tl2br w:val="nil"/>
              <w:tr2bl w:val="nil"/>
            </w:tcBorders>
            <w:vAlign w:val="center"/>
          </w:tcPr>
          <w:p w14:paraId="689F3DD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《建设工程安全生产管理条例》</w:t>
            </w:r>
          </w:p>
          <w:p w14:paraId="28A864C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rPr>
              <w:t>第六十二条</w:t>
            </w:r>
            <w:r>
              <w:rPr>
                <w:rFonts w:hint="eastAsia" w:ascii="仿宋_GB2312" w:hAnsi="宋体" w:eastAsia="仿宋_GB2312"/>
                <w:color w:val="auto"/>
                <w:kern w:val="0"/>
                <w:sz w:val="13"/>
                <w:szCs w:val="13"/>
                <w:highlight w:val="none"/>
                <w:lang w:eastAsia="zh-CN"/>
              </w:rPr>
              <w:t>（</w:t>
            </w:r>
            <w:r>
              <w:rPr>
                <w:rFonts w:hint="eastAsia" w:ascii="仿宋_GB2312" w:hAnsi="宋体" w:eastAsia="仿宋_GB2312"/>
                <w:color w:val="auto"/>
                <w:kern w:val="0"/>
                <w:sz w:val="13"/>
                <w:szCs w:val="13"/>
                <w:highlight w:val="none"/>
                <w:lang w:val="en-US" w:eastAsia="zh-CN"/>
              </w:rPr>
              <w:t>六</w:t>
            </w:r>
            <w:r>
              <w:rPr>
                <w:rFonts w:hint="eastAsia" w:ascii="仿宋_GB2312" w:hAnsi="宋体" w:eastAsia="仿宋_GB2312"/>
                <w:color w:val="auto"/>
                <w:kern w:val="0"/>
                <w:sz w:val="13"/>
                <w:szCs w:val="13"/>
                <w:highlight w:val="none"/>
                <w:lang w:eastAsia="zh-CN"/>
              </w:rPr>
              <w:t>）</w:t>
            </w:r>
            <w:r>
              <w:rPr>
                <w:rFonts w:hint="eastAsia" w:ascii="仿宋_GB2312" w:hAnsi="宋体" w:eastAsia="仿宋_GB2312"/>
                <w:color w:val="auto"/>
                <w:kern w:val="0"/>
                <w:sz w:val="13"/>
                <w:szCs w:val="13"/>
                <w:highlight w:val="none"/>
              </w:rPr>
              <w:t>项违反本条例的规定，施工单位有下列行为之一的，责令限期改正；逾期未改正的，责令停业整顿，依照《中华人民共和国安全生产法》的有关规定处以罚款；造成重大安全事故，构成犯罪的，对直接责任人员，依照刑法有关规定追究刑事责任：</w:t>
            </w:r>
          </w:p>
          <w:p w14:paraId="79B3AE9B">
            <w:pPr>
              <w:keepNext w:val="0"/>
              <w:keepLines w:val="0"/>
              <w:pageBreakBefore w:val="0"/>
              <w:widowControl/>
              <w:numPr>
                <w:ilvl w:val="0"/>
                <w:numId w:val="0"/>
              </w:numPr>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lang w:eastAsia="zh-CN"/>
              </w:rPr>
              <w:t>（六）</w:t>
            </w:r>
            <w:r>
              <w:rPr>
                <w:rFonts w:hint="eastAsia" w:ascii="仿宋_GB2312" w:hAnsi="宋体" w:eastAsia="仿宋_GB2312"/>
                <w:color w:val="auto"/>
                <w:kern w:val="0"/>
                <w:sz w:val="13"/>
                <w:szCs w:val="13"/>
                <w:highlight w:val="none"/>
              </w:rPr>
              <w:t>使用国家明令淘汰、禁止使用的危及施工安全的工艺、设备、材料的。</w:t>
            </w:r>
          </w:p>
          <w:p w14:paraId="13CDE5D9">
            <w:pPr>
              <w:keepNext w:val="0"/>
              <w:keepLines w:val="0"/>
              <w:pageBreakBefore w:val="0"/>
              <w:widowControl/>
              <w:numPr>
                <w:ilvl w:val="0"/>
                <w:numId w:val="0"/>
              </w:numPr>
              <w:kinsoku/>
              <w:overflowPunct/>
              <w:topLinePunct w:val="0"/>
              <w:autoSpaceDE/>
              <w:autoSpaceDN/>
              <w:bidi w:val="0"/>
              <w:adjustRightInd/>
              <w:snapToGrid/>
              <w:spacing w:beforeAutospacing="0" w:afterAutospacing="0" w:line="260" w:lineRule="exact"/>
              <w:ind w:left="0" w:leftChars="0" w:right="0" w:rightChars="0"/>
              <w:jc w:val="left"/>
              <w:rPr>
                <w:rFonts w:hint="eastAsia" w:ascii="仿宋_GB2312" w:hAnsi="宋体" w:eastAsia="仿宋_GB2312"/>
                <w:color w:val="auto"/>
                <w:kern w:val="0"/>
                <w:sz w:val="13"/>
                <w:szCs w:val="13"/>
                <w:highlight w:val="none"/>
              </w:rPr>
            </w:pPr>
          </w:p>
          <w:p w14:paraId="353B3514">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《中华人民共和国安全生产法》</w:t>
            </w:r>
          </w:p>
          <w:p w14:paraId="3AF9ACF8">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第九十九条</w:t>
            </w:r>
            <w:r>
              <w:rPr>
                <w:rFonts w:hint="eastAsia" w:ascii="仿宋_GB2312" w:hAnsi="宋体" w:eastAsia="仿宋_GB2312"/>
                <w:color w:val="auto"/>
                <w:kern w:val="0"/>
                <w:sz w:val="13"/>
                <w:szCs w:val="13"/>
                <w:highlight w:val="none"/>
                <w:lang w:eastAsia="zh-CN"/>
              </w:rPr>
              <w:t>（</w:t>
            </w:r>
            <w:r>
              <w:rPr>
                <w:rFonts w:hint="eastAsia" w:ascii="仿宋_GB2312" w:hAnsi="宋体" w:eastAsia="仿宋_GB2312"/>
                <w:color w:val="auto"/>
                <w:kern w:val="0"/>
                <w:sz w:val="13"/>
                <w:szCs w:val="13"/>
                <w:highlight w:val="none"/>
                <w:lang w:val="en-US" w:eastAsia="zh-CN"/>
              </w:rPr>
              <w:t>七</w:t>
            </w:r>
            <w:r>
              <w:rPr>
                <w:rFonts w:hint="eastAsia" w:ascii="仿宋_GB2312" w:hAnsi="宋体" w:eastAsia="仿宋_GB2312"/>
                <w:color w:val="auto"/>
                <w:kern w:val="0"/>
                <w:sz w:val="13"/>
                <w:szCs w:val="13"/>
                <w:highlight w:val="none"/>
                <w:lang w:eastAsia="zh-CN"/>
              </w:rPr>
              <w:t>）（</w:t>
            </w:r>
            <w:r>
              <w:rPr>
                <w:rFonts w:hint="eastAsia" w:ascii="仿宋_GB2312" w:hAnsi="宋体" w:eastAsia="仿宋_GB2312"/>
                <w:color w:val="auto"/>
                <w:kern w:val="0"/>
                <w:sz w:val="13"/>
                <w:szCs w:val="13"/>
                <w:highlight w:val="none"/>
                <w:lang w:val="en-US" w:eastAsia="zh-CN"/>
              </w:rPr>
              <w:t>八</w:t>
            </w:r>
            <w:r>
              <w:rPr>
                <w:rFonts w:hint="eastAsia" w:ascii="仿宋_GB2312" w:hAnsi="宋体" w:eastAsia="仿宋_GB2312"/>
                <w:color w:val="auto"/>
                <w:kern w:val="0"/>
                <w:sz w:val="13"/>
                <w:szCs w:val="13"/>
                <w:highlight w:val="none"/>
                <w:lang w:eastAsia="zh-CN"/>
              </w:rPr>
              <w:t>）</w:t>
            </w:r>
            <w:r>
              <w:rPr>
                <w:rFonts w:hint="eastAsia" w:ascii="仿宋_GB2312" w:hAnsi="宋体" w:eastAsia="仿宋_GB2312"/>
                <w:color w:val="auto"/>
                <w:kern w:val="0"/>
                <w:sz w:val="13"/>
                <w:szCs w:val="13"/>
                <w:highlight w:val="none"/>
                <w:lang w:val="en-US" w:eastAsia="zh-CN"/>
              </w:rPr>
              <w:t>项</w:t>
            </w:r>
            <w:r>
              <w:rPr>
                <w:rFonts w:hint="eastAsia" w:ascii="仿宋_GB2312" w:hAnsi="宋体" w:eastAsia="仿宋_GB2312"/>
                <w:color w:val="auto"/>
                <w:kern w:val="0"/>
                <w:sz w:val="13"/>
                <w:szCs w:val="13"/>
                <w:highlight w:val="none"/>
              </w:rPr>
              <w:t>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14:paraId="3E76BD6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（七）使用应当淘汰的危及生产安全的工艺、设备的；</w:t>
            </w:r>
          </w:p>
          <w:p w14:paraId="4BF8527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（八）餐饮等行业的生产经营单位使用燃气未安装可燃气体报警装置的。</w:t>
            </w:r>
          </w:p>
        </w:tc>
        <w:tc>
          <w:tcPr>
            <w:tcW w:w="823" w:type="dxa"/>
            <w:tcBorders>
              <w:tl2br w:val="nil"/>
              <w:tr2bl w:val="nil"/>
            </w:tcBorders>
            <w:vAlign w:val="center"/>
          </w:tcPr>
          <w:p w14:paraId="6BC8D8B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vAlign w:val="center"/>
          </w:tcPr>
          <w:p w14:paraId="5405D0A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经责令限期改正，限期内改正完毕的。</w:t>
            </w:r>
          </w:p>
        </w:tc>
        <w:tc>
          <w:tcPr>
            <w:tcW w:w="3058" w:type="dxa"/>
            <w:tcBorders>
              <w:tl2br w:val="nil"/>
              <w:tr2bl w:val="nil"/>
            </w:tcBorders>
            <w:vAlign w:val="center"/>
          </w:tcPr>
          <w:p w14:paraId="2E7CDA3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对生产经营单位处5万元以下的罚款。</w:t>
            </w:r>
          </w:p>
        </w:tc>
      </w:tr>
      <w:tr w14:paraId="701DDC4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63" w:hRule="atLeast"/>
          <w:jc w:val="center"/>
        </w:trPr>
        <w:tc>
          <w:tcPr>
            <w:tcW w:w="443" w:type="dxa"/>
            <w:gridSpan w:val="2"/>
            <w:vMerge w:val="continue"/>
            <w:tcBorders>
              <w:tl2br w:val="nil"/>
              <w:tr2bl w:val="nil"/>
            </w:tcBorders>
            <w:vAlign w:val="center"/>
          </w:tcPr>
          <w:p w14:paraId="5E0BFAE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color w:val="auto"/>
                <w:kern w:val="0"/>
                <w:sz w:val="13"/>
                <w:szCs w:val="13"/>
                <w:highlight w:val="none"/>
              </w:rPr>
            </w:pPr>
          </w:p>
        </w:tc>
        <w:tc>
          <w:tcPr>
            <w:tcW w:w="1550" w:type="dxa"/>
            <w:vMerge w:val="continue"/>
            <w:tcBorders>
              <w:tl2br w:val="nil"/>
              <w:tr2bl w:val="nil"/>
            </w:tcBorders>
            <w:vAlign w:val="center"/>
          </w:tcPr>
          <w:p w14:paraId="7D9943A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vAlign w:val="center"/>
          </w:tcPr>
          <w:p w14:paraId="322F136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vMerge w:val="restart"/>
            <w:tcBorders>
              <w:tl2br w:val="nil"/>
              <w:tr2bl w:val="nil"/>
            </w:tcBorders>
            <w:vAlign w:val="center"/>
          </w:tcPr>
          <w:p w14:paraId="3D707D9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一般情节</w:t>
            </w:r>
          </w:p>
        </w:tc>
        <w:tc>
          <w:tcPr>
            <w:tcW w:w="3437" w:type="dxa"/>
            <w:gridSpan w:val="2"/>
            <w:tcBorders>
              <w:tl2br w:val="nil"/>
              <w:tr2bl w:val="nil"/>
            </w:tcBorders>
            <w:vAlign w:val="center"/>
          </w:tcPr>
          <w:p w14:paraId="7C4A1CC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（1）经责令限期改正，逾期未改正，不涉及危险性较大分部分项工程，且尚未造成生产安全事故的。</w:t>
            </w:r>
          </w:p>
        </w:tc>
        <w:tc>
          <w:tcPr>
            <w:tcW w:w="3058" w:type="dxa"/>
            <w:tcBorders>
              <w:tl2br w:val="nil"/>
              <w:tr2bl w:val="nil"/>
            </w:tcBorders>
            <w:vAlign w:val="center"/>
          </w:tcPr>
          <w:p w14:paraId="1A8DB3D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对生产经营单位处5万元以上10万元以下的罚款；对其直接负责的主管人员和其他直接责任人员处1万元以上1.2万元以下的罚款。</w:t>
            </w:r>
          </w:p>
        </w:tc>
      </w:tr>
      <w:tr w14:paraId="0777C09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63" w:hRule="atLeast"/>
          <w:jc w:val="center"/>
        </w:trPr>
        <w:tc>
          <w:tcPr>
            <w:tcW w:w="443" w:type="dxa"/>
            <w:gridSpan w:val="2"/>
            <w:vMerge w:val="continue"/>
            <w:tcBorders>
              <w:tl2br w:val="nil"/>
              <w:tr2bl w:val="nil"/>
            </w:tcBorders>
            <w:vAlign w:val="center"/>
          </w:tcPr>
          <w:p w14:paraId="09ED516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color w:val="auto"/>
                <w:kern w:val="0"/>
                <w:sz w:val="13"/>
                <w:szCs w:val="13"/>
                <w:highlight w:val="none"/>
              </w:rPr>
            </w:pPr>
          </w:p>
        </w:tc>
        <w:tc>
          <w:tcPr>
            <w:tcW w:w="1550" w:type="dxa"/>
            <w:vMerge w:val="continue"/>
            <w:tcBorders>
              <w:tl2br w:val="nil"/>
              <w:tr2bl w:val="nil"/>
            </w:tcBorders>
            <w:vAlign w:val="center"/>
          </w:tcPr>
          <w:p w14:paraId="74D421C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vAlign w:val="center"/>
          </w:tcPr>
          <w:p w14:paraId="16E4254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vMerge w:val="continue"/>
            <w:tcBorders>
              <w:tl2br w:val="nil"/>
              <w:tr2bl w:val="nil"/>
            </w:tcBorders>
            <w:vAlign w:val="center"/>
          </w:tcPr>
          <w:p w14:paraId="3C9BFCE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p>
        </w:tc>
        <w:tc>
          <w:tcPr>
            <w:tcW w:w="3437" w:type="dxa"/>
            <w:gridSpan w:val="2"/>
            <w:tcBorders>
              <w:tl2br w:val="nil"/>
              <w:tr2bl w:val="nil"/>
            </w:tcBorders>
            <w:vAlign w:val="center"/>
          </w:tcPr>
          <w:p w14:paraId="73F4B9A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lang w:eastAsia="zh-CN"/>
              </w:rPr>
              <w:t>（</w:t>
            </w:r>
            <w:r>
              <w:rPr>
                <w:rFonts w:hint="eastAsia" w:ascii="仿宋_GB2312" w:hAnsi="宋体" w:eastAsia="仿宋_GB2312"/>
                <w:color w:val="auto"/>
                <w:kern w:val="0"/>
                <w:sz w:val="13"/>
                <w:szCs w:val="13"/>
                <w:highlight w:val="none"/>
                <w:lang w:val="en-US" w:eastAsia="zh-CN"/>
              </w:rPr>
              <w:t>2</w:t>
            </w:r>
            <w:r>
              <w:rPr>
                <w:rFonts w:hint="eastAsia" w:ascii="仿宋_GB2312" w:hAnsi="宋体" w:eastAsia="仿宋_GB2312"/>
                <w:color w:val="auto"/>
                <w:kern w:val="0"/>
                <w:sz w:val="13"/>
                <w:szCs w:val="13"/>
                <w:highlight w:val="none"/>
                <w:lang w:eastAsia="zh-CN"/>
              </w:rPr>
              <w:t>）</w:t>
            </w:r>
            <w:r>
              <w:rPr>
                <w:rFonts w:hint="eastAsia" w:ascii="仿宋_GB2312" w:hAnsi="宋体" w:eastAsia="仿宋_GB2312"/>
                <w:color w:val="auto"/>
                <w:kern w:val="0"/>
                <w:sz w:val="13"/>
                <w:szCs w:val="13"/>
                <w:highlight w:val="none"/>
              </w:rPr>
              <w:t>经责令限期改正，逾期未改正，涉及危险性较大分部分项工程，且尚未造成生产安全事故的。</w:t>
            </w:r>
          </w:p>
        </w:tc>
        <w:tc>
          <w:tcPr>
            <w:tcW w:w="3058" w:type="dxa"/>
            <w:tcBorders>
              <w:tl2br w:val="nil"/>
              <w:tr2bl w:val="nil"/>
            </w:tcBorders>
            <w:vAlign w:val="center"/>
          </w:tcPr>
          <w:p w14:paraId="526F8F3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对生产经营单位处10万元以上20万元以下的罚款；对其直接负责的主管人员和其他直接责任人员处1.2万元以上2万元以下的罚款。</w:t>
            </w:r>
          </w:p>
        </w:tc>
      </w:tr>
      <w:tr w14:paraId="07900E6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91" w:hRule="atLeast"/>
          <w:jc w:val="center"/>
        </w:trPr>
        <w:tc>
          <w:tcPr>
            <w:tcW w:w="443" w:type="dxa"/>
            <w:gridSpan w:val="2"/>
            <w:vMerge w:val="continue"/>
            <w:tcBorders>
              <w:tl2br w:val="nil"/>
              <w:tr2bl w:val="nil"/>
            </w:tcBorders>
            <w:vAlign w:val="center"/>
          </w:tcPr>
          <w:p w14:paraId="4FDBB8F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color w:val="auto"/>
                <w:kern w:val="0"/>
                <w:sz w:val="13"/>
                <w:szCs w:val="13"/>
                <w:highlight w:val="none"/>
              </w:rPr>
            </w:pPr>
          </w:p>
        </w:tc>
        <w:tc>
          <w:tcPr>
            <w:tcW w:w="1550" w:type="dxa"/>
            <w:vMerge w:val="continue"/>
            <w:tcBorders>
              <w:tl2br w:val="nil"/>
              <w:tr2bl w:val="nil"/>
            </w:tcBorders>
            <w:vAlign w:val="center"/>
          </w:tcPr>
          <w:p w14:paraId="47AAE94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vAlign w:val="center"/>
          </w:tcPr>
          <w:p w14:paraId="5FDEA03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vMerge w:val="restart"/>
            <w:tcBorders>
              <w:tl2br w:val="nil"/>
              <w:tr2bl w:val="nil"/>
            </w:tcBorders>
            <w:vAlign w:val="center"/>
          </w:tcPr>
          <w:p w14:paraId="432B960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从重情节</w:t>
            </w:r>
          </w:p>
        </w:tc>
        <w:tc>
          <w:tcPr>
            <w:tcW w:w="3437" w:type="dxa"/>
            <w:gridSpan w:val="2"/>
            <w:tcBorders>
              <w:tl2br w:val="nil"/>
              <w:tr2bl w:val="nil"/>
            </w:tcBorders>
            <w:vAlign w:val="center"/>
          </w:tcPr>
          <w:p w14:paraId="53ED5B4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w:t>
            </w:r>
            <w:r>
              <w:rPr>
                <w:rFonts w:hint="eastAsia" w:ascii="仿宋_GB2312" w:hAnsi="宋体" w:eastAsia="仿宋_GB2312"/>
                <w:color w:val="auto"/>
                <w:kern w:val="0"/>
                <w:sz w:val="13"/>
                <w:szCs w:val="13"/>
                <w:highlight w:val="none"/>
                <w:lang w:val="en-US" w:eastAsia="zh-CN"/>
              </w:rPr>
              <w:t>1</w:t>
            </w:r>
            <w:r>
              <w:rPr>
                <w:rFonts w:hint="eastAsia" w:ascii="仿宋_GB2312" w:hAnsi="宋体" w:eastAsia="仿宋_GB2312"/>
                <w:color w:val="auto"/>
                <w:kern w:val="0"/>
                <w:sz w:val="13"/>
                <w:szCs w:val="13"/>
                <w:highlight w:val="none"/>
              </w:rPr>
              <w:t>）经责令限期改正，逾期未改正，造成</w:t>
            </w:r>
            <w:r>
              <w:rPr>
                <w:rFonts w:hint="eastAsia" w:ascii="仿宋_GB2312" w:hAnsi="宋体" w:eastAsia="仿宋_GB2312"/>
                <w:color w:val="auto"/>
                <w:kern w:val="0"/>
                <w:sz w:val="13"/>
                <w:szCs w:val="13"/>
                <w:highlight w:val="none"/>
                <w:lang w:val="en-US" w:eastAsia="zh-CN"/>
              </w:rPr>
              <w:t>一般</w:t>
            </w:r>
            <w:r>
              <w:rPr>
                <w:rFonts w:hint="eastAsia" w:ascii="仿宋_GB2312" w:hAnsi="宋体" w:eastAsia="仿宋_GB2312"/>
                <w:color w:val="auto"/>
                <w:kern w:val="0"/>
                <w:sz w:val="13"/>
                <w:szCs w:val="13"/>
                <w:highlight w:val="none"/>
              </w:rPr>
              <w:t>安全生产事故的。</w:t>
            </w:r>
          </w:p>
        </w:tc>
        <w:tc>
          <w:tcPr>
            <w:tcW w:w="3058" w:type="dxa"/>
            <w:tcBorders>
              <w:tl2br w:val="nil"/>
              <w:tr2bl w:val="nil"/>
            </w:tcBorders>
            <w:vAlign w:val="center"/>
          </w:tcPr>
          <w:p w14:paraId="59EC22E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lang w:val="en-US" w:eastAsia="zh-CN"/>
              </w:rPr>
              <w:t>责令停业整顿60日-90日，</w:t>
            </w:r>
            <w:r>
              <w:rPr>
                <w:rFonts w:hint="eastAsia" w:ascii="仿宋_GB2312" w:hAnsi="宋体" w:eastAsia="仿宋_GB2312"/>
                <w:color w:val="auto"/>
                <w:kern w:val="0"/>
                <w:sz w:val="13"/>
                <w:szCs w:val="13"/>
                <w:highlight w:val="none"/>
              </w:rPr>
              <w:t>对生产经营单位处20万元的罚款；责令停业整顿，直至改正违法行为，对其直接负责的主管人员和其他直接责任人员处2万元罚款。</w:t>
            </w:r>
          </w:p>
        </w:tc>
      </w:tr>
      <w:tr w14:paraId="722CFC5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506" w:hRule="atLeast"/>
          <w:jc w:val="center"/>
        </w:trPr>
        <w:tc>
          <w:tcPr>
            <w:tcW w:w="443" w:type="dxa"/>
            <w:gridSpan w:val="2"/>
            <w:vMerge w:val="continue"/>
            <w:tcBorders>
              <w:tl2br w:val="nil"/>
              <w:tr2bl w:val="nil"/>
            </w:tcBorders>
            <w:vAlign w:val="center"/>
          </w:tcPr>
          <w:p w14:paraId="6122E07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color w:val="auto"/>
                <w:kern w:val="0"/>
                <w:sz w:val="13"/>
                <w:szCs w:val="13"/>
                <w:highlight w:val="none"/>
              </w:rPr>
            </w:pPr>
          </w:p>
        </w:tc>
        <w:tc>
          <w:tcPr>
            <w:tcW w:w="1550" w:type="dxa"/>
            <w:vMerge w:val="continue"/>
            <w:tcBorders>
              <w:tl2br w:val="nil"/>
              <w:tr2bl w:val="nil"/>
            </w:tcBorders>
            <w:vAlign w:val="center"/>
          </w:tcPr>
          <w:p w14:paraId="0A9A967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vAlign w:val="center"/>
          </w:tcPr>
          <w:p w14:paraId="7306B4F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vMerge w:val="continue"/>
            <w:tcBorders>
              <w:tl2br w:val="nil"/>
              <w:tr2bl w:val="nil"/>
            </w:tcBorders>
            <w:vAlign w:val="center"/>
          </w:tcPr>
          <w:p w14:paraId="6E2D160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3437" w:type="dxa"/>
            <w:gridSpan w:val="2"/>
            <w:tcBorders>
              <w:tl2br w:val="nil"/>
              <w:tr2bl w:val="nil"/>
            </w:tcBorders>
            <w:vAlign w:val="center"/>
          </w:tcPr>
          <w:p w14:paraId="5C2EDCE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w:t>
            </w:r>
            <w:r>
              <w:rPr>
                <w:rFonts w:hint="eastAsia" w:ascii="仿宋_GB2312" w:hAnsi="宋体" w:eastAsia="仿宋_GB2312"/>
                <w:color w:val="auto"/>
                <w:kern w:val="0"/>
                <w:sz w:val="13"/>
                <w:szCs w:val="13"/>
                <w:highlight w:val="none"/>
                <w:lang w:val="en-US" w:eastAsia="zh-CN"/>
              </w:rPr>
              <w:t>2</w:t>
            </w:r>
            <w:r>
              <w:rPr>
                <w:rFonts w:hint="eastAsia" w:ascii="仿宋_GB2312" w:hAnsi="宋体" w:eastAsia="仿宋_GB2312"/>
                <w:color w:val="auto"/>
                <w:kern w:val="0"/>
                <w:sz w:val="13"/>
                <w:szCs w:val="13"/>
                <w:highlight w:val="none"/>
              </w:rPr>
              <w:t>）经责令限期改正，逾期未改正</w:t>
            </w:r>
            <w:r>
              <w:rPr>
                <w:rFonts w:hint="eastAsia" w:ascii="仿宋_GB2312" w:hAnsi="宋体" w:eastAsia="仿宋_GB2312"/>
                <w:color w:val="auto"/>
                <w:kern w:val="0"/>
                <w:sz w:val="13"/>
                <w:szCs w:val="13"/>
                <w:highlight w:val="none"/>
                <w:lang w:eastAsia="zh-CN"/>
              </w:rPr>
              <w:t>，</w:t>
            </w:r>
            <w:r>
              <w:rPr>
                <w:rFonts w:hint="eastAsia" w:ascii="仿宋_GB2312" w:hAnsi="宋体" w:eastAsia="仿宋_GB2312"/>
                <w:color w:val="auto"/>
                <w:kern w:val="0"/>
                <w:sz w:val="13"/>
                <w:szCs w:val="13"/>
                <w:highlight w:val="none"/>
              </w:rPr>
              <w:t>造成</w:t>
            </w:r>
            <w:r>
              <w:rPr>
                <w:rFonts w:hint="eastAsia" w:ascii="仿宋_GB2312" w:hAnsi="宋体" w:eastAsia="仿宋_GB2312"/>
                <w:color w:val="auto"/>
                <w:kern w:val="0"/>
                <w:sz w:val="13"/>
                <w:szCs w:val="13"/>
                <w:highlight w:val="none"/>
                <w:lang w:val="en-US" w:eastAsia="zh-CN"/>
              </w:rPr>
              <w:t>较大</w:t>
            </w:r>
            <w:r>
              <w:rPr>
                <w:rFonts w:hint="eastAsia" w:ascii="仿宋_GB2312" w:hAnsi="宋体" w:eastAsia="仿宋_GB2312"/>
                <w:color w:val="auto"/>
                <w:kern w:val="0"/>
                <w:sz w:val="13"/>
                <w:szCs w:val="13"/>
                <w:highlight w:val="none"/>
              </w:rPr>
              <w:t>安全生产事故的。</w:t>
            </w:r>
          </w:p>
        </w:tc>
        <w:tc>
          <w:tcPr>
            <w:tcW w:w="3058" w:type="dxa"/>
            <w:tcBorders>
              <w:tl2br w:val="nil"/>
              <w:tr2bl w:val="nil"/>
            </w:tcBorders>
            <w:vAlign w:val="center"/>
          </w:tcPr>
          <w:p w14:paraId="79A492B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lang w:val="en-US" w:eastAsia="zh-CN"/>
              </w:rPr>
              <w:t>责令停业整顿90日-120日，</w:t>
            </w:r>
            <w:r>
              <w:rPr>
                <w:rFonts w:hint="eastAsia" w:ascii="仿宋_GB2312" w:hAnsi="宋体" w:eastAsia="仿宋_GB2312"/>
                <w:color w:val="auto"/>
                <w:kern w:val="0"/>
                <w:sz w:val="13"/>
                <w:szCs w:val="13"/>
                <w:highlight w:val="none"/>
              </w:rPr>
              <w:t>对生产经营单位处20万元的罚款；责令停业整顿，直至改正违法行为，对其直接负责的主管人员和其他直接责任人员处2万元罚款。</w:t>
            </w:r>
          </w:p>
        </w:tc>
      </w:tr>
      <w:tr w14:paraId="5FDED32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506" w:hRule="atLeast"/>
          <w:jc w:val="center"/>
        </w:trPr>
        <w:tc>
          <w:tcPr>
            <w:tcW w:w="443" w:type="dxa"/>
            <w:gridSpan w:val="2"/>
            <w:vMerge w:val="continue"/>
            <w:tcBorders>
              <w:tl2br w:val="nil"/>
              <w:tr2bl w:val="nil"/>
            </w:tcBorders>
            <w:vAlign w:val="center"/>
          </w:tcPr>
          <w:p w14:paraId="2DDD3AD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10" w:firstLineChars="100"/>
              <w:jc w:val="left"/>
              <w:rPr>
                <w:color w:val="auto"/>
                <w:highlight w:val="none"/>
              </w:rPr>
            </w:pPr>
          </w:p>
        </w:tc>
        <w:tc>
          <w:tcPr>
            <w:tcW w:w="1550" w:type="dxa"/>
            <w:vMerge w:val="continue"/>
            <w:tcBorders>
              <w:tl2br w:val="nil"/>
              <w:tr2bl w:val="nil"/>
            </w:tcBorders>
            <w:vAlign w:val="center"/>
          </w:tcPr>
          <w:p w14:paraId="36B2DB5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10" w:firstLineChars="100"/>
              <w:jc w:val="left"/>
              <w:rPr>
                <w:color w:val="auto"/>
                <w:highlight w:val="none"/>
              </w:rPr>
            </w:pPr>
          </w:p>
        </w:tc>
        <w:tc>
          <w:tcPr>
            <w:tcW w:w="4820" w:type="dxa"/>
            <w:vMerge w:val="continue"/>
            <w:tcBorders>
              <w:tl2br w:val="nil"/>
              <w:tr2bl w:val="nil"/>
            </w:tcBorders>
            <w:vAlign w:val="center"/>
          </w:tcPr>
          <w:p w14:paraId="1EFC0E0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10" w:firstLineChars="100"/>
              <w:jc w:val="left"/>
              <w:rPr>
                <w:color w:val="auto"/>
                <w:highlight w:val="none"/>
              </w:rPr>
            </w:pPr>
          </w:p>
        </w:tc>
        <w:tc>
          <w:tcPr>
            <w:tcW w:w="823" w:type="dxa"/>
            <w:vMerge w:val="continue"/>
            <w:tcBorders>
              <w:tl2br w:val="nil"/>
              <w:tr2bl w:val="nil"/>
            </w:tcBorders>
            <w:vAlign w:val="center"/>
          </w:tcPr>
          <w:p w14:paraId="0314EF5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10" w:firstLineChars="100"/>
              <w:jc w:val="left"/>
              <w:rPr>
                <w:color w:val="auto"/>
                <w:highlight w:val="none"/>
              </w:rPr>
            </w:pPr>
          </w:p>
        </w:tc>
        <w:tc>
          <w:tcPr>
            <w:tcW w:w="3437" w:type="dxa"/>
            <w:gridSpan w:val="2"/>
            <w:tcBorders>
              <w:tl2br w:val="nil"/>
              <w:tr2bl w:val="nil"/>
            </w:tcBorders>
            <w:vAlign w:val="center"/>
          </w:tcPr>
          <w:p w14:paraId="49CBC43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w:t>
            </w:r>
            <w:r>
              <w:rPr>
                <w:rFonts w:hint="eastAsia" w:ascii="仿宋_GB2312" w:hAnsi="宋体" w:eastAsia="仿宋_GB2312"/>
                <w:color w:val="auto"/>
                <w:kern w:val="0"/>
                <w:sz w:val="13"/>
                <w:szCs w:val="13"/>
                <w:highlight w:val="none"/>
                <w:lang w:val="en-US" w:eastAsia="zh-CN"/>
              </w:rPr>
              <w:t>3</w:t>
            </w:r>
            <w:r>
              <w:rPr>
                <w:rFonts w:hint="eastAsia" w:ascii="仿宋_GB2312" w:hAnsi="宋体" w:eastAsia="仿宋_GB2312"/>
                <w:color w:val="auto"/>
                <w:kern w:val="0"/>
                <w:sz w:val="13"/>
                <w:szCs w:val="13"/>
                <w:highlight w:val="none"/>
              </w:rPr>
              <w:t>）经责令限期改正，逾期未改正，造成</w:t>
            </w:r>
            <w:r>
              <w:rPr>
                <w:rFonts w:hint="eastAsia" w:ascii="仿宋_GB2312" w:hAnsi="宋体" w:eastAsia="仿宋_GB2312"/>
                <w:color w:val="auto"/>
                <w:kern w:val="0"/>
                <w:sz w:val="13"/>
                <w:szCs w:val="13"/>
                <w:highlight w:val="none"/>
                <w:lang w:val="en-US" w:eastAsia="zh-CN"/>
              </w:rPr>
              <w:t>重大大</w:t>
            </w:r>
            <w:r>
              <w:rPr>
                <w:rFonts w:hint="eastAsia" w:ascii="仿宋_GB2312" w:hAnsi="宋体" w:eastAsia="仿宋_GB2312"/>
                <w:color w:val="auto"/>
                <w:kern w:val="0"/>
                <w:sz w:val="13"/>
                <w:szCs w:val="13"/>
                <w:highlight w:val="none"/>
              </w:rPr>
              <w:t>安全生产事故的。</w:t>
            </w:r>
          </w:p>
        </w:tc>
        <w:tc>
          <w:tcPr>
            <w:tcW w:w="3058" w:type="dxa"/>
            <w:tcBorders>
              <w:tl2br w:val="nil"/>
              <w:tr2bl w:val="nil"/>
            </w:tcBorders>
            <w:vAlign w:val="center"/>
          </w:tcPr>
          <w:p w14:paraId="6EEF639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lang w:val="en-US" w:eastAsia="zh-CN"/>
              </w:rPr>
              <w:t>责令停业整顿120日-180日，</w:t>
            </w:r>
            <w:r>
              <w:rPr>
                <w:rFonts w:hint="eastAsia" w:ascii="仿宋_GB2312" w:hAnsi="宋体" w:eastAsia="仿宋_GB2312"/>
                <w:color w:val="auto"/>
                <w:kern w:val="0"/>
                <w:sz w:val="13"/>
                <w:szCs w:val="13"/>
                <w:highlight w:val="none"/>
              </w:rPr>
              <w:t>对生产经营单位处20万元的罚款；责令停业整顿，直至改正违法行为，对其直接负责的主管人员和其他直接责任人员处2万元罚款。</w:t>
            </w:r>
          </w:p>
        </w:tc>
      </w:tr>
      <w:tr w14:paraId="4417965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506" w:hRule="atLeast"/>
          <w:jc w:val="center"/>
        </w:trPr>
        <w:tc>
          <w:tcPr>
            <w:tcW w:w="443" w:type="dxa"/>
            <w:gridSpan w:val="2"/>
            <w:vMerge w:val="continue"/>
            <w:tcBorders>
              <w:tl2br w:val="nil"/>
              <w:tr2bl w:val="nil"/>
            </w:tcBorders>
            <w:vAlign w:val="center"/>
          </w:tcPr>
          <w:p w14:paraId="468CCDF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rPr>
            </w:pPr>
          </w:p>
        </w:tc>
        <w:tc>
          <w:tcPr>
            <w:tcW w:w="1550" w:type="dxa"/>
            <w:vMerge w:val="continue"/>
            <w:tcBorders>
              <w:tl2br w:val="nil"/>
              <w:tr2bl w:val="nil"/>
            </w:tcBorders>
            <w:vAlign w:val="center"/>
          </w:tcPr>
          <w:p w14:paraId="241853A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03C40F1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rPr>
            </w:pPr>
          </w:p>
        </w:tc>
        <w:tc>
          <w:tcPr>
            <w:tcW w:w="823" w:type="dxa"/>
            <w:vMerge w:val="continue"/>
            <w:tcBorders>
              <w:tl2br w:val="nil"/>
              <w:tr2bl w:val="nil"/>
            </w:tcBorders>
            <w:vAlign w:val="center"/>
          </w:tcPr>
          <w:p w14:paraId="014FFE7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rPr>
            </w:pPr>
          </w:p>
        </w:tc>
        <w:tc>
          <w:tcPr>
            <w:tcW w:w="3437" w:type="dxa"/>
            <w:gridSpan w:val="2"/>
            <w:tcBorders>
              <w:tl2br w:val="nil"/>
              <w:tr2bl w:val="nil"/>
            </w:tcBorders>
            <w:vAlign w:val="center"/>
          </w:tcPr>
          <w:p w14:paraId="100F5D6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w:t>
            </w:r>
            <w:r>
              <w:rPr>
                <w:rFonts w:hint="eastAsia" w:ascii="仿宋_GB2312" w:hAnsi="宋体" w:eastAsia="仿宋_GB2312"/>
                <w:color w:val="auto"/>
                <w:kern w:val="0"/>
                <w:sz w:val="13"/>
                <w:szCs w:val="13"/>
                <w:highlight w:val="none"/>
                <w:lang w:val="en-US" w:eastAsia="zh-CN"/>
              </w:rPr>
              <w:t>4</w:t>
            </w:r>
            <w:r>
              <w:rPr>
                <w:rFonts w:hint="eastAsia" w:ascii="仿宋_GB2312" w:hAnsi="宋体" w:eastAsia="仿宋_GB2312"/>
                <w:color w:val="auto"/>
                <w:kern w:val="0"/>
                <w:sz w:val="13"/>
                <w:szCs w:val="13"/>
                <w:highlight w:val="none"/>
              </w:rPr>
              <w:t>）经责令限期改正，逾期未改正，造成</w:t>
            </w:r>
            <w:r>
              <w:rPr>
                <w:rFonts w:hint="eastAsia" w:ascii="仿宋_GB2312" w:hAnsi="宋体" w:eastAsia="仿宋_GB2312"/>
                <w:color w:val="auto"/>
                <w:kern w:val="0"/>
                <w:sz w:val="13"/>
                <w:szCs w:val="13"/>
                <w:highlight w:val="none"/>
                <w:lang w:val="en-US" w:eastAsia="zh-CN"/>
              </w:rPr>
              <w:t>特别重大</w:t>
            </w:r>
            <w:r>
              <w:rPr>
                <w:rFonts w:hint="eastAsia" w:ascii="仿宋_GB2312" w:hAnsi="宋体" w:eastAsia="仿宋_GB2312"/>
                <w:color w:val="auto"/>
                <w:kern w:val="0"/>
                <w:sz w:val="13"/>
                <w:szCs w:val="13"/>
                <w:highlight w:val="none"/>
              </w:rPr>
              <w:t>安全生产事故的。</w:t>
            </w:r>
          </w:p>
        </w:tc>
        <w:tc>
          <w:tcPr>
            <w:tcW w:w="3058" w:type="dxa"/>
            <w:tcBorders>
              <w:tl2br w:val="nil"/>
              <w:tr2bl w:val="nil"/>
            </w:tcBorders>
            <w:vAlign w:val="center"/>
          </w:tcPr>
          <w:p w14:paraId="1D5805E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lang w:val="en-US" w:eastAsia="zh-CN"/>
              </w:rPr>
              <w:t>责令停业整顿180日，</w:t>
            </w:r>
            <w:r>
              <w:rPr>
                <w:rFonts w:hint="eastAsia" w:ascii="仿宋_GB2312" w:hAnsi="宋体" w:eastAsia="仿宋_GB2312"/>
                <w:color w:val="auto"/>
                <w:kern w:val="0"/>
                <w:sz w:val="13"/>
                <w:szCs w:val="13"/>
                <w:highlight w:val="none"/>
              </w:rPr>
              <w:t>对生产经营单位处20万元的罚款；责令停业整顿，直至改正违法行为，对其直接负责的主管人员和其他直接责任人员处2万元罚款。</w:t>
            </w:r>
          </w:p>
        </w:tc>
      </w:tr>
      <w:tr w14:paraId="7810AE3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8" w:hRule="atLeast"/>
          <w:jc w:val="center"/>
        </w:trPr>
        <w:tc>
          <w:tcPr>
            <w:tcW w:w="443" w:type="dxa"/>
            <w:gridSpan w:val="2"/>
            <w:vMerge w:val="restart"/>
            <w:tcBorders>
              <w:tl2br w:val="nil"/>
              <w:tr2bl w:val="nil"/>
            </w:tcBorders>
            <w:vAlign w:val="center"/>
          </w:tcPr>
          <w:p w14:paraId="4512CC36">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Times New Roman"/>
                <w:color w:val="auto"/>
                <w:kern w:val="0"/>
                <w:sz w:val="13"/>
                <w:szCs w:val="13"/>
                <w:highlight w:val="none"/>
                <w:lang w:val="en-US"/>
              </w:rPr>
            </w:pPr>
            <w:r>
              <w:rPr>
                <w:rFonts w:hint="default" w:ascii="仿宋_GB2312" w:hAnsi="宋体" w:eastAsia="仿宋_GB2312" w:cs="仿宋_GB2312"/>
                <w:i w:val="0"/>
                <w:color w:val="auto"/>
                <w:kern w:val="0"/>
                <w:sz w:val="13"/>
                <w:szCs w:val="13"/>
                <w:highlight w:val="none"/>
                <w:u w:val="none"/>
                <w:lang w:val="en-US" w:eastAsia="zh-CN" w:bidi="ar"/>
              </w:rPr>
              <w:t>1</w:t>
            </w:r>
            <w:r>
              <w:rPr>
                <w:rFonts w:hint="eastAsia" w:ascii="仿宋_GB2312" w:hAnsi="宋体" w:eastAsia="仿宋_GB2312" w:cs="仿宋_GB2312"/>
                <w:i w:val="0"/>
                <w:color w:val="auto"/>
                <w:kern w:val="0"/>
                <w:sz w:val="13"/>
                <w:szCs w:val="13"/>
                <w:highlight w:val="none"/>
                <w:u w:val="none"/>
                <w:lang w:val="en-US" w:eastAsia="zh-CN" w:bidi="ar"/>
              </w:rPr>
              <w:t>29</w:t>
            </w:r>
          </w:p>
        </w:tc>
        <w:tc>
          <w:tcPr>
            <w:tcW w:w="1550" w:type="dxa"/>
            <w:vMerge w:val="restart"/>
            <w:tcBorders>
              <w:tl2br w:val="nil"/>
              <w:tr2bl w:val="nil"/>
            </w:tcBorders>
            <w:vAlign w:val="center"/>
          </w:tcPr>
          <w:p w14:paraId="1176FFC1">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施工单位挪用列入建设工程概算的安全生产作业环境及安全施工措施所需费用的</w:t>
            </w:r>
          </w:p>
        </w:tc>
        <w:tc>
          <w:tcPr>
            <w:tcW w:w="4820" w:type="dxa"/>
            <w:vMerge w:val="restart"/>
            <w:tcBorders>
              <w:tl2br w:val="nil"/>
              <w:tr2bl w:val="nil"/>
            </w:tcBorders>
            <w:vAlign w:val="center"/>
          </w:tcPr>
          <w:p w14:paraId="23EC92B4">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《建设工程安全生产管理条例》</w:t>
            </w:r>
          </w:p>
          <w:p w14:paraId="7CDB5C94">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第六十三条违反本条例的规定，施工单位挪用列入建设工程概算的安全生产作业环境及安全施工措施所需费用的，责令限期改正，处挪用费用20%以上50%以下的罚款；造成损失的，依法承担赔偿责任。</w:t>
            </w:r>
          </w:p>
        </w:tc>
        <w:tc>
          <w:tcPr>
            <w:tcW w:w="823" w:type="dxa"/>
            <w:tcBorders>
              <w:tl2br w:val="nil"/>
              <w:tr2bl w:val="nil"/>
            </w:tcBorders>
            <w:vAlign w:val="center"/>
          </w:tcPr>
          <w:p w14:paraId="3360172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vAlign w:val="center"/>
          </w:tcPr>
          <w:p w14:paraId="6ED1771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挪用费用占列入建设工程概算的安全生产作业环境及安全施工措施所需费用比例50%以下</w:t>
            </w:r>
            <w:r>
              <w:rPr>
                <w:rFonts w:ascii="仿宋_GB2312" w:hAnsi="宋体" w:eastAsia="仿宋_GB2312"/>
                <w:color w:val="auto"/>
                <w:kern w:val="0"/>
                <w:sz w:val="13"/>
                <w:szCs w:val="13"/>
                <w:highlight w:val="none"/>
              </w:rPr>
              <w:t>的</w:t>
            </w:r>
            <w:r>
              <w:rPr>
                <w:rFonts w:hint="eastAsia" w:ascii="仿宋_GB2312" w:hAnsi="宋体" w:eastAsia="仿宋_GB2312"/>
                <w:color w:val="auto"/>
                <w:kern w:val="0"/>
                <w:sz w:val="13"/>
                <w:szCs w:val="13"/>
                <w:highlight w:val="none"/>
              </w:rPr>
              <w:t>。</w:t>
            </w:r>
          </w:p>
        </w:tc>
        <w:tc>
          <w:tcPr>
            <w:tcW w:w="3058" w:type="dxa"/>
            <w:tcBorders>
              <w:tl2br w:val="nil"/>
              <w:tr2bl w:val="nil"/>
            </w:tcBorders>
            <w:vAlign w:val="center"/>
          </w:tcPr>
          <w:p w14:paraId="777CE83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责令限期改正，处挪用费用百分之二十以上百分之二十五以下的罚款。</w:t>
            </w:r>
          </w:p>
        </w:tc>
      </w:tr>
      <w:tr w14:paraId="7541A13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8" w:hRule="atLeast"/>
          <w:jc w:val="center"/>
        </w:trPr>
        <w:tc>
          <w:tcPr>
            <w:tcW w:w="443" w:type="dxa"/>
            <w:gridSpan w:val="2"/>
            <w:vMerge w:val="continue"/>
            <w:tcBorders>
              <w:tl2br w:val="nil"/>
              <w:tr2bl w:val="nil"/>
            </w:tcBorders>
            <w:vAlign w:val="center"/>
          </w:tcPr>
          <w:p w14:paraId="39E0D7E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color w:val="auto"/>
                <w:kern w:val="0"/>
                <w:sz w:val="13"/>
                <w:szCs w:val="13"/>
                <w:highlight w:val="none"/>
              </w:rPr>
            </w:pPr>
          </w:p>
        </w:tc>
        <w:tc>
          <w:tcPr>
            <w:tcW w:w="1550" w:type="dxa"/>
            <w:vMerge w:val="continue"/>
            <w:tcBorders>
              <w:tl2br w:val="nil"/>
              <w:tr2bl w:val="nil"/>
            </w:tcBorders>
          </w:tcPr>
          <w:p w14:paraId="6CB022D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vAlign w:val="center"/>
          </w:tcPr>
          <w:p w14:paraId="62D9604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tcBorders>
              <w:tl2br w:val="nil"/>
              <w:tr2bl w:val="nil"/>
            </w:tcBorders>
            <w:vAlign w:val="center"/>
          </w:tcPr>
          <w:p w14:paraId="583E40C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一般情节</w:t>
            </w:r>
          </w:p>
        </w:tc>
        <w:tc>
          <w:tcPr>
            <w:tcW w:w="3437" w:type="dxa"/>
            <w:gridSpan w:val="2"/>
            <w:tcBorders>
              <w:tl2br w:val="nil"/>
              <w:tr2bl w:val="nil"/>
            </w:tcBorders>
            <w:vAlign w:val="center"/>
          </w:tcPr>
          <w:p w14:paraId="55CCB66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挪用费用占列入建设工程概算的安全生产作业环境及安全施工措施所需费用比例50%以上75%以内的。</w:t>
            </w:r>
          </w:p>
        </w:tc>
        <w:tc>
          <w:tcPr>
            <w:tcW w:w="3058" w:type="dxa"/>
            <w:tcBorders>
              <w:tl2br w:val="nil"/>
              <w:tr2bl w:val="nil"/>
            </w:tcBorders>
            <w:vAlign w:val="center"/>
          </w:tcPr>
          <w:p w14:paraId="24E2B88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责令限期改正，处挪用费用百分之二十五以上百分之四十以下的罚款。</w:t>
            </w:r>
          </w:p>
        </w:tc>
      </w:tr>
      <w:tr w14:paraId="7C49C25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8" w:hRule="atLeast"/>
          <w:jc w:val="center"/>
        </w:trPr>
        <w:tc>
          <w:tcPr>
            <w:tcW w:w="443" w:type="dxa"/>
            <w:gridSpan w:val="2"/>
            <w:vMerge w:val="continue"/>
            <w:tcBorders>
              <w:tl2br w:val="nil"/>
              <w:tr2bl w:val="nil"/>
            </w:tcBorders>
            <w:vAlign w:val="center"/>
          </w:tcPr>
          <w:p w14:paraId="65525FC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color w:val="auto"/>
                <w:kern w:val="0"/>
                <w:sz w:val="13"/>
                <w:szCs w:val="13"/>
                <w:highlight w:val="none"/>
              </w:rPr>
            </w:pPr>
          </w:p>
        </w:tc>
        <w:tc>
          <w:tcPr>
            <w:tcW w:w="1550" w:type="dxa"/>
            <w:vMerge w:val="continue"/>
            <w:tcBorders>
              <w:tl2br w:val="nil"/>
              <w:tr2bl w:val="nil"/>
            </w:tcBorders>
            <w:vAlign w:val="center"/>
          </w:tcPr>
          <w:p w14:paraId="167BBF6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vAlign w:val="center"/>
          </w:tcPr>
          <w:p w14:paraId="3B5EDA5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tcBorders>
              <w:tl2br w:val="nil"/>
              <w:tr2bl w:val="nil"/>
            </w:tcBorders>
            <w:vAlign w:val="center"/>
          </w:tcPr>
          <w:p w14:paraId="729CC82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从重情节</w:t>
            </w:r>
          </w:p>
        </w:tc>
        <w:tc>
          <w:tcPr>
            <w:tcW w:w="3437" w:type="dxa"/>
            <w:gridSpan w:val="2"/>
            <w:tcBorders>
              <w:tl2br w:val="nil"/>
              <w:tr2bl w:val="nil"/>
            </w:tcBorders>
            <w:vAlign w:val="center"/>
          </w:tcPr>
          <w:p w14:paraId="73020DF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挪用费用占列入建设工程概算的安全生产作业环境及安全施工措施所需费用比例75%以上或造成安全事故的。</w:t>
            </w:r>
          </w:p>
        </w:tc>
        <w:tc>
          <w:tcPr>
            <w:tcW w:w="3058" w:type="dxa"/>
            <w:tcBorders>
              <w:tl2br w:val="nil"/>
              <w:tr2bl w:val="nil"/>
            </w:tcBorders>
            <w:vAlign w:val="center"/>
          </w:tcPr>
          <w:p w14:paraId="2E62718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责令限期改正，处挪用费用百分之四十以上百分之五十以下的罚款。</w:t>
            </w:r>
          </w:p>
        </w:tc>
      </w:tr>
      <w:tr w14:paraId="3056587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0" w:hRule="atLeast"/>
          <w:jc w:val="center"/>
        </w:trPr>
        <w:tc>
          <w:tcPr>
            <w:tcW w:w="443" w:type="dxa"/>
            <w:gridSpan w:val="2"/>
            <w:vMerge w:val="restart"/>
            <w:tcBorders>
              <w:tl2br w:val="nil"/>
              <w:tr2bl w:val="nil"/>
            </w:tcBorders>
            <w:vAlign w:val="center"/>
          </w:tcPr>
          <w:p w14:paraId="18FC74EB">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Times New Roman"/>
                <w:color w:val="auto"/>
                <w:kern w:val="0"/>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130</w:t>
            </w:r>
          </w:p>
        </w:tc>
        <w:tc>
          <w:tcPr>
            <w:tcW w:w="1550" w:type="dxa"/>
            <w:vMerge w:val="restart"/>
            <w:tcBorders>
              <w:tl2br w:val="nil"/>
              <w:tr2bl w:val="nil"/>
            </w:tcBorders>
            <w:vAlign w:val="center"/>
          </w:tcPr>
          <w:p w14:paraId="25E11158">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施工单位施工前未对有关安全施工的技术要求作出详细说明且逾期未改正的</w:t>
            </w:r>
          </w:p>
        </w:tc>
        <w:tc>
          <w:tcPr>
            <w:tcW w:w="4820" w:type="dxa"/>
            <w:vMerge w:val="restart"/>
            <w:tcBorders>
              <w:tl2br w:val="nil"/>
              <w:tr2bl w:val="nil"/>
            </w:tcBorders>
            <w:vAlign w:val="center"/>
          </w:tcPr>
          <w:p w14:paraId="6210E8D8">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《建设工程安全生产管理条例》</w:t>
            </w:r>
          </w:p>
          <w:p w14:paraId="0D96F0C4">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rPr>
              <w:t>第六十四条（</w:t>
            </w:r>
            <w:r>
              <w:rPr>
                <w:rFonts w:ascii="仿宋_GB2312" w:hAnsi="宋体" w:eastAsia="仿宋_GB2312"/>
                <w:color w:val="auto"/>
                <w:kern w:val="0"/>
                <w:sz w:val="13"/>
                <w:szCs w:val="13"/>
                <w:highlight w:val="none"/>
              </w:rPr>
              <w:t>一</w:t>
            </w:r>
            <w:r>
              <w:rPr>
                <w:rFonts w:hint="eastAsia" w:ascii="仿宋_GB2312" w:hAnsi="宋体" w:eastAsia="仿宋_GB2312"/>
                <w:color w:val="auto"/>
                <w:kern w:val="0"/>
                <w:sz w:val="13"/>
                <w:szCs w:val="13"/>
                <w:highlight w:val="none"/>
              </w:rPr>
              <w:t>）</w:t>
            </w:r>
            <w:r>
              <w:rPr>
                <w:rFonts w:ascii="仿宋_GB2312" w:hAnsi="宋体" w:eastAsia="仿宋_GB2312"/>
                <w:color w:val="auto"/>
                <w:kern w:val="0"/>
                <w:sz w:val="13"/>
                <w:szCs w:val="13"/>
                <w:highlight w:val="none"/>
              </w:rPr>
              <w:t>项</w:t>
            </w:r>
            <w:r>
              <w:rPr>
                <w:rFonts w:hint="eastAsia" w:ascii="仿宋_GB2312" w:hAnsi="宋体" w:eastAsia="仿宋_GB2312"/>
                <w:color w:val="auto"/>
                <w:kern w:val="0"/>
                <w:sz w:val="13"/>
                <w:szCs w:val="13"/>
                <w:highlight w:val="none"/>
              </w:rPr>
              <w:t>违反本条例的规定，施工单位有下列行为之一的，责令限期改正；逾期未改正的，责令停业整顿，并处5万元以上10万元以下的罚款；造成重大安全事故，构成犯罪的，对直接责任人员，依照刑法有关规定追究刑事责任：</w:t>
            </w:r>
          </w:p>
          <w:p w14:paraId="4AD5A7D5">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(一)施工前未对有关安全施工的技术要求作出详细说明的；</w:t>
            </w:r>
          </w:p>
        </w:tc>
        <w:tc>
          <w:tcPr>
            <w:tcW w:w="823" w:type="dxa"/>
            <w:tcBorders>
              <w:tl2br w:val="nil"/>
              <w:tr2bl w:val="nil"/>
            </w:tcBorders>
            <w:vAlign w:val="center"/>
          </w:tcPr>
          <w:p w14:paraId="2CD139F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vAlign w:val="center"/>
          </w:tcPr>
          <w:p w14:paraId="030B507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不涉及危险性较大分部分项工程，且尚未造成生产安全事故的。</w:t>
            </w:r>
          </w:p>
        </w:tc>
        <w:tc>
          <w:tcPr>
            <w:tcW w:w="3058" w:type="dxa"/>
            <w:tcBorders>
              <w:tl2br w:val="nil"/>
              <w:tr2bl w:val="nil"/>
            </w:tcBorders>
            <w:vAlign w:val="center"/>
          </w:tcPr>
          <w:p w14:paraId="55C0D33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责令停业整顿，直至改正违法行为；处5万元以上6万元以下的罚款。</w:t>
            </w:r>
          </w:p>
        </w:tc>
      </w:tr>
      <w:tr w14:paraId="321EF3C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0" w:hRule="atLeast"/>
          <w:jc w:val="center"/>
        </w:trPr>
        <w:tc>
          <w:tcPr>
            <w:tcW w:w="443" w:type="dxa"/>
            <w:gridSpan w:val="2"/>
            <w:vMerge w:val="continue"/>
            <w:tcBorders>
              <w:tl2br w:val="nil"/>
              <w:tr2bl w:val="nil"/>
            </w:tcBorders>
            <w:vAlign w:val="center"/>
          </w:tcPr>
          <w:p w14:paraId="6A8DF98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color w:val="auto"/>
                <w:kern w:val="0"/>
                <w:sz w:val="13"/>
                <w:szCs w:val="13"/>
                <w:highlight w:val="none"/>
              </w:rPr>
            </w:pPr>
          </w:p>
        </w:tc>
        <w:tc>
          <w:tcPr>
            <w:tcW w:w="1550" w:type="dxa"/>
            <w:vMerge w:val="continue"/>
            <w:tcBorders>
              <w:tl2br w:val="nil"/>
              <w:tr2bl w:val="nil"/>
            </w:tcBorders>
            <w:vAlign w:val="center"/>
          </w:tcPr>
          <w:p w14:paraId="44C1B1F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vAlign w:val="center"/>
          </w:tcPr>
          <w:p w14:paraId="16CFA19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tcBorders>
              <w:tl2br w:val="nil"/>
              <w:tr2bl w:val="nil"/>
            </w:tcBorders>
            <w:vAlign w:val="center"/>
          </w:tcPr>
          <w:p w14:paraId="2DB4904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一般情节</w:t>
            </w:r>
          </w:p>
        </w:tc>
        <w:tc>
          <w:tcPr>
            <w:tcW w:w="3437" w:type="dxa"/>
            <w:gridSpan w:val="2"/>
            <w:tcBorders>
              <w:tl2br w:val="nil"/>
              <w:tr2bl w:val="nil"/>
            </w:tcBorders>
            <w:vAlign w:val="center"/>
          </w:tcPr>
          <w:p w14:paraId="4973126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涉及危险性较大分部分项工程，且尚未造成生产安全事故的。</w:t>
            </w:r>
          </w:p>
        </w:tc>
        <w:tc>
          <w:tcPr>
            <w:tcW w:w="3058" w:type="dxa"/>
            <w:tcBorders>
              <w:tl2br w:val="nil"/>
              <w:tr2bl w:val="nil"/>
            </w:tcBorders>
            <w:vAlign w:val="center"/>
          </w:tcPr>
          <w:p w14:paraId="305AB94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责令停业整顿，直至改正违法行为；处6万元以上8万元以下的罚款。</w:t>
            </w:r>
          </w:p>
        </w:tc>
      </w:tr>
      <w:tr w14:paraId="752966D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0" w:hRule="atLeast"/>
          <w:jc w:val="center"/>
        </w:trPr>
        <w:tc>
          <w:tcPr>
            <w:tcW w:w="443" w:type="dxa"/>
            <w:gridSpan w:val="2"/>
            <w:vMerge w:val="continue"/>
            <w:tcBorders>
              <w:tl2br w:val="nil"/>
              <w:tr2bl w:val="nil"/>
            </w:tcBorders>
            <w:vAlign w:val="center"/>
          </w:tcPr>
          <w:p w14:paraId="3C7E8E3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color w:val="auto"/>
                <w:kern w:val="0"/>
                <w:sz w:val="13"/>
                <w:szCs w:val="13"/>
                <w:highlight w:val="none"/>
              </w:rPr>
            </w:pPr>
          </w:p>
        </w:tc>
        <w:tc>
          <w:tcPr>
            <w:tcW w:w="1550" w:type="dxa"/>
            <w:vMerge w:val="continue"/>
            <w:tcBorders>
              <w:tl2br w:val="nil"/>
              <w:tr2bl w:val="nil"/>
            </w:tcBorders>
            <w:vAlign w:val="center"/>
          </w:tcPr>
          <w:p w14:paraId="557D95C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vAlign w:val="center"/>
          </w:tcPr>
          <w:p w14:paraId="7E0B88F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tcBorders>
              <w:tl2br w:val="nil"/>
              <w:tr2bl w:val="nil"/>
            </w:tcBorders>
            <w:vAlign w:val="center"/>
          </w:tcPr>
          <w:p w14:paraId="2D8C603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从重情节</w:t>
            </w:r>
          </w:p>
        </w:tc>
        <w:tc>
          <w:tcPr>
            <w:tcW w:w="3437" w:type="dxa"/>
            <w:gridSpan w:val="2"/>
            <w:tcBorders>
              <w:tl2br w:val="nil"/>
              <w:tr2bl w:val="nil"/>
            </w:tcBorders>
            <w:vAlign w:val="center"/>
          </w:tcPr>
          <w:p w14:paraId="6141C04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发生安全事故的涉及超规模危险性较大分部分项工程，或造成生产安全事故。</w:t>
            </w:r>
          </w:p>
        </w:tc>
        <w:tc>
          <w:tcPr>
            <w:tcW w:w="3058" w:type="dxa"/>
            <w:tcBorders>
              <w:tl2br w:val="nil"/>
              <w:tr2bl w:val="nil"/>
            </w:tcBorders>
            <w:vAlign w:val="center"/>
          </w:tcPr>
          <w:p w14:paraId="3B07C51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责令停业整顿，直至改正违法行为；处8万元以上10万元以下的罚款。</w:t>
            </w:r>
          </w:p>
        </w:tc>
      </w:tr>
      <w:tr w14:paraId="60849E2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406" w:hRule="atLeast"/>
          <w:jc w:val="center"/>
        </w:trPr>
        <w:tc>
          <w:tcPr>
            <w:tcW w:w="443" w:type="dxa"/>
            <w:gridSpan w:val="2"/>
            <w:vMerge w:val="restart"/>
            <w:tcBorders>
              <w:tl2br w:val="nil"/>
              <w:tr2bl w:val="nil"/>
            </w:tcBorders>
            <w:vAlign w:val="center"/>
          </w:tcPr>
          <w:p w14:paraId="51E0416A">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Times New Roman"/>
                <w:color w:val="auto"/>
                <w:kern w:val="0"/>
                <w:sz w:val="13"/>
                <w:szCs w:val="13"/>
                <w:highlight w:val="none"/>
                <w:lang w:val="en-US"/>
              </w:rPr>
            </w:pPr>
            <w:r>
              <w:rPr>
                <w:rFonts w:hint="default" w:ascii="仿宋_GB2312" w:hAnsi="宋体" w:eastAsia="仿宋_GB2312" w:cs="仿宋_GB2312"/>
                <w:i w:val="0"/>
                <w:color w:val="auto"/>
                <w:kern w:val="0"/>
                <w:sz w:val="13"/>
                <w:szCs w:val="13"/>
                <w:highlight w:val="none"/>
                <w:u w:val="none"/>
                <w:lang w:val="en-US" w:eastAsia="zh-CN" w:bidi="ar"/>
              </w:rPr>
              <w:t>1</w:t>
            </w:r>
            <w:r>
              <w:rPr>
                <w:rFonts w:hint="eastAsia" w:ascii="仿宋_GB2312" w:hAnsi="宋体" w:eastAsia="仿宋_GB2312" w:cs="仿宋_GB2312"/>
                <w:i w:val="0"/>
                <w:color w:val="auto"/>
                <w:kern w:val="0"/>
                <w:sz w:val="13"/>
                <w:szCs w:val="13"/>
                <w:highlight w:val="none"/>
                <w:u w:val="none"/>
                <w:lang w:val="en-US" w:eastAsia="zh-CN" w:bidi="ar"/>
              </w:rPr>
              <w:t>31</w:t>
            </w:r>
          </w:p>
        </w:tc>
        <w:tc>
          <w:tcPr>
            <w:tcW w:w="1550" w:type="dxa"/>
            <w:vMerge w:val="restart"/>
            <w:tcBorders>
              <w:tl2br w:val="nil"/>
              <w:tr2bl w:val="nil"/>
            </w:tcBorders>
            <w:vAlign w:val="center"/>
          </w:tcPr>
          <w:p w14:paraId="569BE19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施工单位未根据不同施工阶段和周围环境及季节、气候的变化，在施工现场采取相应的安全施工措施，或者在城市市区内的建设工程的施工现场未实行封闭围挡且逾期未改正的</w:t>
            </w:r>
          </w:p>
        </w:tc>
        <w:tc>
          <w:tcPr>
            <w:tcW w:w="4820" w:type="dxa"/>
            <w:vMerge w:val="restart"/>
            <w:tcBorders>
              <w:tl2br w:val="nil"/>
              <w:tr2bl w:val="nil"/>
            </w:tcBorders>
            <w:vAlign w:val="center"/>
          </w:tcPr>
          <w:p w14:paraId="0F3A87C4">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《建设工程安全生产管理条例》</w:t>
            </w:r>
          </w:p>
          <w:p w14:paraId="1542A8A0">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第六十四条（</w:t>
            </w:r>
            <w:r>
              <w:rPr>
                <w:rFonts w:ascii="仿宋_GB2312" w:hAnsi="宋体" w:eastAsia="仿宋_GB2312"/>
                <w:color w:val="auto"/>
                <w:kern w:val="0"/>
                <w:sz w:val="13"/>
                <w:szCs w:val="13"/>
                <w:highlight w:val="none"/>
              </w:rPr>
              <w:t>二</w:t>
            </w:r>
            <w:r>
              <w:rPr>
                <w:rFonts w:hint="eastAsia" w:ascii="仿宋_GB2312" w:hAnsi="宋体" w:eastAsia="仿宋_GB2312"/>
                <w:color w:val="auto"/>
                <w:kern w:val="0"/>
                <w:sz w:val="13"/>
                <w:szCs w:val="13"/>
                <w:highlight w:val="none"/>
              </w:rPr>
              <w:t>）</w:t>
            </w:r>
            <w:r>
              <w:rPr>
                <w:rFonts w:ascii="仿宋_GB2312" w:hAnsi="宋体" w:eastAsia="仿宋_GB2312"/>
                <w:color w:val="auto"/>
                <w:kern w:val="0"/>
                <w:sz w:val="13"/>
                <w:szCs w:val="13"/>
                <w:highlight w:val="none"/>
              </w:rPr>
              <w:t>项</w:t>
            </w:r>
            <w:r>
              <w:rPr>
                <w:rFonts w:hint="eastAsia" w:ascii="仿宋_GB2312" w:hAnsi="宋体" w:eastAsia="仿宋_GB2312"/>
                <w:color w:val="auto"/>
                <w:kern w:val="0"/>
                <w:sz w:val="13"/>
                <w:szCs w:val="13"/>
                <w:highlight w:val="none"/>
              </w:rPr>
              <w:t>违反本条例的规定，施工单位有下列行为之一的，责令限期改正；逾期未改正的，责令停业整顿，并处5万元以上10万元以下的罚款；造成重大安全事故，构成犯罪的，对直接责任人员，依照刑法有关规定追究刑事责任：</w:t>
            </w:r>
          </w:p>
          <w:p w14:paraId="7666E892">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(二)未根据不同施工阶段和周围环境及季节、气候的变化，在施工现场采取相应的安全施工措施，或者在城市市区内的建设工程的施工现场未实行封闭围挡的；</w:t>
            </w:r>
          </w:p>
        </w:tc>
        <w:tc>
          <w:tcPr>
            <w:tcW w:w="823" w:type="dxa"/>
            <w:tcBorders>
              <w:tl2br w:val="nil"/>
              <w:tr2bl w:val="nil"/>
            </w:tcBorders>
            <w:vAlign w:val="center"/>
          </w:tcPr>
          <w:p w14:paraId="0052A8E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vAlign w:val="center"/>
          </w:tcPr>
          <w:p w14:paraId="72CDA4A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初次违法，危害后果较轻的，主动消除或减轻违法行为危害后果的。</w:t>
            </w:r>
          </w:p>
        </w:tc>
        <w:tc>
          <w:tcPr>
            <w:tcW w:w="3058" w:type="dxa"/>
            <w:tcBorders>
              <w:tl2br w:val="nil"/>
              <w:tr2bl w:val="nil"/>
            </w:tcBorders>
            <w:vAlign w:val="center"/>
          </w:tcPr>
          <w:p w14:paraId="06D4C6E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责令停业整顿，直至改正违法行为；处5万元以上6万元以下的罚款。</w:t>
            </w:r>
          </w:p>
        </w:tc>
      </w:tr>
      <w:tr w14:paraId="3ED1EB5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0" w:hRule="atLeast"/>
          <w:jc w:val="center"/>
        </w:trPr>
        <w:tc>
          <w:tcPr>
            <w:tcW w:w="443" w:type="dxa"/>
            <w:gridSpan w:val="2"/>
            <w:vMerge w:val="continue"/>
            <w:tcBorders>
              <w:tl2br w:val="nil"/>
              <w:tr2bl w:val="nil"/>
            </w:tcBorders>
            <w:vAlign w:val="center"/>
          </w:tcPr>
          <w:p w14:paraId="10A01CA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color w:val="auto"/>
                <w:kern w:val="0"/>
                <w:sz w:val="13"/>
                <w:szCs w:val="13"/>
                <w:highlight w:val="none"/>
              </w:rPr>
            </w:pPr>
          </w:p>
        </w:tc>
        <w:tc>
          <w:tcPr>
            <w:tcW w:w="1550" w:type="dxa"/>
            <w:vMerge w:val="continue"/>
            <w:tcBorders>
              <w:tl2br w:val="nil"/>
              <w:tr2bl w:val="nil"/>
            </w:tcBorders>
            <w:vAlign w:val="center"/>
          </w:tcPr>
          <w:p w14:paraId="713DEA3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tcPr>
          <w:p w14:paraId="215139E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tcBorders>
              <w:tl2br w:val="nil"/>
              <w:tr2bl w:val="nil"/>
            </w:tcBorders>
            <w:vAlign w:val="center"/>
          </w:tcPr>
          <w:p w14:paraId="7413807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一般情节</w:t>
            </w:r>
          </w:p>
        </w:tc>
        <w:tc>
          <w:tcPr>
            <w:tcW w:w="3437" w:type="dxa"/>
            <w:gridSpan w:val="2"/>
            <w:tcBorders>
              <w:tl2br w:val="nil"/>
              <w:tr2bl w:val="nil"/>
            </w:tcBorders>
            <w:vAlign w:val="center"/>
          </w:tcPr>
          <w:p w14:paraId="0685254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不具有从轻、</w:t>
            </w:r>
            <w:r>
              <w:rPr>
                <w:rFonts w:hint="eastAsia" w:ascii="仿宋_GB2312" w:hAnsi="宋体" w:eastAsia="仿宋_GB2312"/>
                <w:color w:val="auto"/>
                <w:kern w:val="0"/>
                <w:sz w:val="13"/>
                <w:szCs w:val="13"/>
                <w:highlight w:val="none"/>
                <w:lang w:eastAsia="zh-CN"/>
              </w:rPr>
              <w:t>从重情节</w:t>
            </w:r>
            <w:r>
              <w:rPr>
                <w:rFonts w:hint="eastAsia" w:ascii="仿宋_GB2312" w:hAnsi="宋体" w:eastAsia="仿宋_GB2312"/>
                <w:color w:val="auto"/>
                <w:kern w:val="0"/>
                <w:sz w:val="13"/>
                <w:szCs w:val="13"/>
                <w:highlight w:val="none"/>
              </w:rPr>
              <w:t>的。</w:t>
            </w:r>
          </w:p>
        </w:tc>
        <w:tc>
          <w:tcPr>
            <w:tcW w:w="3058" w:type="dxa"/>
            <w:tcBorders>
              <w:tl2br w:val="nil"/>
              <w:tr2bl w:val="nil"/>
            </w:tcBorders>
            <w:vAlign w:val="center"/>
          </w:tcPr>
          <w:p w14:paraId="79476B0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责令停业整顿，直至改正违法行为；处6万元以上8万元以下的罚款。</w:t>
            </w:r>
          </w:p>
        </w:tc>
      </w:tr>
      <w:tr w14:paraId="23A27FF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8" w:hRule="atLeast"/>
          <w:jc w:val="center"/>
        </w:trPr>
        <w:tc>
          <w:tcPr>
            <w:tcW w:w="443" w:type="dxa"/>
            <w:gridSpan w:val="2"/>
            <w:vMerge w:val="continue"/>
            <w:tcBorders>
              <w:tl2br w:val="nil"/>
              <w:tr2bl w:val="nil"/>
            </w:tcBorders>
            <w:vAlign w:val="center"/>
          </w:tcPr>
          <w:p w14:paraId="12C29CF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color w:val="auto"/>
                <w:kern w:val="0"/>
                <w:sz w:val="13"/>
                <w:szCs w:val="13"/>
                <w:highlight w:val="none"/>
              </w:rPr>
            </w:pPr>
          </w:p>
        </w:tc>
        <w:tc>
          <w:tcPr>
            <w:tcW w:w="1550" w:type="dxa"/>
            <w:vMerge w:val="continue"/>
            <w:tcBorders>
              <w:tl2br w:val="nil"/>
              <w:tr2bl w:val="nil"/>
            </w:tcBorders>
            <w:vAlign w:val="center"/>
          </w:tcPr>
          <w:p w14:paraId="5F642D7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tcPr>
          <w:p w14:paraId="2E2BFE5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tcBorders>
              <w:tl2br w:val="nil"/>
              <w:tr2bl w:val="nil"/>
            </w:tcBorders>
            <w:vAlign w:val="center"/>
          </w:tcPr>
          <w:p w14:paraId="0B1EE4B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从重情节</w:t>
            </w:r>
          </w:p>
        </w:tc>
        <w:tc>
          <w:tcPr>
            <w:tcW w:w="3437" w:type="dxa"/>
            <w:gridSpan w:val="2"/>
            <w:tcBorders>
              <w:tl2br w:val="nil"/>
              <w:tr2bl w:val="nil"/>
            </w:tcBorders>
            <w:vAlign w:val="center"/>
          </w:tcPr>
          <w:p w14:paraId="7D3339C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（1）多次实施同类违法行为的；</w:t>
            </w:r>
          </w:p>
          <w:p w14:paraId="523F57B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（2）造成质量安全事故或其他严重后果的。</w:t>
            </w:r>
          </w:p>
        </w:tc>
        <w:tc>
          <w:tcPr>
            <w:tcW w:w="3058" w:type="dxa"/>
            <w:tcBorders>
              <w:tl2br w:val="nil"/>
              <w:tr2bl w:val="nil"/>
            </w:tcBorders>
            <w:vAlign w:val="center"/>
          </w:tcPr>
          <w:p w14:paraId="04F1B5B7">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责令停业整顿，直至改正违法行为；处8万以上10万元以下的罚款。</w:t>
            </w:r>
          </w:p>
        </w:tc>
      </w:tr>
      <w:tr w14:paraId="7898D5C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69" w:hRule="atLeast"/>
          <w:jc w:val="center"/>
        </w:trPr>
        <w:tc>
          <w:tcPr>
            <w:tcW w:w="443" w:type="dxa"/>
            <w:gridSpan w:val="2"/>
            <w:vMerge w:val="restart"/>
            <w:tcBorders>
              <w:tl2br w:val="nil"/>
              <w:tr2bl w:val="nil"/>
            </w:tcBorders>
            <w:vAlign w:val="center"/>
          </w:tcPr>
          <w:p w14:paraId="6EFAD04D">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Times New Roman"/>
                <w:color w:val="auto"/>
                <w:kern w:val="0"/>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132</w:t>
            </w:r>
          </w:p>
        </w:tc>
        <w:tc>
          <w:tcPr>
            <w:tcW w:w="1550" w:type="dxa"/>
            <w:vMerge w:val="restart"/>
            <w:tcBorders>
              <w:tl2br w:val="nil"/>
              <w:tr2bl w:val="nil"/>
            </w:tcBorders>
            <w:vAlign w:val="center"/>
          </w:tcPr>
          <w:p w14:paraId="64475F0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default" w:ascii="仿宋_GB2312" w:hAnsi="宋体" w:eastAsia="仿宋_GB2312"/>
                <w:color w:val="auto"/>
                <w:kern w:val="0"/>
                <w:sz w:val="13"/>
                <w:szCs w:val="13"/>
                <w:highlight w:val="none"/>
                <w:lang w:val="en-US"/>
              </w:rPr>
            </w:pPr>
            <w:r>
              <w:rPr>
                <w:rFonts w:hint="eastAsia" w:ascii="仿宋_GB2312" w:hAnsi="宋体" w:eastAsia="仿宋_GB2312"/>
                <w:color w:val="auto"/>
                <w:kern w:val="0"/>
                <w:sz w:val="13"/>
                <w:szCs w:val="13"/>
                <w:highlight w:val="none"/>
              </w:rPr>
              <w:t>施工单位在尚未竣工的建筑物内设置员工集体宿舍</w:t>
            </w:r>
            <w:r>
              <w:rPr>
                <w:rFonts w:hint="eastAsia" w:ascii="仿宋_GB2312" w:hAnsi="宋体" w:eastAsia="仿宋_GB2312"/>
                <w:color w:val="auto"/>
                <w:kern w:val="0"/>
                <w:sz w:val="13"/>
                <w:szCs w:val="13"/>
                <w:highlight w:val="none"/>
                <w:lang w:eastAsia="zh-CN"/>
              </w:rPr>
              <w:t>，</w:t>
            </w:r>
            <w:r>
              <w:rPr>
                <w:rFonts w:hint="eastAsia" w:ascii="仿宋_GB2312" w:hAnsi="宋体" w:eastAsia="仿宋_GB2312"/>
                <w:color w:val="auto"/>
                <w:kern w:val="0"/>
                <w:sz w:val="13"/>
                <w:szCs w:val="13"/>
                <w:highlight w:val="none"/>
                <w:lang w:val="en-US" w:eastAsia="zh-CN"/>
              </w:rPr>
              <w:t>责令限期改正且逾期未改正</w:t>
            </w:r>
            <w:r>
              <w:rPr>
                <w:rFonts w:hint="eastAsia" w:ascii="仿宋_GB2312" w:hAnsi="宋体" w:eastAsia="仿宋_GB2312"/>
                <w:color w:val="auto"/>
                <w:kern w:val="0"/>
                <w:sz w:val="13"/>
                <w:szCs w:val="13"/>
                <w:highlight w:val="none"/>
              </w:rPr>
              <w:t>的</w:t>
            </w:r>
          </w:p>
        </w:tc>
        <w:tc>
          <w:tcPr>
            <w:tcW w:w="4820" w:type="dxa"/>
            <w:vMerge w:val="restart"/>
            <w:tcBorders>
              <w:tl2br w:val="nil"/>
              <w:tr2bl w:val="nil"/>
            </w:tcBorders>
            <w:vAlign w:val="center"/>
          </w:tcPr>
          <w:p w14:paraId="3C37E4EE">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《建设工程安全生产管理条例》</w:t>
            </w:r>
          </w:p>
          <w:p w14:paraId="3394FB29">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rPr>
              <w:t>第六十四条（</w:t>
            </w:r>
            <w:r>
              <w:rPr>
                <w:rFonts w:ascii="仿宋_GB2312" w:hAnsi="宋体" w:eastAsia="仿宋_GB2312"/>
                <w:color w:val="auto"/>
                <w:kern w:val="0"/>
                <w:sz w:val="13"/>
                <w:szCs w:val="13"/>
                <w:highlight w:val="none"/>
              </w:rPr>
              <w:t>三</w:t>
            </w:r>
            <w:r>
              <w:rPr>
                <w:rFonts w:hint="eastAsia" w:ascii="仿宋_GB2312" w:hAnsi="宋体" w:eastAsia="仿宋_GB2312"/>
                <w:color w:val="auto"/>
                <w:kern w:val="0"/>
                <w:sz w:val="13"/>
                <w:szCs w:val="13"/>
                <w:highlight w:val="none"/>
              </w:rPr>
              <w:t>）</w:t>
            </w:r>
            <w:r>
              <w:rPr>
                <w:rFonts w:ascii="仿宋_GB2312" w:hAnsi="宋体" w:eastAsia="仿宋_GB2312"/>
                <w:color w:val="auto"/>
                <w:kern w:val="0"/>
                <w:sz w:val="13"/>
                <w:szCs w:val="13"/>
                <w:highlight w:val="none"/>
              </w:rPr>
              <w:t>项</w:t>
            </w:r>
            <w:r>
              <w:rPr>
                <w:rFonts w:hint="eastAsia" w:ascii="仿宋_GB2312" w:hAnsi="宋体" w:eastAsia="仿宋_GB2312"/>
                <w:color w:val="auto"/>
                <w:kern w:val="0"/>
                <w:sz w:val="13"/>
                <w:szCs w:val="13"/>
                <w:highlight w:val="none"/>
              </w:rPr>
              <w:t>违反本条例的规定，施工单位有下列行为之一的，责令限期改正；逾期未改正的，责令停业整顿，并处5万元以上10万元以下的罚款；造成重大安全事故，构成犯罪的，对直接责任人员，依照刑法有关规定追究刑事责任：</w:t>
            </w:r>
          </w:p>
          <w:p w14:paraId="171018BD">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(三)在尚未竣工的建筑物内设置员工集体宿舍的；</w:t>
            </w:r>
          </w:p>
        </w:tc>
        <w:tc>
          <w:tcPr>
            <w:tcW w:w="823" w:type="dxa"/>
            <w:tcBorders>
              <w:tl2br w:val="nil"/>
              <w:tr2bl w:val="nil"/>
            </w:tcBorders>
            <w:vAlign w:val="center"/>
          </w:tcPr>
          <w:p w14:paraId="7EBFB88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vAlign w:val="center"/>
          </w:tcPr>
          <w:p w14:paraId="6B059B0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员工宿舍住宿人数在3人以下的。</w:t>
            </w:r>
          </w:p>
        </w:tc>
        <w:tc>
          <w:tcPr>
            <w:tcW w:w="3058" w:type="dxa"/>
            <w:tcBorders>
              <w:tl2br w:val="nil"/>
              <w:tr2bl w:val="nil"/>
            </w:tcBorders>
            <w:vAlign w:val="center"/>
          </w:tcPr>
          <w:p w14:paraId="1846459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责令停业整顿，直至改正违法行为；处5万元以上6万元以下的罚款。</w:t>
            </w:r>
          </w:p>
        </w:tc>
      </w:tr>
      <w:tr w14:paraId="19425B4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89" w:hRule="atLeast"/>
          <w:jc w:val="center"/>
        </w:trPr>
        <w:tc>
          <w:tcPr>
            <w:tcW w:w="443" w:type="dxa"/>
            <w:gridSpan w:val="2"/>
            <w:vMerge w:val="continue"/>
            <w:tcBorders>
              <w:tl2br w:val="nil"/>
              <w:tr2bl w:val="nil"/>
            </w:tcBorders>
            <w:vAlign w:val="center"/>
          </w:tcPr>
          <w:p w14:paraId="70BF9A5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color w:val="auto"/>
                <w:kern w:val="0"/>
                <w:sz w:val="13"/>
                <w:szCs w:val="13"/>
                <w:highlight w:val="none"/>
              </w:rPr>
            </w:pPr>
          </w:p>
        </w:tc>
        <w:tc>
          <w:tcPr>
            <w:tcW w:w="1550" w:type="dxa"/>
            <w:vMerge w:val="continue"/>
            <w:tcBorders>
              <w:tl2br w:val="nil"/>
              <w:tr2bl w:val="nil"/>
            </w:tcBorders>
            <w:vAlign w:val="center"/>
          </w:tcPr>
          <w:p w14:paraId="19D5D3A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tcPr>
          <w:p w14:paraId="7A5716B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tcBorders>
              <w:tl2br w:val="nil"/>
              <w:tr2bl w:val="nil"/>
            </w:tcBorders>
            <w:vAlign w:val="center"/>
          </w:tcPr>
          <w:p w14:paraId="5835D03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一般情节</w:t>
            </w:r>
          </w:p>
        </w:tc>
        <w:tc>
          <w:tcPr>
            <w:tcW w:w="3437" w:type="dxa"/>
            <w:gridSpan w:val="2"/>
            <w:tcBorders>
              <w:tl2br w:val="nil"/>
              <w:tr2bl w:val="nil"/>
            </w:tcBorders>
            <w:vAlign w:val="center"/>
          </w:tcPr>
          <w:p w14:paraId="5D3D27B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员工宿舍住宿人数在3人以上10人以下的。</w:t>
            </w:r>
          </w:p>
        </w:tc>
        <w:tc>
          <w:tcPr>
            <w:tcW w:w="3058" w:type="dxa"/>
            <w:tcBorders>
              <w:tl2br w:val="nil"/>
              <w:tr2bl w:val="nil"/>
            </w:tcBorders>
            <w:vAlign w:val="center"/>
          </w:tcPr>
          <w:p w14:paraId="61A3F88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责令停业整顿，直至改正违法行为；处6万元以上8万元以下的罚款。</w:t>
            </w:r>
          </w:p>
        </w:tc>
      </w:tr>
      <w:tr w14:paraId="78D555A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0" w:hRule="atLeast"/>
          <w:jc w:val="center"/>
        </w:trPr>
        <w:tc>
          <w:tcPr>
            <w:tcW w:w="443" w:type="dxa"/>
            <w:gridSpan w:val="2"/>
            <w:vMerge w:val="continue"/>
            <w:tcBorders>
              <w:tl2br w:val="nil"/>
              <w:tr2bl w:val="nil"/>
            </w:tcBorders>
            <w:vAlign w:val="center"/>
          </w:tcPr>
          <w:p w14:paraId="44A3942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color w:val="auto"/>
                <w:kern w:val="0"/>
                <w:sz w:val="13"/>
                <w:szCs w:val="13"/>
                <w:highlight w:val="none"/>
              </w:rPr>
            </w:pPr>
          </w:p>
        </w:tc>
        <w:tc>
          <w:tcPr>
            <w:tcW w:w="1550" w:type="dxa"/>
            <w:vMerge w:val="continue"/>
            <w:tcBorders>
              <w:tl2br w:val="nil"/>
              <w:tr2bl w:val="nil"/>
            </w:tcBorders>
            <w:vAlign w:val="center"/>
          </w:tcPr>
          <w:p w14:paraId="1719F6D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tcPr>
          <w:p w14:paraId="21DF8EB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tcBorders>
              <w:tl2br w:val="nil"/>
              <w:tr2bl w:val="nil"/>
            </w:tcBorders>
            <w:vAlign w:val="center"/>
          </w:tcPr>
          <w:p w14:paraId="15A4647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从重情节</w:t>
            </w:r>
          </w:p>
        </w:tc>
        <w:tc>
          <w:tcPr>
            <w:tcW w:w="3437" w:type="dxa"/>
            <w:gridSpan w:val="2"/>
            <w:tcBorders>
              <w:tl2br w:val="nil"/>
              <w:tr2bl w:val="nil"/>
            </w:tcBorders>
            <w:vAlign w:val="center"/>
          </w:tcPr>
          <w:p w14:paraId="09E4DC4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员工宿舍住宿人数在10人以上的，或造成生产安全事故的。</w:t>
            </w:r>
          </w:p>
        </w:tc>
        <w:tc>
          <w:tcPr>
            <w:tcW w:w="3058" w:type="dxa"/>
            <w:tcBorders>
              <w:tl2br w:val="nil"/>
              <w:tr2bl w:val="nil"/>
            </w:tcBorders>
            <w:vAlign w:val="center"/>
          </w:tcPr>
          <w:p w14:paraId="25A3136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责令停业整顿，直至改正违法行为；处8万以上10万元以下的罚款。</w:t>
            </w:r>
          </w:p>
        </w:tc>
      </w:tr>
      <w:tr w14:paraId="3719072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0" w:hRule="atLeast"/>
          <w:jc w:val="center"/>
        </w:trPr>
        <w:tc>
          <w:tcPr>
            <w:tcW w:w="443" w:type="dxa"/>
            <w:gridSpan w:val="2"/>
            <w:vMerge w:val="restart"/>
            <w:tcBorders>
              <w:tl2br w:val="nil"/>
              <w:tr2bl w:val="nil"/>
            </w:tcBorders>
            <w:vAlign w:val="center"/>
          </w:tcPr>
          <w:p w14:paraId="45165A1D">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color w:val="auto"/>
                <w:kern w:val="0"/>
                <w:sz w:val="13"/>
                <w:szCs w:val="13"/>
                <w:highlight w:val="none"/>
              </w:rPr>
            </w:pPr>
            <w:r>
              <w:rPr>
                <w:rFonts w:hint="default" w:ascii="仿宋_GB2312" w:hAnsi="宋体" w:eastAsia="仿宋_GB2312" w:cs="仿宋_GB2312"/>
                <w:i w:val="0"/>
                <w:color w:val="auto"/>
                <w:kern w:val="0"/>
                <w:sz w:val="13"/>
                <w:szCs w:val="13"/>
                <w:highlight w:val="none"/>
                <w:u w:val="none"/>
                <w:lang w:val="en-US" w:eastAsia="zh-CN" w:bidi="ar"/>
              </w:rPr>
              <w:t>1</w:t>
            </w:r>
            <w:r>
              <w:rPr>
                <w:rFonts w:hint="eastAsia" w:ascii="仿宋_GB2312" w:hAnsi="宋体" w:eastAsia="仿宋_GB2312" w:cs="仿宋_GB2312"/>
                <w:i w:val="0"/>
                <w:color w:val="auto"/>
                <w:kern w:val="0"/>
                <w:sz w:val="13"/>
                <w:szCs w:val="13"/>
                <w:highlight w:val="none"/>
                <w:u w:val="none"/>
                <w:lang w:val="en-US" w:eastAsia="zh-CN" w:bidi="ar"/>
              </w:rPr>
              <w:t>33</w:t>
            </w:r>
          </w:p>
        </w:tc>
        <w:tc>
          <w:tcPr>
            <w:tcW w:w="1550" w:type="dxa"/>
            <w:vMerge w:val="restart"/>
            <w:tcBorders>
              <w:tl2br w:val="nil"/>
              <w:tr2bl w:val="nil"/>
            </w:tcBorders>
            <w:vAlign w:val="center"/>
          </w:tcPr>
          <w:p w14:paraId="310E070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施工现场临时搭建的建筑物不符合安全使用要求且逾期未改正的</w:t>
            </w:r>
          </w:p>
        </w:tc>
        <w:tc>
          <w:tcPr>
            <w:tcW w:w="4820" w:type="dxa"/>
            <w:vMerge w:val="restart"/>
            <w:tcBorders>
              <w:tl2br w:val="nil"/>
              <w:tr2bl w:val="nil"/>
            </w:tcBorders>
            <w:vAlign w:val="center"/>
          </w:tcPr>
          <w:p w14:paraId="799EC03D">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《建设工程安全生产管理条例》</w:t>
            </w:r>
          </w:p>
          <w:p w14:paraId="41E5B58C">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第六十四条（</w:t>
            </w:r>
            <w:r>
              <w:rPr>
                <w:rFonts w:ascii="仿宋_GB2312" w:hAnsi="宋体" w:eastAsia="仿宋_GB2312"/>
                <w:color w:val="auto"/>
                <w:kern w:val="0"/>
                <w:sz w:val="13"/>
                <w:szCs w:val="13"/>
                <w:highlight w:val="none"/>
              </w:rPr>
              <w:t>四</w:t>
            </w:r>
            <w:r>
              <w:rPr>
                <w:rFonts w:hint="eastAsia" w:ascii="仿宋_GB2312" w:hAnsi="宋体" w:eastAsia="仿宋_GB2312"/>
                <w:color w:val="auto"/>
                <w:kern w:val="0"/>
                <w:sz w:val="13"/>
                <w:szCs w:val="13"/>
                <w:highlight w:val="none"/>
              </w:rPr>
              <w:t>）</w:t>
            </w:r>
            <w:r>
              <w:rPr>
                <w:rFonts w:ascii="仿宋_GB2312" w:hAnsi="宋体" w:eastAsia="仿宋_GB2312"/>
                <w:color w:val="auto"/>
                <w:kern w:val="0"/>
                <w:sz w:val="13"/>
                <w:szCs w:val="13"/>
                <w:highlight w:val="none"/>
              </w:rPr>
              <w:t>项</w:t>
            </w:r>
            <w:r>
              <w:rPr>
                <w:rFonts w:hint="eastAsia" w:ascii="仿宋_GB2312" w:hAnsi="宋体" w:eastAsia="仿宋_GB2312"/>
                <w:color w:val="auto"/>
                <w:kern w:val="0"/>
                <w:sz w:val="13"/>
                <w:szCs w:val="13"/>
                <w:highlight w:val="none"/>
              </w:rPr>
              <w:t>违反本条例的规定，施工单位有下列行为之一的，责令限期改正；逾期未改正的，责令停业整顿，并处5万元以上10万元以下的罚款；造成重大安全事故，构成犯罪的，对直接责任人员，依照刑法有关规定追究刑事责任：</w:t>
            </w:r>
          </w:p>
          <w:p w14:paraId="51B0AB74">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rPr>
              <w:t>(四)施工现场临时搭建的建筑物不符合安全使用要求的；</w:t>
            </w:r>
          </w:p>
          <w:p w14:paraId="0CF0EFB2">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施工单位有前款规定行为，造成损失的，依法承担赔偿责任。</w:t>
            </w:r>
          </w:p>
        </w:tc>
        <w:tc>
          <w:tcPr>
            <w:tcW w:w="823" w:type="dxa"/>
            <w:tcBorders>
              <w:tl2br w:val="nil"/>
              <w:tr2bl w:val="nil"/>
            </w:tcBorders>
            <w:vAlign w:val="center"/>
          </w:tcPr>
          <w:p w14:paraId="1678657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vAlign w:val="center"/>
          </w:tcPr>
          <w:p w14:paraId="6F2B957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初次违法，危害后果较轻的，主动消除或减轻违法行为危害后果的。</w:t>
            </w:r>
          </w:p>
        </w:tc>
        <w:tc>
          <w:tcPr>
            <w:tcW w:w="3058" w:type="dxa"/>
            <w:tcBorders>
              <w:tl2br w:val="nil"/>
              <w:tr2bl w:val="nil"/>
            </w:tcBorders>
            <w:vAlign w:val="center"/>
          </w:tcPr>
          <w:p w14:paraId="0548CAC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责令停业整顿，直至改正违法行为；处5万元以上6万元以下的罚款。</w:t>
            </w:r>
          </w:p>
        </w:tc>
      </w:tr>
      <w:tr w14:paraId="33B632D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0" w:hRule="atLeast"/>
          <w:jc w:val="center"/>
        </w:trPr>
        <w:tc>
          <w:tcPr>
            <w:tcW w:w="443" w:type="dxa"/>
            <w:gridSpan w:val="2"/>
            <w:vMerge w:val="continue"/>
            <w:tcBorders>
              <w:tl2br w:val="nil"/>
              <w:tr2bl w:val="nil"/>
            </w:tcBorders>
            <w:vAlign w:val="center"/>
          </w:tcPr>
          <w:p w14:paraId="6829173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color w:val="auto"/>
                <w:kern w:val="0"/>
                <w:sz w:val="13"/>
                <w:szCs w:val="13"/>
                <w:highlight w:val="none"/>
              </w:rPr>
            </w:pPr>
          </w:p>
        </w:tc>
        <w:tc>
          <w:tcPr>
            <w:tcW w:w="1550" w:type="dxa"/>
            <w:vMerge w:val="continue"/>
            <w:tcBorders>
              <w:tl2br w:val="nil"/>
              <w:tr2bl w:val="nil"/>
            </w:tcBorders>
            <w:vAlign w:val="center"/>
          </w:tcPr>
          <w:p w14:paraId="638949B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tcPr>
          <w:p w14:paraId="6CCAD27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tcBorders>
              <w:tl2br w:val="nil"/>
              <w:tr2bl w:val="nil"/>
            </w:tcBorders>
            <w:vAlign w:val="center"/>
          </w:tcPr>
          <w:p w14:paraId="396F183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一般情节</w:t>
            </w:r>
          </w:p>
        </w:tc>
        <w:tc>
          <w:tcPr>
            <w:tcW w:w="3437" w:type="dxa"/>
            <w:gridSpan w:val="2"/>
            <w:tcBorders>
              <w:tl2br w:val="nil"/>
              <w:tr2bl w:val="nil"/>
            </w:tcBorders>
            <w:vAlign w:val="center"/>
          </w:tcPr>
          <w:p w14:paraId="5B8C36E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不具有从轻、</w:t>
            </w:r>
            <w:r>
              <w:rPr>
                <w:rFonts w:hint="eastAsia" w:ascii="仿宋_GB2312" w:hAnsi="宋体" w:eastAsia="仿宋_GB2312"/>
                <w:color w:val="auto"/>
                <w:kern w:val="0"/>
                <w:sz w:val="13"/>
                <w:szCs w:val="13"/>
                <w:highlight w:val="none"/>
                <w:lang w:eastAsia="zh-CN"/>
              </w:rPr>
              <w:t>从重情节</w:t>
            </w:r>
            <w:r>
              <w:rPr>
                <w:rFonts w:hint="eastAsia" w:ascii="仿宋_GB2312" w:hAnsi="宋体" w:eastAsia="仿宋_GB2312"/>
                <w:color w:val="auto"/>
                <w:kern w:val="0"/>
                <w:sz w:val="13"/>
                <w:szCs w:val="13"/>
                <w:highlight w:val="none"/>
              </w:rPr>
              <w:t>的。</w:t>
            </w:r>
          </w:p>
        </w:tc>
        <w:tc>
          <w:tcPr>
            <w:tcW w:w="3058" w:type="dxa"/>
            <w:tcBorders>
              <w:tl2br w:val="nil"/>
              <w:tr2bl w:val="nil"/>
            </w:tcBorders>
            <w:vAlign w:val="center"/>
          </w:tcPr>
          <w:p w14:paraId="07B4421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责令停业整顿，直至改正违法行为；处6万元以上8万元以下的罚款。</w:t>
            </w:r>
          </w:p>
        </w:tc>
      </w:tr>
      <w:tr w14:paraId="192346E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8" w:hRule="atLeast"/>
          <w:jc w:val="center"/>
        </w:trPr>
        <w:tc>
          <w:tcPr>
            <w:tcW w:w="443" w:type="dxa"/>
            <w:gridSpan w:val="2"/>
            <w:vMerge w:val="continue"/>
            <w:tcBorders>
              <w:tl2br w:val="nil"/>
              <w:tr2bl w:val="nil"/>
            </w:tcBorders>
            <w:vAlign w:val="center"/>
          </w:tcPr>
          <w:p w14:paraId="54A4FE8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color w:val="auto"/>
                <w:kern w:val="0"/>
                <w:sz w:val="13"/>
                <w:szCs w:val="13"/>
                <w:highlight w:val="none"/>
              </w:rPr>
            </w:pPr>
          </w:p>
        </w:tc>
        <w:tc>
          <w:tcPr>
            <w:tcW w:w="1550" w:type="dxa"/>
            <w:vMerge w:val="continue"/>
            <w:tcBorders>
              <w:tl2br w:val="nil"/>
              <w:tr2bl w:val="nil"/>
            </w:tcBorders>
            <w:vAlign w:val="center"/>
          </w:tcPr>
          <w:p w14:paraId="39EDCB7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tcPr>
          <w:p w14:paraId="1E2D37A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tcBorders>
              <w:tl2br w:val="nil"/>
              <w:tr2bl w:val="nil"/>
            </w:tcBorders>
            <w:vAlign w:val="center"/>
          </w:tcPr>
          <w:p w14:paraId="639E659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从重情节</w:t>
            </w:r>
          </w:p>
        </w:tc>
        <w:tc>
          <w:tcPr>
            <w:tcW w:w="3437" w:type="dxa"/>
            <w:gridSpan w:val="2"/>
            <w:tcBorders>
              <w:tl2br w:val="nil"/>
              <w:tr2bl w:val="nil"/>
            </w:tcBorders>
            <w:vAlign w:val="center"/>
          </w:tcPr>
          <w:p w14:paraId="27F6850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（1）多次实施同类违法行为的；</w:t>
            </w:r>
          </w:p>
          <w:p w14:paraId="030CBDD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（2）造成质量安全事故或其他严重后果的。</w:t>
            </w:r>
          </w:p>
        </w:tc>
        <w:tc>
          <w:tcPr>
            <w:tcW w:w="3058" w:type="dxa"/>
            <w:tcBorders>
              <w:tl2br w:val="nil"/>
              <w:tr2bl w:val="nil"/>
            </w:tcBorders>
            <w:vAlign w:val="center"/>
          </w:tcPr>
          <w:p w14:paraId="3CCA6385">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责令停业整顿，直至改正违法行为；处8万以上10万元以下的罚款。</w:t>
            </w:r>
          </w:p>
        </w:tc>
      </w:tr>
      <w:tr w14:paraId="391B104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0" w:hRule="atLeast"/>
          <w:jc w:val="center"/>
        </w:trPr>
        <w:tc>
          <w:tcPr>
            <w:tcW w:w="443" w:type="dxa"/>
            <w:gridSpan w:val="2"/>
            <w:vMerge w:val="restart"/>
            <w:tcBorders>
              <w:tl2br w:val="nil"/>
              <w:tr2bl w:val="nil"/>
            </w:tcBorders>
            <w:vAlign w:val="center"/>
          </w:tcPr>
          <w:p w14:paraId="75264569">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color w:val="auto"/>
                <w:kern w:val="0"/>
                <w:sz w:val="13"/>
                <w:szCs w:val="13"/>
                <w:highlight w:val="none"/>
              </w:rPr>
            </w:pPr>
            <w:r>
              <w:rPr>
                <w:rFonts w:hint="default" w:ascii="仿宋_GB2312" w:hAnsi="宋体" w:eastAsia="仿宋_GB2312" w:cs="仿宋_GB2312"/>
                <w:i w:val="0"/>
                <w:color w:val="auto"/>
                <w:kern w:val="0"/>
                <w:sz w:val="13"/>
                <w:szCs w:val="13"/>
                <w:highlight w:val="none"/>
                <w:u w:val="none"/>
                <w:lang w:val="en-US" w:eastAsia="zh-CN" w:bidi="ar"/>
              </w:rPr>
              <w:t>1</w:t>
            </w:r>
            <w:r>
              <w:rPr>
                <w:rFonts w:hint="eastAsia" w:ascii="仿宋_GB2312" w:hAnsi="宋体" w:eastAsia="仿宋_GB2312" w:cs="仿宋_GB2312"/>
                <w:i w:val="0"/>
                <w:color w:val="auto"/>
                <w:kern w:val="0"/>
                <w:sz w:val="13"/>
                <w:szCs w:val="13"/>
                <w:highlight w:val="none"/>
                <w:u w:val="none"/>
                <w:lang w:val="en-US" w:eastAsia="zh-CN" w:bidi="ar"/>
              </w:rPr>
              <w:t>34</w:t>
            </w:r>
          </w:p>
        </w:tc>
        <w:tc>
          <w:tcPr>
            <w:tcW w:w="1550" w:type="dxa"/>
            <w:vMerge w:val="restart"/>
            <w:tcBorders>
              <w:tl2br w:val="nil"/>
              <w:tr2bl w:val="nil"/>
            </w:tcBorders>
            <w:vAlign w:val="center"/>
          </w:tcPr>
          <w:p w14:paraId="7E729064">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施工单位未对因建设工程施工可能造成损害的毗邻建筑物、构筑物和地下管线等采取专项防护措施且逾期未改正的</w:t>
            </w:r>
          </w:p>
        </w:tc>
        <w:tc>
          <w:tcPr>
            <w:tcW w:w="4820" w:type="dxa"/>
            <w:vMerge w:val="restart"/>
            <w:tcBorders>
              <w:tl2br w:val="nil"/>
              <w:tr2bl w:val="nil"/>
            </w:tcBorders>
            <w:vAlign w:val="center"/>
          </w:tcPr>
          <w:p w14:paraId="7CCE4EFC">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《建设工程安全生产管理条例》</w:t>
            </w:r>
          </w:p>
          <w:p w14:paraId="06434ABB">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rPr>
              <w:t>第六十四条（</w:t>
            </w:r>
            <w:r>
              <w:rPr>
                <w:rFonts w:ascii="仿宋_GB2312" w:hAnsi="宋体" w:eastAsia="仿宋_GB2312"/>
                <w:color w:val="auto"/>
                <w:kern w:val="0"/>
                <w:sz w:val="13"/>
                <w:szCs w:val="13"/>
                <w:highlight w:val="none"/>
              </w:rPr>
              <w:t>五</w:t>
            </w:r>
            <w:r>
              <w:rPr>
                <w:rFonts w:hint="eastAsia" w:ascii="仿宋_GB2312" w:hAnsi="宋体" w:eastAsia="仿宋_GB2312"/>
                <w:color w:val="auto"/>
                <w:kern w:val="0"/>
                <w:sz w:val="13"/>
                <w:szCs w:val="13"/>
                <w:highlight w:val="none"/>
              </w:rPr>
              <w:t>）</w:t>
            </w:r>
            <w:r>
              <w:rPr>
                <w:rFonts w:ascii="仿宋_GB2312" w:hAnsi="宋体" w:eastAsia="仿宋_GB2312"/>
                <w:color w:val="auto"/>
                <w:kern w:val="0"/>
                <w:sz w:val="13"/>
                <w:szCs w:val="13"/>
                <w:highlight w:val="none"/>
              </w:rPr>
              <w:t>项</w:t>
            </w:r>
            <w:r>
              <w:rPr>
                <w:rFonts w:hint="eastAsia" w:ascii="仿宋_GB2312" w:hAnsi="宋体" w:eastAsia="仿宋_GB2312"/>
                <w:color w:val="auto"/>
                <w:kern w:val="0"/>
                <w:sz w:val="13"/>
                <w:szCs w:val="13"/>
                <w:highlight w:val="none"/>
              </w:rPr>
              <w:t>违反本条例的规定，施工单位有下列行为之一的，责令限期改正；逾期未改正的，责令停业整顿，并处5万元以上10万元以下的罚款；造成重大安全事故，构成犯罪的，对直接责任人员，依照刑法有关规定追究刑事责任：</w:t>
            </w:r>
          </w:p>
          <w:p w14:paraId="65FD6AAA">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(五)未对因建设工程施工可能造成损害的毗邻建筑物、构筑物和地下管线等采取专项防护措施的。</w:t>
            </w:r>
          </w:p>
          <w:p w14:paraId="5FB7E436">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施工单位有前款规定行为，造成损失的，依法承担赔偿责任。</w:t>
            </w:r>
          </w:p>
        </w:tc>
        <w:tc>
          <w:tcPr>
            <w:tcW w:w="823" w:type="dxa"/>
            <w:tcBorders>
              <w:tl2br w:val="nil"/>
              <w:tr2bl w:val="nil"/>
            </w:tcBorders>
            <w:vAlign w:val="center"/>
          </w:tcPr>
          <w:p w14:paraId="44AFFD5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vAlign w:val="center"/>
          </w:tcPr>
          <w:p w14:paraId="7074D4B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初次违法，危害后果较轻的，主动消除或减轻违法行为危害后果的。</w:t>
            </w:r>
          </w:p>
        </w:tc>
        <w:tc>
          <w:tcPr>
            <w:tcW w:w="3058" w:type="dxa"/>
            <w:tcBorders>
              <w:tl2br w:val="nil"/>
              <w:tr2bl w:val="nil"/>
            </w:tcBorders>
            <w:vAlign w:val="center"/>
          </w:tcPr>
          <w:p w14:paraId="662EA61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责令停业整顿，直至改正违法行为；处5万元以上6万元以下的罚款。</w:t>
            </w:r>
          </w:p>
        </w:tc>
      </w:tr>
      <w:tr w14:paraId="645FB9A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0" w:hRule="atLeast"/>
          <w:jc w:val="center"/>
        </w:trPr>
        <w:tc>
          <w:tcPr>
            <w:tcW w:w="443" w:type="dxa"/>
            <w:gridSpan w:val="2"/>
            <w:vMerge w:val="continue"/>
            <w:tcBorders>
              <w:tl2br w:val="nil"/>
              <w:tr2bl w:val="nil"/>
            </w:tcBorders>
            <w:vAlign w:val="center"/>
          </w:tcPr>
          <w:p w14:paraId="4E1D4B8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color w:val="auto"/>
                <w:kern w:val="0"/>
                <w:sz w:val="13"/>
                <w:szCs w:val="13"/>
                <w:highlight w:val="none"/>
              </w:rPr>
            </w:pPr>
          </w:p>
        </w:tc>
        <w:tc>
          <w:tcPr>
            <w:tcW w:w="1550" w:type="dxa"/>
            <w:vMerge w:val="continue"/>
            <w:tcBorders>
              <w:tl2br w:val="nil"/>
              <w:tr2bl w:val="nil"/>
            </w:tcBorders>
            <w:vAlign w:val="center"/>
          </w:tcPr>
          <w:p w14:paraId="3E3A1B1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tcPr>
          <w:p w14:paraId="17FC485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tcBorders>
              <w:tl2br w:val="nil"/>
              <w:tr2bl w:val="nil"/>
            </w:tcBorders>
            <w:vAlign w:val="center"/>
          </w:tcPr>
          <w:p w14:paraId="6D3B11B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一般情节</w:t>
            </w:r>
          </w:p>
        </w:tc>
        <w:tc>
          <w:tcPr>
            <w:tcW w:w="3437" w:type="dxa"/>
            <w:gridSpan w:val="2"/>
            <w:tcBorders>
              <w:tl2br w:val="nil"/>
              <w:tr2bl w:val="nil"/>
            </w:tcBorders>
            <w:vAlign w:val="center"/>
          </w:tcPr>
          <w:p w14:paraId="472AE92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不具有从轻、</w:t>
            </w:r>
            <w:r>
              <w:rPr>
                <w:rFonts w:hint="eastAsia" w:ascii="仿宋_GB2312" w:hAnsi="宋体" w:eastAsia="仿宋_GB2312"/>
                <w:color w:val="auto"/>
                <w:kern w:val="0"/>
                <w:sz w:val="13"/>
                <w:szCs w:val="13"/>
                <w:highlight w:val="none"/>
                <w:lang w:eastAsia="zh-CN"/>
              </w:rPr>
              <w:t>从重情节</w:t>
            </w:r>
            <w:r>
              <w:rPr>
                <w:rFonts w:hint="eastAsia" w:ascii="仿宋_GB2312" w:hAnsi="宋体" w:eastAsia="仿宋_GB2312"/>
                <w:color w:val="auto"/>
                <w:kern w:val="0"/>
                <w:sz w:val="13"/>
                <w:szCs w:val="13"/>
                <w:highlight w:val="none"/>
              </w:rPr>
              <w:t>的。</w:t>
            </w:r>
          </w:p>
        </w:tc>
        <w:tc>
          <w:tcPr>
            <w:tcW w:w="3058" w:type="dxa"/>
            <w:tcBorders>
              <w:tl2br w:val="nil"/>
              <w:tr2bl w:val="nil"/>
            </w:tcBorders>
            <w:vAlign w:val="center"/>
          </w:tcPr>
          <w:p w14:paraId="7C3BC4E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责令停业整顿，直至改正违法行为；处6万元以上8万元以下的罚款。</w:t>
            </w:r>
          </w:p>
        </w:tc>
      </w:tr>
      <w:tr w14:paraId="6DC367C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0" w:hRule="atLeast"/>
          <w:jc w:val="center"/>
        </w:trPr>
        <w:tc>
          <w:tcPr>
            <w:tcW w:w="443" w:type="dxa"/>
            <w:gridSpan w:val="2"/>
            <w:vMerge w:val="continue"/>
            <w:tcBorders>
              <w:tl2br w:val="nil"/>
              <w:tr2bl w:val="nil"/>
            </w:tcBorders>
            <w:vAlign w:val="center"/>
          </w:tcPr>
          <w:p w14:paraId="7B8E640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color w:val="auto"/>
                <w:kern w:val="0"/>
                <w:sz w:val="13"/>
                <w:szCs w:val="13"/>
                <w:highlight w:val="none"/>
              </w:rPr>
            </w:pPr>
          </w:p>
        </w:tc>
        <w:tc>
          <w:tcPr>
            <w:tcW w:w="1550" w:type="dxa"/>
            <w:vMerge w:val="continue"/>
            <w:tcBorders>
              <w:tl2br w:val="nil"/>
              <w:tr2bl w:val="nil"/>
            </w:tcBorders>
            <w:vAlign w:val="center"/>
          </w:tcPr>
          <w:p w14:paraId="4CDEBB1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tcPr>
          <w:p w14:paraId="51DAC2A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tcBorders>
              <w:tl2br w:val="nil"/>
              <w:tr2bl w:val="nil"/>
            </w:tcBorders>
            <w:vAlign w:val="center"/>
          </w:tcPr>
          <w:p w14:paraId="2AE71E0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从重情节</w:t>
            </w:r>
          </w:p>
        </w:tc>
        <w:tc>
          <w:tcPr>
            <w:tcW w:w="3437" w:type="dxa"/>
            <w:gridSpan w:val="2"/>
            <w:tcBorders>
              <w:tl2br w:val="nil"/>
              <w:tr2bl w:val="nil"/>
            </w:tcBorders>
            <w:vAlign w:val="center"/>
          </w:tcPr>
          <w:p w14:paraId="0425621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（1）多次实施同类违法行为的；</w:t>
            </w:r>
          </w:p>
          <w:p w14:paraId="25F946F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（2）造成质量安全事故或其他严重后果的。</w:t>
            </w:r>
          </w:p>
        </w:tc>
        <w:tc>
          <w:tcPr>
            <w:tcW w:w="3058" w:type="dxa"/>
            <w:tcBorders>
              <w:tl2br w:val="nil"/>
              <w:tr2bl w:val="nil"/>
            </w:tcBorders>
            <w:vAlign w:val="center"/>
          </w:tcPr>
          <w:p w14:paraId="43E32BF5">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责令停业整顿，直至改正违法行为；处8万以上10万元以下的罚款。</w:t>
            </w:r>
          </w:p>
        </w:tc>
      </w:tr>
      <w:tr w14:paraId="3ED9B11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0" w:hRule="atLeast"/>
          <w:jc w:val="center"/>
        </w:trPr>
        <w:tc>
          <w:tcPr>
            <w:tcW w:w="443" w:type="dxa"/>
            <w:gridSpan w:val="2"/>
            <w:vMerge w:val="restart"/>
            <w:tcBorders>
              <w:tl2br w:val="nil"/>
              <w:tr2bl w:val="nil"/>
            </w:tcBorders>
            <w:vAlign w:val="center"/>
          </w:tcPr>
          <w:p w14:paraId="38473619">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color w:val="auto"/>
                <w:kern w:val="0"/>
                <w:sz w:val="13"/>
                <w:szCs w:val="13"/>
                <w:highlight w:val="none"/>
              </w:rPr>
            </w:pPr>
            <w:r>
              <w:rPr>
                <w:rFonts w:hint="default" w:ascii="仿宋_GB2312" w:hAnsi="宋体" w:eastAsia="仿宋_GB2312" w:cs="仿宋_GB2312"/>
                <w:i w:val="0"/>
                <w:color w:val="auto"/>
                <w:kern w:val="0"/>
                <w:sz w:val="13"/>
                <w:szCs w:val="13"/>
                <w:highlight w:val="none"/>
                <w:u w:val="none"/>
                <w:lang w:val="en-US" w:eastAsia="zh-CN" w:bidi="ar"/>
              </w:rPr>
              <w:t>1</w:t>
            </w:r>
            <w:r>
              <w:rPr>
                <w:rFonts w:hint="eastAsia" w:ascii="仿宋_GB2312" w:hAnsi="宋体" w:eastAsia="仿宋_GB2312" w:cs="仿宋_GB2312"/>
                <w:i w:val="0"/>
                <w:color w:val="auto"/>
                <w:kern w:val="0"/>
                <w:sz w:val="13"/>
                <w:szCs w:val="13"/>
                <w:highlight w:val="none"/>
                <w:u w:val="none"/>
                <w:lang w:val="en-US" w:eastAsia="zh-CN" w:bidi="ar"/>
              </w:rPr>
              <w:t>35</w:t>
            </w:r>
          </w:p>
        </w:tc>
        <w:tc>
          <w:tcPr>
            <w:tcW w:w="1550" w:type="dxa"/>
            <w:vMerge w:val="restart"/>
            <w:tcBorders>
              <w:tl2br w:val="nil"/>
              <w:tr2bl w:val="nil"/>
            </w:tcBorders>
            <w:vAlign w:val="center"/>
          </w:tcPr>
          <w:p w14:paraId="1962B76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施工单位安全防护用具、机械设备、施工机具及配件在进入施工现场前未经查验或者查验不合格即投入使用且逾期未改正的</w:t>
            </w:r>
          </w:p>
        </w:tc>
        <w:tc>
          <w:tcPr>
            <w:tcW w:w="4820" w:type="dxa"/>
            <w:vMerge w:val="restart"/>
            <w:tcBorders>
              <w:tl2br w:val="nil"/>
              <w:tr2bl w:val="nil"/>
            </w:tcBorders>
            <w:vAlign w:val="center"/>
          </w:tcPr>
          <w:p w14:paraId="619FB2EB">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《建设工程安全生产管理条例》</w:t>
            </w:r>
          </w:p>
          <w:p w14:paraId="2C466BFE">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rPr>
              <w:t>第六十五条（</w:t>
            </w:r>
            <w:r>
              <w:rPr>
                <w:rFonts w:ascii="仿宋_GB2312" w:hAnsi="宋体" w:eastAsia="仿宋_GB2312"/>
                <w:color w:val="auto"/>
                <w:kern w:val="0"/>
                <w:sz w:val="13"/>
                <w:szCs w:val="13"/>
                <w:highlight w:val="none"/>
              </w:rPr>
              <w:t>一</w:t>
            </w:r>
            <w:r>
              <w:rPr>
                <w:rFonts w:hint="eastAsia" w:ascii="仿宋_GB2312" w:hAnsi="宋体" w:eastAsia="仿宋_GB2312"/>
                <w:color w:val="auto"/>
                <w:kern w:val="0"/>
                <w:sz w:val="13"/>
                <w:szCs w:val="13"/>
                <w:highlight w:val="none"/>
              </w:rPr>
              <w:t>）</w:t>
            </w:r>
            <w:r>
              <w:rPr>
                <w:rFonts w:ascii="仿宋_GB2312" w:hAnsi="宋体" w:eastAsia="仿宋_GB2312"/>
                <w:color w:val="auto"/>
                <w:kern w:val="0"/>
                <w:sz w:val="13"/>
                <w:szCs w:val="13"/>
                <w:highlight w:val="none"/>
              </w:rPr>
              <w:t>项</w:t>
            </w:r>
            <w:r>
              <w:rPr>
                <w:rFonts w:hint="eastAsia" w:ascii="仿宋_GB2312" w:hAnsi="宋体" w:eastAsia="仿宋_GB2312"/>
                <w:color w:val="auto"/>
                <w:kern w:val="0"/>
                <w:sz w:val="13"/>
                <w:szCs w:val="13"/>
                <w:highlight w:val="none"/>
              </w:rPr>
              <w:t>违反本条例的规定，施工单位有下列行为之一的，责令限期改正；逾期未改正的，责令停业整顿，并处10万元以上30万元以下的罚款；情节严重的，降低资质等级，直至吊销资质证书；造成重大安全事故，构成犯罪的，对直接责任人员，依照刑法有关规定追究刑事责任；造成损失的，依法承担赔偿责任：</w:t>
            </w:r>
          </w:p>
          <w:p w14:paraId="263C07A7">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(一)安全防护用具、机械设备、施工机具及配件在进入施工现场前未经查验或者查验不合格即投入使用的；</w:t>
            </w:r>
          </w:p>
        </w:tc>
        <w:tc>
          <w:tcPr>
            <w:tcW w:w="823" w:type="dxa"/>
            <w:tcBorders>
              <w:tl2br w:val="nil"/>
              <w:tr2bl w:val="nil"/>
            </w:tcBorders>
            <w:vAlign w:val="center"/>
          </w:tcPr>
          <w:p w14:paraId="316D778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vAlign w:val="center"/>
          </w:tcPr>
          <w:p w14:paraId="46539BE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未造成后果或后果轻微的。</w:t>
            </w:r>
          </w:p>
        </w:tc>
        <w:tc>
          <w:tcPr>
            <w:tcW w:w="3058" w:type="dxa"/>
            <w:tcBorders>
              <w:tl2br w:val="nil"/>
              <w:tr2bl w:val="nil"/>
            </w:tcBorders>
            <w:vAlign w:val="center"/>
          </w:tcPr>
          <w:p w14:paraId="3DEC40B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责令停业整顿，直至改正违法行为；处10万元以上12万元以下的罚款。</w:t>
            </w:r>
          </w:p>
        </w:tc>
      </w:tr>
      <w:tr w14:paraId="52B2CBC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80" w:hRule="atLeast"/>
          <w:jc w:val="center"/>
        </w:trPr>
        <w:tc>
          <w:tcPr>
            <w:tcW w:w="443" w:type="dxa"/>
            <w:gridSpan w:val="2"/>
            <w:vMerge w:val="continue"/>
            <w:tcBorders>
              <w:tl2br w:val="nil"/>
              <w:tr2bl w:val="nil"/>
            </w:tcBorders>
            <w:vAlign w:val="center"/>
          </w:tcPr>
          <w:p w14:paraId="315AA3E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color w:val="auto"/>
                <w:kern w:val="0"/>
                <w:sz w:val="13"/>
                <w:szCs w:val="13"/>
                <w:highlight w:val="none"/>
              </w:rPr>
            </w:pPr>
          </w:p>
        </w:tc>
        <w:tc>
          <w:tcPr>
            <w:tcW w:w="1550" w:type="dxa"/>
            <w:vMerge w:val="continue"/>
            <w:tcBorders>
              <w:tl2br w:val="nil"/>
              <w:tr2bl w:val="nil"/>
            </w:tcBorders>
            <w:vAlign w:val="center"/>
          </w:tcPr>
          <w:p w14:paraId="02A9519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tcPr>
          <w:p w14:paraId="0D93D41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tcBorders>
              <w:tl2br w:val="nil"/>
              <w:tr2bl w:val="nil"/>
            </w:tcBorders>
            <w:vAlign w:val="center"/>
          </w:tcPr>
          <w:p w14:paraId="1664D3F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一般情节</w:t>
            </w:r>
          </w:p>
        </w:tc>
        <w:tc>
          <w:tcPr>
            <w:tcW w:w="3437" w:type="dxa"/>
            <w:gridSpan w:val="2"/>
            <w:tcBorders>
              <w:tl2br w:val="nil"/>
              <w:tr2bl w:val="nil"/>
            </w:tcBorders>
            <w:vAlign w:val="center"/>
          </w:tcPr>
          <w:p w14:paraId="0819D84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造成危害后果但尚未造成安全生产事故的。</w:t>
            </w:r>
          </w:p>
        </w:tc>
        <w:tc>
          <w:tcPr>
            <w:tcW w:w="3058" w:type="dxa"/>
            <w:tcBorders>
              <w:tl2br w:val="nil"/>
              <w:tr2bl w:val="nil"/>
            </w:tcBorders>
            <w:vAlign w:val="center"/>
          </w:tcPr>
          <w:p w14:paraId="0F798AA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责令停业整顿，直至改正违法行为；处12万元以上25万元以下的罚款。</w:t>
            </w:r>
          </w:p>
        </w:tc>
      </w:tr>
      <w:tr w14:paraId="0DC0ABA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0" w:hRule="atLeast"/>
          <w:jc w:val="center"/>
        </w:trPr>
        <w:tc>
          <w:tcPr>
            <w:tcW w:w="443" w:type="dxa"/>
            <w:gridSpan w:val="2"/>
            <w:vMerge w:val="continue"/>
            <w:tcBorders>
              <w:tl2br w:val="nil"/>
              <w:tr2bl w:val="nil"/>
            </w:tcBorders>
            <w:vAlign w:val="center"/>
          </w:tcPr>
          <w:p w14:paraId="522F35C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color w:val="auto"/>
                <w:kern w:val="0"/>
                <w:sz w:val="13"/>
                <w:szCs w:val="13"/>
                <w:highlight w:val="none"/>
              </w:rPr>
            </w:pPr>
          </w:p>
        </w:tc>
        <w:tc>
          <w:tcPr>
            <w:tcW w:w="1550" w:type="dxa"/>
            <w:vMerge w:val="continue"/>
            <w:tcBorders>
              <w:tl2br w:val="nil"/>
              <w:tr2bl w:val="nil"/>
            </w:tcBorders>
            <w:vAlign w:val="center"/>
          </w:tcPr>
          <w:p w14:paraId="75CA7FC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tcPr>
          <w:p w14:paraId="14827D5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vMerge w:val="restart"/>
            <w:tcBorders>
              <w:tl2br w:val="nil"/>
              <w:tr2bl w:val="nil"/>
            </w:tcBorders>
            <w:vAlign w:val="center"/>
          </w:tcPr>
          <w:p w14:paraId="75A271D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从重情节</w:t>
            </w:r>
          </w:p>
        </w:tc>
        <w:tc>
          <w:tcPr>
            <w:tcW w:w="3437" w:type="dxa"/>
            <w:gridSpan w:val="2"/>
            <w:tcBorders>
              <w:tl2br w:val="nil"/>
              <w:tr2bl w:val="nil"/>
            </w:tcBorders>
            <w:vAlign w:val="center"/>
          </w:tcPr>
          <w:p w14:paraId="0B3CF37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造成3人以下死亡，或者10人以下重伤，或者1000万元以下直接经济损失。</w:t>
            </w:r>
          </w:p>
        </w:tc>
        <w:tc>
          <w:tcPr>
            <w:tcW w:w="3058" w:type="dxa"/>
            <w:tcBorders>
              <w:tl2br w:val="nil"/>
              <w:tr2bl w:val="nil"/>
            </w:tcBorders>
            <w:vAlign w:val="center"/>
          </w:tcPr>
          <w:p w14:paraId="54BCF98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责令停业整顿</w:t>
            </w:r>
            <w:r>
              <w:rPr>
                <w:rFonts w:hint="eastAsia" w:ascii="仿宋_GB2312" w:hAnsi="宋体" w:eastAsia="仿宋_GB2312"/>
                <w:color w:val="auto"/>
                <w:kern w:val="0"/>
                <w:sz w:val="13"/>
                <w:szCs w:val="13"/>
                <w:highlight w:val="none"/>
                <w:lang w:eastAsia="zh-CN"/>
              </w:rPr>
              <w:t>30日-</w:t>
            </w:r>
            <w:r>
              <w:rPr>
                <w:rFonts w:hint="eastAsia" w:ascii="仿宋_GB2312" w:hAnsi="宋体" w:eastAsia="仿宋_GB2312"/>
                <w:color w:val="auto"/>
                <w:kern w:val="0"/>
                <w:sz w:val="13"/>
                <w:szCs w:val="13"/>
                <w:highlight w:val="none"/>
              </w:rPr>
              <w:t>60日；处25万元以上30万元以下的罚款。</w:t>
            </w:r>
          </w:p>
        </w:tc>
      </w:tr>
      <w:tr w14:paraId="7E47C66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8" w:hRule="atLeast"/>
          <w:jc w:val="center"/>
        </w:trPr>
        <w:tc>
          <w:tcPr>
            <w:tcW w:w="443" w:type="dxa"/>
            <w:gridSpan w:val="2"/>
            <w:vMerge w:val="continue"/>
            <w:tcBorders>
              <w:tl2br w:val="nil"/>
              <w:tr2bl w:val="nil"/>
            </w:tcBorders>
            <w:vAlign w:val="center"/>
          </w:tcPr>
          <w:p w14:paraId="382327E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color w:val="auto"/>
                <w:kern w:val="0"/>
                <w:sz w:val="13"/>
                <w:szCs w:val="13"/>
                <w:highlight w:val="none"/>
              </w:rPr>
            </w:pPr>
          </w:p>
        </w:tc>
        <w:tc>
          <w:tcPr>
            <w:tcW w:w="1550" w:type="dxa"/>
            <w:vMerge w:val="continue"/>
            <w:tcBorders>
              <w:tl2br w:val="nil"/>
              <w:tr2bl w:val="nil"/>
            </w:tcBorders>
            <w:vAlign w:val="center"/>
          </w:tcPr>
          <w:p w14:paraId="7971BB3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tcPr>
          <w:p w14:paraId="0748141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vMerge w:val="continue"/>
            <w:tcBorders>
              <w:tl2br w:val="nil"/>
              <w:tr2bl w:val="nil"/>
            </w:tcBorders>
            <w:vAlign w:val="center"/>
          </w:tcPr>
          <w:p w14:paraId="4B29749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3437" w:type="dxa"/>
            <w:gridSpan w:val="2"/>
            <w:tcBorders>
              <w:tl2br w:val="nil"/>
              <w:tr2bl w:val="nil"/>
            </w:tcBorders>
            <w:vAlign w:val="center"/>
          </w:tcPr>
          <w:p w14:paraId="3F33891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造成3人以上5人以下死亡；或者10人以上20人以下重伤；或者1000万元以上2000万元以下直接经济损失的。</w:t>
            </w:r>
          </w:p>
        </w:tc>
        <w:tc>
          <w:tcPr>
            <w:tcW w:w="3058" w:type="dxa"/>
            <w:tcBorders>
              <w:tl2br w:val="nil"/>
              <w:tr2bl w:val="nil"/>
            </w:tcBorders>
            <w:vAlign w:val="center"/>
          </w:tcPr>
          <w:p w14:paraId="1F7C6BA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责令停业整顿</w:t>
            </w:r>
            <w:r>
              <w:rPr>
                <w:rFonts w:hint="eastAsia" w:ascii="仿宋_GB2312" w:hAnsi="宋体" w:eastAsia="仿宋_GB2312"/>
                <w:color w:val="auto"/>
                <w:kern w:val="0"/>
                <w:sz w:val="13"/>
                <w:szCs w:val="13"/>
                <w:highlight w:val="none"/>
                <w:lang w:val="en-US" w:eastAsia="zh-CN"/>
              </w:rPr>
              <w:t>60日-9</w:t>
            </w:r>
            <w:r>
              <w:rPr>
                <w:rFonts w:hint="eastAsia" w:ascii="仿宋_GB2312" w:hAnsi="宋体" w:eastAsia="仿宋_GB2312"/>
                <w:color w:val="auto"/>
                <w:kern w:val="0"/>
                <w:sz w:val="13"/>
                <w:szCs w:val="13"/>
                <w:highlight w:val="none"/>
              </w:rPr>
              <w:t>0日；处30万元的罚款。</w:t>
            </w:r>
          </w:p>
        </w:tc>
      </w:tr>
      <w:tr w14:paraId="131816B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8" w:hRule="atLeast"/>
          <w:jc w:val="center"/>
        </w:trPr>
        <w:tc>
          <w:tcPr>
            <w:tcW w:w="443" w:type="dxa"/>
            <w:gridSpan w:val="2"/>
            <w:vMerge w:val="continue"/>
            <w:tcBorders>
              <w:tl2br w:val="nil"/>
              <w:tr2bl w:val="nil"/>
            </w:tcBorders>
            <w:vAlign w:val="center"/>
          </w:tcPr>
          <w:p w14:paraId="78B1DED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color w:val="auto"/>
                <w:kern w:val="0"/>
                <w:sz w:val="13"/>
                <w:szCs w:val="13"/>
                <w:highlight w:val="none"/>
              </w:rPr>
            </w:pPr>
          </w:p>
        </w:tc>
        <w:tc>
          <w:tcPr>
            <w:tcW w:w="1550" w:type="dxa"/>
            <w:vMerge w:val="continue"/>
            <w:tcBorders>
              <w:tl2br w:val="nil"/>
              <w:tr2bl w:val="nil"/>
            </w:tcBorders>
            <w:vAlign w:val="center"/>
          </w:tcPr>
          <w:p w14:paraId="3AE1DC1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tcPr>
          <w:p w14:paraId="0A3251C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vMerge w:val="continue"/>
            <w:tcBorders>
              <w:tl2br w:val="nil"/>
              <w:tr2bl w:val="nil"/>
            </w:tcBorders>
            <w:vAlign w:val="center"/>
          </w:tcPr>
          <w:p w14:paraId="6A9377D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3437" w:type="dxa"/>
            <w:gridSpan w:val="2"/>
            <w:tcBorders>
              <w:tl2br w:val="nil"/>
              <w:tr2bl w:val="nil"/>
            </w:tcBorders>
            <w:vAlign w:val="center"/>
          </w:tcPr>
          <w:p w14:paraId="08136D7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造成5人以上7人以下死亡；或者20人以上30人以下重伤；或者2000万元以上3000万元以下直接经济损失的。</w:t>
            </w:r>
          </w:p>
        </w:tc>
        <w:tc>
          <w:tcPr>
            <w:tcW w:w="3058" w:type="dxa"/>
            <w:tcBorders>
              <w:tl2br w:val="nil"/>
              <w:tr2bl w:val="nil"/>
            </w:tcBorders>
            <w:vAlign w:val="center"/>
          </w:tcPr>
          <w:p w14:paraId="73B20B3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责令停业整顿</w:t>
            </w:r>
            <w:r>
              <w:rPr>
                <w:rFonts w:hint="eastAsia" w:ascii="仿宋_GB2312" w:hAnsi="宋体" w:eastAsia="仿宋_GB2312"/>
                <w:color w:val="auto"/>
                <w:kern w:val="0"/>
                <w:sz w:val="13"/>
                <w:szCs w:val="13"/>
                <w:highlight w:val="none"/>
                <w:lang w:val="en-US" w:eastAsia="zh-CN"/>
              </w:rPr>
              <w:t>90日-120</w:t>
            </w:r>
            <w:r>
              <w:rPr>
                <w:rFonts w:hint="eastAsia" w:ascii="仿宋_GB2312" w:hAnsi="宋体" w:eastAsia="仿宋_GB2312"/>
                <w:color w:val="auto"/>
                <w:kern w:val="0"/>
                <w:sz w:val="13"/>
                <w:szCs w:val="13"/>
                <w:highlight w:val="none"/>
              </w:rPr>
              <w:t>日；处30万元的罚款。</w:t>
            </w:r>
          </w:p>
        </w:tc>
      </w:tr>
      <w:tr w14:paraId="24E10BD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8" w:hRule="atLeast"/>
          <w:jc w:val="center"/>
        </w:trPr>
        <w:tc>
          <w:tcPr>
            <w:tcW w:w="443" w:type="dxa"/>
            <w:gridSpan w:val="2"/>
            <w:vMerge w:val="continue"/>
            <w:tcBorders>
              <w:tl2br w:val="nil"/>
              <w:tr2bl w:val="nil"/>
            </w:tcBorders>
            <w:vAlign w:val="center"/>
          </w:tcPr>
          <w:p w14:paraId="54C4344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color w:val="auto"/>
                <w:kern w:val="0"/>
                <w:sz w:val="13"/>
                <w:szCs w:val="13"/>
                <w:highlight w:val="none"/>
              </w:rPr>
            </w:pPr>
          </w:p>
        </w:tc>
        <w:tc>
          <w:tcPr>
            <w:tcW w:w="1550" w:type="dxa"/>
            <w:vMerge w:val="continue"/>
            <w:tcBorders>
              <w:tl2br w:val="nil"/>
              <w:tr2bl w:val="nil"/>
            </w:tcBorders>
            <w:vAlign w:val="center"/>
          </w:tcPr>
          <w:p w14:paraId="109E34F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tcPr>
          <w:p w14:paraId="08208D8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vMerge w:val="continue"/>
            <w:tcBorders>
              <w:tl2br w:val="nil"/>
              <w:tr2bl w:val="nil"/>
            </w:tcBorders>
            <w:vAlign w:val="center"/>
          </w:tcPr>
          <w:p w14:paraId="5ED2781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3437" w:type="dxa"/>
            <w:gridSpan w:val="2"/>
            <w:tcBorders>
              <w:tl2br w:val="nil"/>
              <w:tr2bl w:val="nil"/>
            </w:tcBorders>
            <w:vAlign w:val="center"/>
          </w:tcPr>
          <w:p w14:paraId="7F3D18E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造成7人以上10人以下死亡；或者30人以上50人以下重伤；或者3000万元以上5000万元以下直接经济损失的。</w:t>
            </w:r>
          </w:p>
        </w:tc>
        <w:tc>
          <w:tcPr>
            <w:tcW w:w="3058" w:type="dxa"/>
            <w:tcBorders>
              <w:tl2br w:val="nil"/>
              <w:tr2bl w:val="nil"/>
            </w:tcBorders>
            <w:vAlign w:val="center"/>
          </w:tcPr>
          <w:p w14:paraId="48593327">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责令停业整顿</w:t>
            </w:r>
            <w:r>
              <w:rPr>
                <w:rFonts w:hint="eastAsia" w:ascii="仿宋_GB2312" w:hAnsi="宋体" w:eastAsia="仿宋_GB2312"/>
                <w:color w:val="auto"/>
                <w:kern w:val="0"/>
                <w:sz w:val="13"/>
                <w:szCs w:val="13"/>
                <w:highlight w:val="none"/>
                <w:lang w:val="en-US" w:eastAsia="zh-CN"/>
              </w:rPr>
              <w:t>120日-</w:t>
            </w:r>
            <w:r>
              <w:rPr>
                <w:rFonts w:hint="eastAsia" w:ascii="仿宋_GB2312" w:hAnsi="宋体" w:eastAsia="仿宋_GB2312"/>
                <w:color w:val="auto"/>
                <w:kern w:val="0"/>
                <w:sz w:val="13"/>
                <w:szCs w:val="13"/>
                <w:highlight w:val="none"/>
              </w:rPr>
              <w:t>180日；处30万元的罚款。</w:t>
            </w:r>
          </w:p>
        </w:tc>
      </w:tr>
      <w:tr w14:paraId="74E7B39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0" w:hRule="atLeast"/>
          <w:jc w:val="center"/>
        </w:trPr>
        <w:tc>
          <w:tcPr>
            <w:tcW w:w="443" w:type="dxa"/>
            <w:gridSpan w:val="2"/>
            <w:vMerge w:val="continue"/>
            <w:tcBorders>
              <w:tl2br w:val="nil"/>
              <w:tr2bl w:val="nil"/>
            </w:tcBorders>
            <w:vAlign w:val="center"/>
          </w:tcPr>
          <w:p w14:paraId="2085848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color w:val="auto"/>
                <w:kern w:val="0"/>
                <w:sz w:val="13"/>
                <w:szCs w:val="13"/>
                <w:highlight w:val="none"/>
              </w:rPr>
            </w:pPr>
          </w:p>
        </w:tc>
        <w:tc>
          <w:tcPr>
            <w:tcW w:w="1550" w:type="dxa"/>
            <w:vMerge w:val="continue"/>
            <w:tcBorders>
              <w:tl2br w:val="nil"/>
              <w:tr2bl w:val="nil"/>
            </w:tcBorders>
            <w:vAlign w:val="center"/>
          </w:tcPr>
          <w:p w14:paraId="4AE1C77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tcPr>
          <w:p w14:paraId="50757CA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vMerge w:val="continue"/>
            <w:tcBorders>
              <w:tl2br w:val="nil"/>
              <w:tr2bl w:val="nil"/>
            </w:tcBorders>
            <w:vAlign w:val="center"/>
          </w:tcPr>
          <w:p w14:paraId="2847FB4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3437" w:type="dxa"/>
            <w:gridSpan w:val="2"/>
            <w:tcBorders>
              <w:tl2br w:val="nil"/>
              <w:tr2bl w:val="nil"/>
            </w:tcBorders>
            <w:vAlign w:val="center"/>
          </w:tcPr>
          <w:p w14:paraId="73F7F96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default" w:ascii="仿宋_GB2312" w:hAnsi="宋体" w:eastAsia="仿宋_GB2312"/>
                <w:color w:val="auto"/>
                <w:kern w:val="0"/>
                <w:sz w:val="13"/>
                <w:szCs w:val="13"/>
                <w:highlight w:val="none"/>
                <w:lang w:val="en-US" w:eastAsia="zh-CN"/>
              </w:rPr>
            </w:pPr>
            <w:r>
              <w:rPr>
                <w:rFonts w:hint="eastAsia" w:ascii="仿宋_GB2312" w:hAnsi="宋体" w:eastAsia="仿宋_GB2312"/>
                <w:color w:val="auto"/>
                <w:kern w:val="0"/>
                <w:sz w:val="13"/>
                <w:szCs w:val="13"/>
                <w:highlight w:val="none"/>
              </w:rPr>
              <w:t>造成重大安全事故的</w:t>
            </w:r>
            <w:r>
              <w:rPr>
                <w:rFonts w:hint="eastAsia" w:ascii="仿宋_GB2312" w:hAnsi="宋体" w:eastAsia="仿宋_GB2312"/>
                <w:color w:val="auto"/>
                <w:kern w:val="0"/>
                <w:sz w:val="13"/>
                <w:szCs w:val="13"/>
                <w:highlight w:val="none"/>
                <w:lang w:val="en-US" w:eastAsia="zh-CN"/>
              </w:rPr>
              <w:t>。</w:t>
            </w:r>
          </w:p>
        </w:tc>
        <w:tc>
          <w:tcPr>
            <w:tcW w:w="3058" w:type="dxa"/>
            <w:tcBorders>
              <w:tl2br w:val="nil"/>
              <w:tr2bl w:val="nil"/>
            </w:tcBorders>
            <w:vAlign w:val="center"/>
          </w:tcPr>
          <w:p w14:paraId="20A9D56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处30万元的罚款；降低资质等级。</w:t>
            </w:r>
          </w:p>
        </w:tc>
      </w:tr>
      <w:tr w14:paraId="4BB83CF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13" w:hRule="atLeast"/>
          <w:jc w:val="center"/>
        </w:trPr>
        <w:tc>
          <w:tcPr>
            <w:tcW w:w="443" w:type="dxa"/>
            <w:gridSpan w:val="2"/>
            <w:vMerge w:val="continue"/>
            <w:tcBorders>
              <w:tl2br w:val="nil"/>
              <w:tr2bl w:val="nil"/>
            </w:tcBorders>
            <w:vAlign w:val="center"/>
          </w:tcPr>
          <w:p w14:paraId="1603BB3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color w:val="auto"/>
                <w:kern w:val="0"/>
                <w:sz w:val="13"/>
                <w:szCs w:val="13"/>
                <w:highlight w:val="none"/>
              </w:rPr>
            </w:pPr>
          </w:p>
        </w:tc>
        <w:tc>
          <w:tcPr>
            <w:tcW w:w="1550" w:type="dxa"/>
            <w:vMerge w:val="continue"/>
            <w:tcBorders>
              <w:tl2br w:val="nil"/>
              <w:tr2bl w:val="nil"/>
            </w:tcBorders>
            <w:vAlign w:val="center"/>
          </w:tcPr>
          <w:p w14:paraId="435CDB0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tcPr>
          <w:p w14:paraId="346234A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vMerge w:val="continue"/>
            <w:tcBorders>
              <w:tl2br w:val="nil"/>
              <w:tr2bl w:val="nil"/>
            </w:tcBorders>
            <w:vAlign w:val="center"/>
          </w:tcPr>
          <w:p w14:paraId="4489CDB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3437" w:type="dxa"/>
            <w:gridSpan w:val="2"/>
            <w:tcBorders>
              <w:tl2br w:val="nil"/>
              <w:tr2bl w:val="nil"/>
            </w:tcBorders>
            <w:vAlign w:val="center"/>
          </w:tcPr>
          <w:p w14:paraId="5F20CF6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造成特别重大安全事故的</w:t>
            </w:r>
            <w:r>
              <w:rPr>
                <w:rFonts w:hint="eastAsia" w:ascii="仿宋_GB2312" w:hAnsi="宋体" w:eastAsia="仿宋_GB2312"/>
                <w:color w:val="auto"/>
                <w:kern w:val="0"/>
                <w:sz w:val="13"/>
                <w:szCs w:val="13"/>
                <w:highlight w:val="none"/>
                <w:lang w:eastAsia="zh-CN"/>
              </w:rPr>
              <w:t>；</w:t>
            </w:r>
            <w:r>
              <w:rPr>
                <w:rFonts w:hint="eastAsia" w:ascii="仿宋_GB2312" w:hAnsi="宋体" w:eastAsia="仿宋_GB2312"/>
                <w:color w:val="auto"/>
                <w:kern w:val="0"/>
                <w:sz w:val="13"/>
                <w:szCs w:val="13"/>
                <w:highlight w:val="none"/>
                <w:lang w:val="en-US" w:eastAsia="zh-CN"/>
              </w:rPr>
              <w:t>或造成特别严重社会影响。</w:t>
            </w:r>
          </w:p>
        </w:tc>
        <w:tc>
          <w:tcPr>
            <w:tcW w:w="3058" w:type="dxa"/>
            <w:tcBorders>
              <w:tl2br w:val="nil"/>
              <w:tr2bl w:val="nil"/>
            </w:tcBorders>
            <w:vAlign w:val="center"/>
          </w:tcPr>
          <w:p w14:paraId="297CBD6D">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处30万元的罚款；吊销资质证书。</w:t>
            </w:r>
          </w:p>
        </w:tc>
      </w:tr>
      <w:tr w14:paraId="44A2486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0" w:hRule="atLeast"/>
          <w:jc w:val="center"/>
        </w:trPr>
        <w:tc>
          <w:tcPr>
            <w:tcW w:w="443" w:type="dxa"/>
            <w:gridSpan w:val="2"/>
            <w:vMerge w:val="restart"/>
            <w:tcBorders>
              <w:tl2br w:val="nil"/>
              <w:tr2bl w:val="nil"/>
            </w:tcBorders>
            <w:vAlign w:val="center"/>
          </w:tcPr>
          <w:p w14:paraId="569A3ECC">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color w:val="auto"/>
                <w:kern w:val="0"/>
                <w:sz w:val="13"/>
                <w:szCs w:val="13"/>
                <w:highlight w:val="none"/>
              </w:rPr>
            </w:pPr>
            <w:r>
              <w:rPr>
                <w:rFonts w:hint="default" w:ascii="仿宋_GB2312" w:hAnsi="宋体" w:eastAsia="仿宋_GB2312" w:cs="仿宋_GB2312"/>
                <w:i w:val="0"/>
                <w:color w:val="auto"/>
                <w:kern w:val="0"/>
                <w:sz w:val="13"/>
                <w:szCs w:val="13"/>
                <w:highlight w:val="none"/>
                <w:u w:val="none"/>
                <w:lang w:val="en-US" w:eastAsia="zh-CN" w:bidi="ar"/>
              </w:rPr>
              <w:t>1</w:t>
            </w:r>
            <w:r>
              <w:rPr>
                <w:rFonts w:hint="eastAsia" w:ascii="仿宋_GB2312" w:hAnsi="宋体" w:eastAsia="仿宋_GB2312" w:cs="仿宋_GB2312"/>
                <w:i w:val="0"/>
                <w:color w:val="auto"/>
                <w:kern w:val="0"/>
                <w:sz w:val="13"/>
                <w:szCs w:val="13"/>
                <w:highlight w:val="none"/>
                <w:u w:val="none"/>
                <w:lang w:val="en-US" w:eastAsia="zh-CN" w:bidi="ar"/>
              </w:rPr>
              <w:t>36</w:t>
            </w:r>
          </w:p>
        </w:tc>
        <w:tc>
          <w:tcPr>
            <w:tcW w:w="1550" w:type="dxa"/>
            <w:vMerge w:val="restart"/>
            <w:tcBorders>
              <w:tl2br w:val="nil"/>
              <w:tr2bl w:val="nil"/>
            </w:tcBorders>
            <w:vAlign w:val="center"/>
          </w:tcPr>
          <w:p w14:paraId="7408171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p w14:paraId="1CE6D96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p w14:paraId="54A7EA0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施工单位使用未经验收或者验收不合格的施工起重机械和整体提升脚手架、模板等自升式架设设施且逾期未改正的</w:t>
            </w:r>
          </w:p>
        </w:tc>
        <w:tc>
          <w:tcPr>
            <w:tcW w:w="4820" w:type="dxa"/>
            <w:vMerge w:val="restart"/>
            <w:tcBorders>
              <w:tl2br w:val="nil"/>
              <w:tr2bl w:val="nil"/>
            </w:tcBorders>
            <w:vAlign w:val="center"/>
          </w:tcPr>
          <w:p w14:paraId="35DD758C">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p w14:paraId="3B7B7F5A">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p w14:paraId="7C2BDCA5">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《建设工程安全生产管理条例》</w:t>
            </w:r>
          </w:p>
          <w:p w14:paraId="0084840E">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rPr>
              <w:t>第六十五条（</w:t>
            </w:r>
            <w:r>
              <w:rPr>
                <w:rFonts w:ascii="仿宋_GB2312" w:hAnsi="宋体" w:eastAsia="仿宋_GB2312"/>
                <w:color w:val="auto"/>
                <w:kern w:val="0"/>
                <w:sz w:val="13"/>
                <w:szCs w:val="13"/>
                <w:highlight w:val="none"/>
              </w:rPr>
              <w:t>二</w:t>
            </w:r>
            <w:r>
              <w:rPr>
                <w:rFonts w:hint="eastAsia" w:ascii="仿宋_GB2312" w:hAnsi="宋体" w:eastAsia="仿宋_GB2312"/>
                <w:color w:val="auto"/>
                <w:kern w:val="0"/>
                <w:sz w:val="13"/>
                <w:szCs w:val="13"/>
                <w:highlight w:val="none"/>
              </w:rPr>
              <w:t>）</w:t>
            </w:r>
            <w:r>
              <w:rPr>
                <w:rFonts w:ascii="仿宋_GB2312" w:hAnsi="宋体" w:eastAsia="仿宋_GB2312"/>
                <w:color w:val="auto"/>
                <w:kern w:val="0"/>
                <w:sz w:val="13"/>
                <w:szCs w:val="13"/>
                <w:highlight w:val="none"/>
              </w:rPr>
              <w:t>项</w:t>
            </w:r>
            <w:r>
              <w:rPr>
                <w:rFonts w:hint="eastAsia" w:ascii="仿宋_GB2312" w:hAnsi="宋体" w:eastAsia="仿宋_GB2312"/>
                <w:color w:val="auto"/>
                <w:kern w:val="0"/>
                <w:sz w:val="13"/>
                <w:szCs w:val="13"/>
                <w:highlight w:val="none"/>
              </w:rPr>
              <w:t>违反本条例的规定，施工单位有下列行为之一的，责令限期改正；逾期未改正的，责令停业整顿，并处10万元以上30万元以下的罚款；情节严重的，降低资质等级，直至吊销资质证书；造成重大安全事故，构成犯罪的，对直接责任人员，依照刑法有关规定追究刑事责任；造成损失的，依法承担赔偿责任：</w:t>
            </w:r>
          </w:p>
          <w:p w14:paraId="21FC6B68">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(二)使用未经验收或者验收不合格的施工起重机械和整体提升脚手架、模板等自升式架设设施的；</w:t>
            </w:r>
          </w:p>
          <w:p w14:paraId="7CEFBDD6">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p w14:paraId="4C08735D">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p w14:paraId="2174066C">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p w14:paraId="3E52C43D">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p w14:paraId="55B400A9">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tc>
        <w:tc>
          <w:tcPr>
            <w:tcW w:w="823" w:type="dxa"/>
            <w:tcBorders>
              <w:tl2br w:val="nil"/>
              <w:tr2bl w:val="nil"/>
            </w:tcBorders>
            <w:vAlign w:val="center"/>
          </w:tcPr>
          <w:p w14:paraId="77186AD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vAlign w:val="center"/>
          </w:tcPr>
          <w:p w14:paraId="7EA9CF8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未造成后果或后果轻微的。</w:t>
            </w:r>
          </w:p>
        </w:tc>
        <w:tc>
          <w:tcPr>
            <w:tcW w:w="3058" w:type="dxa"/>
            <w:tcBorders>
              <w:tl2br w:val="nil"/>
              <w:tr2bl w:val="nil"/>
            </w:tcBorders>
            <w:vAlign w:val="center"/>
          </w:tcPr>
          <w:p w14:paraId="5DAD8C0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责令停业整顿，直至改正违法行为；处10万元以上12万元以下的罚款。</w:t>
            </w:r>
          </w:p>
        </w:tc>
      </w:tr>
      <w:tr w14:paraId="2695341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0" w:hRule="atLeast"/>
          <w:jc w:val="center"/>
        </w:trPr>
        <w:tc>
          <w:tcPr>
            <w:tcW w:w="443" w:type="dxa"/>
            <w:gridSpan w:val="2"/>
            <w:vMerge w:val="continue"/>
            <w:tcBorders>
              <w:tl2br w:val="nil"/>
              <w:tr2bl w:val="nil"/>
            </w:tcBorders>
            <w:vAlign w:val="center"/>
          </w:tcPr>
          <w:p w14:paraId="73A7322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color w:val="auto"/>
                <w:kern w:val="0"/>
                <w:sz w:val="13"/>
                <w:szCs w:val="13"/>
                <w:highlight w:val="none"/>
              </w:rPr>
            </w:pPr>
          </w:p>
        </w:tc>
        <w:tc>
          <w:tcPr>
            <w:tcW w:w="1550" w:type="dxa"/>
            <w:vMerge w:val="continue"/>
            <w:tcBorders>
              <w:tl2br w:val="nil"/>
              <w:tr2bl w:val="nil"/>
            </w:tcBorders>
            <w:vAlign w:val="center"/>
          </w:tcPr>
          <w:p w14:paraId="27EE816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tcPr>
          <w:p w14:paraId="4D5AE1F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tcBorders>
              <w:tl2br w:val="nil"/>
              <w:tr2bl w:val="nil"/>
            </w:tcBorders>
            <w:vAlign w:val="center"/>
          </w:tcPr>
          <w:p w14:paraId="5589E19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一般情节</w:t>
            </w:r>
          </w:p>
        </w:tc>
        <w:tc>
          <w:tcPr>
            <w:tcW w:w="3437" w:type="dxa"/>
            <w:gridSpan w:val="2"/>
            <w:tcBorders>
              <w:tl2br w:val="nil"/>
              <w:tr2bl w:val="nil"/>
            </w:tcBorders>
            <w:vAlign w:val="center"/>
          </w:tcPr>
          <w:p w14:paraId="6A002A1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造成危害后果但尚未造成安全生产事故的。</w:t>
            </w:r>
          </w:p>
        </w:tc>
        <w:tc>
          <w:tcPr>
            <w:tcW w:w="3058" w:type="dxa"/>
            <w:tcBorders>
              <w:tl2br w:val="nil"/>
              <w:tr2bl w:val="nil"/>
            </w:tcBorders>
            <w:vAlign w:val="center"/>
          </w:tcPr>
          <w:p w14:paraId="53428D2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责令停业整顿，直至改正违法行为；处12万元以上25万元以下的罚款。</w:t>
            </w:r>
          </w:p>
        </w:tc>
      </w:tr>
      <w:tr w14:paraId="1768CB4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71" w:hRule="atLeast"/>
          <w:jc w:val="center"/>
        </w:trPr>
        <w:tc>
          <w:tcPr>
            <w:tcW w:w="443" w:type="dxa"/>
            <w:gridSpan w:val="2"/>
            <w:vMerge w:val="continue"/>
            <w:tcBorders>
              <w:tl2br w:val="nil"/>
              <w:tr2bl w:val="nil"/>
            </w:tcBorders>
            <w:vAlign w:val="center"/>
          </w:tcPr>
          <w:p w14:paraId="6EC4F15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color w:val="auto"/>
                <w:kern w:val="0"/>
                <w:sz w:val="13"/>
                <w:szCs w:val="13"/>
                <w:highlight w:val="none"/>
              </w:rPr>
            </w:pPr>
          </w:p>
        </w:tc>
        <w:tc>
          <w:tcPr>
            <w:tcW w:w="1550" w:type="dxa"/>
            <w:vMerge w:val="continue"/>
            <w:tcBorders>
              <w:tl2br w:val="nil"/>
              <w:tr2bl w:val="nil"/>
            </w:tcBorders>
            <w:vAlign w:val="center"/>
          </w:tcPr>
          <w:p w14:paraId="77C5B71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tcPr>
          <w:p w14:paraId="22FF3B2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vMerge w:val="restart"/>
            <w:tcBorders>
              <w:tl2br w:val="nil"/>
              <w:tr2bl w:val="nil"/>
            </w:tcBorders>
            <w:vAlign w:val="center"/>
          </w:tcPr>
          <w:p w14:paraId="0D4265E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从重情节</w:t>
            </w:r>
          </w:p>
        </w:tc>
        <w:tc>
          <w:tcPr>
            <w:tcW w:w="3437" w:type="dxa"/>
            <w:gridSpan w:val="2"/>
            <w:tcBorders>
              <w:tl2br w:val="nil"/>
              <w:tr2bl w:val="nil"/>
            </w:tcBorders>
            <w:vAlign w:val="center"/>
          </w:tcPr>
          <w:p w14:paraId="4EBA00A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造成3人以下死亡，或者10人以下重伤，或者1000万元以下直接经济损失。</w:t>
            </w:r>
          </w:p>
        </w:tc>
        <w:tc>
          <w:tcPr>
            <w:tcW w:w="3058" w:type="dxa"/>
            <w:tcBorders>
              <w:tl2br w:val="nil"/>
              <w:tr2bl w:val="nil"/>
            </w:tcBorders>
            <w:vAlign w:val="center"/>
          </w:tcPr>
          <w:p w14:paraId="0723E86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责令停业整顿</w:t>
            </w:r>
            <w:r>
              <w:rPr>
                <w:rFonts w:hint="eastAsia" w:ascii="仿宋_GB2312" w:hAnsi="宋体" w:eastAsia="仿宋_GB2312"/>
                <w:color w:val="auto"/>
                <w:kern w:val="0"/>
                <w:sz w:val="13"/>
                <w:szCs w:val="13"/>
                <w:highlight w:val="none"/>
                <w:lang w:eastAsia="zh-CN"/>
              </w:rPr>
              <w:t>30日-</w:t>
            </w:r>
            <w:r>
              <w:rPr>
                <w:rFonts w:hint="eastAsia" w:ascii="仿宋_GB2312" w:hAnsi="宋体" w:eastAsia="仿宋_GB2312"/>
                <w:color w:val="auto"/>
                <w:kern w:val="0"/>
                <w:sz w:val="13"/>
                <w:szCs w:val="13"/>
                <w:highlight w:val="none"/>
              </w:rPr>
              <w:t>60日；处25万元以上30万元以下的罚款。</w:t>
            </w:r>
          </w:p>
        </w:tc>
      </w:tr>
      <w:tr w14:paraId="53D5711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8" w:hRule="atLeast"/>
          <w:jc w:val="center"/>
        </w:trPr>
        <w:tc>
          <w:tcPr>
            <w:tcW w:w="443" w:type="dxa"/>
            <w:gridSpan w:val="2"/>
            <w:vMerge w:val="continue"/>
            <w:tcBorders>
              <w:tl2br w:val="nil"/>
              <w:tr2bl w:val="nil"/>
            </w:tcBorders>
            <w:vAlign w:val="center"/>
          </w:tcPr>
          <w:p w14:paraId="7B1CDCF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color w:val="auto"/>
                <w:kern w:val="0"/>
                <w:sz w:val="13"/>
                <w:szCs w:val="13"/>
                <w:highlight w:val="none"/>
              </w:rPr>
            </w:pPr>
          </w:p>
        </w:tc>
        <w:tc>
          <w:tcPr>
            <w:tcW w:w="1550" w:type="dxa"/>
            <w:vMerge w:val="continue"/>
            <w:tcBorders>
              <w:tl2br w:val="nil"/>
              <w:tr2bl w:val="nil"/>
            </w:tcBorders>
            <w:vAlign w:val="center"/>
          </w:tcPr>
          <w:p w14:paraId="22B0772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tcPr>
          <w:p w14:paraId="076AE50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vMerge w:val="continue"/>
            <w:tcBorders>
              <w:tl2br w:val="nil"/>
              <w:tr2bl w:val="nil"/>
            </w:tcBorders>
            <w:vAlign w:val="center"/>
          </w:tcPr>
          <w:p w14:paraId="131EF04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3437" w:type="dxa"/>
            <w:gridSpan w:val="2"/>
            <w:tcBorders>
              <w:tl2br w:val="nil"/>
              <w:tr2bl w:val="nil"/>
            </w:tcBorders>
            <w:vAlign w:val="center"/>
          </w:tcPr>
          <w:p w14:paraId="3321F75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造成3人以上5人以下死亡；或者10人以上20人以下重伤；或者1000万元以上2000万元以下直接经济损失的。</w:t>
            </w:r>
          </w:p>
        </w:tc>
        <w:tc>
          <w:tcPr>
            <w:tcW w:w="3058" w:type="dxa"/>
            <w:tcBorders>
              <w:tl2br w:val="nil"/>
              <w:tr2bl w:val="nil"/>
            </w:tcBorders>
            <w:vAlign w:val="center"/>
          </w:tcPr>
          <w:p w14:paraId="75657F8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责令停业整顿</w:t>
            </w:r>
            <w:r>
              <w:rPr>
                <w:rFonts w:hint="eastAsia" w:ascii="仿宋_GB2312" w:hAnsi="宋体" w:eastAsia="仿宋_GB2312"/>
                <w:color w:val="auto"/>
                <w:kern w:val="0"/>
                <w:sz w:val="13"/>
                <w:szCs w:val="13"/>
                <w:highlight w:val="none"/>
                <w:lang w:val="en-US" w:eastAsia="zh-CN"/>
              </w:rPr>
              <w:t>60日-90</w:t>
            </w:r>
            <w:r>
              <w:rPr>
                <w:rFonts w:hint="eastAsia" w:ascii="仿宋_GB2312" w:hAnsi="宋体" w:eastAsia="仿宋_GB2312"/>
                <w:color w:val="auto"/>
                <w:kern w:val="0"/>
                <w:sz w:val="13"/>
                <w:szCs w:val="13"/>
                <w:highlight w:val="none"/>
              </w:rPr>
              <w:t>日；处30万元的罚款。</w:t>
            </w:r>
          </w:p>
        </w:tc>
      </w:tr>
      <w:tr w14:paraId="31A23B4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8" w:hRule="atLeast"/>
          <w:jc w:val="center"/>
        </w:trPr>
        <w:tc>
          <w:tcPr>
            <w:tcW w:w="443" w:type="dxa"/>
            <w:gridSpan w:val="2"/>
            <w:vMerge w:val="continue"/>
            <w:tcBorders>
              <w:tl2br w:val="nil"/>
              <w:tr2bl w:val="nil"/>
            </w:tcBorders>
            <w:vAlign w:val="center"/>
          </w:tcPr>
          <w:p w14:paraId="66709EA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color w:val="auto"/>
                <w:kern w:val="0"/>
                <w:sz w:val="13"/>
                <w:szCs w:val="13"/>
                <w:highlight w:val="none"/>
              </w:rPr>
            </w:pPr>
          </w:p>
        </w:tc>
        <w:tc>
          <w:tcPr>
            <w:tcW w:w="1550" w:type="dxa"/>
            <w:vMerge w:val="continue"/>
            <w:tcBorders>
              <w:tl2br w:val="nil"/>
              <w:tr2bl w:val="nil"/>
            </w:tcBorders>
            <w:vAlign w:val="center"/>
          </w:tcPr>
          <w:p w14:paraId="1ADB4B2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tcPr>
          <w:p w14:paraId="62272CE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vMerge w:val="continue"/>
            <w:tcBorders>
              <w:tl2br w:val="nil"/>
              <w:tr2bl w:val="nil"/>
            </w:tcBorders>
            <w:vAlign w:val="center"/>
          </w:tcPr>
          <w:p w14:paraId="2FB9625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3437" w:type="dxa"/>
            <w:gridSpan w:val="2"/>
            <w:tcBorders>
              <w:tl2br w:val="nil"/>
              <w:tr2bl w:val="nil"/>
            </w:tcBorders>
            <w:vAlign w:val="center"/>
          </w:tcPr>
          <w:p w14:paraId="1BCD152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造成5人以上7人以下死亡；或者20人以上30人以下重伤；或者2000万元以上3000万元以下直接经济损失的。</w:t>
            </w:r>
          </w:p>
        </w:tc>
        <w:tc>
          <w:tcPr>
            <w:tcW w:w="3058" w:type="dxa"/>
            <w:tcBorders>
              <w:tl2br w:val="nil"/>
              <w:tr2bl w:val="nil"/>
            </w:tcBorders>
            <w:vAlign w:val="center"/>
          </w:tcPr>
          <w:p w14:paraId="3910E86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责令停业整顿</w:t>
            </w:r>
            <w:r>
              <w:rPr>
                <w:rFonts w:hint="eastAsia" w:ascii="仿宋_GB2312" w:hAnsi="宋体" w:eastAsia="仿宋_GB2312"/>
                <w:color w:val="auto"/>
                <w:kern w:val="0"/>
                <w:sz w:val="13"/>
                <w:szCs w:val="13"/>
                <w:highlight w:val="none"/>
                <w:lang w:val="en-US" w:eastAsia="zh-CN"/>
              </w:rPr>
              <w:t>90日-120</w:t>
            </w:r>
            <w:r>
              <w:rPr>
                <w:rFonts w:hint="eastAsia" w:ascii="仿宋_GB2312" w:hAnsi="宋体" w:eastAsia="仿宋_GB2312"/>
                <w:color w:val="auto"/>
                <w:kern w:val="0"/>
                <w:sz w:val="13"/>
                <w:szCs w:val="13"/>
                <w:highlight w:val="none"/>
              </w:rPr>
              <w:t>日；处30万元的罚款。</w:t>
            </w:r>
          </w:p>
        </w:tc>
      </w:tr>
      <w:tr w14:paraId="7E29DD1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8" w:hRule="atLeast"/>
          <w:jc w:val="center"/>
        </w:trPr>
        <w:tc>
          <w:tcPr>
            <w:tcW w:w="443" w:type="dxa"/>
            <w:gridSpan w:val="2"/>
            <w:vMerge w:val="continue"/>
            <w:tcBorders>
              <w:tl2br w:val="nil"/>
              <w:tr2bl w:val="nil"/>
            </w:tcBorders>
            <w:vAlign w:val="center"/>
          </w:tcPr>
          <w:p w14:paraId="7836600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color w:val="auto"/>
                <w:kern w:val="0"/>
                <w:sz w:val="13"/>
                <w:szCs w:val="13"/>
                <w:highlight w:val="none"/>
              </w:rPr>
            </w:pPr>
          </w:p>
        </w:tc>
        <w:tc>
          <w:tcPr>
            <w:tcW w:w="1550" w:type="dxa"/>
            <w:vMerge w:val="continue"/>
            <w:tcBorders>
              <w:tl2br w:val="nil"/>
              <w:tr2bl w:val="nil"/>
            </w:tcBorders>
            <w:vAlign w:val="center"/>
          </w:tcPr>
          <w:p w14:paraId="4FB076C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tcPr>
          <w:p w14:paraId="469C597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vMerge w:val="continue"/>
            <w:tcBorders>
              <w:tl2br w:val="nil"/>
              <w:tr2bl w:val="nil"/>
            </w:tcBorders>
            <w:vAlign w:val="center"/>
          </w:tcPr>
          <w:p w14:paraId="2E6670E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3437" w:type="dxa"/>
            <w:gridSpan w:val="2"/>
            <w:tcBorders>
              <w:tl2br w:val="nil"/>
              <w:tr2bl w:val="nil"/>
            </w:tcBorders>
            <w:vAlign w:val="center"/>
          </w:tcPr>
          <w:p w14:paraId="1627948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造成7人以上10人以下死亡；或者30人以上50人以下重伤；或者3000万元以上5000万元以下直接经济损失的。</w:t>
            </w:r>
          </w:p>
        </w:tc>
        <w:tc>
          <w:tcPr>
            <w:tcW w:w="3058" w:type="dxa"/>
            <w:tcBorders>
              <w:tl2br w:val="nil"/>
              <w:tr2bl w:val="nil"/>
            </w:tcBorders>
            <w:vAlign w:val="center"/>
          </w:tcPr>
          <w:p w14:paraId="3D21C7AE">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责令停业整顿</w:t>
            </w:r>
            <w:r>
              <w:rPr>
                <w:rFonts w:hint="eastAsia" w:ascii="仿宋_GB2312" w:hAnsi="宋体" w:eastAsia="仿宋_GB2312"/>
                <w:color w:val="auto"/>
                <w:kern w:val="0"/>
                <w:sz w:val="13"/>
                <w:szCs w:val="13"/>
                <w:highlight w:val="none"/>
                <w:lang w:val="en-US" w:eastAsia="zh-CN"/>
              </w:rPr>
              <w:t>120日-</w:t>
            </w:r>
            <w:r>
              <w:rPr>
                <w:rFonts w:hint="eastAsia" w:ascii="仿宋_GB2312" w:hAnsi="宋体" w:eastAsia="仿宋_GB2312"/>
                <w:color w:val="auto"/>
                <w:kern w:val="0"/>
                <w:sz w:val="13"/>
                <w:szCs w:val="13"/>
                <w:highlight w:val="none"/>
              </w:rPr>
              <w:t>180日；处30万元的罚款。</w:t>
            </w:r>
          </w:p>
        </w:tc>
      </w:tr>
      <w:tr w14:paraId="2EC0C69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0" w:hRule="atLeast"/>
          <w:jc w:val="center"/>
        </w:trPr>
        <w:tc>
          <w:tcPr>
            <w:tcW w:w="443" w:type="dxa"/>
            <w:gridSpan w:val="2"/>
            <w:vMerge w:val="continue"/>
            <w:tcBorders>
              <w:tl2br w:val="nil"/>
              <w:tr2bl w:val="nil"/>
            </w:tcBorders>
            <w:vAlign w:val="center"/>
          </w:tcPr>
          <w:p w14:paraId="186A8DA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color w:val="auto"/>
                <w:kern w:val="0"/>
                <w:sz w:val="13"/>
                <w:szCs w:val="13"/>
                <w:highlight w:val="none"/>
              </w:rPr>
            </w:pPr>
          </w:p>
        </w:tc>
        <w:tc>
          <w:tcPr>
            <w:tcW w:w="1550" w:type="dxa"/>
            <w:vMerge w:val="continue"/>
            <w:tcBorders>
              <w:tl2br w:val="nil"/>
              <w:tr2bl w:val="nil"/>
            </w:tcBorders>
            <w:vAlign w:val="center"/>
          </w:tcPr>
          <w:p w14:paraId="16B8853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tcPr>
          <w:p w14:paraId="6CF8058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vMerge w:val="continue"/>
            <w:tcBorders>
              <w:tl2br w:val="nil"/>
              <w:tr2bl w:val="nil"/>
            </w:tcBorders>
            <w:vAlign w:val="center"/>
          </w:tcPr>
          <w:p w14:paraId="1FCC6E5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3437" w:type="dxa"/>
            <w:gridSpan w:val="2"/>
            <w:tcBorders>
              <w:tl2br w:val="nil"/>
              <w:tr2bl w:val="nil"/>
            </w:tcBorders>
            <w:vAlign w:val="center"/>
          </w:tcPr>
          <w:p w14:paraId="05F6C2A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造成重大安全事故的</w:t>
            </w:r>
            <w:r>
              <w:rPr>
                <w:rFonts w:hint="eastAsia" w:ascii="仿宋_GB2312" w:hAnsi="宋体" w:eastAsia="仿宋_GB2312"/>
                <w:color w:val="auto"/>
                <w:kern w:val="0"/>
                <w:sz w:val="13"/>
                <w:szCs w:val="13"/>
                <w:highlight w:val="none"/>
                <w:lang w:val="en-US" w:eastAsia="zh-CN"/>
              </w:rPr>
              <w:t>。</w:t>
            </w:r>
          </w:p>
        </w:tc>
        <w:tc>
          <w:tcPr>
            <w:tcW w:w="3058" w:type="dxa"/>
            <w:tcBorders>
              <w:tl2br w:val="nil"/>
              <w:tr2bl w:val="nil"/>
            </w:tcBorders>
            <w:vAlign w:val="center"/>
          </w:tcPr>
          <w:p w14:paraId="5985CC6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处30万元的罚款；降低资质等级。</w:t>
            </w:r>
          </w:p>
        </w:tc>
      </w:tr>
      <w:tr w14:paraId="1074675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0" w:hRule="atLeast"/>
          <w:jc w:val="center"/>
        </w:trPr>
        <w:tc>
          <w:tcPr>
            <w:tcW w:w="443" w:type="dxa"/>
            <w:gridSpan w:val="2"/>
            <w:vMerge w:val="continue"/>
            <w:tcBorders>
              <w:tl2br w:val="nil"/>
              <w:tr2bl w:val="nil"/>
            </w:tcBorders>
            <w:vAlign w:val="center"/>
          </w:tcPr>
          <w:p w14:paraId="1F1773B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color w:val="auto"/>
                <w:kern w:val="0"/>
                <w:sz w:val="13"/>
                <w:szCs w:val="13"/>
                <w:highlight w:val="none"/>
              </w:rPr>
            </w:pPr>
          </w:p>
        </w:tc>
        <w:tc>
          <w:tcPr>
            <w:tcW w:w="1550" w:type="dxa"/>
            <w:vMerge w:val="continue"/>
            <w:tcBorders>
              <w:tl2br w:val="nil"/>
              <w:tr2bl w:val="nil"/>
            </w:tcBorders>
            <w:vAlign w:val="center"/>
          </w:tcPr>
          <w:p w14:paraId="3BABB00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tcPr>
          <w:p w14:paraId="4BC2756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vMerge w:val="continue"/>
            <w:tcBorders>
              <w:tl2br w:val="nil"/>
              <w:tr2bl w:val="nil"/>
            </w:tcBorders>
            <w:vAlign w:val="center"/>
          </w:tcPr>
          <w:p w14:paraId="334B9ED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3437" w:type="dxa"/>
            <w:gridSpan w:val="2"/>
            <w:tcBorders>
              <w:tl2br w:val="nil"/>
              <w:tr2bl w:val="nil"/>
            </w:tcBorders>
            <w:vAlign w:val="center"/>
          </w:tcPr>
          <w:p w14:paraId="3FCAE30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造成特别重大安全事故的</w:t>
            </w:r>
            <w:r>
              <w:rPr>
                <w:rFonts w:hint="eastAsia" w:ascii="仿宋_GB2312" w:hAnsi="宋体" w:eastAsia="仿宋_GB2312"/>
                <w:color w:val="auto"/>
                <w:kern w:val="0"/>
                <w:sz w:val="13"/>
                <w:szCs w:val="13"/>
                <w:highlight w:val="none"/>
                <w:lang w:eastAsia="zh-CN"/>
              </w:rPr>
              <w:t>；</w:t>
            </w:r>
            <w:r>
              <w:rPr>
                <w:rFonts w:hint="eastAsia" w:ascii="仿宋_GB2312" w:hAnsi="宋体" w:eastAsia="仿宋_GB2312"/>
                <w:color w:val="auto"/>
                <w:kern w:val="0"/>
                <w:sz w:val="13"/>
                <w:szCs w:val="13"/>
                <w:highlight w:val="none"/>
                <w:lang w:val="en-US" w:eastAsia="zh-CN"/>
              </w:rPr>
              <w:t>或造成特别严重社会影响。</w:t>
            </w:r>
          </w:p>
        </w:tc>
        <w:tc>
          <w:tcPr>
            <w:tcW w:w="3058" w:type="dxa"/>
            <w:tcBorders>
              <w:tl2br w:val="nil"/>
              <w:tr2bl w:val="nil"/>
            </w:tcBorders>
            <w:vAlign w:val="center"/>
          </w:tcPr>
          <w:p w14:paraId="14A0A028">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处30万元的罚款；吊销资质证书。</w:t>
            </w:r>
          </w:p>
        </w:tc>
      </w:tr>
      <w:tr w14:paraId="0706ACD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0" w:hRule="atLeast"/>
          <w:jc w:val="center"/>
        </w:trPr>
        <w:tc>
          <w:tcPr>
            <w:tcW w:w="443" w:type="dxa"/>
            <w:gridSpan w:val="2"/>
            <w:vMerge w:val="restart"/>
            <w:tcBorders>
              <w:tl2br w:val="nil"/>
              <w:tr2bl w:val="nil"/>
            </w:tcBorders>
            <w:vAlign w:val="center"/>
          </w:tcPr>
          <w:p w14:paraId="22F47E9A">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color w:val="auto"/>
                <w:kern w:val="0"/>
                <w:sz w:val="13"/>
                <w:szCs w:val="13"/>
                <w:highlight w:val="none"/>
              </w:rPr>
            </w:pPr>
            <w:r>
              <w:rPr>
                <w:rFonts w:hint="default" w:ascii="仿宋_GB2312" w:hAnsi="宋体" w:eastAsia="仿宋_GB2312" w:cs="仿宋_GB2312"/>
                <w:i w:val="0"/>
                <w:color w:val="auto"/>
                <w:kern w:val="0"/>
                <w:sz w:val="13"/>
                <w:szCs w:val="13"/>
                <w:highlight w:val="none"/>
                <w:u w:val="none"/>
                <w:lang w:val="en-US" w:eastAsia="zh-CN" w:bidi="ar"/>
              </w:rPr>
              <w:t>1</w:t>
            </w:r>
            <w:r>
              <w:rPr>
                <w:rFonts w:hint="eastAsia" w:ascii="仿宋_GB2312" w:hAnsi="宋体" w:eastAsia="仿宋_GB2312" w:cs="仿宋_GB2312"/>
                <w:i w:val="0"/>
                <w:color w:val="auto"/>
                <w:kern w:val="0"/>
                <w:sz w:val="13"/>
                <w:szCs w:val="13"/>
                <w:highlight w:val="none"/>
                <w:u w:val="none"/>
                <w:lang w:val="en-US" w:eastAsia="zh-CN" w:bidi="ar"/>
              </w:rPr>
              <w:t>37</w:t>
            </w:r>
          </w:p>
        </w:tc>
        <w:tc>
          <w:tcPr>
            <w:tcW w:w="1550" w:type="dxa"/>
            <w:vMerge w:val="restart"/>
            <w:tcBorders>
              <w:tl2br w:val="nil"/>
              <w:tr2bl w:val="nil"/>
            </w:tcBorders>
            <w:vAlign w:val="center"/>
          </w:tcPr>
          <w:p w14:paraId="62681E0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p>
          <w:p w14:paraId="2E049C9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p>
          <w:p w14:paraId="7809426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p>
          <w:p w14:paraId="12CBA73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施工单位委托不具有相应资质的单位承担施工现场安装、拆卸施工起重机械和整体提升脚手架、模板等自升式架设设施且逾期未改正的</w:t>
            </w:r>
          </w:p>
        </w:tc>
        <w:tc>
          <w:tcPr>
            <w:tcW w:w="4820" w:type="dxa"/>
            <w:vMerge w:val="restart"/>
            <w:tcBorders>
              <w:tl2br w:val="nil"/>
              <w:tr2bl w:val="nil"/>
            </w:tcBorders>
            <w:vAlign w:val="center"/>
          </w:tcPr>
          <w:p w14:paraId="6719146D">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p w14:paraId="2F0AFC83">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p w14:paraId="3A960BF4">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p w14:paraId="4BC2C792">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p w14:paraId="388802C5">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《建设工程安全生产管理条例》</w:t>
            </w:r>
          </w:p>
          <w:p w14:paraId="7992A604">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rPr>
              <w:t>第六十五条（</w:t>
            </w:r>
            <w:r>
              <w:rPr>
                <w:rFonts w:ascii="仿宋_GB2312" w:hAnsi="宋体" w:eastAsia="仿宋_GB2312"/>
                <w:color w:val="auto"/>
                <w:kern w:val="0"/>
                <w:sz w:val="13"/>
                <w:szCs w:val="13"/>
                <w:highlight w:val="none"/>
              </w:rPr>
              <w:t>三</w:t>
            </w:r>
            <w:r>
              <w:rPr>
                <w:rFonts w:hint="eastAsia" w:ascii="仿宋_GB2312" w:hAnsi="宋体" w:eastAsia="仿宋_GB2312"/>
                <w:color w:val="auto"/>
                <w:kern w:val="0"/>
                <w:sz w:val="13"/>
                <w:szCs w:val="13"/>
                <w:highlight w:val="none"/>
              </w:rPr>
              <w:t>）</w:t>
            </w:r>
            <w:r>
              <w:rPr>
                <w:rFonts w:ascii="仿宋_GB2312" w:hAnsi="宋体" w:eastAsia="仿宋_GB2312"/>
                <w:color w:val="auto"/>
                <w:kern w:val="0"/>
                <w:sz w:val="13"/>
                <w:szCs w:val="13"/>
                <w:highlight w:val="none"/>
              </w:rPr>
              <w:t>项</w:t>
            </w:r>
            <w:r>
              <w:rPr>
                <w:rFonts w:hint="eastAsia" w:ascii="仿宋_GB2312" w:hAnsi="宋体" w:eastAsia="仿宋_GB2312"/>
                <w:color w:val="auto"/>
                <w:kern w:val="0"/>
                <w:sz w:val="13"/>
                <w:szCs w:val="13"/>
                <w:highlight w:val="none"/>
              </w:rPr>
              <w:t>违反本条例的规定，施工单位有下列行为之一的，责令限期改正；逾期未改正的，责令停业整顿，并处10万元以上30万元以下的罚款；情节严重的，降低资质等级，直至吊销资质证书；造成重大安全事故，构成犯罪的，对直接责任人员，依照刑法有关规定追究刑事责任；造成损失的，依法承担赔偿责任：</w:t>
            </w:r>
          </w:p>
          <w:p w14:paraId="67119A9B">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(三)委托不具有相应资质的单位承担施工现场安装、拆卸施工起重机械和整体提升脚手架、模板等自升式架设设施的；</w:t>
            </w:r>
          </w:p>
        </w:tc>
        <w:tc>
          <w:tcPr>
            <w:tcW w:w="823" w:type="dxa"/>
            <w:tcBorders>
              <w:tl2br w:val="nil"/>
              <w:tr2bl w:val="nil"/>
            </w:tcBorders>
            <w:vAlign w:val="center"/>
          </w:tcPr>
          <w:p w14:paraId="12DA614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vAlign w:val="center"/>
          </w:tcPr>
          <w:p w14:paraId="5E4B461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未造成后果或后果轻微的。</w:t>
            </w:r>
          </w:p>
        </w:tc>
        <w:tc>
          <w:tcPr>
            <w:tcW w:w="3058" w:type="dxa"/>
            <w:tcBorders>
              <w:tl2br w:val="nil"/>
              <w:tr2bl w:val="nil"/>
            </w:tcBorders>
            <w:vAlign w:val="center"/>
          </w:tcPr>
          <w:p w14:paraId="7D53267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责令停业整顿，直至改正违法行为；处10万元以上12万元以下的罚款。</w:t>
            </w:r>
          </w:p>
        </w:tc>
      </w:tr>
      <w:tr w14:paraId="3DB1A44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0" w:hRule="atLeast"/>
          <w:jc w:val="center"/>
        </w:trPr>
        <w:tc>
          <w:tcPr>
            <w:tcW w:w="443" w:type="dxa"/>
            <w:gridSpan w:val="2"/>
            <w:vMerge w:val="continue"/>
            <w:tcBorders>
              <w:tl2br w:val="nil"/>
              <w:tr2bl w:val="nil"/>
            </w:tcBorders>
            <w:vAlign w:val="center"/>
          </w:tcPr>
          <w:p w14:paraId="30DD799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color w:val="auto"/>
                <w:kern w:val="0"/>
                <w:sz w:val="13"/>
                <w:szCs w:val="13"/>
                <w:highlight w:val="none"/>
              </w:rPr>
            </w:pPr>
          </w:p>
        </w:tc>
        <w:tc>
          <w:tcPr>
            <w:tcW w:w="1550" w:type="dxa"/>
            <w:vMerge w:val="continue"/>
            <w:tcBorders>
              <w:tl2br w:val="nil"/>
              <w:tr2bl w:val="nil"/>
            </w:tcBorders>
            <w:vAlign w:val="center"/>
          </w:tcPr>
          <w:p w14:paraId="2960232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tcPr>
          <w:p w14:paraId="52E6CE2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tcBorders>
              <w:tl2br w:val="nil"/>
              <w:tr2bl w:val="nil"/>
            </w:tcBorders>
            <w:vAlign w:val="center"/>
          </w:tcPr>
          <w:p w14:paraId="1712937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一般情节</w:t>
            </w:r>
          </w:p>
        </w:tc>
        <w:tc>
          <w:tcPr>
            <w:tcW w:w="3437" w:type="dxa"/>
            <w:gridSpan w:val="2"/>
            <w:tcBorders>
              <w:tl2br w:val="nil"/>
              <w:tr2bl w:val="nil"/>
            </w:tcBorders>
            <w:vAlign w:val="center"/>
          </w:tcPr>
          <w:p w14:paraId="3CC27FE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造成危害后果但尚未造成安全生产事故的。</w:t>
            </w:r>
          </w:p>
        </w:tc>
        <w:tc>
          <w:tcPr>
            <w:tcW w:w="3058" w:type="dxa"/>
            <w:tcBorders>
              <w:tl2br w:val="nil"/>
              <w:tr2bl w:val="nil"/>
            </w:tcBorders>
            <w:vAlign w:val="center"/>
          </w:tcPr>
          <w:p w14:paraId="7048F8D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责令停业整顿，直至改正违法行为；处12万元以上25万元以下的罚款。</w:t>
            </w:r>
          </w:p>
        </w:tc>
      </w:tr>
      <w:tr w14:paraId="2E1F39B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0" w:hRule="atLeast"/>
          <w:jc w:val="center"/>
        </w:trPr>
        <w:tc>
          <w:tcPr>
            <w:tcW w:w="443" w:type="dxa"/>
            <w:gridSpan w:val="2"/>
            <w:vMerge w:val="continue"/>
            <w:tcBorders>
              <w:tl2br w:val="nil"/>
              <w:tr2bl w:val="nil"/>
            </w:tcBorders>
            <w:vAlign w:val="center"/>
          </w:tcPr>
          <w:p w14:paraId="2139692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color w:val="auto"/>
                <w:kern w:val="0"/>
                <w:sz w:val="13"/>
                <w:szCs w:val="13"/>
                <w:highlight w:val="none"/>
              </w:rPr>
            </w:pPr>
          </w:p>
        </w:tc>
        <w:tc>
          <w:tcPr>
            <w:tcW w:w="1550" w:type="dxa"/>
            <w:vMerge w:val="continue"/>
            <w:tcBorders>
              <w:tl2br w:val="nil"/>
              <w:tr2bl w:val="nil"/>
            </w:tcBorders>
            <w:vAlign w:val="center"/>
          </w:tcPr>
          <w:p w14:paraId="49C0A65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tcPr>
          <w:p w14:paraId="03C6A69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vMerge w:val="restart"/>
            <w:tcBorders>
              <w:tl2br w:val="nil"/>
              <w:tr2bl w:val="nil"/>
            </w:tcBorders>
            <w:vAlign w:val="center"/>
          </w:tcPr>
          <w:p w14:paraId="5DBFC07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从重情节</w:t>
            </w:r>
          </w:p>
        </w:tc>
        <w:tc>
          <w:tcPr>
            <w:tcW w:w="3437" w:type="dxa"/>
            <w:gridSpan w:val="2"/>
            <w:tcBorders>
              <w:tl2br w:val="nil"/>
              <w:tr2bl w:val="nil"/>
            </w:tcBorders>
            <w:vAlign w:val="center"/>
          </w:tcPr>
          <w:p w14:paraId="7682F2C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造成3人以下死亡，或者10人以下重伤，或者1000万元以下直接经济损失。</w:t>
            </w:r>
          </w:p>
        </w:tc>
        <w:tc>
          <w:tcPr>
            <w:tcW w:w="3058" w:type="dxa"/>
            <w:tcBorders>
              <w:tl2br w:val="nil"/>
              <w:tr2bl w:val="nil"/>
            </w:tcBorders>
            <w:vAlign w:val="center"/>
          </w:tcPr>
          <w:p w14:paraId="4A810CA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责令停业整顿</w:t>
            </w:r>
            <w:r>
              <w:rPr>
                <w:rFonts w:hint="eastAsia" w:ascii="仿宋_GB2312" w:hAnsi="宋体" w:eastAsia="仿宋_GB2312"/>
                <w:color w:val="auto"/>
                <w:kern w:val="0"/>
                <w:sz w:val="13"/>
                <w:szCs w:val="13"/>
                <w:highlight w:val="none"/>
                <w:lang w:eastAsia="zh-CN"/>
              </w:rPr>
              <w:t>30日-</w:t>
            </w:r>
            <w:r>
              <w:rPr>
                <w:rFonts w:hint="eastAsia" w:ascii="仿宋_GB2312" w:hAnsi="宋体" w:eastAsia="仿宋_GB2312"/>
                <w:color w:val="auto"/>
                <w:kern w:val="0"/>
                <w:sz w:val="13"/>
                <w:szCs w:val="13"/>
                <w:highlight w:val="none"/>
              </w:rPr>
              <w:t>60日；处25万元以上30万元以下的罚款。</w:t>
            </w:r>
          </w:p>
        </w:tc>
      </w:tr>
      <w:tr w14:paraId="1FDCA09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8" w:hRule="atLeast"/>
          <w:jc w:val="center"/>
        </w:trPr>
        <w:tc>
          <w:tcPr>
            <w:tcW w:w="443" w:type="dxa"/>
            <w:gridSpan w:val="2"/>
            <w:vMerge w:val="continue"/>
            <w:tcBorders>
              <w:tl2br w:val="nil"/>
              <w:tr2bl w:val="nil"/>
            </w:tcBorders>
            <w:vAlign w:val="center"/>
          </w:tcPr>
          <w:p w14:paraId="68D13F2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color w:val="auto"/>
                <w:kern w:val="0"/>
                <w:sz w:val="13"/>
                <w:szCs w:val="13"/>
                <w:highlight w:val="none"/>
              </w:rPr>
            </w:pPr>
          </w:p>
        </w:tc>
        <w:tc>
          <w:tcPr>
            <w:tcW w:w="1550" w:type="dxa"/>
            <w:vMerge w:val="continue"/>
            <w:tcBorders>
              <w:tl2br w:val="nil"/>
              <w:tr2bl w:val="nil"/>
            </w:tcBorders>
            <w:vAlign w:val="center"/>
          </w:tcPr>
          <w:p w14:paraId="629858D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tcPr>
          <w:p w14:paraId="71A1448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vMerge w:val="continue"/>
            <w:tcBorders>
              <w:tl2br w:val="nil"/>
              <w:tr2bl w:val="nil"/>
            </w:tcBorders>
            <w:vAlign w:val="center"/>
          </w:tcPr>
          <w:p w14:paraId="0C8AC9E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3437" w:type="dxa"/>
            <w:gridSpan w:val="2"/>
            <w:tcBorders>
              <w:tl2br w:val="nil"/>
              <w:tr2bl w:val="nil"/>
            </w:tcBorders>
            <w:vAlign w:val="center"/>
          </w:tcPr>
          <w:p w14:paraId="3EB5B61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造成3人以上5人以下死亡；或者10人以上20人以下重伤；或者1000万元以上2000万元以下直接经济损失的。</w:t>
            </w:r>
          </w:p>
        </w:tc>
        <w:tc>
          <w:tcPr>
            <w:tcW w:w="3058" w:type="dxa"/>
            <w:tcBorders>
              <w:tl2br w:val="nil"/>
              <w:tr2bl w:val="nil"/>
            </w:tcBorders>
            <w:vAlign w:val="center"/>
          </w:tcPr>
          <w:p w14:paraId="43DFAE6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责令停业整顿</w:t>
            </w:r>
            <w:r>
              <w:rPr>
                <w:rFonts w:hint="eastAsia" w:ascii="仿宋_GB2312" w:hAnsi="宋体" w:eastAsia="仿宋_GB2312"/>
                <w:color w:val="auto"/>
                <w:kern w:val="0"/>
                <w:sz w:val="13"/>
                <w:szCs w:val="13"/>
                <w:highlight w:val="none"/>
                <w:lang w:val="en-US" w:eastAsia="zh-CN"/>
              </w:rPr>
              <w:t>60日-90</w:t>
            </w:r>
            <w:r>
              <w:rPr>
                <w:rFonts w:hint="eastAsia" w:ascii="仿宋_GB2312" w:hAnsi="宋体" w:eastAsia="仿宋_GB2312"/>
                <w:color w:val="auto"/>
                <w:kern w:val="0"/>
                <w:sz w:val="13"/>
                <w:szCs w:val="13"/>
                <w:highlight w:val="none"/>
              </w:rPr>
              <w:t>日；处30万元的罚款。</w:t>
            </w:r>
          </w:p>
        </w:tc>
      </w:tr>
      <w:tr w14:paraId="7A610FC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8" w:hRule="atLeast"/>
          <w:jc w:val="center"/>
        </w:trPr>
        <w:tc>
          <w:tcPr>
            <w:tcW w:w="443" w:type="dxa"/>
            <w:gridSpan w:val="2"/>
            <w:vMerge w:val="continue"/>
            <w:tcBorders>
              <w:tl2br w:val="nil"/>
              <w:tr2bl w:val="nil"/>
            </w:tcBorders>
            <w:vAlign w:val="center"/>
          </w:tcPr>
          <w:p w14:paraId="0024244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color w:val="auto"/>
                <w:kern w:val="0"/>
                <w:sz w:val="13"/>
                <w:szCs w:val="13"/>
                <w:highlight w:val="none"/>
              </w:rPr>
            </w:pPr>
          </w:p>
        </w:tc>
        <w:tc>
          <w:tcPr>
            <w:tcW w:w="1550" w:type="dxa"/>
            <w:vMerge w:val="continue"/>
            <w:tcBorders>
              <w:tl2br w:val="nil"/>
              <w:tr2bl w:val="nil"/>
            </w:tcBorders>
            <w:vAlign w:val="center"/>
          </w:tcPr>
          <w:p w14:paraId="4DB0DE9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tcPr>
          <w:p w14:paraId="75BFDD4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vMerge w:val="continue"/>
            <w:tcBorders>
              <w:tl2br w:val="nil"/>
              <w:tr2bl w:val="nil"/>
            </w:tcBorders>
            <w:vAlign w:val="center"/>
          </w:tcPr>
          <w:p w14:paraId="4FF9532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3437" w:type="dxa"/>
            <w:gridSpan w:val="2"/>
            <w:tcBorders>
              <w:tl2br w:val="nil"/>
              <w:tr2bl w:val="nil"/>
            </w:tcBorders>
            <w:vAlign w:val="center"/>
          </w:tcPr>
          <w:p w14:paraId="6ACA132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造成5人以上7人以下死亡；或者20人以上30人以下重伤；或者2000万元以上3000万元以下直接经济损失的。</w:t>
            </w:r>
          </w:p>
        </w:tc>
        <w:tc>
          <w:tcPr>
            <w:tcW w:w="3058" w:type="dxa"/>
            <w:tcBorders>
              <w:tl2br w:val="nil"/>
              <w:tr2bl w:val="nil"/>
            </w:tcBorders>
            <w:vAlign w:val="center"/>
          </w:tcPr>
          <w:p w14:paraId="08099D9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责令停业整顿</w:t>
            </w:r>
            <w:r>
              <w:rPr>
                <w:rFonts w:hint="eastAsia" w:ascii="仿宋_GB2312" w:hAnsi="宋体" w:eastAsia="仿宋_GB2312"/>
                <w:color w:val="auto"/>
                <w:kern w:val="0"/>
                <w:sz w:val="13"/>
                <w:szCs w:val="13"/>
                <w:highlight w:val="none"/>
                <w:lang w:val="en-US" w:eastAsia="zh-CN"/>
              </w:rPr>
              <w:t>90日-120</w:t>
            </w:r>
            <w:r>
              <w:rPr>
                <w:rFonts w:hint="eastAsia" w:ascii="仿宋_GB2312" w:hAnsi="宋体" w:eastAsia="仿宋_GB2312"/>
                <w:color w:val="auto"/>
                <w:kern w:val="0"/>
                <w:sz w:val="13"/>
                <w:szCs w:val="13"/>
                <w:highlight w:val="none"/>
              </w:rPr>
              <w:t>日；处30万元的罚款。</w:t>
            </w:r>
          </w:p>
        </w:tc>
      </w:tr>
      <w:tr w14:paraId="3A50F6E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8" w:hRule="atLeast"/>
          <w:jc w:val="center"/>
        </w:trPr>
        <w:tc>
          <w:tcPr>
            <w:tcW w:w="443" w:type="dxa"/>
            <w:gridSpan w:val="2"/>
            <w:vMerge w:val="continue"/>
            <w:tcBorders>
              <w:tl2br w:val="nil"/>
              <w:tr2bl w:val="nil"/>
            </w:tcBorders>
            <w:vAlign w:val="center"/>
          </w:tcPr>
          <w:p w14:paraId="506E9C5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color w:val="auto"/>
                <w:kern w:val="0"/>
                <w:sz w:val="13"/>
                <w:szCs w:val="13"/>
                <w:highlight w:val="none"/>
              </w:rPr>
            </w:pPr>
          </w:p>
        </w:tc>
        <w:tc>
          <w:tcPr>
            <w:tcW w:w="1550" w:type="dxa"/>
            <w:vMerge w:val="continue"/>
            <w:tcBorders>
              <w:tl2br w:val="nil"/>
              <w:tr2bl w:val="nil"/>
            </w:tcBorders>
            <w:vAlign w:val="center"/>
          </w:tcPr>
          <w:p w14:paraId="1A30E02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tcPr>
          <w:p w14:paraId="291A00E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vMerge w:val="continue"/>
            <w:tcBorders>
              <w:tl2br w:val="nil"/>
              <w:tr2bl w:val="nil"/>
            </w:tcBorders>
            <w:vAlign w:val="center"/>
          </w:tcPr>
          <w:p w14:paraId="6C2D0EF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3437" w:type="dxa"/>
            <w:gridSpan w:val="2"/>
            <w:tcBorders>
              <w:tl2br w:val="nil"/>
              <w:tr2bl w:val="nil"/>
            </w:tcBorders>
            <w:vAlign w:val="center"/>
          </w:tcPr>
          <w:p w14:paraId="6726B88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造成7人以上10人以下死亡；或者30人以上50人以下重伤；或者3000万元以上5000万元以下直接经济损失的。</w:t>
            </w:r>
          </w:p>
        </w:tc>
        <w:tc>
          <w:tcPr>
            <w:tcW w:w="3058" w:type="dxa"/>
            <w:tcBorders>
              <w:tl2br w:val="nil"/>
              <w:tr2bl w:val="nil"/>
            </w:tcBorders>
            <w:vAlign w:val="center"/>
          </w:tcPr>
          <w:p w14:paraId="0BE43604">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责令停业整顿</w:t>
            </w:r>
            <w:r>
              <w:rPr>
                <w:rFonts w:hint="eastAsia" w:ascii="仿宋_GB2312" w:hAnsi="宋体" w:eastAsia="仿宋_GB2312"/>
                <w:color w:val="auto"/>
                <w:kern w:val="0"/>
                <w:sz w:val="13"/>
                <w:szCs w:val="13"/>
                <w:highlight w:val="none"/>
                <w:lang w:val="en-US" w:eastAsia="zh-CN"/>
              </w:rPr>
              <w:t>120日-</w:t>
            </w:r>
            <w:r>
              <w:rPr>
                <w:rFonts w:hint="eastAsia" w:ascii="仿宋_GB2312" w:hAnsi="宋体" w:eastAsia="仿宋_GB2312"/>
                <w:color w:val="auto"/>
                <w:kern w:val="0"/>
                <w:sz w:val="13"/>
                <w:szCs w:val="13"/>
                <w:highlight w:val="none"/>
              </w:rPr>
              <w:t>180日；处30万元的罚款。</w:t>
            </w:r>
          </w:p>
        </w:tc>
      </w:tr>
      <w:tr w14:paraId="08FC978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53" w:hRule="atLeast"/>
          <w:jc w:val="center"/>
        </w:trPr>
        <w:tc>
          <w:tcPr>
            <w:tcW w:w="443" w:type="dxa"/>
            <w:gridSpan w:val="2"/>
            <w:vMerge w:val="continue"/>
            <w:tcBorders>
              <w:tl2br w:val="nil"/>
              <w:tr2bl w:val="nil"/>
            </w:tcBorders>
            <w:vAlign w:val="center"/>
          </w:tcPr>
          <w:p w14:paraId="1349C8D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color w:val="auto"/>
                <w:kern w:val="0"/>
                <w:sz w:val="13"/>
                <w:szCs w:val="13"/>
                <w:highlight w:val="none"/>
              </w:rPr>
            </w:pPr>
          </w:p>
        </w:tc>
        <w:tc>
          <w:tcPr>
            <w:tcW w:w="1550" w:type="dxa"/>
            <w:vMerge w:val="continue"/>
            <w:tcBorders>
              <w:tl2br w:val="nil"/>
              <w:tr2bl w:val="nil"/>
            </w:tcBorders>
            <w:vAlign w:val="center"/>
          </w:tcPr>
          <w:p w14:paraId="7B11F33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tcPr>
          <w:p w14:paraId="1163610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vMerge w:val="continue"/>
            <w:tcBorders>
              <w:tl2br w:val="nil"/>
              <w:tr2bl w:val="nil"/>
            </w:tcBorders>
            <w:vAlign w:val="center"/>
          </w:tcPr>
          <w:p w14:paraId="504DE93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3437" w:type="dxa"/>
            <w:gridSpan w:val="2"/>
            <w:tcBorders>
              <w:tl2br w:val="nil"/>
              <w:tr2bl w:val="nil"/>
            </w:tcBorders>
            <w:vAlign w:val="center"/>
          </w:tcPr>
          <w:p w14:paraId="26DBD11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造成重大安全事故的</w:t>
            </w:r>
            <w:r>
              <w:rPr>
                <w:rFonts w:hint="eastAsia" w:ascii="仿宋_GB2312" w:hAnsi="宋体" w:eastAsia="仿宋_GB2312"/>
                <w:color w:val="auto"/>
                <w:kern w:val="0"/>
                <w:sz w:val="13"/>
                <w:szCs w:val="13"/>
                <w:highlight w:val="none"/>
                <w:lang w:val="en-US" w:eastAsia="zh-CN"/>
              </w:rPr>
              <w:t>。</w:t>
            </w:r>
          </w:p>
        </w:tc>
        <w:tc>
          <w:tcPr>
            <w:tcW w:w="3058" w:type="dxa"/>
            <w:tcBorders>
              <w:tl2br w:val="nil"/>
              <w:tr2bl w:val="nil"/>
            </w:tcBorders>
            <w:vAlign w:val="center"/>
          </w:tcPr>
          <w:p w14:paraId="5365629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处30万元的罚款；降低资质等级。</w:t>
            </w:r>
          </w:p>
        </w:tc>
      </w:tr>
      <w:tr w14:paraId="4248A19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14" w:hRule="atLeast"/>
          <w:jc w:val="center"/>
        </w:trPr>
        <w:tc>
          <w:tcPr>
            <w:tcW w:w="443" w:type="dxa"/>
            <w:gridSpan w:val="2"/>
            <w:vMerge w:val="continue"/>
            <w:tcBorders>
              <w:tl2br w:val="nil"/>
              <w:tr2bl w:val="nil"/>
            </w:tcBorders>
            <w:vAlign w:val="center"/>
          </w:tcPr>
          <w:p w14:paraId="7F7ABEE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color w:val="auto"/>
                <w:kern w:val="0"/>
                <w:sz w:val="13"/>
                <w:szCs w:val="13"/>
                <w:highlight w:val="none"/>
              </w:rPr>
            </w:pPr>
          </w:p>
        </w:tc>
        <w:tc>
          <w:tcPr>
            <w:tcW w:w="1550" w:type="dxa"/>
            <w:vMerge w:val="continue"/>
            <w:tcBorders>
              <w:tl2br w:val="nil"/>
              <w:tr2bl w:val="nil"/>
            </w:tcBorders>
            <w:vAlign w:val="center"/>
          </w:tcPr>
          <w:p w14:paraId="0DDC4E9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tcPr>
          <w:p w14:paraId="04F0AB7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vMerge w:val="continue"/>
            <w:tcBorders>
              <w:tl2br w:val="nil"/>
              <w:tr2bl w:val="nil"/>
            </w:tcBorders>
            <w:vAlign w:val="center"/>
          </w:tcPr>
          <w:p w14:paraId="52DF044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3437" w:type="dxa"/>
            <w:gridSpan w:val="2"/>
            <w:tcBorders>
              <w:tl2br w:val="nil"/>
              <w:tr2bl w:val="nil"/>
            </w:tcBorders>
            <w:vAlign w:val="center"/>
          </w:tcPr>
          <w:p w14:paraId="15069C0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造成特别重大安全事故的</w:t>
            </w:r>
            <w:r>
              <w:rPr>
                <w:rFonts w:hint="eastAsia" w:ascii="仿宋_GB2312" w:hAnsi="宋体" w:eastAsia="仿宋_GB2312"/>
                <w:color w:val="auto"/>
                <w:kern w:val="0"/>
                <w:sz w:val="13"/>
                <w:szCs w:val="13"/>
                <w:highlight w:val="none"/>
                <w:lang w:eastAsia="zh-CN"/>
              </w:rPr>
              <w:t>；</w:t>
            </w:r>
            <w:r>
              <w:rPr>
                <w:rFonts w:hint="eastAsia" w:ascii="仿宋_GB2312" w:hAnsi="宋体" w:eastAsia="仿宋_GB2312"/>
                <w:color w:val="auto"/>
                <w:kern w:val="0"/>
                <w:sz w:val="13"/>
                <w:szCs w:val="13"/>
                <w:highlight w:val="none"/>
                <w:lang w:val="en-US" w:eastAsia="zh-CN"/>
              </w:rPr>
              <w:t>或造成特别严重社会影响。</w:t>
            </w:r>
          </w:p>
        </w:tc>
        <w:tc>
          <w:tcPr>
            <w:tcW w:w="3058" w:type="dxa"/>
            <w:tcBorders>
              <w:tl2br w:val="nil"/>
              <w:tr2bl w:val="nil"/>
            </w:tcBorders>
            <w:vAlign w:val="center"/>
          </w:tcPr>
          <w:p w14:paraId="3E30D95A">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处30万元的罚款；吊销资质证书。</w:t>
            </w:r>
          </w:p>
        </w:tc>
      </w:tr>
      <w:tr w14:paraId="09CC8F3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8" w:hRule="atLeast"/>
          <w:jc w:val="center"/>
        </w:trPr>
        <w:tc>
          <w:tcPr>
            <w:tcW w:w="443" w:type="dxa"/>
            <w:gridSpan w:val="2"/>
            <w:vMerge w:val="restart"/>
            <w:tcBorders>
              <w:tl2br w:val="nil"/>
              <w:tr2bl w:val="nil"/>
            </w:tcBorders>
            <w:vAlign w:val="center"/>
          </w:tcPr>
          <w:p w14:paraId="635895D0">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Times New Roman"/>
                <w:color w:val="auto"/>
                <w:kern w:val="0"/>
                <w:sz w:val="13"/>
                <w:szCs w:val="13"/>
                <w:highlight w:val="none"/>
                <w:lang w:val="en-US"/>
              </w:rPr>
            </w:pPr>
            <w:r>
              <w:rPr>
                <w:rFonts w:hint="default" w:ascii="仿宋_GB2312" w:hAnsi="宋体" w:eastAsia="仿宋_GB2312" w:cs="仿宋_GB2312"/>
                <w:i w:val="0"/>
                <w:color w:val="auto"/>
                <w:kern w:val="0"/>
                <w:sz w:val="13"/>
                <w:szCs w:val="13"/>
                <w:highlight w:val="none"/>
                <w:u w:val="none"/>
                <w:lang w:val="en-US" w:eastAsia="zh-CN" w:bidi="ar"/>
              </w:rPr>
              <w:t>1</w:t>
            </w:r>
            <w:r>
              <w:rPr>
                <w:rFonts w:hint="eastAsia" w:ascii="仿宋_GB2312" w:hAnsi="宋体" w:eastAsia="仿宋_GB2312" w:cs="仿宋_GB2312"/>
                <w:i w:val="0"/>
                <w:color w:val="auto"/>
                <w:kern w:val="0"/>
                <w:sz w:val="13"/>
                <w:szCs w:val="13"/>
                <w:highlight w:val="none"/>
                <w:u w:val="none"/>
                <w:lang w:val="en-US" w:eastAsia="zh-CN" w:bidi="ar"/>
              </w:rPr>
              <w:t>38</w:t>
            </w:r>
          </w:p>
        </w:tc>
        <w:tc>
          <w:tcPr>
            <w:tcW w:w="1550" w:type="dxa"/>
            <w:vMerge w:val="restart"/>
            <w:tcBorders>
              <w:tl2br w:val="nil"/>
              <w:tr2bl w:val="nil"/>
            </w:tcBorders>
            <w:vAlign w:val="center"/>
          </w:tcPr>
          <w:p w14:paraId="0D207EF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p>
          <w:p w14:paraId="06886CD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p>
          <w:p w14:paraId="05E4AF8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p w14:paraId="514D80A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施工单位在施工组织设计中未编制安全技术措施、施工现场临时用电方案或者专项施工方案且逾期未改正的</w:t>
            </w:r>
          </w:p>
        </w:tc>
        <w:tc>
          <w:tcPr>
            <w:tcW w:w="4820" w:type="dxa"/>
            <w:vMerge w:val="restart"/>
            <w:tcBorders>
              <w:tl2br w:val="nil"/>
              <w:tr2bl w:val="nil"/>
            </w:tcBorders>
            <w:vAlign w:val="center"/>
          </w:tcPr>
          <w:p w14:paraId="7CFCA2A1">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p w14:paraId="0B5E2BAA">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p w14:paraId="5A0E882F">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p w14:paraId="36A26256">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《建设工程安全生产管理条例》</w:t>
            </w:r>
          </w:p>
          <w:p w14:paraId="6F5982A4">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rPr>
              <w:t>第六十五条（</w:t>
            </w:r>
            <w:r>
              <w:rPr>
                <w:rFonts w:ascii="仿宋_GB2312" w:hAnsi="宋体" w:eastAsia="仿宋_GB2312"/>
                <w:color w:val="auto"/>
                <w:kern w:val="0"/>
                <w:sz w:val="13"/>
                <w:szCs w:val="13"/>
                <w:highlight w:val="none"/>
              </w:rPr>
              <w:t>四</w:t>
            </w:r>
            <w:r>
              <w:rPr>
                <w:rFonts w:hint="eastAsia" w:ascii="仿宋_GB2312" w:hAnsi="宋体" w:eastAsia="仿宋_GB2312"/>
                <w:color w:val="auto"/>
                <w:kern w:val="0"/>
                <w:sz w:val="13"/>
                <w:szCs w:val="13"/>
                <w:highlight w:val="none"/>
              </w:rPr>
              <w:t>）</w:t>
            </w:r>
            <w:r>
              <w:rPr>
                <w:rFonts w:ascii="仿宋_GB2312" w:hAnsi="宋体" w:eastAsia="仿宋_GB2312"/>
                <w:color w:val="auto"/>
                <w:kern w:val="0"/>
                <w:sz w:val="13"/>
                <w:szCs w:val="13"/>
                <w:highlight w:val="none"/>
              </w:rPr>
              <w:t>项</w:t>
            </w:r>
            <w:r>
              <w:rPr>
                <w:rFonts w:hint="eastAsia" w:ascii="仿宋_GB2312" w:hAnsi="宋体" w:eastAsia="仿宋_GB2312"/>
                <w:color w:val="auto"/>
                <w:kern w:val="0"/>
                <w:sz w:val="13"/>
                <w:szCs w:val="13"/>
                <w:highlight w:val="none"/>
              </w:rPr>
              <w:t>违反本条例的规定，施工单位有下列行为之一的，责令限期改正；逾期未改正的，责令停业整顿，并处10万元以上30万元以下的罚款；情节严重的，降低资质等级，直至吊销资质证书；造成重大安全事故，构成犯罪的，对直接责任人员，依照刑法有关规定追究刑事责任；造成损失的，依法承担赔偿责任：</w:t>
            </w:r>
          </w:p>
          <w:p w14:paraId="40EA12E0">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(四)在施工组织设计中未编制安全技术措施、施工现场临时用电方案或者专项施工方案的。</w:t>
            </w:r>
          </w:p>
          <w:p w14:paraId="3CD6F84D">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p w14:paraId="795874C9">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p>
          <w:p w14:paraId="5377D953">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tc>
        <w:tc>
          <w:tcPr>
            <w:tcW w:w="823" w:type="dxa"/>
            <w:tcBorders>
              <w:tl2br w:val="nil"/>
              <w:tr2bl w:val="nil"/>
            </w:tcBorders>
            <w:vAlign w:val="center"/>
          </w:tcPr>
          <w:p w14:paraId="265D46A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vAlign w:val="center"/>
          </w:tcPr>
          <w:p w14:paraId="6A2C796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初次违法，危害后果较轻的，主动消除或减轻违法行为危害后果的。</w:t>
            </w:r>
          </w:p>
        </w:tc>
        <w:tc>
          <w:tcPr>
            <w:tcW w:w="3058" w:type="dxa"/>
            <w:tcBorders>
              <w:tl2br w:val="nil"/>
              <w:tr2bl w:val="nil"/>
            </w:tcBorders>
            <w:vAlign w:val="center"/>
          </w:tcPr>
          <w:p w14:paraId="30FC14D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责令停业整顿，直至改正违法行为；处10万元以上12万元以下的罚款。</w:t>
            </w:r>
          </w:p>
        </w:tc>
      </w:tr>
      <w:tr w14:paraId="4812A3F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16" w:hRule="atLeast"/>
          <w:jc w:val="center"/>
        </w:trPr>
        <w:tc>
          <w:tcPr>
            <w:tcW w:w="443" w:type="dxa"/>
            <w:gridSpan w:val="2"/>
            <w:vMerge w:val="continue"/>
            <w:tcBorders>
              <w:tl2br w:val="nil"/>
              <w:tr2bl w:val="nil"/>
            </w:tcBorders>
            <w:vAlign w:val="center"/>
          </w:tcPr>
          <w:p w14:paraId="6A5E3BE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color w:val="auto"/>
                <w:kern w:val="0"/>
                <w:sz w:val="13"/>
                <w:szCs w:val="13"/>
                <w:highlight w:val="none"/>
              </w:rPr>
            </w:pPr>
          </w:p>
        </w:tc>
        <w:tc>
          <w:tcPr>
            <w:tcW w:w="1550" w:type="dxa"/>
            <w:vMerge w:val="continue"/>
            <w:tcBorders>
              <w:tl2br w:val="nil"/>
              <w:tr2bl w:val="nil"/>
            </w:tcBorders>
            <w:vAlign w:val="center"/>
          </w:tcPr>
          <w:p w14:paraId="678595F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vAlign w:val="center"/>
          </w:tcPr>
          <w:p w14:paraId="404D985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tcBorders>
              <w:tl2br w:val="nil"/>
              <w:tr2bl w:val="nil"/>
            </w:tcBorders>
            <w:vAlign w:val="center"/>
          </w:tcPr>
          <w:p w14:paraId="4AECE41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一般情节</w:t>
            </w:r>
          </w:p>
        </w:tc>
        <w:tc>
          <w:tcPr>
            <w:tcW w:w="3437" w:type="dxa"/>
            <w:gridSpan w:val="2"/>
            <w:tcBorders>
              <w:tl2br w:val="nil"/>
              <w:tr2bl w:val="nil"/>
            </w:tcBorders>
            <w:vAlign w:val="center"/>
          </w:tcPr>
          <w:p w14:paraId="1B13D1F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不具有从轻、</w:t>
            </w:r>
            <w:r>
              <w:rPr>
                <w:rFonts w:hint="eastAsia" w:ascii="仿宋_GB2312" w:hAnsi="宋体" w:eastAsia="仿宋_GB2312"/>
                <w:color w:val="auto"/>
                <w:kern w:val="0"/>
                <w:sz w:val="13"/>
                <w:szCs w:val="13"/>
                <w:highlight w:val="none"/>
                <w:lang w:eastAsia="zh-CN"/>
              </w:rPr>
              <w:t>从重情节</w:t>
            </w:r>
            <w:r>
              <w:rPr>
                <w:rFonts w:hint="eastAsia" w:ascii="仿宋_GB2312" w:hAnsi="宋体" w:eastAsia="仿宋_GB2312"/>
                <w:color w:val="auto"/>
                <w:kern w:val="0"/>
                <w:sz w:val="13"/>
                <w:szCs w:val="13"/>
                <w:highlight w:val="none"/>
              </w:rPr>
              <w:t>的。</w:t>
            </w:r>
          </w:p>
        </w:tc>
        <w:tc>
          <w:tcPr>
            <w:tcW w:w="3058" w:type="dxa"/>
            <w:tcBorders>
              <w:tl2br w:val="nil"/>
              <w:tr2bl w:val="nil"/>
            </w:tcBorders>
            <w:vAlign w:val="center"/>
          </w:tcPr>
          <w:p w14:paraId="4D71EC1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责令停业整顿，直至改正违法行为；处10万元以上12万元以下的罚款。</w:t>
            </w:r>
          </w:p>
        </w:tc>
      </w:tr>
      <w:tr w14:paraId="2D6270B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16" w:hRule="atLeast"/>
          <w:jc w:val="center"/>
        </w:trPr>
        <w:tc>
          <w:tcPr>
            <w:tcW w:w="443" w:type="dxa"/>
            <w:gridSpan w:val="2"/>
            <w:vMerge w:val="continue"/>
            <w:tcBorders>
              <w:tl2br w:val="nil"/>
              <w:tr2bl w:val="nil"/>
            </w:tcBorders>
            <w:vAlign w:val="center"/>
          </w:tcPr>
          <w:p w14:paraId="2C51AB9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color w:val="auto"/>
                <w:kern w:val="0"/>
                <w:sz w:val="13"/>
                <w:szCs w:val="13"/>
                <w:highlight w:val="none"/>
              </w:rPr>
            </w:pPr>
          </w:p>
        </w:tc>
        <w:tc>
          <w:tcPr>
            <w:tcW w:w="1550" w:type="dxa"/>
            <w:vMerge w:val="continue"/>
            <w:tcBorders>
              <w:tl2br w:val="nil"/>
              <w:tr2bl w:val="nil"/>
            </w:tcBorders>
            <w:vAlign w:val="center"/>
          </w:tcPr>
          <w:p w14:paraId="5549FA7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tcPr>
          <w:p w14:paraId="4B8A769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vMerge w:val="restart"/>
            <w:tcBorders>
              <w:tl2br w:val="nil"/>
              <w:tr2bl w:val="nil"/>
            </w:tcBorders>
            <w:vAlign w:val="center"/>
          </w:tcPr>
          <w:p w14:paraId="6448778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从重情节</w:t>
            </w:r>
          </w:p>
        </w:tc>
        <w:tc>
          <w:tcPr>
            <w:tcW w:w="3437" w:type="dxa"/>
            <w:gridSpan w:val="2"/>
            <w:tcBorders>
              <w:tl2br w:val="nil"/>
              <w:tr2bl w:val="nil"/>
            </w:tcBorders>
            <w:vAlign w:val="center"/>
          </w:tcPr>
          <w:p w14:paraId="7362FDE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涉及超过规定规模的危险性较大分部分项工程。</w:t>
            </w:r>
          </w:p>
        </w:tc>
        <w:tc>
          <w:tcPr>
            <w:tcW w:w="3058" w:type="dxa"/>
            <w:tcBorders>
              <w:tl2br w:val="nil"/>
              <w:tr2bl w:val="nil"/>
            </w:tcBorders>
            <w:vAlign w:val="center"/>
          </w:tcPr>
          <w:p w14:paraId="0391D80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责令停业整顿，直至改正违法行为；处12万元以上25万元以下的罚款。</w:t>
            </w:r>
          </w:p>
        </w:tc>
      </w:tr>
      <w:tr w14:paraId="1C87A0A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8" w:hRule="atLeast"/>
          <w:jc w:val="center"/>
        </w:trPr>
        <w:tc>
          <w:tcPr>
            <w:tcW w:w="443" w:type="dxa"/>
            <w:gridSpan w:val="2"/>
            <w:vMerge w:val="continue"/>
            <w:tcBorders>
              <w:tl2br w:val="nil"/>
              <w:tr2bl w:val="nil"/>
            </w:tcBorders>
            <w:vAlign w:val="center"/>
          </w:tcPr>
          <w:p w14:paraId="0BB2951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color w:val="auto"/>
                <w:kern w:val="0"/>
                <w:sz w:val="13"/>
                <w:szCs w:val="13"/>
                <w:highlight w:val="none"/>
              </w:rPr>
            </w:pPr>
          </w:p>
        </w:tc>
        <w:tc>
          <w:tcPr>
            <w:tcW w:w="1550" w:type="dxa"/>
            <w:vMerge w:val="continue"/>
            <w:tcBorders>
              <w:tl2br w:val="nil"/>
              <w:tr2bl w:val="nil"/>
            </w:tcBorders>
            <w:vAlign w:val="center"/>
          </w:tcPr>
          <w:p w14:paraId="01A6504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tcPr>
          <w:p w14:paraId="1D8C29C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vMerge w:val="continue"/>
            <w:tcBorders>
              <w:tl2br w:val="nil"/>
              <w:tr2bl w:val="nil"/>
            </w:tcBorders>
            <w:vAlign w:val="center"/>
          </w:tcPr>
          <w:p w14:paraId="65BACD8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3437" w:type="dxa"/>
            <w:gridSpan w:val="2"/>
            <w:tcBorders>
              <w:tl2br w:val="nil"/>
              <w:tr2bl w:val="nil"/>
            </w:tcBorders>
            <w:vAlign w:val="center"/>
          </w:tcPr>
          <w:p w14:paraId="267CD33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造成3人以下死亡，或者10人以下重伤，或者1000万元以下直接经济损失。</w:t>
            </w:r>
          </w:p>
        </w:tc>
        <w:tc>
          <w:tcPr>
            <w:tcW w:w="3058" w:type="dxa"/>
            <w:tcBorders>
              <w:tl2br w:val="nil"/>
              <w:tr2bl w:val="nil"/>
            </w:tcBorders>
            <w:vAlign w:val="center"/>
          </w:tcPr>
          <w:p w14:paraId="1E4622C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责令停业整顿</w:t>
            </w:r>
            <w:r>
              <w:rPr>
                <w:rFonts w:hint="eastAsia" w:ascii="仿宋_GB2312" w:hAnsi="宋体" w:eastAsia="仿宋_GB2312"/>
                <w:color w:val="auto"/>
                <w:kern w:val="0"/>
                <w:sz w:val="13"/>
                <w:szCs w:val="13"/>
                <w:highlight w:val="none"/>
                <w:lang w:eastAsia="zh-CN"/>
              </w:rPr>
              <w:t>30日-</w:t>
            </w:r>
            <w:r>
              <w:rPr>
                <w:rFonts w:hint="eastAsia" w:ascii="仿宋_GB2312" w:hAnsi="宋体" w:eastAsia="仿宋_GB2312"/>
                <w:color w:val="auto"/>
                <w:kern w:val="0"/>
                <w:sz w:val="13"/>
                <w:szCs w:val="13"/>
                <w:highlight w:val="none"/>
              </w:rPr>
              <w:t>60日；处25万元以上30万元以下的罚款。</w:t>
            </w:r>
          </w:p>
        </w:tc>
      </w:tr>
      <w:tr w14:paraId="4B48187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16" w:hRule="atLeast"/>
          <w:jc w:val="center"/>
        </w:trPr>
        <w:tc>
          <w:tcPr>
            <w:tcW w:w="443" w:type="dxa"/>
            <w:gridSpan w:val="2"/>
            <w:vMerge w:val="continue"/>
            <w:tcBorders>
              <w:tl2br w:val="nil"/>
              <w:tr2bl w:val="nil"/>
            </w:tcBorders>
            <w:vAlign w:val="center"/>
          </w:tcPr>
          <w:p w14:paraId="309A6A5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color w:val="auto"/>
                <w:kern w:val="0"/>
                <w:sz w:val="13"/>
                <w:szCs w:val="13"/>
                <w:highlight w:val="none"/>
              </w:rPr>
            </w:pPr>
          </w:p>
        </w:tc>
        <w:tc>
          <w:tcPr>
            <w:tcW w:w="1550" w:type="dxa"/>
            <w:vMerge w:val="continue"/>
            <w:tcBorders>
              <w:tl2br w:val="nil"/>
              <w:tr2bl w:val="nil"/>
            </w:tcBorders>
            <w:vAlign w:val="center"/>
          </w:tcPr>
          <w:p w14:paraId="6E2F085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tcPr>
          <w:p w14:paraId="4F9483B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vMerge w:val="continue"/>
            <w:tcBorders>
              <w:tl2br w:val="nil"/>
              <w:tr2bl w:val="nil"/>
            </w:tcBorders>
            <w:vAlign w:val="center"/>
          </w:tcPr>
          <w:p w14:paraId="6D96066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3437" w:type="dxa"/>
            <w:gridSpan w:val="2"/>
            <w:tcBorders>
              <w:tl2br w:val="nil"/>
              <w:tr2bl w:val="nil"/>
            </w:tcBorders>
            <w:vAlign w:val="center"/>
          </w:tcPr>
          <w:p w14:paraId="134AC3F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p>
          <w:p w14:paraId="6F75FA9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造成3人以上5人以下死亡；或者10人以上20人以下重伤；或者1000万元以上2000万元以下直接经济损失的。</w:t>
            </w:r>
          </w:p>
        </w:tc>
        <w:tc>
          <w:tcPr>
            <w:tcW w:w="3058" w:type="dxa"/>
            <w:tcBorders>
              <w:tl2br w:val="nil"/>
              <w:tr2bl w:val="nil"/>
            </w:tcBorders>
            <w:vAlign w:val="center"/>
          </w:tcPr>
          <w:p w14:paraId="44F18E5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责令停业整顿</w:t>
            </w:r>
            <w:r>
              <w:rPr>
                <w:rFonts w:hint="eastAsia" w:ascii="仿宋_GB2312" w:hAnsi="宋体" w:eastAsia="仿宋_GB2312"/>
                <w:color w:val="auto"/>
                <w:kern w:val="0"/>
                <w:sz w:val="13"/>
                <w:szCs w:val="13"/>
                <w:highlight w:val="none"/>
                <w:lang w:val="en-US" w:eastAsia="zh-CN"/>
              </w:rPr>
              <w:t>60日-90</w:t>
            </w:r>
            <w:r>
              <w:rPr>
                <w:rFonts w:hint="eastAsia" w:ascii="仿宋_GB2312" w:hAnsi="宋体" w:eastAsia="仿宋_GB2312"/>
                <w:color w:val="auto"/>
                <w:kern w:val="0"/>
                <w:sz w:val="13"/>
                <w:szCs w:val="13"/>
                <w:highlight w:val="none"/>
              </w:rPr>
              <w:t>日；处30万元的罚款。</w:t>
            </w:r>
          </w:p>
        </w:tc>
      </w:tr>
      <w:tr w14:paraId="1E928F5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8" w:hRule="atLeast"/>
          <w:jc w:val="center"/>
        </w:trPr>
        <w:tc>
          <w:tcPr>
            <w:tcW w:w="443" w:type="dxa"/>
            <w:gridSpan w:val="2"/>
            <w:vMerge w:val="continue"/>
            <w:tcBorders>
              <w:tl2br w:val="nil"/>
              <w:tr2bl w:val="nil"/>
            </w:tcBorders>
            <w:vAlign w:val="center"/>
          </w:tcPr>
          <w:p w14:paraId="0088C03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color w:val="auto"/>
                <w:kern w:val="0"/>
                <w:sz w:val="13"/>
                <w:szCs w:val="13"/>
                <w:highlight w:val="none"/>
              </w:rPr>
            </w:pPr>
          </w:p>
        </w:tc>
        <w:tc>
          <w:tcPr>
            <w:tcW w:w="1550" w:type="dxa"/>
            <w:vMerge w:val="continue"/>
            <w:tcBorders>
              <w:tl2br w:val="nil"/>
              <w:tr2bl w:val="nil"/>
            </w:tcBorders>
            <w:vAlign w:val="center"/>
          </w:tcPr>
          <w:p w14:paraId="6BD36A0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tcPr>
          <w:p w14:paraId="7309062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vMerge w:val="continue"/>
            <w:tcBorders>
              <w:tl2br w:val="nil"/>
              <w:tr2bl w:val="nil"/>
            </w:tcBorders>
            <w:vAlign w:val="center"/>
          </w:tcPr>
          <w:p w14:paraId="16BB444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3437" w:type="dxa"/>
            <w:gridSpan w:val="2"/>
            <w:tcBorders>
              <w:tl2br w:val="nil"/>
              <w:tr2bl w:val="nil"/>
            </w:tcBorders>
            <w:vAlign w:val="center"/>
          </w:tcPr>
          <w:p w14:paraId="5F27E7C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造成5人以上7人以下死亡；或者20人以上30人以下重伤；或者2000万元以上3000万元以下直接经济损失的。</w:t>
            </w:r>
          </w:p>
        </w:tc>
        <w:tc>
          <w:tcPr>
            <w:tcW w:w="3058" w:type="dxa"/>
            <w:tcBorders>
              <w:tl2br w:val="nil"/>
              <w:tr2bl w:val="nil"/>
            </w:tcBorders>
            <w:vAlign w:val="center"/>
          </w:tcPr>
          <w:p w14:paraId="363B745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责令停业整顿</w:t>
            </w:r>
            <w:r>
              <w:rPr>
                <w:rFonts w:hint="eastAsia" w:ascii="仿宋_GB2312" w:hAnsi="宋体" w:eastAsia="仿宋_GB2312"/>
                <w:color w:val="auto"/>
                <w:kern w:val="0"/>
                <w:sz w:val="13"/>
                <w:szCs w:val="13"/>
                <w:highlight w:val="none"/>
                <w:lang w:val="en-US" w:eastAsia="zh-CN"/>
              </w:rPr>
              <w:t>90日-120</w:t>
            </w:r>
            <w:r>
              <w:rPr>
                <w:rFonts w:hint="eastAsia" w:ascii="仿宋_GB2312" w:hAnsi="宋体" w:eastAsia="仿宋_GB2312"/>
                <w:color w:val="auto"/>
                <w:kern w:val="0"/>
                <w:sz w:val="13"/>
                <w:szCs w:val="13"/>
                <w:highlight w:val="none"/>
              </w:rPr>
              <w:t>日；处30万元的罚款。</w:t>
            </w:r>
          </w:p>
        </w:tc>
      </w:tr>
      <w:tr w14:paraId="2F0EEB3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8" w:hRule="atLeast"/>
          <w:jc w:val="center"/>
        </w:trPr>
        <w:tc>
          <w:tcPr>
            <w:tcW w:w="443" w:type="dxa"/>
            <w:gridSpan w:val="2"/>
            <w:vMerge w:val="continue"/>
            <w:tcBorders>
              <w:tl2br w:val="nil"/>
              <w:tr2bl w:val="nil"/>
            </w:tcBorders>
            <w:vAlign w:val="center"/>
          </w:tcPr>
          <w:p w14:paraId="1DC9DC2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color w:val="auto"/>
                <w:kern w:val="0"/>
                <w:sz w:val="13"/>
                <w:szCs w:val="13"/>
                <w:highlight w:val="none"/>
              </w:rPr>
            </w:pPr>
          </w:p>
        </w:tc>
        <w:tc>
          <w:tcPr>
            <w:tcW w:w="1550" w:type="dxa"/>
            <w:vMerge w:val="continue"/>
            <w:tcBorders>
              <w:tl2br w:val="nil"/>
              <w:tr2bl w:val="nil"/>
            </w:tcBorders>
            <w:vAlign w:val="center"/>
          </w:tcPr>
          <w:p w14:paraId="2D171AE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tcPr>
          <w:p w14:paraId="50969AD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vMerge w:val="continue"/>
            <w:tcBorders>
              <w:tl2br w:val="nil"/>
              <w:tr2bl w:val="nil"/>
            </w:tcBorders>
            <w:vAlign w:val="center"/>
          </w:tcPr>
          <w:p w14:paraId="7A3669A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3437" w:type="dxa"/>
            <w:gridSpan w:val="2"/>
            <w:tcBorders>
              <w:tl2br w:val="nil"/>
              <w:tr2bl w:val="nil"/>
            </w:tcBorders>
            <w:vAlign w:val="center"/>
          </w:tcPr>
          <w:p w14:paraId="3E912D8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造成7人以上10人以下死亡；或者30人以上50人以下重伤；或者3000万元以上5000万元以下直接经济损失的。</w:t>
            </w:r>
          </w:p>
        </w:tc>
        <w:tc>
          <w:tcPr>
            <w:tcW w:w="3058" w:type="dxa"/>
            <w:tcBorders>
              <w:tl2br w:val="nil"/>
              <w:tr2bl w:val="nil"/>
            </w:tcBorders>
            <w:vAlign w:val="center"/>
          </w:tcPr>
          <w:p w14:paraId="6F6BAACD">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责令停业整顿</w:t>
            </w:r>
            <w:r>
              <w:rPr>
                <w:rFonts w:hint="eastAsia" w:ascii="仿宋_GB2312" w:hAnsi="宋体" w:eastAsia="仿宋_GB2312"/>
                <w:color w:val="auto"/>
                <w:kern w:val="0"/>
                <w:sz w:val="13"/>
                <w:szCs w:val="13"/>
                <w:highlight w:val="none"/>
                <w:lang w:val="en-US" w:eastAsia="zh-CN"/>
              </w:rPr>
              <w:t>120日-</w:t>
            </w:r>
            <w:r>
              <w:rPr>
                <w:rFonts w:hint="eastAsia" w:ascii="仿宋_GB2312" w:hAnsi="宋体" w:eastAsia="仿宋_GB2312"/>
                <w:color w:val="auto"/>
                <w:kern w:val="0"/>
                <w:sz w:val="13"/>
                <w:szCs w:val="13"/>
                <w:highlight w:val="none"/>
              </w:rPr>
              <w:t>180日；处30万元的罚款；暂扣安全生产许可证30日。</w:t>
            </w:r>
          </w:p>
        </w:tc>
      </w:tr>
      <w:tr w14:paraId="296AC5B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28" w:hRule="atLeast"/>
          <w:jc w:val="center"/>
        </w:trPr>
        <w:tc>
          <w:tcPr>
            <w:tcW w:w="443" w:type="dxa"/>
            <w:gridSpan w:val="2"/>
            <w:vMerge w:val="continue"/>
            <w:tcBorders>
              <w:tl2br w:val="nil"/>
              <w:tr2bl w:val="nil"/>
            </w:tcBorders>
            <w:vAlign w:val="center"/>
          </w:tcPr>
          <w:p w14:paraId="33978A0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color w:val="auto"/>
                <w:kern w:val="0"/>
                <w:sz w:val="13"/>
                <w:szCs w:val="13"/>
                <w:highlight w:val="none"/>
              </w:rPr>
            </w:pPr>
          </w:p>
        </w:tc>
        <w:tc>
          <w:tcPr>
            <w:tcW w:w="1550" w:type="dxa"/>
            <w:vMerge w:val="continue"/>
            <w:tcBorders>
              <w:tl2br w:val="nil"/>
              <w:tr2bl w:val="nil"/>
            </w:tcBorders>
            <w:vAlign w:val="center"/>
          </w:tcPr>
          <w:p w14:paraId="7E07E1B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tcPr>
          <w:p w14:paraId="0FCDCB5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vMerge w:val="continue"/>
            <w:tcBorders>
              <w:tl2br w:val="nil"/>
              <w:tr2bl w:val="nil"/>
            </w:tcBorders>
            <w:vAlign w:val="center"/>
          </w:tcPr>
          <w:p w14:paraId="67ECE95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3437" w:type="dxa"/>
            <w:gridSpan w:val="2"/>
            <w:tcBorders>
              <w:tl2br w:val="nil"/>
              <w:tr2bl w:val="nil"/>
            </w:tcBorders>
            <w:vAlign w:val="center"/>
          </w:tcPr>
          <w:p w14:paraId="41F7C11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造成重大安全事故的</w:t>
            </w:r>
            <w:r>
              <w:rPr>
                <w:rFonts w:hint="eastAsia" w:ascii="仿宋_GB2312" w:hAnsi="宋体" w:eastAsia="仿宋_GB2312"/>
                <w:color w:val="auto"/>
                <w:kern w:val="0"/>
                <w:sz w:val="13"/>
                <w:szCs w:val="13"/>
                <w:highlight w:val="none"/>
                <w:lang w:val="en-US" w:eastAsia="zh-CN"/>
              </w:rPr>
              <w:t>。</w:t>
            </w:r>
          </w:p>
        </w:tc>
        <w:tc>
          <w:tcPr>
            <w:tcW w:w="3058" w:type="dxa"/>
            <w:tcBorders>
              <w:tl2br w:val="nil"/>
              <w:tr2bl w:val="nil"/>
            </w:tcBorders>
            <w:vAlign w:val="center"/>
          </w:tcPr>
          <w:p w14:paraId="6C87BA2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处30万元的罚款；降低资质等级。</w:t>
            </w:r>
          </w:p>
        </w:tc>
      </w:tr>
      <w:tr w14:paraId="0BA7EC1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65" w:hRule="atLeast"/>
          <w:jc w:val="center"/>
        </w:trPr>
        <w:tc>
          <w:tcPr>
            <w:tcW w:w="443" w:type="dxa"/>
            <w:gridSpan w:val="2"/>
            <w:vMerge w:val="continue"/>
            <w:tcBorders>
              <w:tl2br w:val="nil"/>
              <w:tr2bl w:val="nil"/>
            </w:tcBorders>
            <w:vAlign w:val="center"/>
          </w:tcPr>
          <w:p w14:paraId="5C95B4F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color w:val="auto"/>
                <w:kern w:val="0"/>
                <w:sz w:val="13"/>
                <w:szCs w:val="13"/>
                <w:highlight w:val="none"/>
              </w:rPr>
            </w:pPr>
          </w:p>
        </w:tc>
        <w:tc>
          <w:tcPr>
            <w:tcW w:w="1550" w:type="dxa"/>
            <w:vMerge w:val="continue"/>
            <w:tcBorders>
              <w:tl2br w:val="nil"/>
              <w:tr2bl w:val="nil"/>
            </w:tcBorders>
            <w:vAlign w:val="center"/>
          </w:tcPr>
          <w:p w14:paraId="2AC9EF6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tcPr>
          <w:p w14:paraId="6945FF5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vMerge w:val="continue"/>
            <w:tcBorders>
              <w:tl2br w:val="nil"/>
              <w:tr2bl w:val="nil"/>
            </w:tcBorders>
            <w:vAlign w:val="center"/>
          </w:tcPr>
          <w:p w14:paraId="034F840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3437" w:type="dxa"/>
            <w:gridSpan w:val="2"/>
            <w:tcBorders>
              <w:tl2br w:val="nil"/>
              <w:tr2bl w:val="nil"/>
            </w:tcBorders>
            <w:vAlign w:val="center"/>
          </w:tcPr>
          <w:p w14:paraId="70A18A6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造成特别重大安全事故的</w:t>
            </w:r>
            <w:r>
              <w:rPr>
                <w:rFonts w:hint="eastAsia" w:ascii="仿宋_GB2312" w:hAnsi="宋体" w:eastAsia="仿宋_GB2312"/>
                <w:color w:val="auto"/>
                <w:kern w:val="0"/>
                <w:sz w:val="13"/>
                <w:szCs w:val="13"/>
                <w:highlight w:val="none"/>
                <w:lang w:eastAsia="zh-CN"/>
              </w:rPr>
              <w:t>；</w:t>
            </w:r>
            <w:r>
              <w:rPr>
                <w:rFonts w:hint="eastAsia" w:ascii="仿宋_GB2312" w:hAnsi="宋体" w:eastAsia="仿宋_GB2312"/>
                <w:color w:val="auto"/>
                <w:kern w:val="0"/>
                <w:sz w:val="13"/>
                <w:szCs w:val="13"/>
                <w:highlight w:val="none"/>
                <w:lang w:val="en-US" w:eastAsia="zh-CN"/>
              </w:rPr>
              <w:t>或造成特别严重社会影响。</w:t>
            </w:r>
          </w:p>
        </w:tc>
        <w:tc>
          <w:tcPr>
            <w:tcW w:w="3058" w:type="dxa"/>
            <w:tcBorders>
              <w:tl2br w:val="nil"/>
              <w:tr2bl w:val="nil"/>
            </w:tcBorders>
            <w:vAlign w:val="center"/>
          </w:tcPr>
          <w:p w14:paraId="177C76BC">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处30万元的罚款；吊销资质证书。</w:t>
            </w:r>
          </w:p>
        </w:tc>
      </w:tr>
      <w:tr w14:paraId="72892D5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93" w:hRule="atLeast"/>
          <w:jc w:val="center"/>
        </w:trPr>
        <w:tc>
          <w:tcPr>
            <w:tcW w:w="443" w:type="dxa"/>
            <w:gridSpan w:val="2"/>
            <w:vMerge w:val="restart"/>
            <w:tcBorders>
              <w:tl2br w:val="nil"/>
              <w:tr2bl w:val="nil"/>
            </w:tcBorders>
            <w:vAlign w:val="center"/>
          </w:tcPr>
          <w:p w14:paraId="6D0F7175">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Times New Roman"/>
                <w:color w:val="auto"/>
                <w:kern w:val="0"/>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139</w:t>
            </w:r>
          </w:p>
        </w:tc>
        <w:tc>
          <w:tcPr>
            <w:tcW w:w="1550" w:type="dxa"/>
            <w:vMerge w:val="restart"/>
            <w:tcBorders>
              <w:tl2br w:val="nil"/>
              <w:tr2bl w:val="nil"/>
            </w:tcBorders>
            <w:vAlign w:val="center"/>
          </w:tcPr>
          <w:p w14:paraId="3B03A15B">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施工单位的主要负责人、项目负责人未履行安全生产管理职责，责令限期改正逾期未改正的</w:t>
            </w:r>
          </w:p>
        </w:tc>
        <w:tc>
          <w:tcPr>
            <w:tcW w:w="4820" w:type="dxa"/>
            <w:vMerge w:val="restart"/>
            <w:tcBorders>
              <w:tl2br w:val="nil"/>
              <w:tr2bl w:val="nil"/>
            </w:tcBorders>
            <w:vAlign w:val="center"/>
          </w:tcPr>
          <w:p w14:paraId="04111DF8">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《建设工程安全生产管理条例》</w:t>
            </w:r>
          </w:p>
          <w:p w14:paraId="57F8D1E7">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第六十六条第</w:t>
            </w:r>
            <w:r>
              <w:rPr>
                <w:rFonts w:hint="eastAsia" w:ascii="仿宋_GB2312" w:hAnsi="宋体" w:eastAsia="仿宋_GB2312"/>
                <w:color w:val="auto"/>
                <w:kern w:val="0"/>
                <w:sz w:val="13"/>
                <w:szCs w:val="13"/>
                <w:highlight w:val="none"/>
                <w:lang w:val="en-US" w:eastAsia="zh-CN"/>
              </w:rPr>
              <w:t>一、二</w:t>
            </w:r>
            <w:r>
              <w:rPr>
                <w:rFonts w:hint="eastAsia" w:ascii="仿宋_GB2312" w:hAnsi="宋体" w:eastAsia="仿宋_GB2312"/>
                <w:color w:val="auto"/>
                <w:kern w:val="0"/>
                <w:sz w:val="13"/>
                <w:szCs w:val="13"/>
                <w:highlight w:val="none"/>
              </w:rPr>
              <w:t>款违反本条例的规定，施工单位的主要负责人、项目负责人未履行安全生产管理职责的，责令限期改正；逾期未改正的，责令施工单位停业整顿；造成重大安全事故、重大伤亡事故或者其他严重后果，构成犯罪的，依照刑法有关规定追究刑事责任。</w:t>
            </w:r>
          </w:p>
          <w:p w14:paraId="6D07EBB7">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作业人员不服管理、违反规章制度和操作规程冒险作业造成重大伤亡事故或者其他严重后果，构成犯罪的，依照刑法有关规定追究刑事责任。施工单位的主要负责人、项目负责人有前款违法行为，尚不够刑事处罚的，处2万元以上20万元以下的罚款或者按照管理权限给予撤职处分；自刑罚执行完毕或者受处分之日起，5年内不得担任任何施工单位的主要负责人、项目负责人。</w:t>
            </w:r>
          </w:p>
        </w:tc>
        <w:tc>
          <w:tcPr>
            <w:tcW w:w="823" w:type="dxa"/>
            <w:tcBorders>
              <w:tl2br w:val="nil"/>
              <w:tr2bl w:val="nil"/>
            </w:tcBorders>
            <w:vAlign w:val="center"/>
          </w:tcPr>
          <w:p w14:paraId="4831BA9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vAlign w:val="center"/>
          </w:tcPr>
          <w:p w14:paraId="628C075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尚未造成危害后果。</w:t>
            </w:r>
          </w:p>
        </w:tc>
        <w:tc>
          <w:tcPr>
            <w:tcW w:w="3058" w:type="dxa"/>
            <w:tcBorders>
              <w:tl2br w:val="nil"/>
              <w:tr2bl w:val="nil"/>
            </w:tcBorders>
            <w:vAlign w:val="center"/>
          </w:tcPr>
          <w:p w14:paraId="4F7CA04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责令停业整顿，直至改正违法行为；对施工单位的主要负责人、项目负责人处2万元以上6万元以下的罚款。</w:t>
            </w:r>
          </w:p>
        </w:tc>
      </w:tr>
      <w:tr w14:paraId="52FD741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87" w:hRule="atLeast"/>
          <w:jc w:val="center"/>
        </w:trPr>
        <w:tc>
          <w:tcPr>
            <w:tcW w:w="443" w:type="dxa"/>
            <w:gridSpan w:val="2"/>
            <w:vMerge w:val="continue"/>
            <w:tcBorders>
              <w:tl2br w:val="nil"/>
              <w:tr2bl w:val="nil"/>
            </w:tcBorders>
            <w:vAlign w:val="center"/>
          </w:tcPr>
          <w:p w14:paraId="2340F8A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color w:val="auto"/>
                <w:kern w:val="0"/>
                <w:sz w:val="13"/>
                <w:szCs w:val="13"/>
                <w:highlight w:val="none"/>
              </w:rPr>
            </w:pPr>
          </w:p>
        </w:tc>
        <w:tc>
          <w:tcPr>
            <w:tcW w:w="1550" w:type="dxa"/>
            <w:vMerge w:val="continue"/>
            <w:tcBorders>
              <w:tl2br w:val="nil"/>
              <w:tr2bl w:val="nil"/>
            </w:tcBorders>
            <w:vAlign w:val="center"/>
          </w:tcPr>
          <w:p w14:paraId="293885F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vAlign w:val="center"/>
          </w:tcPr>
          <w:p w14:paraId="623A9B3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tcBorders>
              <w:tl2br w:val="nil"/>
              <w:tr2bl w:val="nil"/>
            </w:tcBorders>
            <w:vAlign w:val="center"/>
          </w:tcPr>
          <w:p w14:paraId="3845A2A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一般情节</w:t>
            </w:r>
          </w:p>
        </w:tc>
        <w:tc>
          <w:tcPr>
            <w:tcW w:w="3437" w:type="dxa"/>
            <w:gridSpan w:val="2"/>
            <w:tcBorders>
              <w:tl2br w:val="nil"/>
              <w:tr2bl w:val="nil"/>
            </w:tcBorders>
            <w:vAlign w:val="center"/>
          </w:tcPr>
          <w:p w14:paraId="53BED7E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造成一般危害后果。</w:t>
            </w:r>
          </w:p>
        </w:tc>
        <w:tc>
          <w:tcPr>
            <w:tcW w:w="3058" w:type="dxa"/>
            <w:tcBorders>
              <w:tl2br w:val="nil"/>
              <w:tr2bl w:val="nil"/>
            </w:tcBorders>
            <w:vAlign w:val="center"/>
          </w:tcPr>
          <w:p w14:paraId="40194B7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责令停业整顿，直至改正违法行为；施工单位的主要负责人、项目负责人处6万元以上15万元以下的罚款。</w:t>
            </w:r>
          </w:p>
        </w:tc>
      </w:tr>
      <w:tr w14:paraId="6C4666C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94" w:hRule="atLeast"/>
          <w:jc w:val="center"/>
        </w:trPr>
        <w:tc>
          <w:tcPr>
            <w:tcW w:w="443" w:type="dxa"/>
            <w:gridSpan w:val="2"/>
            <w:vMerge w:val="continue"/>
            <w:tcBorders>
              <w:tl2br w:val="nil"/>
              <w:tr2bl w:val="nil"/>
            </w:tcBorders>
            <w:vAlign w:val="center"/>
          </w:tcPr>
          <w:p w14:paraId="4AD476C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color w:val="auto"/>
                <w:kern w:val="0"/>
                <w:sz w:val="13"/>
                <w:szCs w:val="13"/>
                <w:highlight w:val="none"/>
              </w:rPr>
            </w:pPr>
          </w:p>
        </w:tc>
        <w:tc>
          <w:tcPr>
            <w:tcW w:w="1550" w:type="dxa"/>
            <w:vMerge w:val="continue"/>
            <w:tcBorders>
              <w:tl2br w:val="nil"/>
              <w:tr2bl w:val="nil"/>
            </w:tcBorders>
            <w:vAlign w:val="center"/>
          </w:tcPr>
          <w:p w14:paraId="46D91D5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vAlign w:val="center"/>
          </w:tcPr>
          <w:p w14:paraId="7F8F74B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tcBorders>
              <w:tl2br w:val="nil"/>
              <w:tr2bl w:val="nil"/>
            </w:tcBorders>
            <w:vAlign w:val="center"/>
          </w:tcPr>
          <w:p w14:paraId="42168F4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olor w:val="auto"/>
                <w:kern w:val="0"/>
                <w:sz w:val="13"/>
                <w:szCs w:val="13"/>
                <w:highlight w:val="none"/>
              </w:rPr>
            </w:pPr>
          </w:p>
          <w:p w14:paraId="0800510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从重情节</w:t>
            </w:r>
          </w:p>
          <w:p w14:paraId="68EADA5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olor w:val="auto"/>
                <w:kern w:val="0"/>
                <w:sz w:val="13"/>
                <w:szCs w:val="13"/>
                <w:highlight w:val="none"/>
              </w:rPr>
            </w:pPr>
          </w:p>
        </w:tc>
        <w:tc>
          <w:tcPr>
            <w:tcW w:w="3437" w:type="dxa"/>
            <w:gridSpan w:val="2"/>
            <w:tcBorders>
              <w:tl2br w:val="nil"/>
              <w:tr2bl w:val="nil"/>
            </w:tcBorders>
            <w:vAlign w:val="center"/>
          </w:tcPr>
          <w:p w14:paraId="04C39CA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造成严重危害后果。</w:t>
            </w:r>
          </w:p>
        </w:tc>
        <w:tc>
          <w:tcPr>
            <w:tcW w:w="3058" w:type="dxa"/>
            <w:tcBorders>
              <w:tl2br w:val="nil"/>
              <w:tr2bl w:val="nil"/>
            </w:tcBorders>
            <w:vAlign w:val="center"/>
          </w:tcPr>
          <w:p w14:paraId="252938B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停业整顿，直至改正违法行为；施工单位的主要负责人、项目负责人处15万元以上20万元以下的罚款，构成犯罪的，施工单位的主要负责人、项目负责人自刑罚执行完毕或者受处分之日起，5年内不得担任任何施工单位的主要负责人、项目负责人。</w:t>
            </w:r>
          </w:p>
        </w:tc>
      </w:tr>
      <w:tr w14:paraId="3CD851C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0" w:hRule="atLeast"/>
          <w:jc w:val="center"/>
        </w:trPr>
        <w:tc>
          <w:tcPr>
            <w:tcW w:w="443" w:type="dxa"/>
            <w:gridSpan w:val="2"/>
            <w:vMerge w:val="restart"/>
            <w:tcBorders>
              <w:tl2br w:val="nil"/>
              <w:tr2bl w:val="nil"/>
            </w:tcBorders>
            <w:vAlign w:val="center"/>
          </w:tcPr>
          <w:p w14:paraId="70FB2308">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Times New Roman"/>
                <w:color w:val="auto"/>
                <w:kern w:val="0"/>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140</w:t>
            </w:r>
          </w:p>
        </w:tc>
        <w:tc>
          <w:tcPr>
            <w:tcW w:w="1550" w:type="dxa"/>
            <w:vMerge w:val="restart"/>
            <w:tcBorders>
              <w:tl2br w:val="nil"/>
              <w:tr2bl w:val="nil"/>
            </w:tcBorders>
            <w:vAlign w:val="center"/>
          </w:tcPr>
          <w:p w14:paraId="731B8CE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p w14:paraId="26A236D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施工单位取得资质证书后，降低安全生产条件且经整改仍未达到与其资质等级相适应的安全生产条件的</w:t>
            </w:r>
          </w:p>
        </w:tc>
        <w:tc>
          <w:tcPr>
            <w:tcW w:w="4820" w:type="dxa"/>
            <w:vMerge w:val="restart"/>
            <w:tcBorders>
              <w:tl2br w:val="nil"/>
              <w:tr2bl w:val="nil"/>
            </w:tcBorders>
            <w:vAlign w:val="center"/>
          </w:tcPr>
          <w:p w14:paraId="690A2B39">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p w14:paraId="31286A35">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《建设工程安全生产管理条例》</w:t>
            </w:r>
          </w:p>
          <w:p w14:paraId="0E56DB9E">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第六十七条施工单位取得资质证书后</w:t>
            </w:r>
            <w:r>
              <w:rPr>
                <w:rFonts w:hint="eastAsia" w:ascii="宋体" w:hAnsi="宋体"/>
                <w:color w:val="auto"/>
                <w:sz w:val="15"/>
                <w:szCs w:val="15"/>
                <w:highlight w:val="none"/>
              </w:rPr>
              <w:t>别重</w:t>
            </w:r>
            <w:r>
              <w:rPr>
                <w:rFonts w:hint="eastAsia" w:ascii="仿宋_GB2312" w:hAnsi="宋体" w:eastAsia="仿宋_GB2312"/>
                <w:color w:val="auto"/>
                <w:kern w:val="0"/>
                <w:sz w:val="13"/>
                <w:szCs w:val="13"/>
                <w:highlight w:val="none"/>
              </w:rPr>
              <w:t>全生产条件的，责令限期改正；经整改仍未达到与其资质等级相适应的安全生产条件的，责令停业整顿，降低其资质等级直至吊销资质证书。</w:t>
            </w:r>
          </w:p>
        </w:tc>
        <w:tc>
          <w:tcPr>
            <w:tcW w:w="823" w:type="dxa"/>
            <w:tcBorders>
              <w:tl2br w:val="nil"/>
              <w:tr2bl w:val="nil"/>
            </w:tcBorders>
            <w:vAlign w:val="center"/>
          </w:tcPr>
          <w:p w14:paraId="54B4B67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vAlign w:val="center"/>
          </w:tcPr>
          <w:p w14:paraId="220DAB0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经整改未达到与其资质等级相适应的安全生产条件，但未造成安全生产事故的。</w:t>
            </w:r>
          </w:p>
        </w:tc>
        <w:tc>
          <w:tcPr>
            <w:tcW w:w="3058" w:type="dxa"/>
            <w:tcBorders>
              <w:tl2br w:val="nil"/>
              <w:tr2bl w:val="nil"/>
            </w:tcBorders>
            <w:vAlign w:val="center"/>
          </w:tcPr>
          <w:p w14:paraId="6B7D112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责令停业整顿，直至符合安全生产条件。</w:t>
            </w:r>
          </w:p>
        </w:tc>
      </w:tr>
      <w:tr w14:paraId="5D40DCF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90" w:hRule="atLeast"/>
          <w:jc w:val="center"/>
        </w:trPr>
        <w:tc>
          <w:tcPr>
            <w:tcW w:w="443" w:type="dxa"/>
            <w:gridSpan w:val="2"/>
            <w:vMerge w:val="continue"/>
            <w:tcBorders>
              <w:tl2br w:val="nil"/>
              <w:tr2bl w:val="nil"/>
            </w:tcBorders>
            <w:vAlign w:val="center"/>
          </w:tcPr>
          <w:p w14:paraId="71CF297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color w:val="auto"/>
                <w:kern w:val="0"/>
                <w:sz w:val="13"/>
                <w:szCs w:val="13"/>
                <w:highlight w:val="none"/>
              </w:rPr>
            </w:pPr>
          </w:p>
        </w:tc>
        <w:tc>
          <w:tcPr>
            <w:tcW w:w="1550" w:type="dxa"/>
            <w:vMerge w:val="continue"/>
            <w:tcBorders>
              <w:tl2br w:val="nil"/>
              <w:tr2bl w:val="nil"/>
            </w:tcBorders>
            <w:vAlign w:val="center"/>
          </w:tcPr>
          <w:p w14:paraId="439FA8D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tcPr>
          <w:p w14:paraId="6BF66C8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tcBorders>
              <w:tl2br w:val="nil"/>
              <w:tr2bl w:val="nil"/>
            </w:tcBorders>
            <w:vAlign w:val="center"/>
          </w:tcPr>
          <w:p w14:paraId="23ED987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一般情节</w:t>
            </w:r>
          </w:p>
        </w:tc>
        <w:tc>
          <w:tcPr>
            <w:tcW w:w="3437" w:type="dxa"/>
            <w:gridSpan w:val="2"/>
            <w:tcBorders>
              <w:tl2br w:val="nil"/>
              <w:tr2bl w:val="nil"/>
            </w:tcBorders>
            <w:vAlign w:val="center"/>
          </w:tcPr>
          <w:p w14:paraId="690FB25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不具有从轻、</w:t>
            </w:r>
            <w:r>
              <w:rPr>
                <w:rFonts w:hint="eastAsia" w:ascii="仿宋_GB2312" w:hAnsi="宋体" w:eastAsia="仿宋_GB2312"/>
                <w:color w:val="auto"/>
                <w:kern w:val="0"/>
                <w:sz w:val="13"/>
                <w:szCs w:val="13"/>
                <w:highlight w:val="none"/>
                <w:lang w:eastAsia="zh-CN"/>
              </w:rPr>
              <w:t>从重情节</w:t>
            </w:r>
            <w:r>
              <w:rPr>
                <w:rFonts w:hint="eastAsia" w:ascii="仿宋_GB2312" w:hAnsi="宋体" w:eastAsia="仿宋_GB2312"/>
                <w:color w:val="auto"/>
                <w:kern w:val="0"/>
                <w:sz w:val="13"/>
                <w:szCs w:val="13"/>
                <w:highlight w:val="none"/>
              </w:rPr>
              <w:t>的。</w:t>
            </w:r>
          </w:p>
        </w:tc>
        <w:tc>
          <w:tcPr>
            <w:tcW w:w="3058" w:type="dxa"/>
            <w:tcBorders>
              <w:tl2br w:val="nil"/>
              <w:tr2bl w:val="nil"/>
            </w:tcBorders>
            <w:vAlign w:val="center"/>
          </w:tcPr>
          <w:p w14:paraId="2190F0A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责令停业整顿</w:t>
            </w:r>
            <w:r>
              <w:rPr>
                <w:rFonts w:hint="eastAsia" w:ascii="仿宋_GB2312" w:hAnsi="宋体" w:eastAsia="仿宋_GB2312"/>
                <w:color w:val="auto"/>
                <w:kern w:val="0"/>
                <w:sz w:val="13"/>
                <w:szCs w:val="13"/>
                <w:highlight w:val="none"/>
                <w:lang w:eastAsia="zh-CN"/>
              </w:rPr>
              <w:t>30日-</w:t>
            </w:r>
            <w:r>
              <w:rPr>
                <w:rFonts w:hint="eastAsia" w:ascii="仿宋_GB2312" w:hAnsi="宋体" w:eastAsia="仿宋_GB2312"/>
                <w:color w:val="auto"/>
                <w:kern w:val="0"/>
                <w:sz w:val="13"/>
                <w:szCs w:val="13"/>
                <w:highlight w:val="none"/>
              </w:rPr>
              <w:t>60日。</w:t>
            </w:r>
          </w:p>
        </w:tc>
      </w:tr>
      <w:tr w14:paraId="6B82EA8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8" w:hRule="atLeast"/>
          <w:jc w:val="center"/>
        </w:trPr>
        <w:tc>
          <w:tcPr>
            <w:tcW w:w="443" w:type="dxa"/>
            <w:gridSpan w:val="2"/>
            <w:vMerge w:val="continue"/>
            <w:tcBorders>
              <w:tl2br w:val="nil"/>
              <w:tr2bl w:val="nil"/>
            </w:tcBorders>
            <w:vAlign w:val="center"/>
          </w:tcPr>
          <w:p w14:paraId="24D9940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color w:val="auto"/>
                <w:kern w:val="0"/>
                <w:sz w:val="13"/>
                <w:szCs w:val="13"/>
                <w:highlight w:val="none"/>
              </w:rPr>
            </w:pPr>
          </w:p>
        </w:tc>
        <w:tc>
          <w:tcPr>
            <w:tcW w:w="1550" w:type="dxa"/>
            <w:vMerge w:val="continue"/>
            <w:tcBorders>
              <w:tl2br w:val="nil"/>
              <w:tr2bl w:val="nil"/>
            </w:tcBorders>
            <w:vAlign w:val="center"/>
          </w:tcPr>
          <w:p w14:paraId="2104CDD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vAlign w:val="center"/>
          </w:tcPr>
          <w:p w14:paraId="0D50F5D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vMerge w:val="restart"/>
            <w:tcBorders>
              <w:tl2br w:val="nil"/>
              <w:tr2bl w:val="nil"/>
            </w:tcBorders>
            <w:vAlign w:val="center"/>
          </w:tcPr>
          <w:p w14:paraId="20C4B44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从重情节</w:t>
            </w:r>
          </w:p>
        </w:tc>
        <w:tc>
          <w:tcPr>
            <w:tcW w:w="3437" w:type="dxa"/>
            <w:gridSpan w:val="2"/>
            <w:tcBorders>
              <w:tl2br w:val="nil"/>
              <w:tr2bl w:val="nil"/>
            </w:tcBorders>
            <w:vAlign w:val="center"/>
          </w:tcPr>
          <w:p w14:paraId="36F4762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造成3人以上5人以下死亡；或者10人以上20人以下重伤；或者1000万元以上2000万元以下直接经济损失的。</w:t>
            </w:r>
          </w:p>
        </w:tc>
        <w:tc>
          <w:tcPr>
            <w:tcW w:w="3058" w:type="dxa"/>
            <w:tcBorders>
              <w:tl2br w:val="nil"/>
              <w:tr2bl w:val="nil"/>
            </w:tcBorders>
            <w:vAlign w:val="center"/>
          </w:tcPr>
          <w:p w14:paraId="07FA17E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责令停业整顿</w:t>
            </w:r>
            <w:r>
              <w:rPr>
                <w:rFonts w:hint="eastAsia" w:ascii="仿宋_GB2312" w:hAnsi="宋体" w:eastAsia="仿宋_GB2312"/>
                <w:color w:val="auto"/>
                <w:kern w:val="0"/>
                <w:sz w:val="13"/>
                <w:szCs w:val="13"/>
                <w:highlight w:val="none"/>
                <w:lang w:val="en-US" w:eastAsia="zh-CN"/>
              </w:rPr>
              <w:t>60日-</w:t>
            </w:r>
            <w:r>
              <w:rPr>
                <w:rFonts w:hint="eastAsia" w:ascii="仿宋_GB2312" w:hAnsi="宋体" w:eastAsia="仿宋_GB2312"/>
                <w:color w:val="auto"/>
                <w:kern w:val="0"/>
                <w:sz w:val="13"/>
                <w:szCs w:val="13"/>
                <w:highlight w:val="none"/>
              </w:rPr>
              <w:t>90日。</w:t>
            </w:r>
          </w:p>
        </w:tc>
      </w:tr>
      <w:tr w14:paraId="529A1EE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8" w:hRule="atLeast"/>
          <w:jc w:val="center"/>
        </w:trPr>
        <w:tc>
          <w:tcPr>
            <w:tcW w:w="443" w:type="dxa"/>
            <w:gridSpan w:val="2"/>
            <w:vMerge w:val="continue"/>
            <w:tcBorders>
              <w:tl2br w:val="nil"/>
              <w:tr2bl w:val="nil"/>
            </w:tcBorders>
            <w:vAlign w:val="center"/>
          </w:tcPr>
          <w:p w14:paraId="5F29BE9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color w:val="auto"/>
                <w:kern w:val="0"/>
                <w:sz w:val="13"/>
                <w:szCs w:val="13"/>
                <w:highlight w:val="none"/>
              </w:rPr>
            </w:pPr>
          </w:p>
        </w:tc>
        <w:tc>
          <w:tcPr>
            <w:tcW w:w="1550" w:type="dxa"/>
            <w:vMerge w:val="continue"/>
            <w:tcBorders>
              <w:tl2br w:val="nil"/>
              <w:tr2bl w:val="nil"/>
            </w:tcBorders>
            <w:vAlign w:val="center"/>
          </w:tcPr>
          <w:p w14:paraId="0794D91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vAlign w:val="center"/>
          </w:tcPr>
          <w:p w14:paraId="0AC69A2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vMerge w:val="continue"/>
            <w:tcBorders>
              <w:tl2br w:val="nil"/>
              <w:tr2bl w:val="nil"/>
            </w:tcBorders>
            <w:vAlign w:val="center"/>
          </w:tcPr>
          <w:p w14:paraId="64AB653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3437" w:type="dxa"/>
            <w:gridSpan w:val="2"/>
            <w:tcBorders>
              <w:tl2br w:val="nil"/>
              <w:tr2bl w:val="nil"/>
            </w:tcBorders>
            <w:vAlign w:val="center"/>
          </w:tcPr>
          <w:p w14:paraId="5CAED44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造成5人以上7人以下死亡；或者20人以上30人以下重伤；或者2000万元以上3000万元以下直接经济损失的。</w:t>
            </w:r>
          </w:p>
        </w:tc>
        <w:tc>
          <w:tcPr>
            <w:tcW w:w="3058" w:type="dxa"/>
            <w:tcBorders>
              <w:tl2br w:val="nil"/>
              <w:tr2bl w:val="nil"/>
            </w:tcBorders>
            <w:vAlign w:val="center"/>
          </w:tcPr>
          <w:p w14:paraId="47360D9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责令停业整顿</w:t>
            </w:r>
            <w:r>
              <w:rPr>
                <w:rFonts w:hint="eastAsia" w:ascii="仿宋_GB2312" w:hAnsi="宋体" w:eastAsia="仿宋_GB2312"/>
                <w:color w:val="auto"/>
                <w:kern w:val="0"/>
                <w:sz w:val="13"/>
                <w:szCs w:val="13"/>
                <w:highlight w:val="none"/>
                <w:lang w:eastAsia="zh-CN"/>
              </w:rPr>
              <w:t>90日-</w:t>
            </w:r>
            <w:r>
              <w:rPr>
                <w:rFonts w:hint="eastAsia" w:ascii="仿宋_GB2312" w:hAnsi="宋体" w:eastAsia="仿宋_GB2312"/>
                <w:color w:val="auto"/>
                <w:kern w:val="0"/>
                <w:sz w:val="13"/>
                <w:szCs w:val="13"/>
                <w:highlight w:val="none"/>
              </w:rPr>
              <w:t>120日。</w:t>
            </w:r>
          </w:p>
        </w:tc>
      </w:tr>
      <w:tr w14:paraId="7C69D2D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8" w:hRule="atLeast"/>
          <w:jc w:val="center"/>
        </w:trPr>
        <w:tc>
          <w:tcPr>
            <w:tcW w:w="443" w:type="dxa"/>
            <w:gridSpan w:val="2"/>
            <w:vMerge w:val="continue"/>
            <w:tcBorders>
              <w:tl2br w:val="nil"/>
              <w:tr2bl w:val="nil"/>
            </w:tcBorders>
            <w:vAlign w:val="center"/>
          </w:tcPr>
          <w:p w14:paraId="177115E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color w:val="auto"/>
                <w:kern w:val="0"/>
                <w:sz w:val="13"/>
                <w:szCs w:val="13"/>
                <w:highlight w:val="none"/>
              </w:rPr>
            </w:pPr>
          </w:p>
        </w:tc>
        <w:tc>
          <w:tcPr>
            <w:tcW w:w="1550" w:type="dxa"/>
            <w:vMerge w:val="continue"/>
            <w:tcBorders>
              <w:tl2br w:val="nil"/>
              <w:tr2bl w:val="nil"/>
            </w:tcBorders>
            <w:vAlign w:val="center"/>
          </w:tcPr>
          <w:p w14:paraId="0729FF1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vAlign w:val="center"/>
          </w:tcPr>
          <w:p w14:paraId="33EBD34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vMerge w:val="continue"/>
            <w:tcBorders>
              <w:tl2br w:val="nil"/>
              <w:tr2bl w:val="nil"/>
            </w:tcBorders>
            <w:vAlign w:val="center"/>
          </w:tcPr>
          <w:p w14:paraId="74A9F6C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3437" w:type="dxa"/>
            <w:gridSpan w:val="2"/>
            <w:tcBorders>
              <w:tl2br w:val="nil"/>
              <w:tr2bl w:val="nil"/>
            </w:tcBorders>
            <w:vAlign w:val="center"/>
          </w:tcPr>
          <w:p w14:paraId="624BA0E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造成7人以上10人以下死亡；或者30人以上50人以下重伤；或者3000万元以上5000万元以下直接经济损失的。</w:t>
            </w:r>
          </w:p>
        </w:tc>
        <w:tc>
          <w:tcPr>
            <w:tcW w:w="3058" w:type="dxa"/>
            <w:tcBorders>
              <w:tl2br w:val="nil"/>
              <w:tr2bl w:val="nil"/>
            </w:tcBorders>
            <w:vAlign w:val="center"/>
          </w:tcPr>
          <w:p w14:paraId="497F6FDE">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责令停业整顿</w:t>
            </w:r>
            <w:r>
              <w:rPr>
                <w:rFonts w:hint="eastAsia" w:ascii="仿宋_GB2312" w:hAnsi="宋体" w:eastAsia="仿宋_GB2312"/>
                <w:color w:val="auto"/>
                <w:kern w:val="0"/>
                <w:sz w:val="13"/>
                <w:szCs w:val="13"/>
                <w:highlight w:val="none"/>
                <w:lang w:eastAsia="zh-CN"/>
              </w:rPr>
              <w:t>120日-</w:t>
            </w:r>
            <w:r>
              <w:rPr>
                <w:rFonts w:hint="eastAsia" w:ascii="仿宋_GB2312" w:hAnsi="宋体" w:eastAsia="仿宋_GB2312"/>
                <w:color w:val="auto"/>
                <w:kern w:val="0"/>
                <w:sz w:val="13"/>
                <w:szCs w:val="13"/>
                <w:highlight w:val="none"/>
              </w:rPr>
              <w:t>180日。</w:t>
            </w:r>
          </w:p>
        </w:tc>
      </w:tr>
      <w:tr w14:paraId="0D21F6F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0" w:hRule="atLeast"/>
          <w:jc w:val="center"/>
        </w:trPr>
        <w:tc>
          <w:tcPr>
            <w:tcW w:w="443" w:type="dxa"/>
            <w:gridSpan w:val="2"/>
            <w:vMerge w:val="continue"/>
            <w:tcBorders>
              <w:tl2br w:val="nil"/>
              <w:tr2bl w:val="nil"/>
            </w:tcBorders>
            <w:vAlign w:val="center"/>
          </w:tcPr>
          <w:p w14:paraId="71392CC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color w:val="auto"/>
                <w:kern w:val="0"/>
                <w:sz w:val="13"/>
                <w:szCs w:val="13"/>
                <w:highlight w:val="none"/>
              </w:rPr>
            </w:pPr>
          </w:p>
        </w:tc>
        <w:tc>
          <w:tcPr>
            <w:tcW w:w="1550" w:type="dxa"/>
            <w:vMerge w:val="continue"/>
            <w:tcBorders>
              <w:tl2br w:val="nil"/>
              <w:tr2bl w:val="nil"/>
            </w:tcBorders>
            <w:vAlign w:val="center"/>
          </w:tcPr>
          <w:p w14:paraId="34587FB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vAlign w:val="center"/>
          </w:tcPr>
          <w:p w14:paraId="5D03D5F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vMerge w:val="continue"/>
            <w:tcBorders>
              <w:tl2br w:val="nil"/>
              <w:tr2bl w:val="nil"/>
            </w:tcBorders>
            <w:vAlign w:val="center"/>
          </w:tcPr>
          <w:p w14:paraId="4B8F75A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3437" w:type="dxa"/>
            <w:gridSpan w:val="2"/>
            <w:tcBorders>
              <w:tl2br w:val="nil"/>
              <w:tr2bl w:val="nil"/>
            </w:tcBorders>
            <w:vAlign w:val="center"/>
          </w:tcPr>
          <w:p w14:paraId="03931CD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造成重大安全事故的</w:t>
            </w:r>
            <w:r>
              <w:rPr>
                <w:rFonts w:hint="eastAsia" w:ascii="仿宋_GB2312" w:hAnsi="宋体" w:eastAsia="仿宋_GB2312"/>
                <w:color w:val="auto"/>
                <w:kern w:val="0"/>
                <w:sz w:val="13"/>
                <w:szCs w:val="13"/>
                <w:highlight w:val="none"/>
                <w:lang w:val="en-US" w:eastAsia="zh-CN"/>
              </w:rPr>
              <w:t>。</w:t>
            </w:r>
          </w:p>
        </w:tc>
        <w:tc>
          <w:tcPr>
            <w:tcW w:w="3058" w:type="dxa"/>
            <w:tcBorders>
              <w:tl2br w:val="nil"/>
              <w:tr2bl w:val="nil"/>
            </w:tcBorders>
            <w:vAlign w:val="center"/>
          </w:tcPr>
          <w:p w14:paraId="7EB9211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降低资质等级。</w:t>
            </w:r>
          </w:p>
        </w:tc>
      </w:tr>
      <w:tr w14:paraId="5D00910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0" w:hRule="atLeast"/>
          <w:jc w:val="center"/>
        </w:trPr>
        <w:tc>
          <w:tcPr>
            <w:tcW w:w="443" w:type="dxa"/>
            <w:gridSpan w:val="2"/>
            <w:vMerge w:val="continue"/>
            <w:tcBorders>
              <w:tl2br w:val="nil"/>
              <w:tr2bl w:val="nil"/>
            </w:tcBorders>
            <w:vAlign w:val="center"/>
          </w:tcPr>
          <w:p w14:paraId="1E23070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color w:val="auto"/>
                <w:kern w:val="0"/>
                <w:sz w:val="13"/>
                <w:szCs w:val="13"/>
                <w:highlight w:val="none"/>
              </w:rPr>
            </w:pPr>
          </w:p>
        </w:tc>
        <w:tc>
          <w:tcPr>
            <w:tcW w:w="1550" w:type="dxa"/>
            <w:vMerge w:val="continue"/>
            <w:tcBorders>
              <w:tl2br w:val="nil"/>
              <w:tr2bl w:val="nil"/>
            </w:tcBorders>
            <w:vAlign w:val="center"/>
          </w:tcPr>
          <w:p w14:paraId="37AEB10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vAlign w:val="center"/>
          </w:tcPr>
          <w:p w14:paraId="7DFAA74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vMerge w:val="continue"/>
            <w:tcBorders>
              <w:tl2br w:val="nil"/>
              <w:tr2bl w:val="nil"/>
            </w:tcBorders>
            <w:vAlign w:val="center"/>
          </w:tcPr>
          <w:p w14:paraId="33CA6B9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3437" w:type="dxa"/>
            <w:gridSpan w:val="2"/>
            <w:tcBorders>
              <w:tl2br w:val="nil"/>
              <w:tr2bl w:val="nil"/>
            </w:tcBorders>
            <w:vAlign w:val="center"/>
          </w:tcPr>
          <w:p w14:paraId="44D0169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造成特别重大安全事故的</w:t>
            </w:r>
            <w:r>
              <w:rPr>
                <w:rFonts w:hint="eastAsia" w:ascii="仿宋_GB2312" w:hAnsi="宋体" w:eastAsia="仿宋_GB2312"/>
                <w:color w:val="auto"/>
                <w:kern w:val="0"/>
                <w:sz w:val="13"/>
                <w:szCs w:val="13"/>
                <w:highlight w:val="none"/>
                <w:lang w:eastAsia="zh-CN"/>
              </w:rPr>
              <w:t>；</w:t>
            </w:r>
            <w:r>
              <w:rPr>
                <w:rFonts w:hint="eastAsia" w:ascii="仿宋_GB2312" w:hAnsi="宋体" w:eastAsia="仿宋_GB2312"/>
                <w:color w:val="auto"/>
                <w:kern w:val="0"/>
                <w:sz w:val="13"/>
                <w:szCs w:val="13"/>
                <w:highlight w:val="none"/>
                <w:lang w:val="en-US" w:eastAsia="zh-CN"/>
              </w:rPr>
              <w:t>或造成特别严重社会影响。</w:t>
            </w:r>
          </w:p>
        </w:tc>
        <w:tc>
          <w:tcPr>
            <w:tcW w:w="3058" w:type="dxa"/>
            <w:tcBorders>
              <w:tl2br w:val="nil"/>
              <w:tr2bl w:val="nil"/>
            </w:tcBorders>
            <w:vAlign w:val="center"/>
          </w:tcPr>
          <w:p w14:paraId="46DD1A67">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吊销资质证书。</w:t>
            </w:r>
          </w:p>
        </w:tc>
      </w:tr>
      <w:tr w14:paraId="4795633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4" w:hRule="atLeast"/>
          <w:jc w:val="center"/>
        </w:trPr>
        <w:tc>
          <w:tcPr>
            <w:tcW w:w="443" w:type="dxa"/>
            <w:gridSpan w:val="2"/>
            <w:vMerge w:val="restart"/>
            <w:tcBorders>
              <w:tl2br w:val="nil"/>
              <w:tr2bl w:val="nil"/>
            </w:tcBorders>
            <w:vAlign w:val="center"/>
          </w:tcPr>
          <w:p w14:paraId="1A9EE1EA">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仿宋_GB2312"/>
                <w:i w:val="0"/>
                <w:color w:val="auto"/>
                <w:kern w:val="0"/>
                <w:sz w:val="13"/>
                <w:szCs w:val="13"/>
                <w:highlight w:val="none"/>
                <w:u w:val="none"/>
                <w:lang w:val="en-US" w:eastAsia="zh-CN" w:bidi="ar"/>
              </w:rPr>
            </w:pPr>
            <w:r>
              <w:rPr>
                <w:rFonts w:hint="eastAsia" w:ascii="仿宋_GB2312" w:hAnsi="宋体" w:eastAsia="仿宋_GB2312" w:cs="仿宋_GB2312"/>
                <w:i w:val="0"/>
                <w:color w:val="auto"/>
                <w:kern w:val="0"/>
                <w:sz w:val="13"/>
                <w:szCs w:val="13"/>
                <w:highlight w:val="none"/>
                <w:u w:val="none"/>
                <w:lang w:val="en-US" w:eastAsia="zh-CN" w:bidi="ar"/>
              </w:rPr>
              <w:t>141</w:t>
            </w:r>
          </w:p>
        </w:tc>
        <w:tc>
          <w:tcPr>
            <w:tcW w:w="1550" w:type="dxa"/>
            <w:vMerge w:val="restart"/>
            <w:tcBorders>
              <w:tl2br w:val="nil"/>
              <w:tr2bl w:val="nil"/>
            </w:tcBorders>
            <w:vAlign w:val="center"/>
          </w:tcPr>
          <w:p w14:paraId="44D7D93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center"/>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建设单位明示或者暗示勘察、设计、施工等单位和从业人员违反抗震设防强制性标准，降低工程抗震性能的</w:t>
            </w:r>
          </w:p>
        </w:tc>
        <w:tc>
          <w:tcPr>
            <w:tcW w:w="4820" w:type="dxa"/>
            <w:vMerge w:val="restart"/>
            <w:tcBorders>
              <w:tl2br w:val="nil"/>
              <w:tr2bl w:val="nil"/>
            </w:tcBorders>
            <w:vAlign w:val="center"/>
          </w:tcPr>
          <w:p w14:paraId="7E90FD5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center"/>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建设工程抗震管理条例》第四十条第一款违反本条例规定，建设单位明示或者暗示勘察、设计、施工等单位和从业人员违反抗震设防强制性标准，降低工程抗震性能的，责令改正，处20万元以上50万元以下的罚款；情节严重的，处50万元以上500万元以下的罚款；造成损失的，依法承担赔偿责任。</w:t>
            </w:r>
          </w:p>
          <w:p w14:paraId="6ED27AF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center"/>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第四十七条依照本条例规定，给予单位罚款处罚的，对其直接负责的主管人员和其他直接责任人员处单位罚款数额5%以上10%以下的罚款。</w:t>
            </w:r>
          </w:p>
        </w:tc>
        <w:tc>
          <w:tcPr>
            <w:tcW w:w="823" w:type="dxa"/>
            <w:tcBorders>
              <w:tl2br w:val="nil"/>
              <w:tr2bl w:val="nil"/>
            </w:tcBorders>
            <w:vAlign w:val="center"/>
          </w:tcPr>
          <w:p w14:paraId="6D469A9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rPr>
              <w:t>从轻情节</w:t>
            </w:r>
          </w:p>
        </w:tc>
        <w:tc>
          <w:tcPr>
            <w:tcW w:w="3437" w:type="dxa"/>
            <w:gridSpan w:val="2"/>
            <w:tcBorders>
              <w:tl2br w:val="nil"/>
              <w:tr2bl w:val="nil"/>
            </w:tcBorders>
            <w:vAlign w:val="top"/>
          </w:tcPr>
          <w:p w14:paraId="5266CE0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初次违法，危害后果轻微，主动消除或减轻违法行为危害后果的。</w:t>
            </w:r>
          </w:p>
        </w:tc>
        <w:tc>
          <w:tcPr>
            <w:tcW w:w="3058" w:type="dxa"/>
            <w:tcBorders>
              <w:tl2br w:val="nil"/>
              <w:tr2bl w:val="nil"/>
            </w:tcBorders>
            <w:vAlign w:val="top"/>
          </w:tcPr>
          <w:p w14:paraId="0DD374F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责令改正，处20万元以上25万元以下罚款；对其直接负责的主管人员和其他直接责任人员处单位罚款数额5%以上6.5%以下的罚款</w:t>
            </w:r>
          </w:p>
        </w:tc>
      </w:tr>
      <w:tr w14:paraId="57D2FA1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4" w:hRule="atLeast"/>
          <w:jc w:val="center"/>
        </w:trPr>
        <w:tc>
          <w:tcPr>
            <w:tcW w:w="443" w:type="dxa"/>
            <w:gridSpan w:val="2"/>
            <w:vMerge w:val="continue"/>
            <w:tcBorders>
              <w:tl2br w:val="nil"/>
              <w:tr2bl w:val="nil"/>
            </w:tcBorders>
            <w:vAlign w:val="center"/>
          </w:tcPr>
          <w:p w14:paraId="1D7CE074">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仿宋_GB2312"/>
                <w:i w:val="0"/>
                <w:color w:val="auto"/>
                <w:kern w:val="0"/>
                <w:sz w:val="13"/>
                <w:szCs w:val="13"/>
                <w:highlight w:val="none"/>
                <w:u w:val="none"/>
                <w:lang w:val="en-US" w:eastAsia="zh-CN" w:bidi="ar"/>
              </w:rPr>
            </w:pPr>
          </w:p>
        </w:tc>
        <w:tc>
          <w:tcPr>
            <w:tcW w:w="1550" w:type="dxa"/>
            <w:vMerge w:val="continue"/>
            <w:tcBorders>
              <w:tl2br w:val="nil"/>
              <w:tr2bl w:val="nil"/>
            </w:tcBorders>
            <w:vAlign w:val="top"/>
          </w:tcPr>
          <w:p w14:paraId="3AC6549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rPr>
            </w:pPr>
          </w:p>
        </w:tc>
        <w:tc>
          <w:tcPr>
            <w:tcW w:w="4820" w:type="dxa"/>
            <w:vMerge w:val="continue"/>
            <w:tcBorders>
              <w:tl2br w:val="nil"/>
              <w:tr2bl w:val="nil"/>
            </w:tcBorders>
            <w:vAlign w:val="top"/>
          </w:tcPr>
          <w:p w14:paraId="263C036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rPr>
            </w:pPr>
          </w:p>
        </w:tc>
        <w:tc>
          <w:tcPr>
            <w:tcW w:w="823" w:type="dxa"/>
            <w:vMerge w:val="restart"/>
            <w:tcBorders>
              <w:tl2br w:val="nil"/>
              <w:tr2bl w:val="nil"/>
            </w:tcBorders>
            <w:vAlign w:val="center"/>
          </w:tcPr>
          <w:p w14:paraId="1D12E65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rPr>
              <w:t>一般情节</w:t>
            </w:r>
          </w:p>
        </w:tc>
        <w:tc>
          <w:tcPr>
            <w:tcW w:w="3437" w:type="dxa"/>
            <w:gridSpan w:val="2"/>
            <w:tcBorders>
              <w:tl2br w:val="nil"/>
              <w:tr2bl w:val="nil"/>
            </w:tcBorders>
            <w:vAlign w:val="top"/>
          </w:tcPr>
          <w:p w14:paraId="5698707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导致存在抗震安全隐患的，可通过抗震加固满足抗震安全性能的</w:t>
            </w:r>
          </w:p>
        </w:tc>
        <w:tc>
          <w:tcPr>
            <w:tcW w:w="3058" w:type="dxa"/>
            <w:tcBorders>
              <w:tl2br w:val="nil"/>
              <w:tr2bl w:val="nil"/>
            </w:tcBorders>
            <w:vAlign w:val="top"/>
          </w:tcPr>
          <w:p w14:paraId="46D6584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责令改正，处25万元以上40万元以下罚款；对其直接负责的主管人员和其他直接责任人员处单位罚款数额6.5%以上8.5%以下的罚款</w:t>
            </w:r>
          </w:p>
        </w:tc>
      </w:tr>
      <w:tr w14:paraId="2B9F95D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92" w:hRule="atLeast"/>
          <w:jc w:val="center"/>
        </w:trPr>
        <w:tc>
          <w:tcPr>
            <w:tcW w:w="443" w:type="dxa"/>
            <w:gridSpan w:val="2"/>
            <w:vMerge w:val="continue"/>
            <w:tcBorders>
              <w:tl2br w:val="nil"/>
              <w:tr2bl w:val="nil"/>
            </w:tcBorders>
            <w:vAlign w:val="center"/>
          </w:tcPr>
          <w:p w14:paraId="660537D5">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仿宋_GB2312"/>
                <w:i w:val="0"/>
                <w:color w:val="auto"/>
                <w:kern w:val="0"/>
                <w:sz w:val="13"/>
                <w:szCs w:val="13"/>
                <w:highlight w:val="none"/>
                <w:u w:val="none"/>
                <w:lang w:val="en-US" w:eastAsia="zh-CN" w:bidi="ar"/>
              </w:rPr>
            </w:pPr>
          </w:p>
        </w:tc>
        <w:tc>
          <w:tcPr>
            <w:tcW w:w="1550" w:type="dxa"/>
            <w:vMerge w:val="continue"/>
            <w:tcBorders>
              <w:tl2br w:val="nil"/>
              <w:tr2bl w:val="nil"/>
            </w:tcBorders>
            <w:vAlign w:val="top"/>
          </w:tcPr>
          <w:p w14:paraId="21DD0FB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rPr>
            </w:pPr>
          </w:p>
        </w:tc>
        <w:tc>
          <w:tcPr>
            <w:tcW w:w="4820" w:type="dxa"/>
            <w:vMerge w:val="continue"/>
            <w:tcBorders>
              <w:tl2br w:val="nil"/>
              <w:tr2bl w:val="nil"/>
            </w:tcBorders>
            <w:vAlign w:val="top"/>
          </w:tcPr>
          <w:p w14:paraId="1D16CF1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rPr>
            </w:pPr>
          </w:p>
        </w:tc>
        <w:tc>
          <w:tcPr>
            <w:tcW w:w="823" w:type="dxa"/>
            <w:vMerge w:val="continue"/>
            <w:tcBorders>
              <w:tl2br w:val="nil"/>
              <w:tr2bl w:val="nil"/>
            </w:tcBorders>
            <w:vAlign w:val="top"/>
          </w:tcPr>
          <w:p w14:paraId="704063C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lang w:eastAsia="zh-CN"/>
              </w:rPr>
            </w:pPr>
          </w:p>
        </w:tc>
        <w:tc>
          <w:tcPr>
            <w:tcW w:w="3437" w:type="dxa"/>
            <w:gridSpan w:val="2"/>
            <w:tcBorders>
              <w:tl2br w:val="nil"/>
              <w:tr2bl w:val="nil"/>
            </w:tcBorders>
            <w:vAlign w:val="top"/>
          </w:tcPr>
          <w:p w14:paraId="6B55126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导致存在抗震安全隐患，且工程位于地震重点监视防御区的，可通过抗震加固满足抗震安全性能的</w:t>
            </w:r>
          </w:p>
        </w:tc>
        <w:tc>
          <w:tcPr>
            <w:tcW w:w="3058" w:type="dxa"/>
            <w:tcBorders>
              <w:tl2br w:val="nil"/>
              <w:tr2bl w:val="nil"/>
            </w:tcBorders>
            <w:vAlign w:val="top"/>
          </w:tcPr>
          <w:p w14:paraId="71A5016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责令改正，处40万元以上50万元以下罚款；对其直接负责的主管人员和其他直接责任人员处单位罚款数额8.5%以上10%以下的罚款</w:t>
            </w:r>
          </w:p>
        </w:tc>
      </w:tr>
      <w:tr w14:paraId="11548E0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4" w:hRule="atLeast"/>
          <w:jc w:val="center"/>
        </w:trPr>
        <w:tc>
          <w:tcPr>
            <w:tcW w:w="443" w:type="dxa"/>
            <w:gridSpan w:val="2"/>
            <w:vMerge w:val="continue"/>
            <w:tcBorders>
              <w:tl2br w:val="nil"/>
              <w:tr2bl w:val="nil"/>
            </w:tcBorders>
            <w:vAlign w:val="center"/>
          </w:tcPr>
          <w:p w14:paraId="2A19D751">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仿宋_GB2312"/>
                <w:i w:val="0"/>
                <w:color w:val="auto"/>
                <w:kern w:val="0"/>
                <w:sz w:val="13"/>
                <w:szCs w:val="13"/>
                <w:highlight w:val="none"/>
                <w:u w:val="none"/>
                <w:lang w:val="en-US" w:eastAsia="zh-CN" w:bidi="ar"/>
              </w:rPr>
            </w:pPr>
          </w:p>
        </w:tc>
        <w:tc>
          <w:tcPr>
            <w:tcW w:w="1550" w:type="dxa"/>
            <w:vMerge w:val="continue"/>
            <w:tcBorders>
              <w:tl2br w:val="nil"/>
              <w:tr2bl w:val="nil"/>
            </w:tcBorders>
            <w:vAlign w:val="top"/>
          </w:tcPr>
          <w:p w14:paraId="39F0A1A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rPr>
            </w:pPr>
          </w:p>
        </w:tc>
        <w:tc>
          <w:tcPr>
            <w:tcW w:w="4820" w:type="dxa"/>
            <w:vMerge w:val="continue"/>
            <w:tcBorders>
              <w:tl2br w:val="nil"/>
              <w:tr2bl w:val="nil"/>
            </w:tcBorders>
            <w:vAlign w:val="top"/>
          </w:tcPr>
          <w:p w14:paraId="1514F6C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rPr>
            </w:pPr>
          </w:p>
        </w:tc>
        <w:tc>
          <w:tcPr>
            <w:tcW w:w="823" w:type="dxa"/>
            <w:vMerge w:val="restart"/>
            <w:tcBorders>
              <w:tl2br w:val="nil"/>
              <w:tr2bl w:val="nil"/>
            </w:tcBorders>
            <w:vAlign w:val="center"/>
          </w:tcPr>
          <w:p w14:paraId="0F588D0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rPr>
              <w:t>从重情节</w:t>
            </w:r>
          </w:p>
        </w:tc>
        <w:tc>
          <w:tcPr>
            <w:tcW w:w="3437" w:type="dxa"/>
            <w:gridSpan w:val="2"/>
            <w:tcBorders>
              <w:tl2br w:val="nil"/>
              <w:tr2bl w:val="nil"/>
            </w:tcBorders>
            <w:vAlign w:val="top"/>
          </w:tcPr>
          <w:p w14:paraId="47AF835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1.属于超限高层建筑工程，工程位于地震重点监视防御区的；2.非地震重点监视防御区工程，导致严重抗震安全隐患的；3.因违法行为导致一般事故或者与一般事故相当的其他后果的。</w:t>
            </w:r>
          </w:p>
        </w:tc>
        <w:tc>
          <w:tcPr>
            <w:tcW w:w="3058" w:type="dxa"/>
            <w:tcBorders>
              <w:tl2br w:val="nil"/>
              <w:tr2bl w:val="nil"/>
            </w:tcBorders>
            <w:vAlign w:val="top"/>
          </w:tcPr>
          <w:p w14:paraId="307AA44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责令改正，处50万元以上150万元以下罚款；对其直接负责的主管人员和其他直接责任人员处单位罚款数额8.5%以上10%以下的罚款</w:t>
            </w:r>
          </w:p>
        </w:tc>
      </w:tr>
      <w:tr w14:paraId="0733F8C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4" w:hRule="atLeast"/>
          <w:jc w:val="center"/>
        </w:trPr>
        <w:tc>
          <w:tcPr>
            <w:tcW w:w="443" w:type="dxa"/>
            <w:gridSpan w:val="2"/>
            <w:vMerge w:val="continue"/>
            <w:tcBorders>
              <w:tl2br w:val="nil"/>
              <w:tr2bl w:val="nil"/>
            </w:tcBorders>
            <w:vAlign w:val="center"/>
          </w:tcPr>
          <w:p w14:paraId="70D07B0D">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仿宋_GB2312"/>
                <w:i w:val="0"/>
                <w:color w:val="auto"/>
                <w:kern w:val="0"/>
                <w:sz w:val="13"/>
                <w:szCs w:val="13"/>
                <w:highlight w:val="none"/>
                <w:u w:val="none"/>
                <w:lang w:val="en-US" w:eastAsia="zh-CN" w:bidi="ar"/>
              </w:rPr>
            </w:pPr>
          </w:p>
        </w:tc>
        <w:tc>
          <w:tcPr>
            <w:tcW w:w="1550" w:type="dxa"/>
            <w:vMerge w:val="continue"/>
            <w:tcBorders>
              <w:tl2br w:val="nil"/>
              <w:tr2bl w:val="nil"/>
            </w:tcBorders>
            <w:vAlign w:val="top"/>
          </w:tcPr>
          <w:p w14:paraId="2294E9C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rPr>
            </w:pPr>
          </w:p>
        </w:tc>
        <w:tc>
          <w:tcPr>
            <w:tcW w:w="4820" w:type="dxa"/>
            <w:vMerge w:val="continue"/>
            <w:tcBorders>
              <w:tl2br w:val="nil"/>
              <w:tr2bl w:val="nil"/>
            </w:tcBorders>
            <w:vAlign w:val="top"/>
          </w:tcPr>
          <w:p w14:paraId="6002842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rPr>
            </w:pPr>
          </w:p>
        </w:tc>
        <w:tc>
          <w:tcPr>
            <w:tcW w:w="823" w:type="dxa"/>
            <w:vMerge w:val="continue"/>
            <w:tcBorders>
              <w:tl2br w:val="nil"/>
              <w:tr2bl w:val="nil"/>
            </w:tcBorders>
            <w:vAlign w:val="top"/>
          </w:tcPr>
          <w:p w14:paraId="08348DC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lang w:eastAsia="zh-CN"/>
              </w:rPr>
            </w:pPr>
          </w:p>
        </w:tc>
        <w:tc>
          <w:tcPr>
            <w:tcW w:w="3437" w:type="dxa"/>
            <w:gridSpan w:val="2"/>
            <w:tcBorders>
              <w:tl2br w:val="nil"/>
              <w:tr2bl w:val="nil"/>
            </w:tcBorders>
            <w:vAlign w:val="top"/>
          </w:tcPr>
          <w:p w14:paraId="271493B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1.属于超限高层建筑工程，导致严重抗震安全隐患，可通过抗震加固满足抗震安全性能的；2.因违法行为导致较大事故或者与较大事故相当的危害后果的</w:t>
            </w:r>
          </w:p>
        </w:tc>
        <w:tc>
          <w:tcPr>
            <w:tcW w:w="3058" w:type="dxa"/>
            <w:tcBorders>
              <w:tl2br w:val="nil"/>
              <w:tr2bl w:val="nil"/>
            </w:tcBorders>
            <w:vAlign w:val="top"/>
          </w:tcPr>
          <w:p w14:paraId="235BB32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责令改正，处150万元以上400万元以下罚款；对其直接负责的主管人员和其他直接责任人员处单位罚款数额8.5%以上10%以下的罚款</w:t>
            </w:r>
          </w:p>
        </w:tc>
      </w:tr>
      <w:tr w14:paraId="4E46F7F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4" w:hRule="atLeast"/>
          <w:jc w:val="center"/>
        </w:trPr>
        <w:tc>
          <w:tcPr>
            <w:tcW w:w="443" w:type="dxa"/>
            <w:gridSpan w:val="2"/>
            <w:vMerge w:val="continue"/>
            <w:tcBorders>
              <w:tl2br w:val="nil"/>
              <w:tr2bl w:val="nil"/>
            </w:tcBorders>
            <w:vAlign w:val="center"/>
          </w:tcPr>
          <w:p w14:paraId="43C754D4">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仿宋_GB2312"/>
                <w:i w:val="0"/>
                <w:color w:val="auto"/>
                <w:kern w:val="0"/>
                <w:sz w:val="13"/>
                <w:szCs w:val="13"/>
                <w:highlight w:val="none"/>
                <w:u w:val="none"/>
                <w:lang w:val="en-US" w:eastAsia="zh-CN" w:bidi="ar"/>
              </w:rPr>
            </w:pPr>
          </w:p>
        </w:tc>
        <w:tc>
          <w:tcPr>
            <w:tcW w:w="1550" w:type="dxa"/>
            <w:vMerge w:val="continue"/>
            <w:tcBorders>
              <w:tl2br w:val="nil"/>
              <w:tr2bl w:val="nil"/>
            </w:tcBorders>
            <w:vAlign w:val="top"/>
          </w:tcPr>
          <w:p w14:paraId="3A8525F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rPr>
            </w:pPr>
          </w:p>
        </w:tc>
        <w:tc>
          <w:tcPr>
            <w:tcW w:w="4820" w:type="dxa"/>
            <w:vMerge w:val="continue"/>
            <w:tcBorders>
              <w:tl2br w:val="nil"/>
              <w:tr2bl w:val="nil"/>
            </w:tcBorders>
            <w:vAlign w:val="top"/>
          </w:tcPr>
          <w:p w14:paraId="4C8A215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rPr>
            </w:pPr>
          </w:p>
        </w:tc>
        <w:tc>
          <w:tcPr>
            <w:tcW w:w="823" w:type="dxa"/>
            <w:vMerge w:val="continue"/>
            <w:tcBorders>
              <w:tl2br w:val="nil"/>
              <w:tr2bl w:val="nil"/>
            </w:tcBorders>
            <w:vAlign w:val="top"/>
          </w:tcPr>
          <w:p w14:paraId="75CB1C9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lang w:eastAsia="zh-CN"/>
              </w:rPr>
            </w:pPr>
          </w:p>
        </w:tc>
        <w:tc>
          <w:tcPr>
            <w:tcW w:w="3437" w:type="dxa"/>
            <w:gridSpan w:val="2"/>
            <w:tcBorders>
              <w:tl2br w:val="nil"/>
              <w:tr2bl w:val="nil"/>
            </w:tcBorders>
            <w:vAlign w:val="top"/>
          </w:tcPr>
          <w:p w14:paraId="4CF1342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1.导致严重抗震安全隐患，且不能通过抗震加固满足抗震安全性能的；2.因违法行为导致重大或者特别重大事故或者与重大、</w:t>
            </w:r>
            <w:r>
              <w:rPr>
                <w:rFonts w:hint="eastAsia" w:ascii="仿宋_GB2312" w:hAnsi="宋体" w:eastAsia="仿宋_GB2312"/>
                <w:color w:val="auto"/>
                <w:kern w:val="0"/>
                <w:sz w:val="13"/>
                <w:szCs w:val="13"/>
                <w:highlight w:val="none"/>
                <w:lang w:eastAsia="zh-CN"/>
              </w:rPr>
              <w:t>特别重大</w:t>
            </w:r>
            <w:r>
              <w:rPr>
                <w:rFonts w:hint="eastAsia" w:ascii="仿宋_GB2312" w:hAnsi="宋体" w:eastAsia="仿宋_GB2312"/>
                <w:color w:val="auto"/>
                <w:kern w:val="0"/>
                <w:sz w:val="13"/>
                <w:szCs w:val="13"/>
                <w:highlight w:val="none"/>
              </w:rPr>
              <w:t>事故相当的其他危害后果的。</w:t>
            </w:r>
          </w:p>
        </w:tc>
        <w:tc>
          <w:tcPr>
            <w:tcW w:w="3058" w:type="dxa"/>
            <w:tcBorders>
              <w:tl2br w:val="nil"/>
              <w:tr2bl w:val="nil"/>
            </w:tcBorders>
            <w:vAlign w:val="top"/>
          </w:tcPr>
          <w:p w14:paraId="7990710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责令改正，处400万元以上500万元以下罚款；对其直接负责的主管人员和其他直接责任人员处单位罚款数额8.5%以上10%以下的罚款</w:t>
            </w:r>
          </w:p>
        </w:tc>
      </w:tr>
      <w:tr w14:paraId="61BF021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4" w:hRule="atLeast"/>
          <w:jc w:val="center"/>
        </w:trPr>
        <w:tc>
          <w:tcPr>
            <w:tcW w:w="443" w:type="dxa"/>
            <w:gridSpan w:val="2"/>
            <w:vMerge w:val="restart"/>
            <w:tcBorders>
              <w:tl2br w:val="nil"/>
              <w:tr2bl w:val="nil"/>
            </w:tcBorders>
            <w:vAlign w:val="center"/>
          </w:tcPr>
          <w:p w14:paraId="312737CA">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仿宋_GB2312"/>
                <w:i w:val="0"/>
                <w:color w:val="auto"/>
                <w:kern w:val="0"/>
                <w:sz w:val="13"/>
                <w:szCs w:val="13"/>
                <w:highlight w:val="none"/>
                <w:u w:val="none"/>
                <w:lang w:val="en-US" w:eastAsia="zh-CN" w:bidi="ar"/>
              </w:rPr>
            </w:pPr>
            <w:r>
              <w:rPr>
                <w:rFonts w:hint="eastAsia" w:ascii="仿宋_GB2312" w:hAnsi="宋体" w:eastAsia="仿宋_GB2312" w:cs="仿宋_GB2312"/>
                <w:i w:val="0"/>
                <w:color w:val="auto"/>
                <w:kern w:val="0"/>
                <w:sz w:val="13"/>
                <w:szCs w:val="13"/>
                <w:highlight w:val="none"/>
                <w:u w:val="none"/>
                <w:lang w:val="en-US" w:eastAsia="zh-CN" w:bidi="ar"/>
              </w:rPr>
              <w:t>142</w:t>
            </w:r>
          </w:p>
        </w:tc>
        <w:tc>
          <w:tcPr>
            <w:tcW w:w="1550" w:type="dxa"/>
            <w:vMerge w:val="restart"/>
            <w:tcBorders>
              <w:tl2br w:val="nil"/>
              <w:tr2bl w:val="nil"/>
            </w:tcBorders>
            <w:vAlign w:val="center"/>
          </w:tcPr>
          <w:p w14:paraId="3F56C37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center"/>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建设单位未经超限高层建筑工程抗震设防审批进行施工的</w:t>
            </w:r>
          </w:p>
        </w:tc>
        <w:tc>
          <w:tcPr>
            <w:tcW w:w="4820" w:type="dxa"/>
            <w:vMerge w:val="restart"/>
            <w:tcBorders>
              <w:tl2br w:val="nil"/>
              <w:tr2bl w:val="nil"/>
            </w:tcBorders>
            <w:vAlign w:val="center"/>
          </w:tcPr>
          <w:p w14:paraId="367EA29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center"/>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建设工程抗震管理条例》第四十条第二款违反本条例规定，建设单位未经超限高层建筑工程抗震设防审批进行施工的，责令停止施工，限期改正，处20万元以上100万元以下的罚款；造成损失的，依法承担赔偿责任。</w:t>
            </w:r>
          </w:p>
          <w:p w14:paraId="4A91DB3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center"/>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第四十七条依照本条例规定，给予单位罚款处罚的，对其直接负责的主管人员和其他直接责任人员处单位罚款数额5%以上10%以下的罚款。</w:t>
            </w:r>
          </w:p>
        </w:tc>
        <w:tc>
          <w:tcPr>
            <w:tcW w:w="823" w:type="dxa"/>
            <w:tcBorders>
              <w:tl2br w:val="nil"/>
              <w:tr2bl w:val="nil"/>
            </w:tcBorders>
            <w:vAlign w:val="center"/>
          </w:tcPr>
          <w:p w14:paraId="1F73797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rPr>
              <w:t>从轻情节</w:t>
            </w:r>
          </w:p>
        </w:tc>
        <w:tc>
          <w:tcPr>
            <w:tcW w:w="3437" w:type="dxa"/>
            <w:gridSpan w:val="2"/>
            <w:tcBorders>
              <w:tl2br w:val="nil"/>
              <w:tr2bl w:val="nil"/>
            </w:tcBorders>
            <w:vAlign w:val="top"/>
          </w:tcPr>
          <w:p w14:paraId="7A7438F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初次违法，危害后果轻微，主动消除或减轻违法行为危害后果的。</w:t>
            </w:r>
          </w:p>
        </w:tc>
        <w:tc>
          <w:tcPr>
            <w:tcW w:w="3058" w:type="dxa"/>
            <w:tcBorders>
              <w:tl2br w:val="nil"/>
              <w:tr2bl w:val="nil"/>
            </w:tcBorders>
            <w:vAlign w:val="top"/>
          </w:tcPr>
          <w:p w14:paraId="1BE1E6D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责令停止施工，限期改正，处20万元以上40万元以下罚款；对其直接负责的主管人员和其他直接责任人员处单位罚款数额5%以上6.5%以下的罚款</w:t>
            </w:r>
          </w:p>
        </w:tc>
      </w:tr>
      <w:tr w14:paraId="53FEF02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4" w:hRule="atLeast"/>
          <w:jc w:val="center"/>
        </w:trPr>
        <w:tc>
          <w:tcPr>
            <w:tcW w:w="443" w:type="dxa"/>
            <w:gridSpan w:val="2"/>
            <w:vMerge w:val="continue"/>
            <w:tcBorders>
              <w:tl2br w:val="nil"/>
              <w:tr2bl w:val="nil"/>
            </w:tcBorders>
            <w:vAlign w:val="center"/>
          </w:tcPr>
          <w:p w14:paraId="5D80BF77">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仿宋_GB2312"/>
                <w:i w:val="0"/>
                <w:color w:val="auto"/>
                <w:kern w:val="0"/>
                <w:sz w:val="13"/>
                <w:szCs w:val="13"/>
                <w:highlight w:val="none"/>
                <w:u w:val="none"/>
                <w:lang w:val="en-US" w:eastAsia="zh-CN" w:bidi="ar"/>
              </w:rPr>
            </w:pPr>
          </w:p>
        </w:tc>
        <w:tc>
          <w:tcPr>
            <w:tcW w:w="1550" w:type="dxa"/>
            <w:vMerge w:val="continue"/>
            <w:tcBorders>
              <w:tl2br w:val="nil"/>
              <w:tr2bl w:val="nil"/>
            </w:tcBorders>
            <w:vAlign w:val="top"/>
          </w:tcPr>
          <w:p w14:paraId="0ADA70D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rPr>
            </w:pPr>
          </w:p>
        </w:tc>
        <w:tc>
          <w:tcPr>
            <w:tcW w:w="4820" w:type="dxa"/>
            <w:vMerge w:val="continue"/>
            <w:tcBorders>
              <w:tl2br w:val="nil"/>
              <w:tr2bl w:val="nil"/>
            </w:tcBorders>
            <w:vAlign w:val="top"/>
          </w:tcPr>
          <w:p w14:paraId="35A6B4D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rPr>
            </w:pPr>
          </w:p>
        </w:tc>
        <w:tc>
          <w:tcPr>
            <w:tcW w:w="823" w:type="dxa"/>
            <w:tcBorders>
              <w:tl2br w:val="nil"/>
              <w:tr2bl w:val="nil"/>
            </w:tcBorders>
            <w:vAlign w:val="center"/>
          </w:tcPr>
          <w:p w14:paraId="156ECDD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rPr>
              <w:t>一般情节</w:t>
            </w:r>
          </w:p>
        </w:tc>
        <w:tc>
          <w:tcPr>
            <w:tcW w:w="3437" w:type="dxa"/>
            <w:gridSpan w:val="2"/>
            <w:tcBorders>
              <w:tl2br w:val="nil"/>
              <w:tr2bl w:val="nil"/>
            </w:tcBorders>
            <w:vAlign w:val="top"/>
          </w:tcPr>
          <w:p w14:paraId="7DE79B1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不具有从轻、从重情节的。</w:t>
            </w:r>
          </w:p>
        </w:tc>
        <w:tc>
          <w:tcPr>
            <w:tcW w:w="3058" w:type="dxa"/>
            <w:tcBorders>
              <w:tl2br w:val="nil"/>
              <w:tr2bl w:val="nil"/>
            </w:tcBorders>
            <w:vAlign w:val="top"/>
          </w:tcPr>
          <w:p w14:paraId="716DEAF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责令停止施工，限期改正，处40万元以上80万元以下罚款；对其直接负责的主管人员和其他直接责任人员处单位罚款数额6.5%以上8.5%以下的罚款</w:t>
            </w:r>
          </w:p>
        </w:tc>
      </w:tr>
      <w:tr w14:paraId="4222139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4" w:hRule="atLeast"/>
          <w:jc w:val="center"/>
        </w:trPr>
        <w:tc>
          <w:tcPr>
            <w:tcW w:w="443" w:type="dxa"/>
            <w:gridSpan w:val="2"/>
            <w:vMerge w:val="continue"/>
            <w:tcBorders>
              <w:tl2br w:val="nil"/>
              <w:tr2bl w:val="nil"/>
            </w:tcBorders>
            <w:vAlign w:val="center"/>
          </w:tcPr>
          <w:p w14:paraId="2F726EEA">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仿宋_GB2312"/>
                <w:i w:val="0"/>
                <w:color w:val="auto"/>
                <w:kern w:val="0"/>
                <w:sz w:val="13"/>
                <w:szCs w:val="13"/>
                <w:highlight w:val="none"/>
                <w:u w:val="none"/>
                <w:lang w:val="en-US" w:eastAsia="zh-CN" w:bidi="ar"/>
              </w:rPr>
            </w:pPr>
          </w:p>
        </w:tc>
        <w:tc>
          <w:tcPr>
            <w:tcW w:w="1550" w:type="dxa"/>
            <w:vMerge w:val="continue"/>
            <w:tcBorders>
              <w:tl2br w:val="nil"/>
              <w:tr2bl w:val="nil"/>
            </w:tcBorders>
            <w:vAlign w:val="top"/>
          </w:tcPr>
          <w:p w14:paraId="4646F05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rPr>
            </w:pPr>
          </w:p>
        </w:tc>
        <w:tc>
          <w:tcPr>
            <w:tcW w:w="4820" w:type="dxa"/>
            <w:vMerge w:val="continue"/>
            <w:tcBorders>
              <w:tl2br w:val="nil"/>
              <w:tr2bl w:val="nil"/>
            </w:tcBorders>
            <w:vAlign w:val="top"/>
          </w:tcPr>
          <w:p w14:paraId="08A65F4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rPr>
            </w:pPr>
          </w:p>
        </w:tc>
        <w:tc>
          <w:tcPr>
            <w:tcW w:w="823" w:type="dxa"/>
            <w:tcBorders>
              <w:tl2br w:val="nil"/>
              <w:tr2bl w:val="nil"/>
            </w:tcBorders>
            <w:vAlign w:val="center"/>
          </w:tcPr>
          <w:p w14:paraId="6C4F5E9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rPr>
              <w:t>从重情节</w:t>
            </w:r>
          </w:p>
        </w:tc>
        <w:tc>
          <w:tcPr>
            <w:tcW w:w="3437" w:type="dxa"/>
            <w:gridSpan w:val="2"/>
            <w:tcBorders>
              <w:tl2br w:val="nil"/>
              <w:tr2bl w:val="nil"/>
            </w:tcBorders>
            <w:vAlign w:val="top"/>
          </w:tcPr>
          <w:p w14:paraId="28650BA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拒不停止施工的；工程位于地震重点监视防御区的；导致严重抗震安全隐患的；造成其他严重危害后果的</w:t>
            </w:r>
          </w:p>
        </w:tc>
        <w:tc>
          <w:tcPr>
            <w:tcW w:w="3058" w:type="dxa"/>
            <w:tcBorders>
              <w:tl2br w:val="nil"/>
              <w:tr2bl w:val="nil"/>
            </w:tcBorders>
            <w:vAlign w:val="top"/>
          </w:tcPr>
          <w:p w14:paraId="70429CD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责令停止施工，限期改正，处80万元以上100万元以下罚款；对其直接负责的主管人员和其他直接责任人员处单位罚款数额8.5%以上10%以下的罚款</w:t>
            </w:r>
          </w:p>
        </w:tc>
      </w:tr>
      <w:tr w14:paraId="047AF14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4" w:hRule="atLeast"/>
          <w:jc w:val="center"/>
        </w:trPr>
        <w:tc>
          <w:tcPr>
            <w:tcW w:w="443" w:type="dxa"/>
            <w:gridSpan w:val="2"/>
            <w:vMerge w:val="restart"/>
            <w:tcBorders>
              <w:tl2br w:val="nil"/>
              <w:tr2bl w:val="nil"/>
            </w:tcBorders>
            <w:vAlign w:val="center"/>
          </w:tcPr>
          <w:p w14:paraId="194F54C0">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仿宋_GB2312"/>
                <w:i w:val="0"/>
                <w:color w:val="auto"/>
                <w:kern w:val="0"/>
                <w:sz w:val="13"/>
                <w:szCs w:val="13"/>
                <w:highlight w:val="none"/>
                <w:u w:val="none"/>
                <w:lang w:val="en-US" w:eastAsia="zh-CN" w:bidi="ar"/>
              </w:rPr>
            </w:pPr>
            <w:r>
              <w:rPr>
                <w:rFonts w:hint="eastAsia" w:ascii="仿宋_GB2312" w:hAnsi="宋体" w:eastAsia="仿宋_GB2312" w:cs="仿宋_GB2312"/>
                <w:i w:val="0"/>
                <w:color w:val="auto"/>
                <w:kern w:val="0"/>
                <w:sz w:val="13"/>
                <w:szCs w:val="13"/>
                <w:highlight w:val="none"/>
                <w:u w:val="none"/>
                <w:lang w:val="en-US" w:eastAsia="zh-CN" w:bidi="ar"/>
              </w:rPr>
              <w:t>143</w:t>
            </w:r>
          </w:p>
        </w:tc>
        <w:tc>
          <w:tcPr>
            <w:tcW w:w="1550" w:type="dxa"/>
            <w:vMerge w:val="restart"/>
            <w:tcBorders>
              <w:tl2br w:val="nil"/>
              <w:tr2bl w:val="nil"/>
            </w:tcBorders>
            <w:vAlign w:val="center"/>
          </w:tcPr>
          <w:p w14:paraId="251A8BE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建设单位未组织勘察、设计、施工、工程监理单位建立隔震减震工程质量可追溯制度的，或者未对隔震减震装置采购、勘察、设计、进场检测、安装施工、竣工验收等全过程的信息资料进行采集和存储，并纳入建设项目档案的</w:t>
            </w:r>
          </w:p>
        </w:tc>
        <w:tc>
          <w:tcPr>
            <w:tcW w:w="4820" w:type="dxa"/>
            <w:vMerge w:val="restart"/>
            <w:tcBorders>
              <w:tl2br w:val="nil"/>
              <w:tr2bl w:val="nil"/>
            </w:tcBorders>
            <w:vAlign w:val="center"/>
          </w:tcPr>
          <w:p w14:paraId="7D3F38D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建设工程抗震管理条例》第四十条第三款违反本条例规定，建设单位未组织勘察、设计、施工、工程监理单位建立隔震减震工程质量可追溯制度的，或者未对隔震减震装置采购、勘察、设计、进场检测、安装施工、竣工验收等全过程的信息资料进行采集和存储，并纳入建设项目档案的，责令改正，处10万元以上30万元以下的罚款；造成损失的，依法承担赔偿责任。</w:t>
            </w:r>
          </w:p>
          <w:p w14:paraId="52A5008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第四十七条依照本条例规定，给予单位罚款处罚的，对其直接负责的主管人员和其他直接责任人员处单位罚款数额5%以上10%以下的罚款。</w:t>
            </w:r>
          </w:p>
        </w:tc>
        <w:tc>
          <w:tcPr>
            <w:tcW w:w="823" w:type="dxa"/>
            <w:tcBorders>
              <w:tl2br w:val="nil"/>
              <w:tr2bl w:val="nil"/>
            </w:tcBorders>
            <w:vAlign w:val="center"/>
          </w:tcPr>
          <w:p w14:paraId="68DAD61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rPr>
              <w:t>从轻情节</w:t>
            </w:r>
          </w:p>
        </w:tc>
        <w:tc>
          <w:tcPr>
            <w:tcW w:w="3437" w:type="dxa"/>
            <w:gridSpan w:val="2"/>
            <w:tcBorders>
              <w:tl2br w:val="nil"/>
              <w:tr2bl w:val="nil"/>
            </w:tcBorders>
            <w:vAlign w:val="center"/>
          </w:tcPr>
          <w:p w14:paraId="5E664D9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初次违法，危害后果轻微，主动消除或减轻违法行为危害后果的。</w:t>
            </w:r>
          </w:p>
        </w:tc>
        <w:tc>
          <w:tcPr>
            <w:tcW w:w="3058" w:type="dxa"/>
            <w:tcBorders>
              <w:tl2br w:val="nil"/>
              <w:tr2bl w:val="nil"/>
            </w:tcBorders>
            <w:vAlign w:val="top"/>
          </w:tcPr>
          <w:p w14:paraId="4F8EF58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责令改正，处10万元以上15万元以下罚款；对其直接负责的主管人员和其他直接责任人员处单位罚款数额5%以上6.5%以下的罚款</w:t>
            </w:r>
          </w:p>
        </w:tc>
      </w:tr>
      <w:tr w14:paraId="137ABBC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4" w:hRule="atLeast"/>
          <w:jc w:val="center"/>
        </w:trPr>
        <w:tc>
          <w:tcPr>
            <w:tcW w:w="443" w:type="dxa"/>
            <w:gridSpan w:val="2"/>
            <w:vMerge w:val="continue"/>
            <w:tcBorders>
              <w:tl2br w:val="nil"/>
              <w:tr2bl w:val="nil"/>
            </w:tcBorders>
            <w:vAlign w:val="center"/>
          </w:tcPr>
          <w:p w14:paraId="3A73D085">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仿宋_GB2312"/>
                <w:i w:val="0"/>
                <w:color w:val="auto"/>
                <w:kern w:val="0"/>
                <w:sz w:val="13"/>
                <w:szCs w:val="13"/>
                <w:highlight w:val="none"/>
                <w:u w:val="none"/>
                <w:lang w:val="en-US" w:eastAsia="zh-CN" w:bidi="ar"/>
              </w:rPr>
            </w:pPr>
          </w:p>
        </w:tc>
        <w:tc>
          <w:tcPr>
            <w:tcW w:w="1550" w:type="dxa"/>
            <w:vMerge w:val="continue"/>
            <w:tcBorders>
              <w:tl2br w:val="nil"/>
              <w:tr2bl w:val="nil"/>
            </w:tcBorders>
            <w:vAlign w:val="center"/>
          </w:tcPr>
          <w:p w14:paraId="60D19CC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5407D18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rPr>
            </w:pPr>
          </w:p>
        </w:tc>
        <w:tc>
          <w:tcPr>
            <w:tcW w:w="823" w:type="dxa"/>
            <w:tcBorders>
              <w:tl2br w:val="nil"/>
              <w:tr2bl w:val="nil"/>
            </w:tcBorders>
            <w:vAlign w:val="center"/>
          </w:tcPr>
          <w:p w14:paraId="28917DF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rPr>
              <w:t>一般情节</w:t>
            </w:r>
          </w:p>
        </w:tc>
        <w:tc>
          <w:tcPr>
            <w:tcW w:w="3437" w:type="dxa"/>
            <w:gridSpan w:val="2"/>
            <w:tcBorders>
              <w:tl2br w:val="nil"/>
              <w:tr2bl w:val="nil"/>
            </w:tcBorders>
            <w:vAlign w:val="center"/>
          </w:tcPr>
          <w:p w14:paraId="38F17AF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不具有从轻、从重情节的。</w:t>
            </w:r>
          </w:p>
        </w:tc>
        <w:tc>
          <w:tcPr>
            <w:tcW w:w="3058" w:type="dxa"/>
            <w:tcBorders>
              <w:tl2br w:val="nil"/>
              <w:tr2bl w:val="nil"/>
            </w:tcBorders>
            <w:vAlign w:val="top"/>
          </w:tcPr>
          <w:p w14:paraId="7360B0E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责令改正，处15万元以上25万元以下罚款；对其直接负责的主管人员和其他直接责任人员处单位罚款数额6.5%以上8.5%以下的罚款</w:t>
            </w:r>
          </w:p>
        </w:tc>
      </w:tr>
      <w:tr w14:paraId="7E31542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4" w:hRule="atLeast"/>
          <w:jc w:val="center"/>
        </w:trPr>
        <w:tc>
          <w:tcPr>
            <w:tcW w:w="443" w:type="dxa"/>
            <w:gridSpan w:val="2"/>
            <w:vMerge w:val="continue"/>
            <w:tcBorders>
              <w:tl2br w:val="nil"/>
              <w:tr2bl w:val="nil"/>
            </w:tcBorders>
            <w:vAlign w:val="center"/>
          </w:tcPr>
          <w:p w14:paraId="3DC6F3D1">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仿宋_GB2312"/>
                <w:i w:val="0"/>
                <w:color w:val="auto"/>
                <w:kern w:val="0"/>
                <w:sz w:val="13"/>
                <w:szCs w:val="13"/>
                <w:highlight w:val="none"/>
                <w:u w:val="none"/>
                <w:lang w:val="en-US" w:eastAsia="zh-CN" w:bidi="ar"/>
              </w:rPr>
            </w:pPr>
          </w:p>
        </w:tc>
        <w:tc>
          <w:tcPr>
            <w:tcW w:w="1550" w:type="dxa"/>
            <w:vMerge w:val="continue"/>
            <w:tcBorders>
              <w:tl2br w:val="nil"/>
              <w:tr2bl w:val="nil"/>
            </w:tcBorders>
            <w:vAlign w:val="center"/>
          </w:tcPr>
          <w:p w14:paraId="72B2D5D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7B500CD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rPr>
            </w:pPr>
          </w:p>
        </w:tc>
        <w:tc>
          <w:tcPr>
            <w:tcW w:w="823" w:type="dxa"/>
            <w:tcBorders>
              <w:tl2br w:val="nil"/>
              <w:tr2bl w:val="nil"/>
            </w:tcBorders>
            <w:vAlign w:val="center"/>
          </w:tcPr>
          <w:p w14:paraId="46FB56D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rPr>
              <w:t>从重情节</w:t>
            </w:r>
          </w:p>
        </w:tc>
        <w:tc>
          <w:tcPr>
            <w:tcW w:w="3437" w:type="dxa"/>
            <w:gridSpan w:val="2"/>
            <w:tcBorders>
              <w:tl2br w:val="nil"/>
              <w:tr2bl w:val="nil"/>
            </w:tcBorders>
            <w:vAlign w:val="center"/>
          </w:tcPr>
          <w:p w14:paraId="17813F7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违法行为造成全过程信息资料不全，导致隔震减震工程质量无法追溯的。</w:t>
            </w:r>
          </w:p>
        </w:tc>
        <w:tc>
          <w:tcPr>
            <w:tcW w:w="3058" w:type="dxa"/>
            <w:tcBorders>
              <w:tl2br w:val="nil"/>
              <w:tr2bl w:val="nil"/>
            </w:tcBorders>
            <w:vAlign w:val="top"/>
          </w:tcPr>
          <w:p w14:paraId="2962A54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责令改正，处25万元以上30万元以下罚款；对其直接负责的主管人员和其他直接责任人员处单位罚款数额8.5%以上10%以下的罚款</w:t>
            </w:r>
          </w:p>
        </w:tc>
      </w:tr>
      <w:tr w14:paraId="55ACA2F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4" w:hRule="atLeast"/>
          <w:jc w:val="center"/>
        </w:trPr>
        <w:tc>
          <w:tcPr>
            <w:tcW w:w="443" w:type="dxa"/>
            <w:gridSpan w:val="2"/>
            <w:vMerge w:val="restart"/>
            <w:tcBorders>
              <w:tl2br w:val="nil"/>
              <w:tr2bl w:val="nil"/>
            </w:tcBorders>
            <w:vAlign w:val="center"/>
          </w:tcPr>
          <w:p w14:paraId="5437B6A9">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仿宋_GB2312"/>
                <w:i w:val="0"/>
                <w:color w:val="auto"/>
                <w:kern w:val="0"/>
                <w:sz w:val="13"/>
                <w:szCs w:val="13"/>
                <w:highlight w:val="none"/>
                <w:u w:val="none"/>
                <w:lang w:val="en-US" w:eastAsia="zh-CN" w:bidi="ar"/>
              </w:rPr>
            </w:pPr>
            <w:r>
              <w:rPr>
                <w:rFonts w:hint="eastAsia" w:ascii="仿宋_GB2312" w:hAnsi="宋体" w:eastAsia="仿宋_GB2312" w:cs="仿宋_GB2312"/>
                <w:i w:val="0"/>
                <w:color w:val="auto"/>
                <w:kern w:val="0"/>
                <w:sz w:val="13"/>
                <w:szCs w:val="13"/>
                <w:highlight w:val="none"/>
                <w:u w:val="none"/>
                <w:lang w:val="en-US" w:eastAsia="zh-CN" w:bidi="ar"/>
              </w:rPr>
              <w:t>144</w:t>
            </w:r>
          </w:p>
        </w:tc>
        <w:tc>
          <w:tcPr>
            <w:tcW w:w="1550" w:type="dxa"/>
            <w:vMerge w:val="restart"/>
            <w:tcBorders>
              <w:tl2br w:val="nil"/>
              <w:tr2bl w:val="nil"/>
            </w:tcBorders>
            <w:shd w:val="clear" w:color="auto" w:fill="auto"/>
            <w:vAlign w:val="center"/>
          </w:tcPr>
          <w:p w14:paraId="713F90A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lang w:val="en-US" w:eastAsia="zh-CN"/>
              </w:rPr>
            </w:pPr>
            <w:r>
              <w:rPr>
                <w:rFonts w:hint="eastAsia" w:ascii="仿宋_GB2312" w:hAnsi="宋体" w:eastAsia="仿宋_GB2312"/>
                <w:color w:val="auto"/>
                <w:kern w:val="0"/>
                <w:sz w:val="13"/>
                <w:szCs w:val="13"/>
                <w:highlight w:val="none"/>
              </w:rPr>
              <w:t>设计单位未按照超限高层建筑工程抗震设防审批意见进行施工图设计的</w:t>
            </w:r>
          </w:p>
        </w:tc>
        <w:tc>
          <w:tcPr>
            <w:tcW w:w="4820" w:type="dxa"/>
            <w:vMerge w:val="restart"/>
            <w:tcBorders>
              <w:tl2br w:val="nil"/>
              <w:tr2bl w:val="nil"/>
            </w:tcBorders>
            <w:shd w:val="clear" w:color="auto" w:fill="auto"/>
            <w:vAlign w:val="center"/>
          </w:tcPr>
          <w:p w14:paraId="3804F5F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建设工程抗震管理条例》第四十一条违反本条例规定，设计单位有下列行为之一的，责令改正，处10万元以上30万元以下的罚款；情节严重的，责令停业整顿，降低资质等级或者吊销资质证书；造成损失的，依法承担赔偿责任：</w:t>
            </w:r>
          </w:p>
          <w:p w14:paraId="5915709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（一）未按照超限高层建筑工程抗震设防审批意见进行施工图设计；</w:t>
            </w:r>
          </w:p>
          <w:p w14:paraId="44FE81C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lang w:val="en-US" w:eastAsia="zh-CN"/>
              </w:rPr>
            </w:pPr>
            <w:r>
              <w:rPr>
                <w:rFonts w:hint="eastAsia" w:ascii="仿宋_GB2312" w:hAnsi="宋体" w:eastAsia="仿宋_GB2312"/>
                <w:color w:val="auto"/>
                <w:kern w:val="0"/>
                <w:sz w:val="13"/>
                <w:szCs w:val="13"/>
                <w:highlight w:val="none"/>
              </w:rPr>
              <w:t>第四十七条依照本条例规定，给予单位罚款处罚的，对其直接负责的主管人员和其他直接责任人员处单位罚款数额5%以上10%以下的罚款。</w:t>
            </w:r>
          </w:p>
        </w:tc>
        <w:tc>
          <w:tcPr>
            <w:tcW w:w="823" w:type="dxa"/>
            <w:tcBorders>
              <w:tl2br w:val="nil"/>
              <w:tr2bl w:val="nil"/>
            </w:tcBorders>
            <w:shd w:val="clear" w:color="auto" w:fill="auto"/>
            <w:vAlign w:val="center"/>
          </w:tcPr>
          <w:p w14:paraId="45F1DF0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lang w:val="en-US" w:eastAsia="zh-CN"/>
              </w:rPr>
            </w:pPr>
            <w:r>
              <w:rPr>
                <w:rFonts w:hint="eastAsia" w:ascii="仿宋_GB2312" w:hAnsi="宋体" w:eastAsia="仿宋_GB2312"/>
                <w:color w:val="auto"/>
                <w:kern w:val="0"/>
                <w:sz w:val="13"/>
                <w:szCs w:val="13"/>
                <w:highlight w:val="none"/>
              </w:rPr>
              <w:t>从轻情节</w:t>
            </w:r>
          </w:p>
        </w:tc>
        <w:tc>
          <w:tcPr>
            <w:tcW w:w="3437" w:type="dxa"/>
            <w:gridSpan w:val="2"/>
            <w:tcBorders>
              <w:tl2br w:val="nil"/>
              <w:tr2bl w:val="nil"/>
            </w:tcBorders>
            <w:shd w:val="clear" w:color="auto" w:fill="auto"/>
            <w:vAlign w:val="center"/>
          </w:tcPr>
          <w:p w14:paraId="0C1A7CB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lang w:val="en-US" w:eastAsia="zh-CN"/>
              </w:rPr>
            </w:pPr>
            <w:r>
              <w:rPr>
                <w:rFonts w:hint="eastAsia" w:ascii="仿宋_GB2312" w:hAnsi="宋体" w:eastAsia="仿宋_GB2312"/>
                <w:color w:val="auto"/>
                <w:kern w:val="0"/>
                <w:sz w:val="13"/>
                <w:szCs w:val="13"/>
                <w:highlight w:val="none"/>
              </w:rPr>
              <w:t>初次违法，危害后果轻微，主动消除或减轻违法行为危害后果的。</w:t>
            </w:r>
          </w:p>
        </w:tc>
        <w:tc>
          <w:tcPr>
            <w:tcW w:w="3058" w:type="dxa"/>
            <w:tcBorders>
              <w:tl2br w:val="nil"/>
              <w:tr2bl w:val="nil"/>
            </w:tcBorders>
            <w:shd w:val="clear" w:color="auto" w:fill="auto"/>
            <w:vAlign w:val="top"/>
          </w:tcPr>
          <w:p w14:paraId="47D5280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lang w:val="en-US" w:eastAsia="zh-CN"/>
              </w:rPr>
            </w:pPr>
            <w:r>
              <w:rPr>
                <w:rFonts w:hint="eastAsia" w:ascii="仿宋_GB2312" w:hAnsi="宋体" w:eastAsia="仿宋_GB2312"/>
                <w:color w:val="auto"/>
                <w:kern w:val="0"/>
                <w:sz w:val="13"/>
                <w:szCs w:val="13"/>
                <w:highlight w:val="none"/>
              </w:rPr>
              <w:t>责令改正，处10万元以上15万元以下罚款；对其直接负责的主管人员和其他直接责任人员处单位罚款数额5%以上6.5%以下的罚款</w:t>
            </w:r>
          </w:p>
        </w:tc>
      </w:tr>
      <w:tr w14:paraId="200FD5F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4" w:hRule="atLeast"/>
          <w:jc w:val="center"/>
        </w:trPr>
        <w:tc>
          <w:tcPr>
            <w:tcW w:w="443" w:type="dxa"/>
            <w:gridSpan w:val="2"/>
            <w:vMerge w:val="continue"/>
            <w:tcBorders>
              <w:tl2br w:val="nil"/>
              <w:tr2bl w:val="nil"/>
            </w:tcBorders>
            <w:vAlign w:val="center"/>
          </w:tcPr>
          <w:p w14:paraId="5562746A">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仿宋_GB2312"/>
                <w:i w:val="0"/>
                <w:color w:val="auto"/>
                <w:kern w:val="0"/>
                <w:sz w:val="13"/>
                <w:szCs w:val="13"/>
                <w:highlight w:val="none"/>
                <w:u w:val="none"/>
                <w:lang w:val="en-US" w:eastAsia="zh-CN" w:bidi="ar"/>
              </w:rPr>
            </w:pPr>
          </w:p>
        </w:tc>
        <w:tc>
          <w:tcPr>
            <w:tcW w:w="1550" w:type="dxa"/>
            <w:vMerge w:val="continue"/>
            <w:tcBorders>
              <w:tl2br w:val="nil"/>
              <w:tr2bl w:val="nil"/>
            </w:tcBorders>
            <w:shd w:val="clear" w:color="auto" w:fill="auto"/>
            <w:vAlign w:val="center"/>
          </w:tcPr>
          <w:p w14:paraId="6C15567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lang w:val="en-US" w:eastAsia="zh-CN"/>
              </w:rPr>
            </w:pPr>
          </w:p>
        </w:tc>
        <w:tc>
          <w:tcPr>
            <w:tcW w:w="4820" w:type="dxa"/>
            <w:vMerge w:val="continue"/>
            <w:tcBorders>
              <w:tl2br w:val="nil"/>
              <w:tr2bl w:val="nil"/>
            </w:tcBorders>
            <w:shd w:val="clear" w:color="auto" w:fill="auto"/>
            <w:vAlign w:val="center"/>
          </w:tcPr>
          <w:p w14:paraId="14743C3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lang w:val="en-US" w:eastAsia="zh-CN"/>
              </w:rPr>
            </w:pPr>
          </w:p>
        </w:tc>
        <w:tc>
          <w:tcPr>
            <w:tcW w:w="823" w:type="dxa"/>
            <w:tcBorders>
              <w:tl2br w:val="nil"/>
              <w:tr2bl w:val="nil"/>
            </w:tcBorders>
            <w:shd w:val="clear" w:color="auto" w:fill="auto"/>
            <w:vAlign w:val="center"/>
          </w:tcPr>
          <w:p w14:paraId="2EBFE8A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lang w:val="en-US" w:eastAsia="zh-CN"/>
              </w:rPr>
            </w:pPr>
            <w:r>
              <w:rPr>
                <w:rFonts w:hint="eastAsia" w:ascii="仿宋_GB2312" w:hAnsi="宋体" w:eastAsia="仿宋_GB2312"/>
                <w:color w:val="auto"/>
                <w:kern w:val="0"/>
                <w:sz w:val="13"/>
                <w:szCs w:val="13"/>
                <w:highlight w:val="none"/>
              </w:rPr>
              <w:t>一般情节</w:t>
            </w:r>
          </w:p>
        </w:tc>
        <w:tc>
          <w:tcPr>
            <w:tcW w:w="3437" w:type="dxa"/>
            <w:gridSpan w:val="2"/>
            <w:tcBorders>
              <w:tl2br w:val="nil"/>
              <w:tr2bl w:val="nil"/>
            </w:tcBorders>
            <w:shd w:val="clear" w:color="auto" w:fill="auto"/>
            <w:vAlign w:val="center"/>
          </w:tcPr>
          <w:p w14:paraId="0B60BCE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lang w:val="en-US" w:eastAsia="zh-CN"/>
              </w:rPr>
            </w:pPr>
            <w:r>
              <w:rPr>
                <w:rFonts w:hint="eastAsia" w:ascii="仿宋_GB2312" w:hAnsi="宋体" w:eastAsia="仿宋_GB2312"/>
                <w:color w:val="auto"/>
                <w:kern w:val="0"/>
                <w:sz w:val="13"/>
                <w:szCs w:val="13"/>
                <w:highlight w:val="none"/>
              </w:rPr>
              <w:t>不具有从轻、从重情节的。</w:t>
            </w:r>
          </w:p>
        </w:tc>
        <w:tc>
          <w:tcPr>
            <w:tcW w:w="3058" w:type="dxa"/>
            <w:tcBorders>
              <w:tl2br w:val="nil"/>
              <w:tr2bl w:val="nil"/>
            </w:tcBorders>
            <w:shd w:val="clear" w:color="auto" w:fill="auto"/>
            <w:vAlign w:val="top"/>
          </w:tcPr>
          <w:p w14:paraId="768E58A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lang w:val="en-US" w:eastAsia="zh-CN"/>
              </w:rPr>
            </w:pPr>
            <w:r>
              <w:rPr>
                <w:rFonts w:hint="eastAsia" w:ascii="仿宋_GB2312" w:hAnsi="宋体" w:eastAsia="仿宋_GB2312"/>
                <w:color w:val="auto"/>
                <w:kern w:val="0"/>
                <w:sz w:val="13"/>
                <w:szCs w:val="13"/>
                <w:highlight w:val="none"/>
              </w:rPr>
              <w:t>责令改正，处15万元以上25万元以下罚款；对其直接负责的主管人员和其他直接责任人员处单位罚款数额6.5%以上8.5%以下的罚款</w:t>
            </w:r>
          </w:p>
        </w:tc>
      </w:tr>
      <w:tr w14:paraId="00C8FB9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4" w:hRule="atLeast"/>
          <w:jc w:val="center"/>
        </w:trPr>
        <w:tc>
          <w:tcPr>
            <w:tcW w:w="443" w:type="dxa"/>
            <w:gridSpan w:val="2"/>
            <w:vMerge w:val="continue"/>
            <w:tcBorders>
              <w:tl2br w:val="nil"/>
              <w:tr2bl w:val="nil"/>
            </w:tcBorders>
            <w:vAlign w:val="center"/>
          </w:tcPr>
          <w:p w14:paraId="1B755671">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仿宋_GB2312"/>
                <w:i w:val="0"/>
                <w:color w:val="auto"/>
                <w:kern w:val="0"/>
                <w:sz w:val="13"/>
                <w:szCs w:val="13"/>
                <w:highlight w:val="none"/>
                <w:u w:val="none"/>
                <w:lang w:val="en-US" w:eastAsia="zh-CN" w:bidi="ar"/>
              </w:rPr>
            </w:pPr>
          </w:p>
        </w:tc>
        <w:tc>
          <w:tcPr>
            <w:tcW w:w="1550" w:type="dxa"/>
            <w:vMerge w:val="continue"/>
            <w:tcBorders>
              <w:tl2br w:val="nil"/>
              <w:tr2bl w:val="nil"/>
            </w:tcBorders>
            <w:shd w:val="clear" w:color="auto" w:fill="auto"/>
            <w:vAlign w:val="center"/>
          </w:tcPr>
          <w:p w14:paraId="361FF77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lang w:val="en-US" w:eastAsia="zh-CN"/>
              </w:rPr>
            </w:pPr>
          </w:p>
        </w:tc>
        <w:tc>
          <w:tcPr>
            <w:tcW w:w="4820" w:type="dxa"/>
            <w:vMerge w:val="continue"/>
            <w:tcBorders>
              <w:tl2br w:val="nil"/>
              <w:tr2bl w:val="nil"/>
            </w:tcBorders>
            <w:shd w:val="clear" w:color="auto" w:fill="auto"/>
            <w:vAlign w:val="center"/>
          </w:tcPr>
          <w:p w14:paraId="72DE436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lang w:val="en-US" w:eastAsia="zh-CN"/>
              </w:rPr>
            </w:pPr>
          </w:p>
        </w:tc>
        <w:tc>
          <w:tcPr>
            <w:tcW w:w="823" w:type="dxa"/>
            <w:vMerge w:val="restart"/>
            <w:tcBorders>
              <w:tl2br w:val="nil"/>
              <w:tr2bl w:val="nil"/>
            </w:tcBorders>
            <w:shd w:val="clear" w:color="auto" w:fill="auto"/>
            <w:vAlign w:val="center"/>
          </w:tcPr>
          <w:p w14:paraId="1F93CB5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lang w:val="en-US" w:eastAsia="zh-CN"/>
              </w:rPr>
            </w:pPr>
            <w:r>
              <w:rPr>
                <w:rFonts w:hint="eastAsia" w:ascii="仿宋_GB2312" w:hAnsi="宋体" w:eastAsia="仿宋_GB2312"/>
                <w:color w:val="auto"/>
                <w:kern w:val="0"/>
                <w:sz w:val="13"/>
                <w:szCs w:val="13"/>
                <w:highlight w:val="none"/>
              </w:rPr>
              <w:t>从重情节</w:t>
            </w:r>
          </w:p>
        </w:tc>
        <w:tc>
          <w:tcPr>
            <w:tcW w:w="3437" w:type="dxa"/>
            <w:gridSpan w:val="2"/>
            <w:tcBorders>
              <w:tl2br w:val="nil"/>
              <w:tr2bl w:val="nil"/>
            </w:tcBorders>
            <w:shd w:val="clear" w:color="auto" w:fill="auto"/>
            <w:vAlign w:val="center"/>
          </w:tcPr>
          <w:p w14:paraId="412F4FE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lang w:val="en-US" w:eastAsia="zh-CN"/>
              </w:rPr>
            </w:pPr>
            <w:r>
              <w:rPr>
                <w:rFonts w:hint="eastAsia" w:ascii="仿宋_GB2312" w:hAnsi="宋体" w:eastAsia="仿宋_GB2312"/>
                <w:color w:val="auto"/>
                <w:kern w:val="0"/>
                <w:sz w:val="13"/>
                <w:szCs w:val="13"/>
                <w:highlight w:val="none"/>
              </w:rPr>
              <w:t>拒不改正的；工程位于地震重点监视防御区的</w:t>
            </w:r>
          </w:p>
        </w:tc>
        <w:tc>
          <w:tcPr>
            <w:tcW w:w="3058" w:type="dxa"/>
            <w:tcBorders>
              <w:tl2br w:val="nil"/>
              <w:tr2bl w:val="nil"/>
            </w:tcBorders>
            <w:shd w:val="clear" w:color="auto" w:fill="auto"/>
            <w:vAlign w:val="top"/>
          </w:tcPr>
          <w:p w14:paraId="1A04C19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lang w:val="en-US" w:eastAsia="zh-CN"/>
              </w:rPr>
            </w:pPr>
            <w:r>
              <w:rPr>
                <w:rFonts w:hint="eastAsia" w:ascii="仿宋_GB2312" w:hAnsi="宋体" w:eastAsia="仿宋_GB2312"/>
                <w:color w:val="auto"/>
                <w:kern w:val="0"/>
                <w:sz w:val="13"/>
                <w:szCs w:val="13"/>
                <w:highlight w:val="none"/>
              </w:rPr>
              <w:t>责令改正，处25万元以上30万元以下罚款；责令停业整顿</w:t>
            </w:r>
            <w:r>
              <w:rPr>
                <w:rFonts w:hint="eastAsia" w:ascii="仿宋_GB2312" w:hAnsi="宋体" w:eastAsia="仿宋_GB2312"/>
                <w:color w:val="auto"/>
                <w:kern w:val="0"/>
                <w:sz w:val="13"/>
                <w:szCs w:val="13"/>
                <w:highlight w:val="none"/>
                <w:lang w:eastAsia="zh-CN"/>
              </w:rPr>
              <w:t>30日-</w:t>
            </w:r>
            <w:r>
              <w:rPr>
                <w:rFonts w:hint="eastAsia" w:ascii="仿宋_GB2312" w:hAnsi="宋体" w:eastAsia="仿宋_GB2312"/>
                <w:color w:val="auto"/>
                <w:kern w:val="0"/>
                <w:sz w:val="13"/>
                <w:szCs w:val="13"/>
                <w:highlight w:val="none"/>
              </w:rPr>
              <w:t>60日；对其直接负责的主管人员和其他直接责任人员处单位罚款数额8.5%以上10%以下的罚款</w:t>
            </w:r>
          </w:p>
        </w:tc>
      </w:tr>
      <w:tr w14:paraId="2F2411F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4" w:hRule="atLeast"/>
          <w:jc w:val="center"/>
        </w:trPr>
        <w:tc>
          <w:tcPr>
            <w:tcW w:w="443" w:type="dxa"/>
            <w:gridSpan w:val="2"/>
            <w:vMerge w:val="continue"/>
            <w:tcBorders>
              <w:tl2br w:val="nil"/>
              <w:tr2bl w:val="nil"/>
            </w:tcBorders>
            <w:vAlign w:val="center"/>
          </w:tcPr>
          <w:p w14:paraId="0A507332">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仿宋_GB2312"/>
                <w:i w:val="0"/>
                <w:color w:val="auto"/>
                <w:kern w:val="0"/>
                <w:sz w:val="13"/>
                <w:szCs w:val="13"/>
                <w:highlight w:val="none"/>
                <w:u w:val="none"/>
                <w:lang w:val="en-US" w:eastAsia="zh-CN" w:bidi="ar"/>
              </w:rPr>
            </w:pPr>
          </w:p>
        </w:tc>
        <w:tc>
          <w:tcPr>
            <w:tcW w:w="1550" w:type="dxa"/>
            <w:vMerge w:val="continue"/>
            <w:tcBorders>
              <w:tl2br w:val="nil"/>
              <w:tr2bl w:val="nil"/>
            </w:tcBorders>
            <w:shd w:val="clear" w:color="auto" w:fill="auto"/>
            <w:vAlign w:val="center"/>
          </w:tcPr>
          <w:p w14:paraId="5C638E7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lang w:val="en-US" w:eastAsia="zh-CN"/>
              </w:rPr>
            </w:pPr>
          </w:p>
        </w:tc>
        <w:tc>
          <w:tcPr>
            <w:tcW w:w="4820" w:type="dxa"/>
            <w:vMerge w:val="continue"/>
            <w:tcBorders>
              <w:tl2br w:val="nil"/>
              <w:tr2bl w:val="nil"/>
            </w:tcBorders>
            <w:shd w:val="clear" w:color="auto" w:fill="auto"/>
            <w:vAlign w:val="center"/>
          </w:tcPr>
          <w:p w14:paraId="5A39558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lang w:val="en-US" w:eastAsia="zh-CN"/>
              </w:rPr>
            </w:pPr>
          </w:p>
        </w:tc>
        <w:tc>
          <w:tcPr>
            <w:tcW w:w="823" w:type="dxa"/>
            <w:vMerge w:val="continue"/>
            <w:tcBorders>
              <w:tl2br w:val="nil"/>
              <w:tr2bl w:val="nil"/>
            </w:tcBorders>
            <w:shd w:val="clear" w:color="auto" w:fill="auto"/>
            <w:vAlign w:val="center"/>
          </w:tcPr>
          <w:p w14:paraId="4BB0F18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lang w:val="en-US" w:eastAsia="zh-CN"/>
              </w:rPr>
            </w:pPr>
          </w:p>
        </w:tc>
        <w:tc>
          <w:tcPr>
            <w:tcW w:w="3437" w:type="dxa"/>
            <w:gridSpan w:val="2"/>
            <w:tcBorders>
              <w:tl2br w:val="nil"/>
              <w:tr2bl w:val="nil"/>
            </w:tcBorders>
            <w:shd w:val="clear" w:color="auto" w:fill="auto"/>
            <w:vAlign w:val="center"/>
          </w:tcPr>
          <w:p w14:paraId="6BB5491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lang w:val="en-US" w:eastAsia="zh-CN"/>
              </w:rPr>
            </w:pPr>
            <w:r>
              <w:rPr>
                <w:rFonts w:hint="eastAsia" w:ascii="仿宋_GB2312" w:hAnsi="宋体" w:eastAsia="仿宋_GB2312"/>
                <w:color w:val="auto"/>
                <w:kern w:val="0"/>
                <w:sz w:val="13"/>
                <w:szCs w:val="13"/>
                <w:highlight w:val="none"/>
              </w:rPr>
              <w:t>导致严重抗震安全隐患，能通过抗震加固满足抗震安全性能的</w:t>
            </w:r>
          </w:p>
        </w:tc>
        <w:tc>
          <w:tcPr>
            <w:tcW w:w="3058" w:type="dxa"/>
            <w:tcBorders>
              <w:tl2br w:val="nil"/>
              <w:tr2bl w:val="nil"/>
            </w:tcBorders>
            <w:shd w:val="clear" w:color="auto" w:fill="auto"/>
            <w:vAlign w:val="top"/>
          </w:tcPr>
          <w:p w14:paraId="0356E30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lang w:val="en-US" w:eastAsia="zh-CN"/>
              </w:rPr>
            </w:pPr>
            <w:r>
              <w:rPr>
                <w:rFonts w:hint="eastAsia" w:ascii="仿宋_GB2312" w:hAnsi="宋体" w:eastAsia="仿宋_GB2312"/>
                <w:color w:val="auto"/>
                <w:kern w:val="0"/>
                <w:sz w:val="13"/>
                <w:szCs w:val="13"/>
                <w:highlight w:val="none"/>
              </w:rPr>
              <w:t>责令改正，处30万元的罚款；降低资质等级；对其直接负责的主管人员和其他直接责任人员处单位罚款数额8.5%以上10%以下的罚款</w:t>
            </w:r>
          </w:p>
        </w:tc>
      </w:tr>
      <w:tr w14:paraId="3E9D0E6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4" w:hRule="atLeast"/>
          <w:jc w:val="center"/>
        </w:trPr>
        <w:tc>
          <w:tcPr>
            <w:tcW w:w="443" w:type="dxa"/>
            <w:gridSpan w:val="2"/>
            <w:vMerge w:val="continue"/>
            <w:tcBorders>
              <w:tl2br w:val="nil"/>
              <w:tr2bl w:val="nil"/>
            </w:tcBorders>
            <w:vAlign w:val="center"/>
          </w:tcPr>
          <w:p w14:paraId="0458A12A">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仿宋_GB2312"/>
                <w:i w:val="0"/>
                <w:color w:val="auto"/>
                <w:kern w:val="0"/>
                <w:sz w:val="13"/>
                <w:szCs w:val="13"/>
                <w:highlight w:val="none"/>
                <w:u w:val="none"/>
                <w:lang w:val="en-US" w:eastAsia="zh-CN" w:bidi="ar"/>
              </w:rPr>
            </w:pPr>
          </w:p>
        </w:tc>
        <w:tc>
          <w:tcPr>
            <w:tcW w:w="1550" w:type="dxa"/>
            <w:vMerge w:val="continue"/>
            <w:tcBorders>
              <w:tl2br w:val="nil"/>
              <w:tr2bl w:val="nil"/>
            </w:tcBorders>
            <w:shd w:val="clear" w:color="auto" w:fill="auto"/>
            <w:vAlign w:val="center"/>
          </w:tcPr>
          <w:p w14:paraId="4D17C0A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lang w:val="en-US" w:eastAsia="zh-CN"/>
              </w:rPr>
            </w:pPr>
          </w:p>
        </w:tc>
        <w:tc>
          <w:tcPr>
            <w:tcW w:w="4820" w:type="dxa"/>
            <w:vMerge w:val="continue"/>
            <w:tcBorders>
              <w:tl2br w:val="nil"/>
              <w:tr2bl w:val="nil"/>
            </w:tcBorders>
            <w:shd w:val="clear" w:color="auto" w:fill="auto"/>
            <w:vAlign w:val="center"/>
          </w:tcPr>
          <w:p w14:paraId="3A4C756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lang w:val="en-US" w:eastAsia="zh-CN"/>
              </w:rPr>
            </w:pPr>
          </w:p>
        </w:tc>
        <w:tc>
          <w:tcPr>
            <w:tcW w:w="823" w:type="dxa"/>
            <w:vMerge w:val="continue"/>
            <w:tcBorders>
              <w:tl2br w:val="nil"/>
              <w:tr2bl w:val="nil"/>
            </w:tcBorders>
            <w:shd w:val="clear" w:color="auto" w:fill="auto"/>
            <w:vAlign w:val="center"/>
          </w:tcPr>
          <w:p w14:paraId="1662B48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lang w:val="en-US" w:eastAsia="zh-CN"/>
              </w:rPr>
            </w:pPr>
          </w:p>
        </w:tc>
        <w:tc>
          <w:tcPr>
            <w:tcW w:w="3437" w:type="dxa"/>
            <w:gridSpan w:val="2"/>
            <w:tcBorders>
              <w:tl2br w:val="nil"/>
              <w:tr2bl w:val="nil"/>
            </w:tcBorders>
            <w:shd w:val="clear" w:color="auto" w:fill="auto"/>
            <w:vAlign w:val="center"/>
          </w:tcPr>
          <w:p w14:paraId="7990285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lang w:val="en-US" w:eastAsia="zh-CN"/>
              </w:rPr>
            </w:pPr>
            <w:r>
              <w:rPr>
                <w:rFonts w:hint="eastAsia" w:ascii="仿宋_GB2312" w:hAnsi="宋体" w:eastAsia="仿宋_GB2312"/>
                <w:color w:val="auto"/>
                <w:kern w:val="0"/>
                <w:sz w:val="13"/>
                <w:szCs w:val="13"/>
                <w:highlight w:val="none"/>
              </w:rPr>
              <w:t>导致严重抗震安全隐患，不能通过抗震加固满足抗震安全性能的；造成其他严重危害后果的</w:t>
            </w:r>
          </w:p>
        </w:tc>
        <w:tc>
          <w:tcPr>
            <w:tcW w:w="3058" w:type="dxa"/>
            <w:tcBorders>
              <w:tl2br w:val="nil"/>
              <w:tr2bl w:val="nil"/>
            </w:tcBorders>
            <w:shd w:val="clear" w:color="auto" w:fill="auto"/>
            <w:vAlign w:val="top"/>
          </w:tcPr>
          <w:p w14:paraId="07983D2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lang w:val="en-US" w:eastAsia="zh-CN"/>
              </w:rPr>
            </w:pPr>
            <w:r>
              <w:rPr>
                <w:rFonts w:hint="eastAsia" w:ascii="仿宋_GB2312" w:hAnsi="宋体" w:eastAsia="仿宋_GB2312"/>
                <w:color w:val="auto"/>
                <w:kern w:val="0"/>
                <w:sz w:val="13"/>
                <w:szCs w:val="13"/>
                <w:highlight w:val="none"/>
              </w:rPr>
              <w:t>责令改正，处30万元的罚款；吊销资质证书；对其直接负责的主管人员和其他直接责任人员处单位罚款数额8.5%以上10%以下的罚款</w:t>
            </w:r>
          </w:p>
        </w:tc>
      </w:tr>
      <w:tr w14:paraId="1C1B9DE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4" w:hRule="atLeast"/>
          <w:jc w:val="center"/>
        </w:trPr>
        <w:tc>
          <w:tcPr>
            <w:tcW w:w="443" w:type="dxa"/>
            <w:gridSpan w:val="2"/>
            <w:vMerge w:val="restart"/>
            <w:tcBorders>
              <w:tl2br w:val="nil"/>
              <w:tr2bl w:val="nil"/>
            </w:tcBorders>
            <w:vAlign w:val="center"/>
          </w:tcPr>
          <w:p w14:paraId="7B74B234">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仿宋_GB2312"/>
                <w:i w:val="0"/>
                <w:color w:val="auto"/>
                <w:kern w:val="0"/>
                <w:sz w:val="13"/>
                <w:szCs w:val="13"/>
                <w:highlight w:val="none"/>
                <w:u w:val="none"/>
                <w:lang w:val="en-US" w:eastAsia="zh-CN" w:bidi="ar"/>
              </w:rPr>
            </w:pPr>
            <w:r>
              <w:rPr>
                <w:rFonts w:hint="eastAsia" w:ascii="仿宋_GB2312" w:hAnsi="宋体" w:eastAsia="仿宋_GB2312" w:cs="仿宋_GB2312"/>
                <w:i w:val="0"/>
                <w:color w:val="auto"/>
                <w:kern w:val="0"/>
                <w:sz w:val="13"/>
                <w:szCs w:val="13"/>
                <w:highlight w:val="none"/>
                <w:u w:val="none"/>
                <w:lang w:val="en-US" w:eastAsia="zh-CN" w:bidi="ar"/>
              </w:rPr>
              <w:t>144</w:t>
            </w:r>
          </w:p>
        </w:tc>
        <w:tc>
          <w:tcPr>
            <w:tcW w:w="1550" w:type="dxa"/>
            <w:vMerge w:val="restart"/>
            <w:tcBorders>
              <w:tl2br w:val="nil"/>
              <w:tr2bl w:val="nil"/>
            </w:tcBorders>
            <w:shd w:val="clear" w:color="auto" w:fill="auto"/>
            <w:vAlign w:val="center"/>
          </w:tcPr>
          <w:p w14:paraId="7B15923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lang w:val="en-US" w:eastAsia="zh-CN"/>
              </w:rPr>
            </w:pPr>
            <w:r>
              <w:rPr>
                <w:rFonts w:hint="eastAsia" w:ascii="仿宋_GB2312" w:hAnsi="宋体" w:eastAsia="仿宋_GB2312"/>
                <w:color w:val="auto"/>
                <w:kern w:val="0"/>
                <w:sz w:val="13"/>
                <w:szCs w:val="13"/>
                <w:highlight w:val="none"/>
              </w:rPr>
              <w:t>设计单位未在初步设计阶段将建设工程抗震设防专篇作为设计文件组成部分的</w:t>
            </w:r>
          </w:p>
        </w:tc>
        <w:tc>
          <w:tcPr>
            <w:tcW w:w="4820" w:type="dxa"/>
            <w:vMerge w:val="restart"/>
            <w:tcBorders>
              <w:tl2br w:val="nil"/>
              <w:tr2bl w:val="nil"/>
            </w:tcBorders>
            <w:shd w:val="clear" w:color="auto" w:fill="auto"/>
            <w:vAlign w:val="center"/>
          </w:tcPr>
          <w:p w14:paraId="672EB75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建设工程抗震管理条例》第四十一条：违反本条例规定，设计单位有下列行为之一的，责令改正，处10万元以上30万元以下的罚款；情节严重的，责令停业整顿，降低资质等级或者吊销资质证书；造成损失的，依法承担赔偿责任：</w:t>
            </w:r>
          </w:p>
          <w:p w14:paraId="0A7CDA7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（二）未在初步设计阶段将建设工程抗震设防专篇作为设计文件组成部分；</w:t>
            </w:r>
          </w:p>
          <w:p w14:paraId="08DFA37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lang w:val="en-US" w:eastAsia="zh-CN"/>
              </w:rPr>
            </w:pPr>
            <w:r>
              <w:rPr>
                <w:rFonts w:hint="eastAsia" w:ascii="仿宋_GB2312" w:hAnsi="宋体" w:eastAsia="仿宋_GB2312"/>
                <w:color w:val="auto"/>
                <w:kern w:val="0"/>
                <w:sz w:val="13"/>
                <w:szCs w:val="13"/>
                <w:highlight w:val="none"/>
              </w:rPr>
              <w:t>第四十七条依照本条例规定，给予单位罚款处罚的，对其直接负责的主管人员和其他直接责任人员处单位罚款数额5%以上10%以下的罚款。</w:t>
            </w:r>
          </w:p>
        </w:tc>
        <w:tc>
          <w:tcPr>
            <w:tcW w:w="823" w:type="dxa"/>
            <w:tcBorders>
              <w:tl2br w:val="nil"/>
              <w:tr2bl w:val="nil"/>
            </w:tcBorders>
            <w:shd w:val="clear" w:color="auto" w:fill="auto"/>
            <w:vAlign w:val="center"/>
          </w:tcPr>
          <w:p w14:paraId="0C47DC9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lang w:val="en-US" w:eastAsia="zh-CN"/>
              </w:rPr>
            </w:pPr>
            <w:r>
              <w:rPr>
                <w:rFonts w:hint="eastAsia" w:ascii="仿宋_GB2312" w:hAnsi="宋体" w:eastAsia="仿宋_GB2312"/>
                <w:color w:val="auto"/>
                <w:kern w:val="0"/>
                <w:sz w:val="13"/>
                <w:szCs w:val="13"/>
                <w:highlight w:val="none"/>
              </w:rPr>
              <w:t>从轻情节</w:t>
            </w:r>
          </w:p>
        </w:tc>
        <w:tc>
          <w:tcPr>
            <w:tcW w:w="3437" w:type="dxa"/>
            <w:gridSpan w:val="2"/>
            <w:tcBorders>
              <w:tl2br w:val="nil"/>
              <w:tr2bl w:val="nil"/>
            </w:tcBorders>
            <w:shd w:val="clear" w:color="auto" w:fill="auto"/>
            <w:vAlign w:val="center"/>
          </w:tcPr>
          <w:p w14:paraId="37FDB7F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lang w:val="en-US" w:eastAsia="zh-CN"/>
              </w:rPr>
            </w:pPr>
            <w:r>
              <w:rPr>
                <w:rFonts w:hint="eastAsia" w:ascii="仿宋_GB2312" w:hAnsi="宋体" w:eastAsia="仿宋_GB2312"/>
                <w:color w:val="auto"/>
                <w:kern w:val="0"/>
                <w:sz w:val="13"/>
                <w:szCs w:val="13"/>
                <w:highlight w:val="none"/>
              </w:rPr>
              <w:t>初次违法，危害后果轻微，主动除或减轻违法行为危害后果的。</w:t>
            </w:r>
          </w:p>
        </w:tc>
        <w:tc>
          <w:tcPr>
            <w:tcW w:w="3058" w:type="dxa"/>
            <w:tcBorders>
              <w:tl2br w:val="nil"/>
              <w:tr2bl w:val="nil"/>
            </w:tcBorders>
            <w:shd w:val="clear" w:color="auto" w:fill="auto"/>
            <w:vAlign w:val="top"/>
          </w:tcPr>
          <w:p w14:paraId="6BAB156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lang w:val="en-US" w:eastAsia="zh-CN"/>
              </w:rPr>
            </w:pPr>
            <w:r>
              <w:rPr>
                <w:rFonts w:hint="eastAsia" w:ascii="仿宋_GB2312" w:hAnsi="宋体" w:eastAsia="仿宋_GB2312"/>
                <w:color w:val="auto"/>
                <w:kern w:val="0"/>
                <w:sz w:val="13"/>
                <w:szCs w:val="13"/>
                <w:highlight w:val="none"/>
              </w:rPr>
              <w:t>责令改正，处10万元以上15元以下罚款；对其直接负责的主管人员和其他直接责任人员处单位罚款数额5%以上6.5%以下的罚款</w:t>
            </w:r>
          </w:p>
        </w:tc>
      </w:tr>
      <w:tr w14:paraId="41B19E7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4" w:hRule="atLeast"/>
          <w:jc w:val="center"/>
        </w:trPr>
        <w:tc>
          <w:tcPr>
            <w:tcW w:w="443" w:type="dxa"/>
            <w:gridSpan w:val="2"/>
            <w:vMerge w:val="continue"/>
            <w:tcBorders>
              <w:tl2br w:val="nil"/>
              <w:tr2bl w:val="nil"/>
            </w:tcBorders>
            <w:vAlign w:val="center"/>
          </w:tcPr>
          <w:p w14:paraId="5BB4C18B">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仿宋_GB2312"/>
                <w:i w:val="0"/>
                <w:color w:val="auto"/>
                <w:kern w:val="0"/>
                <w:sz w:val="13"/>
                <w:szCs w:val="13"/>
                <w:highlight w:val="none"/>
                <w:u w:val="none"/>
                <w:lang w:val="en-US" w:eastAsia="zh-CN" w:bidi="ar"/>
              </w:rPr>
            </w:pPr>
          </w:p>
        </w:tc>
        <w:tc>
          <w:tcPr>
            <w:tcW w:w="1550" w:type="dxa"/>
            <w:vMerge w:val="continue"/>
            <w:tcBorders>
              <w:tl2br w:val="nil"/>
              <w:tr2bl w:val="nil"/>
            </w:tcBorders>
            <w:shd w:val="clear" w:color="auto" w:fill="auto"/>
            <w:vAlign w:val="center"/>
          </w:tcPr>
          <w:p w14:paraId="75D1551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lang w:val="en-US" w:eastAsia="zh-CN"/>
              </w:rPr>
            </w:pPr>
          </w:p>
        </w:tc>
        <w:tc>
          <w:tcPr>
            <w:tcW w:w="4820" w:type="dxa"/>
            <w:vMerge w:val="continue"/>
            <w:tcBorders>
              <w:tl2br w:val="nil"/>
              <w:tr2bl w:val="nil"/>
            </w:tcBorders>
            <w:shd w:val="clear" w:color="auto" w:fill="auto"/>
            <w:vAlign w:val="center"/>
          </w:tcPr>
          <w:p w14:paraId="160E08A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lang w:val="en-US" w:eastAsia="zh-CN"/>
              </w:rPr>
            </w:pPr>
          </w:p>
        </w:tc>
        <w:tc>
          <w:tcPr>
            <w:tcW w:w="823" w:type="dxa"/>
            <w:tcBorders>
              <w:tl2br w:val="nil"/>
              <w:tr2bl w:val="nil"/>
            </w:tcBorders>
            <w:shd w:val="clear" w:color="auto" w:fill="auto"/>
            <w:vAlign w:val="center"/>
          </w:tcPr>
          <w:p w14:paraId="4C10191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lang w:val="en-US" w:eastAsia="zh-CN"/>
              </w:rPr>
            </w:pPr>
            <w:r>
              <w:rPr>
                <w:rFonts w:hint="eastAsia" w:ascii="仿宋_GB2312" w:hAnsi="宋体" w:eastAsia="仿宋_GB2312"/>
                <w:color w:val="auto"/>
                <w:kern w:val="0"/>
                <w:sz w:val="13"/>
                <w:szCs w:val="13"/>
                <w:highlight w:val="none"/>
              </w:rPr>
              <w:t>一般情节</w:t>
            </w:r>
          </w:p>
        </w:tc>
        <w:tc>
          <w:tcPr>
            <w:tcW w:w="3437" w:type="dxa"/>
            <w:gridSpan w:val="2"/>
            <w:tcBorders>
              <w:tl2br w:val="nil"/>
              <w:tr2bl w:val="nil"/>
            </w:tcBorders>
            <w:shd w:val="clear" w:color="auto" w:fill="auto"/>
            <w:vAlign w:val="center"/>
          </w:tcPr>
          <w:p w14:paraId="5652355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lang w:val="en-US" w:eastAsia="zh-CN"/>
              </w:rPr>
            </w:pPr>
            <w:r>
              <w:rPr>
                <w:rFonts w:hint="eastAsia" w:ascii="仿宋_GB2312" w:hAnsi="宋体" w:eastAsia="仿宋_GB2312"/>
                <w:color w:val="auto"/>
                <w:kern w:val="0"/>
                <w:sz w:val="13"/>
                <w:szCs w:val="13"/>
                <w:highlight w:val="none"/>
              </w:rPr>
              <w:t>不具有从轻、从重情节的。</w:t>
            </w:r>
          </w:p>
        </w:tc>
        <w:tc>
          <w:tcPr>
            <w:tcW w:w="3058" w:type="dxa"/>
            <w:tcBorders>
              <w:tl2br w:val="nil"/>
              <w:tr2bl w:val="nil"/>
            </w:tcBorders>
            <w:shd w:val="clear" w:color="auto" w:fill="auto"/>
            <w:vAlign w:val="top"/>
          </w:tcPr>
          <w:p w14:paraId="2B3539D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lang w:val="en-US" w:eastAsia="zh-CN"/>
              </w:rPr>
            </w:pPr>
            <w:r>
              <w:rPr>
                <w:rFonts w:hint="eastAsia" w:ascii="仿宋_GB2312" w:hAnsi="宋体" w:eastAsia="仿宋_GB2312"/>
                <w:color w:val="auto"/>
                <w:kern w:val="0"/>
                <w:sz w:val="13"/>
                <w:szCs w:val="13"/>
                <w:highlight w:val="none"/>
              </w:rPr>
              <w:t>责令改正，处15万元以上25元以下罚款；对其直接负责的主管人员和其他直接责任人员处单位罚款数额6.5%以上8.5%以下的罚款</w:t>
            </w:r>
          </w:p>
        </w:tc>
      </w:tr>
      <w:tr w14:paraId="1F8A521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4" w:hRule="atLeast"/>
          <w:jc w:val="center"/>
        </w:trPr>
        <w:tc>
          <w:tcPr>
            <w:tcW w:w="443" w:type="dxa"/>
            <w:gridSpan w:val="2"/>
            <w:vMerge w:val="continue"/>
            <w:tcBorders>
              <w:tl2br w:val="nil"/>
              <w:tr2bl w:val="nil"/>
            </w:tcBorders>
            <w:vAlign w:val="center"/>
          </w:tcPr>
          <w:p w14:paraId="78DCA42B">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仿宋_GB2312"/>
                <w:i w:val="0"/>
                <w:color w:val="auto"/>
                <w:kern w:val="0"/>
                <w:sz w:val="13"/>
                <w:szCs w:val="13"/>
                <w:highlight w:val="none"/>
                <w:u w:val="none"/>
                <w:lang w:val="en-US" w:eastAsia="zh-CN" w:bidi="ar"/>
              </w:rPr>
            </w:pPr>
          </w:p>
        </w:tc>
        <w:tc>
          <w:tcPr>
            <w:tcW w:w="1550" w:type="dxa"/>
            <w:vMerge w:val="continue"/>
            <w:tcBorders>
              <w:tl2br w:val="nil"/>
              <w:tr2bl w:val="nil"/>
            </w:tcBorders>
            <w:shd w:val="clear" w:color="auto" w:fill="auto"/>
            <w:vAlign w:val="center"/>
          </w:tcPr>
          <w:p w14:paraId="22C2C6C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lang w:val="en-US" w:eastAsia="zh-CN"/>
              </w:rPr>
            </w:pPr>
          </w:p>
        </w:tc>
        <w:tc>
          <w:tcPr>
            <w:tcW w:w="4820" w:type="dxa"/>
            <w:vMerge w:val="continue"/>
            <w:tcBorders>
              <w:tl2br w:val="nil"/>
              <w:tr2bl w:val="nil"/>
            </w:tcBorders>
            <w:shd w:val="clear" w:color="auto" w:fill="auto"/>
            <w:vAlign w:val="center"/>
          </w:tcPr>
          <w:p w14:paraId="10C4DCE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lang w:val="en-US" w:eastAsia="zh-CN"/>
              </w:rPr>
            </w:pPr>
          </w:p>
        </w:tc>
        <w:tc>
          <w:tcPr>
            <w:tcW w:w="823" w:type="dxa"/>
            <w:vMerge w:val="restart"/>
            <w:tcBorders>
              <w:tl2br w:val="nil"/>
              <w:tr2bl w:val="nil"/>
            </w:tcBorders>
            <w:shd w:val="clear" w:color="auto" w:fill="auto"/>
            <w:vAlign w:val="center"/>
          </w:tcPr>
          <w:p w14:paraId="2B4C119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lang w:val="en-US" w:eastAsia="zh-CN"/>
              </w:rPr>
            </w:pPr>
            <w:r>
              <w:rPr>
                <w:rFonts w:hint="eastAsia" w:ascii="仿宋_GB2312" w:hAnsi="宋体" w:eastAsia="仿宋_GB2312"/>
                <w:color w:val="auto"/>
                <w:kern w:val="0"/>
                <w:sz w:val="13"/>
                <w:szCs w:val="13"/>
                <w:highlight w:val="none"/>
              </w:rPr>
              <w:t>从重情节</w:t>
            </w:r>
          </w:p>
        </w:tc>
        <w:tc>
          <w:tcPr>
            <w:tcW w:w="3437" w:type="dxa"/>
            <w:gridSpan w:val="2"/>
            <w:tcBorders>
              <w:tl2br w:val="nil"/>
              <w:tr2bl w:val="nil"/>
            </w:tcBorders>
            <w:shd w:val="clear" w:color="auto" w:fill="auto"/>
            <w:vAlign w:val="center"/>
          </w:tcPr>
          <w:p w14:paraId="76DFCC0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lang w:val="en-US" w:eastAsia="zh-CN"/>
              </w:rPr>
            </w:pPr>
            <w:r>
              <w:rPr>
                <w:rFonts w:hint="eastAsia" w:ascii="仿宋_GB2312" w:hAnsi="宋体" w:eastAsia="仿宋_GB2312"/>
                <w:color w:val="auto"/>
                <w:kern w:val="0"/>
                <w:sz w:val="13"/>
                <w:szCs w:val="13"/>
                <w:highlight w:val="none"/>
              </w:rPr>
              <w:t>拒不改正的；工程位于地震重点监视防御区的</w:t>
            </w:r>
          </w:p>
        </w:tc>
        <w:tc>
          <w:tcPr>
            <w:tcW w:w="3058" w:type="dxa"/>
            <w:tcBorders>
              <w:tl2br w:val="nil"/>
              <w:tr2bl w:val="nil"/>
            </w:tcBorders>
            <w:shd w:val="clear" w:color="auto" w:fill="auto"/>
            <w:vAlign w:val="top"/>
          </w:tcPr>
          <w:p w14:paraId="78ECA1B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lang w:val="en-US" w:eastAsia="zh-CN"/>
              </w:rPr>
            </w:pPr>
            <w:r>
              <w:rPr>
                <w:rFonts w:hint="eastAsia" w:ascii="仿宋_GB2312" w:hAnsi="宋体" w:eastAsia="仿宋_GB2312"/>
                <w:color w:val="auto"/>
                <w:kern w:val="0"/>
                <w:sz w:val="13"/>
                <w:szCs w:val="13"/>
                <w:highlight w:val="none"/>
              </w:rPr>
              <w:t>责令改正，处25万元以上30万元以下罚款；责令停业整顿</w:t>
            </w:r>
            <w:r>
              <w:rPr>
                <w:rFonts w:hint="eastAsia" w:ascii="仿宋_GB2312" w:hAnsi="宋体" w:eastAsia="仿宋_GB2312"/>
                <w:color w:val="auto"/>
                <w:kern w:val="0"/>
                <w:sz w:val="13"/>
                <w:szCs w:val="13"/>
                <w:highlight w:val="none"/>
                <w:lang w:eastAsia="zh-CN"/>
              </w:rPr>
              <w:t>30日-</w:t>
            </w:r>
            <w:r>
              <w:rPr>
                <w:rFonts w:hint="eastAsia" w:ascii="仿宋_GB2312" w:hAnsi="宋体" w:eastAsia="仿宋_GB2312"/>
                <w:color w:val="auto"/>
                <w:kern w:val="0"/>
                <w:sz w:val="13"/>
                <w:szCs w:val="13"/>
                <w:highlight w:val="none"/>
              </w:rPr>
              <w:t>60日；对其直接负责的主管人员和其他直接责任人员处单位罚款数额8.5%以上10%以下的罚款</w:t>
            </w:r>
          </w:p>
        </w:tc>
      </w:tr>
      <w:tr w14:paraId="47194D0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4" w:hRule="atLeast"/>
          <w:jc w:val="center"/>
        </w:trPr>
        <w:tc>
          <w:tcPr>
            <w:tcW w:w="443" w:type="dxa"/>
            <w:gridSpan w:val="2"/>
            <w:vMerge w:val="continue"/>
            <w:tcBorders>
              <w:tl2br w:val="nil"/>
              <w:tr2bl w:val="nil"/>
            </w:tcBorders>
            <w:vAlign w:val="center"/>
          </w:tcPr>
          <w:p w14:paraId="2BB06D4F">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仿宋_GB2312"/>
                <w:i w:val="0"/>
                <w:color w:val="auto"/>
                <w:kern w:val="0"/>
                <w:sz w:val="13"/>
                <w:szCs w:val="13"/>
                <w:highlight w:val="none"/>
                <w:u w:val="none"/>
                <w:lang w:val="en-US" w:eastAsia="zh-CN" w:bidi="ar"/>
              </w:rPr>
            </w:pPr>
          </w:p>
        </w:tc>
        <w:tc>
          <w:tcPr>
            <w:tcW w:w="1550" w:type="dxa"/>
            <w:vMerge w:val="continue"/>
            <w:tcBorders>
              <w:tl2br w:val="nil"/>
              <w:tr2bl w:val="nil"/>
            </w:tcBorders>
            <w:shd w:val="clear" w:color="auto" w:fill="auto"/>
            <w:vAlign w:val="center"/>
          </w:tcPr>
          <w:p w14:paraId="3CBA131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lang w:val="en-US" w:eastAsia="zh-CN"/>
              </w:rPr>
            </w:pPr>
          </w:p>
        </w:tc>
        <w:tc>
          <w:tcPr>
            <w:tcW w:w="4820" w:type="dxa"/>
            <w:vMerge w:val="continue"/>
            <w:tcBorders>
              <w:tl2br w:val="nil"/>
              <w:tr2bl w:val="nil"/>
            </w:tcBorders>
            <w:shd w:val="clear" w:color="auto" w:fill="auto"/>
            <w:vAlign w:val="center"/>
          </w:tcPr>
          <w:p w14:paraId="4492D9C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lang w:val="en-US" w:eastAsia="zh-CN"/>
              </w:rPr>
            </w:pPr>
          </w:p>
        </w:tc>
        <w:tc>
          <w:tcPr>
            <w:tcW w:w="823" w:type="dxa"/>
            <w:vMerge w:val="continue"/>
            <w:tcBorders>
              <w:tl2br w:val="nil"/>
              <w:tr2bl w:val="nil"/>
            </w:tcBorders>
            <w:shd w:val="clear" w:color="auto" w:fill="auto"/>
            <w:vAlign w:val="center"/>
          </w:tcPr>
          <w:p w14:paraId="6761485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lang w:val="en-US" w:eastAsia="zh-CN"/>
              </w:rPr>
            </w:pPr>
          </w:p>
        </w:tc>
        <w:tc>
          <w:tcPr>
            <w:tcW w:w="3437" w:type="dxa"/>
            <w:gridSpan w:val="2"/>
            <w:tcBorders>
              <w:tl2br w:val="nil"/>
              <w:tr2bl w:val="nil"/>
            </w:tcBorders>
            <w:shd w:val="clear" w:color="auto" w:fill="auto"/>
            <w:vAlign w:val="center"/>
          </w:tcPr>
          <w:p w14:paraId="01CEAC2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lang w:val="en-US" w:eastAsia="zh-CN"/>
              </w:rPr>
            </w:pPr>
            <w:r>
              <w:rPr>
                <w:rFonts w:hint="eastAsia" w:ascii="仿宋_GB2312" w:hAnsi="宋体" w:eastAsia="仿宋_GB2312"/>
                <w:color w:val="auto"/>
                <w:kern w:val="0"/>
                <w:sz w:val="13"/>
                <w:szCs w:val="13"/>
                <w:highlight w:val="none"/>
              </w:rPr>
              <w:t>导致严重抗震安全隐患，能通过抗震加固满足抗震安全性能的</w:t>
            </w:r>
          </w:p>
        </w:tc>
        <w:tc>
          <w:tcPr>
            <w:tcW w:w="3058" w:type="dxa"/>
            <w:tcBorders>
              <w:tl2br w:val="nil"/>
              <w:tr2bl w:val="nil"/>
            </w:tcBorders>
            <w:shd w:val="clear" w:color="auto" w:fill="auto"/>
            <w:vAlign w:val="top"/>
          </w:tcPr>
          <w:p w14:paraId="66C3364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lang w:val="en-US" w:eastAsia="zh-CN"/>
              </w:rPr>
            </w:pPr>
            <w:r>
              <w:rPr>
                <w:rFonts w:hint="eastAsia" w:ascii="仿宋_GB2312" w:hAnsi="宋体" w:eastAsia="仿宋_GB2312"/>
                <w:color w:val="auto"/>
                <w:kern w:val="0"/>
                <w:sz w:val="13"/>
                <w:szCs w:val="13"/>
                <w:highlight w:val="none"/>
              </w:rPr>
              <w:t>责令改正，处30万元的罚款；降低资质等级；对其直接负责的主管人员和其他直接责任人员处单位罚款数额8.5%以上10%以下的罚款</w:t>
            </w:r>
          </w:p>
        </w:tc>
      </w:tr>
      <w:tr w14:paraId="2C3D218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4" w:hRule="atLeast"/>
          <w:jc w:val="center"/>
        </w:trPr>
        <w:tc>
          <w:tcPr>
            <w:tcW w:w="443" w:type="dxa"/>
            <w:gridSpan w:val="2"/>
            <w:vMerge w:val="continue"/>
            <w:tcBorders>
              <w:tl2br w:val="nil"/>
              <w:tr2bl w:val="nil"/>
            </w:tcBorders>
            <w:vAlign w:val="center"/>
          </w:tcPr>
          <w:p w14:paraId="48E071D8">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仿宋_GB2312"/>
                <w:i w:val="0"/>
                <w:color w:val="auto"/>
                <w:kern w:val="0"/>
                <w:sz w:val="13"/>
                <w:szCs w:val="13"/>
                <w:highlight w:val="none"/>
                <w:u w:val="none"/>
                <w:lang w:val="en-US" w:eastAsia="zh-CN" w:bidi="ar"/>
              </w:rPr>
            </w:pPr>
          </w:p>
        </w:tc>
        <w:tc>
          <w:tcPr>
            <w:tcW w:w="1550" w:type="dxa"/>
            <w:vMerge w:val="continue"/>
            <w:tcBorders>
              <w:tl2br w:val="nil"/>
              <w:tr2bl w:val="nil"/>
            </w:tcBorders>
            <w:shd w:val="clear" w:color="auto" w:fill="auto"/>
            <w:vAlign w:val="center"/>
          </w:tcPr>
          <w:p w14:paraId="53E8C80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lang w:val="en-US" w:eastAsia="zh-CN"/>
              </w:rPr>
            </w:pPr>
          </w:p>
        </w:tc>
        <w:tc>
          <w:tcPr>
            <w:tcW w:w="4820" w:type="dxa"/>
            <w:vMerge w:val="continue"/>
            <w:tcBorders>
              <w:tl2br w:val="nil"/>
              <w:tr2bl w:val="nil"/>
            </w:tcBorders>
            <w:shd w:val="clear" w:color="auto" w:fill="auto"/>
            <w:vAlign w:val="center"/>
          </w:tcPr>
          <w:p w14:paraId="4A22BA6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lang w:val="en-US" w:eastAsia="zh-CN"/>
              </w:rPr>
            </w:pPr>
          </w:p>
        </w:tc>
        <w:tc>
          <w:tcPr>
            <w:tcW w:w="823" w:type="dxa"/>
            <w:vMerge w:val="continue"/>
            <w:tcBorders>
              <w:tl2br w:val="nil"/>
              <w:tr2bl w:val="nil"/>
            </w:tcBorders>
            <w:shd w:val="clear" w:color="auto" w:fill="auto"/>
            <w:vAlign w:val="center"/>
          </w:tcPr>
          <w:p w14:paraId="15C1950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lang w:val="en-US" w:eastAsia="zh-CN"/>
              </w:rPr>
            </w:pPr>
          </w:p>
        </w:tc>
        <w:tc>
          <w:tcPr>
            <w:tcW w:w="3437" w:type="dxa"/>
            <w:gridSpan w:val="2"/>
            <w:tcBorders>
              <w:tl2br w:val="nil"/>
              <w:tr2bl w:val="nil"/>
            </w:tcBorders>
            <w:shd w:val="clear" w:color="auto" w:fill="auto"/>
            <w:vAlign w:val="center"/>
          </w:tcPr>
          <w:p w14:paraId="64E4509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lang w:val="en-US" w:eastAsia="zh-CN"/>
              </w:rPr>
            </w:pPr>
            <w:r>
              <w:rPr>
                <w:rFonts w:hint="eastAsia" w:ascii="仿宋_GB2312" w:hAnsi="宋体" w:eastAsia="仿宋_GB2312"/>
                <w:color w:val="auto"/>
                <w:kern w:val="0"/>
                <w:sz w:val="13"/>
                <w:szCs w:val="13"/>
                <w:highlight w:val="none"/>
              </w:rPr>
              <w:t>导致严重抗震安全隐患，不能通过抗震加固满足抗震安全性能的；造成其他严重危害后果的</w:t>
            </w:r>
          </w:p>
        </w:tc>
        <w:tc>
          <w:tcPr>
            <w:tcW w:w="3058" w:type="dxa"/>
            <w:tcBorders>
              <w:tl2br w:val="nil"/>
              <w:tr2bl w:val="nil"/>
            </w:tcBorders>
            <w:shd w:val="clear" w:color="auto" w:fill="auto"/>
            <w:vAlign w:val="top"/>
          </w:tcPr>
          <w:p w14:paraId="61EFB79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lang w:val="en-US" w:eastAsia="zh-CN"/>
              </w:rPr>
            </w:pPr>
            <w:r>
              <w:rPr>
                <w:rFonts w:hint="eastAsia" w:ascii="仿宋_GB2312" w:hAnsi="宋体" w:eastAsia="仿宋_GB2312"/>
                <w:color w:val="auto"/>
                <w:kern w:val="0"/>
                <w:sz w:val="13"/>
                <w:szCs w:val="13"/>
                <w:highlight w:val="none"/>
              </w:rPr>
              <w:t>责令改正，处30万元的罚款；吊销资质证书；对其直接负责的主管人员和其他直接责任人员处单位罚款数额8.5%以上10%以下的罚款</w:t>
            </w:r>
          </w:p>
        </w:tc>
      </w:tr>
      <w:tr w14:paraId="682B536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4" w:hRule="atLeast"/>
          <w:jc w:val="center"/>
        </w:trPr>
        <w:tc>
          <w:tcPr>
            <w:tcW w:w="443" w:type="dxa"/>
            <w:gridSpan w:val="2"/>
            <w:vMerge w:val="restart"/>
            <w:tcBorders>
              <w:tl2br w:val="nil"/>
              <w:tr2bl w:val="nil"/>
            </w:tcBorders>
            <w:vAlign w:val="center"/>
          </w:tcPr>
          <w:p w14:paraId="3677807C">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仿宋_GB2312"/>
                <w:i w:val="0"/>
                <w:color w:val="auto"/>
                <w:kern w:val="0"/>
                <w:sz w:val="13"/>
                <w:szCs w:val="13"/>
                <w:highlight w:val="none"/>
                <w:u w:val="none"/>
                <w:lang w:val="en-US" w:eastAsia="zh-CN" w:bidi="ar"/>
              </w:rPr>
            </w:pPr>
            <w:r>
              <w:rPr>
                <w:rFonts w:hint="eastAsia" w:ascii="仿宋_GB2312" w:hAnsi="宋体" w:eastAsia="仿宋_GB2312" w:cs="仿宋_GB2312"/>
                <w:i w:val="0"/>
                <w:color w:val="auto"/>
                <w:kern w:val="0"/>
                <w:sz w:val="13"/>
                <w:szCs w:val="13"/>
                <w:highlight w:val="none"/>
                <w:u w:val="none"/>
                <w:lang w:val="en-US" w:eastAsia="zh-CN" w:bidi="ar"/>
              </w:rPr>
              <w:t>145</w:t>
            </w:r>
          </w:p>
        </w:tc>
        <w:tc>
          <w:tcPr>
            <w:tcW w:w="1550" w:type="dxa"/>
            <w:vMerge w:val="restart"/>
            <w:tcBorders>
              <w:tl2br w:val="nil"/>
              <w:tr2bl w:val="nil"/>
            </w:tcBorders>
            <w:shd w:val="clear" w:color="auto" w:fill="auto"/>
            <w:vAlign w:val="center"/>
          </w:tcPr>
          <w:p w14:paraId="028A2AD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lang w:val="en-US" w:eastAsia="zh-CN"/>
              </w:rPr>
            </w:pPr>
            <w:r>
              <w:rPr>
                <w:rFonts w:hint="eastAsia" w:ascii="仿宋_GB2312" w:hAnsi="宋体" w:eastAsia="仿宋_GB2312"/>
                <w:color w:val="auto"/>
                <w:kern w:val="0"/>
                <w:sz w:val="13"/>
                <w:szCs w:val="13"/>
                <w:highlight w:val="none"/>
              </w:rPr>
              <w:t>设计单位未按照抗震设防强制性标准进行设计的</w:t>
            </w:r>
          </w:p>
        </w:tc>
        <w:tc>
          <w:tcPr>
            <w:tcW w:w="4820" w:type="dxa"/>
            <w:vMerge w:val="restart"/>
            <w:tcBorders>
              <w:tl2br w:val="nil"/>
              <w:tr2bl w:val="nil"/>
            </w:tcBorders>
            <w:shd w:val="clear" w:color="auto" w:fill="auto"/>
            <w:vAlign w:val="center"/>
          </w:tcPr>
          <w:p w14:paraId="71F7B45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《建设工程抗震管理条例》第四十一条 违反本条例规定，设计单位有下列行为之一的，责令改正，处10万元以上30万元以下的罚款；情节严重的，责令停业整顿，降低资质等级或者吊销资质证书；造成损失的，依法承担赔偿责任：</w:t>
            </w:r>
          </w:p>
          <w:p w14:paraId="47130D1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（三）未按照抗震设防强制性标准进行设计。</w:t>
            </w:r>
          </w:p>
          <w:p w14:paraId="025F8F9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lang w:val="en-US" w:eastAsia="zh-CN"/>
              </w:rPr>
            </w:pPr>
            <w:r>
              <w:rPr>
                <w:rFonts w:hint="eastAsia" w:ascii="仿宋_GB2312" w:hAnsi="宋体" w:eastAsia="仿宋_GB2312"/>
                <w:color w:val="auto"/>
                <w:kern w:val="0"/>
                <w:sz w:val="13"/>
                <w:szCs w:val="13"/>
                <w:highlight w:val="none"/>
              </w:rPr>
              <w:t>第四十七条 依照本条例规定，给予单位罚款处罚的，对其直接负责的主管人员和其他直接责任人员处单位罚款数额5%以上10%以下的罚款。</w:t>
            </w:r>
          </w:p>
        </w:tc>
        <w:tc>
          <w:tcPr>
            <w:tcW w:w="823" w:type="dxa"/>
            <w:tcBorders>
              <w:tl2br w:val="nil"/>
              <w:tr2bl w:val="nil"/>
            </w:tcBorders>
            <w:shd w:val="clear" w:color="auto" w:fill="auto"/>
            <w:vAlign w:val="center"/>
          </w:tcPr>
          <w:p w14:paraId="094C1F9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lang w:val="en-US" w:eastAsia="zh-CN"/>
              </w:rPr>
            </w:pPr>
            <w:r>
              <w:rPr>
                <w:rFonts w:hint="eastAsia" w:ascii="仿宋_GB2312" w:hAnsi="宋体" w:eastAsia="仿宋_GB2312"/>
                <w:color w:val="auto"/>
                <w:kern w:val="0"/>
                <w:sz w:val="13"/>
                <w:szCs w:val="13"/>
                <w:highlight w:val="none"/>
              </w:rPr>
              <w:t>从轻情节</w:t>
            </w:r>
          </w:p>
        </w:tc>
        <w:tc>
          <w:tcPr>
            <w:tcW w:w="3437" w:type="dxa"/>
            <w:gridSpan w:val="2"/>
            <w:tcBorders>
              <w:tl2br w:val="nil"/>
              <w:tr2bl w:val="nil"/>
            </w:tcBorders>
            <w:shd w:val="clear" w:color="auto" w:fill="auto"/>
            <w:vAlign w:val="center"/>
          </w:tcPr>
          <w:p w14:paraId="50D312D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lang w:val="en-US" w:eastAsia="zh-CN"/>
              </w:rPr>
            </w:pPr>
            <w:r>
              <w:rPr>
                <w:rFonts w:hint="eastAsia" w:ascii="仿宋_GB2312" w:hAnsi="宋体" w:eastAsia="仿宋_GB2312"/>
                <w:color w:val="auto"/>
                <w:kern w:val="0"/>
                <w:sz w:val="13"/>
                <w:szCs w:val="13"/>
                <w:highlight w:val="none"/>
              </w:rPr>
              <w:t>初次违法，危害后果轻微，主动消除的。</w:t>
            </w:r>
          </w:p>
        </w:tc>
        <w:tc>
          <w:tcPr>
            <w:tcW w:w="3058" w:type="dxa"/>
            <w:tcBorders>
              <w:tl2br w:val="nil"/>
              <w:tr2bl w:val="nil"/>
            </w:tcBorders>
            <w:shd w:val="clear" w:color="auto" w:fill="auto"/>
            <w:vAlign w:val="top"/>
          </w:tcPr>
          <w:p w14:paraId="43712EA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lang w:val="en-US" w:eastAsia="zh-CN"/>
              </w:rPr>
            </w:pPr>
            <w:r>
              <w:rPr>
                <w:rFonts w:hint="eastAsia" w:ascii="仿宋_GB2312" w:hAnsi="宋体" w:eastAsia="仿宋_GB2312"/>
                <w:color w:val="auto"/>
                <w:kern w:val="0"/>
                <w:sz w:val="13"/>
                <w:szCs w:val="13"/>
                <w:highlight w:val="none"/>
              </w:rPr>
              <w:t>责令改正，处10万元以上15万元以下罚款；对其直接负责的主管人员和其他直接责任人员处单位罚款数额5%以上6.5%以下的罚款</w:t>
            </w:r>
          </w:p>
        </w:tc>
      </w:tr>
      <w:tr w14:paraId="6AA7F46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4" w:hRule="atLeast"/>
          <w:jc w:val="center"/>
        </w:trPr>
        <w:tc>
          <w:tcPr>
            <w:tcW w:w="443" w:type="dxa"/>
            <w:gridSpan w:val="2"/>
            <w:vMerge w:val="continue"/>
            <w:tcBorders>
              <w:tl2br w:val="nil"/>
              <w:tr2bl w:val="nil"/>
            </w:tcBorders>
            <w:vAlign w:val="center"/>
          </w:tcPr>
          <w:p w14:paraId="6148836E">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仿宋_GB2312"/>
                <w:i w:val="0"/>
                <w:color w:val="auto"/>
                <w:kern w:val="0"/>
                <w:sz w:val="13"/>
                <w:szCs w:val="13"/>
                <w:highlight w:val="none"/>
                <w:u w:val="none"/>
                <w:lang w:val="en-US" w:eastAsia="zh-CN" w:bidi="ar"/>
              </w:rPr>
            </w:pPr>
          </w:p>
        </w:tc>
        <w:tc>
          <w:tcPr>
            <w:tcW w:w="1550" w:type="dxa"/>
            <w:vMerge w:val="continue"/>
            <w:tcBorders>
              <w:tl2br w:val="nil"/>
              <w:tr2bl w:val="nil"/>
            </w:tcBorders>
            <w:shd w:val="clear" w:color="auto" w:fill="auto"/>
            <w:vAlign w:val="center"/>
          </w:tcPr>
          <w:p w14:paraId="416BE53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lang w:val="en-US" w:eastAsia="zh-CN"/>
              </w:rPr>
            </w:pPr>
          </w:p>
        </w:tc>
        <w:tc>
          <w:tcPr>
            <w:tcW w:w="4820" w:type="dxa"/>
            <w:vMerge w:val="continue"/>
            <w:tcBorders>
              <w:tl2br w:val="nil"/>
              <w:tr2bl w:val="nil"/>
            </w:tcBorders>
            <w:shd w:val="clear" w:color="auto" w:fill="auto"/>
            <w:vAlign w:val="center"/>
          </w:tcPr>
          <w:p w14:paraId="281BAFD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lang w:val="en-US" w:eastAsia="zh-CN"/>
              </w:rPr>
            </w:pPr>
          </w:p>
        </w:tc>
        <w:tc>
          <w:tcPr>
            <w:tcW w:w="823" w:type="dxa"/>
            <w:tcBorders>
              <w:tl2br w:val="nil"/>
              <w:tr2bl w:val="nil"/>
            </w:tcBorders>
            <w:shd w:val="clear" w:color="auto" w:fill="auto"/>
            <w:vAlign w:val="center"/>
          </w:tcPr>
          <w:p w14:paraId="6EF8295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lang w:val="en-US" w:eastAsia="zh-CN"/>
              </w:rPr>
            </w:pPr>
            <w:r>
              <w:rPr>
                <w:rFonts w:hint="eastAsia" w:ascii="仿宋_GB2312" w:hAnsi="宋体" w:eastAsia="仿宋_GB2312"/>
                <w:color w:val="auto"/>
                <w:kern w:val="0"/>
                <w:sz w:val="13"/>
                <w:szCs w:val="13"/>
                <w:highlight w:val="none"/>
              </w:rPr>
              <w:t>一般情节</w:t>
            </w:r>
          </w:p>
        </w:tc>
        <w:tc>
          <w:tcPr>
            <w:tcW w:w="3437" w:type="dxa"/>
            <w:gridSpan w:val="2"/>
            <w:tcBorders>
              <w:tl2br w:val="nil"/>
              <w:tr2bl w:val="nil"/>
            </w:tcBorders>
            <w:shd w:val="clear" w:color="auto" w:fill="auto"/>
            <w:vAlign w:val="center"/>
          </w:tcPr>
          <w:p w14:paraId="54F50DF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lang w:val="en-US" w:eastAsia="zh-CN"/>
              </w:rPr>
            </w:pPr>
            <w:r>
              <w:rPr>
                <w:rFonts w:hint="eastAsia" w:ascii="仿宋_GB2312" w:hAnsi="宋体" w:eastAsia="仿宋_GB2312"/>
                <w:color w:val="auto"/>
                <w:kern w:val="0"/>
                <w:sz w:val="13"/>
                <w:szCs w:val="13"/>
                <w:highlight w:val="none"/>
              </w:rPr>
              <w:t>不具有从轻、从重情节，且违法行为导致的抗震安全隐患能通过抗震加固满足抗震安全性能的。</w:t>
            </w:r>
          </w:p>
        </w:tc>
        <w:tc>
          <w:tcPr>
            <w:tcW w:w="3058" w:type="dxa"/>
            <w:tcBorders>
              <w:tl2br w:val="nil"/>
              <w:tr2bl w:val="nil"/>
            </w:tcBorders>
            <w:shd w:val="clear" w:color="auto" w:fill="auto"/>
            <w:vAlign w:val="top"/>
          </w:tcPr>
          <w:p w14:paraId="5109426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lang w:val="en-US" w:eastAsia="zh-CN"/>
              </w:rPr>
            </w:pPr>
            <w:r>
              <w:rPr>
                <w:rFonts w:hint="eastAsia" w:ascii="仿宋_GB2312" w:hAnsi="宋体" w:eastAsia="仿宋_GB2312"/>
                <w:color w:val="auto"/>
                <w:kern w:val="0"/>
                <w:sz w:val="13"/>
                <w:szCs w:val="13"/>
                <w:highlight w:val="none"/>
              </w:rPr>
              <w:t>责令改正，处15万元以上25万元以下罚款；对其直接负责的主管人员和其他直接责任人员处单位罚款数额6.5%以上8.5%以下的罚款</w:t>
            </w:r>
          </w:p>
        </w:tc>
      </w:tr>
      <w:tr w14:paraId="6D75B00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4" w:hRule="atLeast"/>
          <w:jc w:val="center"/>
        </w:trPr>
        <w:tc>
          <w:tcPr>
            <w:tcW w:w="443" w:type="dxa"/>
            <w:gridSpan w:val="2"/>
            <w:vMerge w:val="continue"/>
            <w:tcBorders>
              <w:tl2br w:val="nil"/>
              <w:tr2bl w:val="nil"/>
            </w:tcBorders>
            <w:vAlign w:val="center"/>
          </w:tcPr>
          <w:p w14:paraId="54DD1184">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仿宋_GB2312"/>
                <w:i w:val="0"/>
                <w:color w:val="auto"/>
                <w:kern w:val="0"/>
                <w:sz w:val="13"/>
                <w:szCs w:val="13"/>
                <w:highlight w:val="none"/>
                <w:u w:val="none"/>
                <w:lang w:val="en-US" w:eastAsia="zh-CN" w:bidi="ar"/>
              </w:rPr>
            </w:pPr>
          </w:p>
        </w:tc>
        <w:tc>
          <w:tcPr>
            <w:tcW w:w="1550" w:type="dxa"/>
            <w:vMerge w:val="continue"/>
            <w:tcBorders>
              <w:tl2br w:val="nil"/>
              <w:tr2bl w:val="nil"/>
            </w:tcBorders>
            <w:shd w:val="clear" w:color="auto" w:fill="auto"/>
            <w:vAlign w:val="center"/>
          </w:tcPr>
          <w:p w14:paraId="6BB74D4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lang w:val="en-US" w:eastAsia="zh-CN"/>
              </w:rPr>
            </w:pPr>
          </w:p>
        </w:tc>
        <w:tc>
          <w:tcPr>
            <w:tcW w:w="4820" w:type="dxa"/>
            <w:vMerge w:val="continue"/>
            <w:tcBorders>
              <w:tl2br w:val="nil"/>
              <w:tr2bl w:val="nil"/>
            </w:tcBorders>
            <w:shd w:val="clear" w:color="auto" w:fill="auto"/>
            <w:vAlign w:val="center"/>
          </w:tcPr>
          <w:p w14:paraId="4DBE13C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lang w:val="en-US" w:eastAsia="zh-CN"/>
              </w:rPr>
            </w:pPr>
          </w:p>
        </w:tc>
        <w:tc>
          <w:tcPr>
            <w:tcW w:w="823" w:type="dxa"/>
            <w:vMerge w:val="restart"/>
            <w:tcBorders>
              <w:tl2br w:val="nil"/>
              <w:tr2bl w:val="nil"/>
            </w:tcBorders>
            <w:shd w:val="clear" w:color="auto" w:fill="auto"/>
            <w:vAlign w:val="center"/>
          </w:tcPr>
          <w:p w14:paraId="5952062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lang w:val="en-US" w:eastAsia="zh-CN"/>
              </w:rPr>
            </w:pPr>
            <w:r>
              <w:rPr>
                <w:rFonts w:hint="eastAsia" w:ascii="仿宋_GB2312" w:hAnsi="宋体" w:eastAsia="仿宋_GB2312"/>
                <w:color w:val="auto"/>
                <w:kern w:val="0"/>
                <w:sz w:val="13"/>
                <w:szCs w:val="13"/>
                <w:highlight w:val="none"/>
              </w:rPr>
              <w:t>从重情节</w:t>
            </w:r>
          </w:p>
        </w:tc>
        <w:tc>
          <w:tcPr>
            <w:tcW w:w="3437" w:type="dxa"/>
            <w:gridSpan w:val="2"/>
            <w:tcBorders>
              <w:tl2br w:val="nil"/>
              <w:tr2bl w:val="nil"/>
            </w:tcBorders>
            <w:shd w:val="clear" w:color="auto" w:fill="auto"/>
            <w:vAlign w:val="center"/>
          </w:tcPr>
          <w:p w14:paraId="61DA47D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1.工程位于地震重点监视防御区或者超限高层，且违法行为导致的抗震安全隐患能通过抗震加固满足抗震安全性能的；</w:t>
            </w:r>
          </w:p>
          <w:p w14:paraId="7779334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lang w:val="en-US" w:eastAsia="zh-CN"/>
              </w:rPr>
            </w:pPr>
            <w:r>
              <w:rPr>
                <w:rFonts w:hint="eastAsia" w:ascii="仿宋_GB2312" w:hAnsi="宋体" w:eastAsia="仿宋_GB2312"/>
                <w:color w:val="auto"/>
                <w:kern w:val="0"/>
                <w:sz w:val="13"/>
                <w:szCs w:val="13"/>
                <w:highlight w:val="none"/>
              </w:rPr>
              <w:t>2.非地震重点监视防御区工程，违法行为导致的抗震安全隐患不能通过抗震加固满足抗震安全性能的；</w:t>
            </w:r>
          </w:p>
        </w:tc>
        <w:tc>
          <w:tcPr>
            <w:tcW w:w="3058" w:type="dxa"/>
            <w:tcBorders>
              <w:tl2br w:val="nil"/>
              <w:tr2bl w:val="nil"/>
            </w:tcBorders>
            <w:shd w:val="clear" w:color="auto" w:fill="auto"/>
            <w:vAlign w:val="top"/>
          </w:tcPr>
          <w:p w14:paraId="40ADAC1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lang w:val="en-US" w:eastAsia="zh-CN"/>
              </w:rPr>
            </w:pPr>
            <w:r>
              <w:rPr>
                <w:rFonts w:hint="eastAsia" w:ascii="仿宋_GB2312" w:hAnsi="宋体" w:eastAsia="仿宋_GB2312"/>
                <w:color w:val="auto"/>
                <w:kern w:val="0"/>
                <w:sz w:val="13"/>
                <w:szCs w:val="13"/>
                <w:highlight w:val="none"/>
              </w:rPr>
              <w:t>责令改正，处25万元以上30万元以下罚款；责令停业整顿</w:t>
            </w:r>
            <w:r>
              <w:rPr>
                <w:rFonts w:hint="eastAsia" w:ascii="仿宋_GB2312" w:hAnsi="宋体" w:eastAsia="仿宋_GB2312"/>
                <w:color w:val="auto"/>
                <w:kern w:val="0"/>
                <w:sz w:val="13"/>
                <w:szCs w:val="13"/>
                <w:highlight w:val="none"/>
                <w:lang w:eastAsia="zh-CN"/>
              </w:rPr>
              <w:t>30日-</w:t>
            </w:r>
            <w:r>
              <w:rPr>
                <w:rFonts w:hint="eastAsia" w:ascii="仿宋_GB2312" w:hAnsi="宋体" w:eastAsia="仿宋_GB2312"/>
                <w:color w:val="auto"/>
                <w:kern w:val="0"/>
                <w:sz w:val="13"/>
                <w:szCs w:val="13"/>
                <w:highlight w:val="none"/>
              </w:rPr>
              <w:t>60日；对其直接负责的主管人员和其他直接责任人员处单位罚款数额8.5%以上10%以下的罚款</w:t>
            </w:r>
          </w:p>
        </w:tc>
      </w:tr>
      <w:tr w14:paraId="498A8E8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4" w:hRule="atLeast"/>
          <w:jc w:val="center"/>
        </w:trPr>
        <w:tc>
          <w:tcPr>
            <w:tcW w:w="443" w:type="dxa"/>
            <w:gridSpan w:val="2"/>
            <w:vMerge w:val="continue"/>
            <w:tcBorders>
              <w:tl2br w:val="nil"/>
              <w:tr2bl w:val="nil"/>
            </w:tcBorders>
            <w:vAlign w:val="center"/>
          </w:tcPr>
          <w:p w14:paraId="6CC65D90">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仿宋_GB2312"/>
                <w:i w:val="0"/>
                <w:color w:val="auto"/>
                <w:kern w:val="0"/>
                <w:sz w:val="13"/>
                <w:szCs w:val="13"/>
                <w:highlight w:val="none"/>
                <w:u w:val="none"/>
                <w:lang w:val="en-US" w:eastAsia="zh-CN" w:bidi="ar"/>
              </w:rPr>
            </w:pPr>
          </w:p>
        </w:tc>
        <w:tc>
          <w:tcPr>
            <w:tcW w:w="1550" w:type="dxa"/>
            <w:vMerge w:val="continue"/>
            <w:tcBorders>
              <w:tl2br w:val="nil"/>
              <w:tr2bl w:val="nil"/>
            </w:tcBorders>
            <w:shd w:val="clear" w:color="auto" w:fill="auto"/>
            <w:vAlign w:val="center"/>
          </w:tcPr>
          <w:p w14:paraId="0ECEE4B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lang w:val="en-US" w:eastAsia="zh-CN"/>
              </w:rPr>
            </w:pPr>
          </w:p>
        </w:tc>
        <w:tc>
          <w:tcPr>
            <w:tcW w:w="4820" w:type="dxa"/>
            <w:vMerge w:val="continue"/>
            <w:tcBorders>
              <w:tl2br w:val="nil"/>
              <w:tr2bl w:val="nil"/>
            </w:tcBorders>
            <w:shd w:val="clear" w:color="auto" w:fill="auto"/>
            <w:vAlign w:val="center"/>
          </w:tcPr>
          <w:p w14:paraId="122F3B7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lang w:val="en-US" w:eastAsia="zh-CN"/>
              </w:rPr>
            </w:pPr>
          </w:p>
        </w:tc>
        <w:tc>
          <w:tcPr>
            <w:tcW w:w="823" w:type="dxa"/>
            <w:vMerge w:val="continue"/>
            <w:tcBorders>
              <w:tl2br w:val="nil"/>
              <w:tr2bl w:val="nil"/>
            </w:tcBorders>
            <w:shd w:val="clear" w:color="auto" w:fill="auto"/>
            <w:vAlign w:val="center"/>
          </w:tcPr>
          <w:p w14:paraId="700F5E3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lang w:val="en-US" w:eastAsia="zh-CN"/>
              </w:rPr>
            </w:pPr>
          </w:p>
        </w:tc>
        <w:tc>
          <w:tcPr>
            <w:tcW w:w="3437" w:type="dxa"/>
            <w:gridSpan w:val="2"/>
            <w:tcBorders>
              <w:tl2br w:val="nil"/>
              <w:tr2bl w:val="nil"/>
            </w:tcBorders>
            <w:shd w:val="clear" w:color="auto" w:fill="auto"/>
            <w:vAlign w:val="center"/>
          </w:tcPr>
          <w:p w14:paraId="55019E9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lang w:val="en-US" w:eastAsia="zh-CN"/>
              </w:rPr>
            </w:pPr>
            <w:r>
              <w:rPr>
                <w:rFonts w:hint="eastAsia" w:ascii="仿宋_GB2312" w:hAnsi="宋体" w:eastAsia="仿宋_GB2312"/>
                <w:color w:val="auto"/>
                <w:kern w:val="0"/>
                <w:sz w:val="13"/>
                <w:szCs w:val="13"/>
                <w:highlight w:val="none"/>
              </w:rPr>
              <w:t>导致严重抗震安全隐患，能通过抗震加固满足抗震安全性能的</w:t>
            </w:r>
          </w:p>
        </w:tc>
        <w:tc>
          <w:tcPr>
            <w:tcW w:w="3058" w:type="dxa"/>
            <w:tcBorders>
              <w:tl2br w:val="nil"/>
              <w:tr2bl w:val="nil"/>
            </w:tcBorders>
            <w:shd w:val="clear" w:color="auto" w:fill="auto"/>
            <w:vAlign w:val="top"/>
          </w:tcPr>
          <w:p w14:paraId="2221E86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lang w:val="en-US" w:eastAsia="zh-CN"/>
              </w:rPr>
            </w:pPr>
            <w:r>
              <w:rPr>
                <w:rFonts w:hint="eastAsia" w:ascii="仿宋_GB2312" w:hAnsi="宋体" w:eastAsia="仿宋_GB2312"/>
                <w:color w:val="auto"/>
                <w:kern w:val="0"/>
                <w:sz w:val="13"/>
                <w:szCs w:val="13"/>
                <w:highlight w:val="none"/>
              </w:rPr>
              <w:t>责令改正，处30万元的罚款；降低资质等级；对其直接负责的主管人员和其他直接责任人员处单位罚款数额8.5%以上10%以下的罚款</w:t>
            </w:r>
          </w:p>
        </w:tc>
      </w:tr>
      <w:tr w14:paraId="29CF8D0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4" w:hRule="atLeast"/>
          <w:jc w:val="center"/>
        </w:trPr>
        <w:tc>
          <w:tcPr>
            <w:tcW w:w="443" w:type="dxa"/>
            <w:gridSpan w:val="2"/>
            <w:vMerge w:val="continue"/>
            <w:tcBorders>
              <w:tl2br w:val="nil"/>
              <w:tr2bl w:val="nil"/>
            </w:tcBorders>
            <w:vAlign w:val="center"/>
          </w:tcPr>
          <w:p w14:paraId="7F30B548">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仿宋_GB2312"/>
                <w:i w:val="0"/>
                <w:color w:val="auto"/>
                <w:kern w:val="0"/>
                <w:sz w:val="13"/>
                <w:szCs w:val="13"/>
                <w:highlight w:val="none"/>
                <w:u w:val="none"/>
                <w:lang w:val="en-US" w:eastAsia="zh-CN" w:bidi="ar"/>
              </w:rPr>
            </w:pPr>
          </w:p>
        </w:tc>
        <w:tc>
          <w:tcPr>
            <w:tcW w:w="1550" w:type="dxa"/>
            <w:vMerge w:val="continue"/>
            <w:tcBorders>
              <w:tl2br w:val="nil"/>
              <w:tr2bl w:val="nil"/>
            </w:tcBorders>
            <w:shd w:val="clear" w:color="auto" w:fill="auto"/>
            <w:vAlign w:val="center"/>
          </w:tcPr>
          <w:p w14:paraId="2F24C61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lang w:val="en-US" w:eastAsia="zh-CN"/>
              </w:rPr>
            </w:pPr>
          </w:p>
        </w:tc>
        <w:tc>
          <w:tcPr>
            <w:tcW w:w="4820" w:type="dxa"/>
            <w:vMerge w:val="continue"/>
            <w:tcBorders>
              <w:tl2br w:val="nil"/>
              <w:tr2bl w:val="nil"/>
            </w:tcBorders>
            <w:shd w:val="clear" w:color="auto" w:fill="auto"/>
            <w:vAlign w:val="center"/>
          </w:tcPr>
          <w:p w14:paraId="5E2125B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lang w:val="en-US" w:eastAsia="zh-CN"/>
              </w:rPr>
            </w:pPr>
          </w:p>
        </w:tc>
        <w:tc>
          <w:tcPr>
            <w:tcW w:w="823" w:type="dxa"/>
            <w:vMerge w:val="continue"/>
            <w:tcBorders>
              <w:tl2br w:val="nil"/>
              <w:tr2bl w:val="nil"/>
            </w:tcBorders>
            <w:shd w:val="clear" w:color="auto" w:fill="auto"/>
            <w:vAlign w:val="center"/>
          </w:tcPr>
          <w:p w14:paraId="6F9D5B5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lang w:val="en-US" w:eastAsia="zh-CN"/>
              </w:rPr>
            </w:pPr>
          </w:p>
        </w:tc>
        <w:tc>
          <w:tcPr>
            <w:tcW w:w="3437" w:type="dxa"/>
            <w:gridSpan w:val="2"/>
            <w:tcBorders>
              <w:tl2br w:val="nil"/>
              <w:tr2bl w:val="nil"/>
            </w:tcBorders>
            <w:shd w:val="clear" w:color="auto" w:fill="auto"/>
            <w:vAlign w:val="center"/>
          </w:tcPr>
          <w:p w14:paraId="3C37CCF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lang w:val="en-US" w:eastAsia="zh-CN"/>
              </w:rPr>
            </w:pPr>
            <w:r>
              <w:rPr>
                <w:rFonts w:hint="eastAsia" w:ascii="仿宋_GB2312" w:hAnsi="宋体" w:eastAsia="仿宋_GB2312"/>
                <w:color w:val="auto"/>
                <w:kern w:val="0"/>
                <w:sz w:val="13"/>
                <w:szCs w:val="13"/>
                <w:highlight w:val="none"/>
              </w:rPr>
              <w:t>导致严重抗震安全隐患，不能通过抗震加固满足抗震安全性能的；造成其他严重危害后果的</w:t>
            </w:r>
          </w:p>
        </w:tc>
        <w:tc>
          <w:tcPr>
            <w:tcW w:w="3058" w:type="dxa"/>
            <w:tcBorders>
              <w:tl2br w:val="nil"/>
              <w:tr2bl w:val="nil"/>
            </w:tcBorders>
            <w:shd w:val="clear" w:color="auto" w:fill="auto"/>
            <w:vAlign w:val="top"/>
          </w:tcPr>
          <w:p w14:paraId="428DB26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lang w:val="en-US" w:eastAsia="zh-CN"/>
              </w:rPr>
            </w:pPr>
            <w:r>
              <w:rPr>
                <w:rFonts w:hint="eastAsia" w:ascii="仿宋_GB2312" w:hAnsi="宋体" w:eastAsia="仿宋_GB2312"/>
                <w:color w:val="auto"/>
                <w:kern w:val="0"/>
                <w:sz w:val="13"/>
                <w:szCs w:val="13"/>
                <w:highlight w:val="none"/>
              </w:rPr>
              <w:t>责令改正，处30万元的罚款；吊销资质证书；对其直接负责的主管人员和其他直接责任人员处单位罚款数额8.5%以上10%以下的罚款</w:t>
            </w:r>
          </w:p>
        </w:tc>
      </w:tr>
      <w:tr w14:paraId="1686F98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4" w:hRule="atLeast"/>
          <w:jc w:val="center"/>
        </w:trPr>
        <w:tc>
          <w:tcPr>
            <w:tcW w:w="443" w:type="dxa"/>
            <w:gridSpan w:val="2"/>
            <w:vMerge w:val="restart"/>
            <w:tcBorders>
              <w:tl2br w:val="nil"/>
              <w:tr2bl w:val="nil"/>
            </w:tcBorders>
            <w:vAlign w:val="center"/>
          </w:tcPr>
          <w:p w14:paraId="134CBFA6">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仿宋_GB2312"/>
                <w:i w:val="0"/>
                <w:color w:val="auto"/>
                <w:kern w:val="0"/>
                <w:sz w:val="13"/>
                <w:szCs w:val="13"/>
                <w:highlight w:val="none"/>
                <w:u w:val="none"/>
                <w:lang w:val="en-US" w:eastAsia="zh-CN" w:bidi="ar"/>
              </w:rPr>
            </w:pPr>
            <w:r>
              <w:rPr>
                <w:rFonts w:hint="eastAsia" w:ascii="仿宋_GB2312" w:hAnsi="宋体" w:eastAsia="仿宋_GB2312" w:cs="仿宋_GB2312"/>
                <w:i w:val="0"/>
                <w:color w:val="auto"/>
                <w:kern w:val="0"/>
                <w:sz w:val="13"/>
                <w:szCs w:val="13"/>
                <w:highlight w:val="none"/>
                <w:u w:val="none"/>
                <w:lang w:val="en-US" w:eastAsia="zh-CN" w:bidi="ar"/>
              </w:rPr>
              <w:t>146</w:t>
            </w:r>
          </w:p>
        </w:tc>
        <w:tc>
          <w:tcPr>
            <w:tcW w:w="1550" w:type="dxa"/>
            <w:vMerge w:val="restart"/>
            <w:tcBorders>
              <w:tl2br w:val="nil"/>
              <w:tr2bl w:val="nil"/>
            </w:tcBorders>
            <w:shd w:val="clear" w:color="auto" w:fill="auto"/>
            <w:vAlign w:val="center"/>
          </w:tcPr>
          <w:p w14:paraId="7C339D3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lang w:val="en-US" w:eastAsia="zh-CN"/>
              </w:rPr>
            </w:pPr>
            <w:r>
              <w:rPr>
                <w:rFonts w:hint="eastAsia" w:ascii="仿宋_GB2312" w:hAnsi="宋体" w:eastAsia="仿宋_GB2312"/>
                <w:color w:val="auto"/>
                <w:kern w:val="0"/>
                <w:sz w:val="13"/>
                <w:szCs w:val="13"/>
                <w:highlight w:val="none"/>
              </w:rPr>
              <w:t>施工单位在施工中未按照抗震设防强制性标准进行施工的</w:t>
            </w:r>
          </w:p>
        </w:tc>
        <w:tc>
          <w:tcPr>
            <w:tcW w:w="4820" w:type="dxa"/>
            <w:vMerge w:val="restart"/>
            <w:tcBorders>
              <w:tl2br w:val="nil"/>
              <w:tr2bl w:val="nil"/>
            </w:tcBorders>
            <w:shd w:val="clear" w:color="auto" w:fill="auto"/>
            <w:vAlign w:val="center"/>
          </w:tcPr>
          <w:p w14:paraId="49F65B8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《建设工程抗震管理条例》第四十二条 违反本条例规定，施工单位在施工中未按照抗震设防强制性标准进行施工的，责令改正，处工程合同价款2%以上4%以下的罚款；造成建设工程不符合抗震设防强制性标准的，负责返工、加固，并赔偿因此造成的损失；情节严重的，责令停业整顿，降低资质等级或者吊销资质证书。</w:t>
            </w:r>
          </w:p>
          <w:p w14:paraId="6F7E87D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lang w:val="en-US" w:eastAsia="zh-CN"/>
              </w:rPr>
            </w:pPr>
            <w:r>
              <w:rPr>
                <w:rFonts w:hint="eastAsia" w:ascii="仿宋_GB2312" w:hAnsi="宋体" w:eastAsia="仿宋_GB2312"/>
                <w:color w:val="auto"/>
                <w:kern w:val="0"/>
                <w:sz w:val="13"/>
                <w:szCs w:val="13"/>
                <w:highlight w:val="none"/>
              </w:rPr>
              <w:t>第四十七条 依照本条例规定，给予单位罚款处罚的，对其直接负责的主管人员和其他直接责任人员处单位罚款数额5%以上10%以下的罚款。</w:t>
            </w:r>
          </w:p>
        </w:tc>
        <w:tc>
          <w:tcPr>
            <w:tcW w:w="823" w:type="dxa"/>
            <w:tcBorders>
              <w:tl2br w:val="nil"/>
              <w:tr2bl w:val="nil"/>
            </w:tcBorders>
            <w:shd w:val="clear" w:color="auto" w:fill="auto"/>
            <w:vAlign w:val="center"/>
          </w:tcPr>
          <w:p w14:paraId="07F2BE7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lang w:val="en-US" w:eastAsia="zh-CN"/>
              </w:rPr>
            </w:pPr>
            <w:r>
              <w:rPr>
                <w:rFonts w:hint="eastAsia" w:ascii="仿宋_GB2312" w:hAnsi="宋体" w:eastAsia="仿宋_GB2312"/>
                <w:color w:val="auto"/>
                <w:kern w:val="0"/>
                <w:sz w:val="13"/>
                <w:szCs w:val="13"/>
                <w:highlight w:val="none"/>
              </w:rPr>
              <w:t>从轻情节</w:t>
            </w:r>
          </w:p>
        </w:tc>
        <w:tc>
          <w:tcPr>
            <w:tcW w:w="3437" w:type="dxa"/>
            <w:gridSpan w:val="2"/>
            <w:tcBorders>
              <w:tl2br w:val="nil"/>
              <w:tr2bl w:val="nil"/>
            </w:tcBorders>
            <w:shd w:val="clear" w:color="auto" w:fill="auto"/>
            <w:vAlign w:val="center"/>
          </w:tcPr>
          <w:p w14:paraId="5816901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lang w:val="en-US" w:eastAsia="zh-CN"/>
              </w:rPr>
            </w:pPr>
            <w:r>
              <w:rPr>
                <w:rFonts w:hint="eastAsia" w:ascii="仿宋_GB2312" w:hAnsi="宋体" w:eastAsia="仿宋_GB2312"/>
                <w:color w:val="auto"/>
                <w:kern w:val="0"/>
                <w:sz w:val="13"/>
                <w:szCs w:val="13"/>
                <w:highlight w:val="none"/>
              </w:rPr>
              <w:t>初次违法，危害后果轻微，主动消除违法行为危害后果的。</w:t>
            </w:r>
          </w:p>
        </w:tc>
        <w:tc>
          <w:tcPr>
            <w:tcW w:w="3058" w:type="dxa"/>
            <w:tcBorders>
              <w:tl2br w:val="nil"/>
              <w:tr2bl w:val="nil"/>
            </w:tcBorders>
            <w:shd w:val="clear" w:color="auto" w:fill="auto"/>
            <w:vAlign w:val="top"/>
          </w:tcPr>
          <w:p w14:paraId="55D1EA6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lang w:val="en-US" w:eastAsia="zh-CN"/>
              </w:rPr>
            </w:pPr>
            <w:r>
              <w:rPr>
                <w:rFonts w:hint="eastAsia" w:ascii="仿宋_GB2312" w:hAnsi="宋体" w:eastAsia="仿宋_GB2312"/>
                <w:color w:val="auto"/>
                <w:kern w:val="0"/>
                <w:sz w:val="13"/>
                <w:szCs w:val="13"/>
                <w:highlight w:val="none"/>
              </w:rPr>
              <w:t>责令改正，处工程合同价款2%以上2.5%以下的罚款；对其直接负责的主管人员和其他直接责任人员处单位罚款数额5%以上6.5%以下的罚款</w:t>
            </w:r>
          </w:p>
        </w:tc>
      </w:tr>
      <w:tr w14:paraId="3EC6410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4" w:hRule="atLeast"/>
          <w:jc w:val="center"/>
        </w:trPr>
        <w:tc>
          <w:tcPr>
            <w:tcW w:w="443" w:type="dxa"/>
            <w:gridSpan w:val="2"/>
            <w:vMerge w:val="continue"/>
            <w:tcBorders>
              <w:tl2br w:val="nil"/>
              <w:tr2bl w:val="nil"/>
            </w:tcBorders>
            <w:vAlign w:val="center"/>
          </w:tcPr>
          <w:p w14:paraId="1868D8A7">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仿宋_GB2312"/>
                <w:i w:val="0"/>
                <w:color w:val="auto"/>
                <w:kern w:val="0"/>
                <w:sz w:val="13"/>
                <w:szCs w:val="13"/>
                <w:highlight w:val="none"/>
                <w:u w:val="none"/>
                <w:lang w:val="en-US" w:eastAsia="zh-CN" w:bidi="ar"/>
              </w:rPr>
            </w:pPr>
          </w:p>
        </w:tc>
        <w:tc>
          <w:tcPr>
            <w:tcW w:w="1550" w:type="dxa"/>
            <w:vMerge w:val="continue"/>
            <w:tcBorders>
              <w:tl2br w:val="nil"/>
              <w:tr2bl w:val="nil"/>
            </w:tcBorders>
            <w:shd w:val="clear" w:color="auto" w:fill="auto"/>
            <w:vAlign w:val="center"/>
          </w:tcPr>
          <w:p w14:paraId="6E99587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lang w:val="en-US" w:eastAsia="zh-CN"/>
              </w:rPr>
            </w:pPr>
          </w:p>
        </w:tc>
        <w:tc>
          <w:tcPr>
            <w:tcW w:w="4820" w:type="dxa"/>
            <w:vMerge w:val="continue"/>
            <w:tcBorders>
              <w:tl2br w:val="nil"/>
              <w:tr2bl w:val="nil"/>
            </w:tcBorders>
            <w:shd w:val="clear" w:color="auto" w:fill="auto"/>
            <w:vAlign w:val="center"/>
          </w:tcPr>
          <w:p w14:paraId="26D4877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lang w:val="en-US" w:eastAsia="zh-CN"/>
              </w:rPr>
            </w:pPr>
          </w:p>
        </w:tc>
        <w:tc>
          <w:tcPr>
            <w:tcW w:w="823" w:type="dxa"/>
            <w:tcBorders>
              <w:tl2br w:val="nil"/>
              <w:tr2bl w:val="nil"/>
            </w:tcBorders>
            <w:shd w:val="clear" w:color="auto" w:fill="auto"/>
            <w:vAlign w:val="center"/>
          </w:tcPr>
          <w:p w14:paraId="7AD4605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lang w:val="en-US" w:eastAsia="zh-CN"/>
              </w:rPr>
            </w:pPr>
            <w:r>
              <w:rPr>
                <w:rFonts w:hint="eastAsia" w:ascii="仿宋_GB2312" w:hAnsi="宋体" w:eastAsia="仿宋_GB2312"/>
                <w:color w:val="auto"/>
                <w:kern w:val="0"/>
                <w:sz w:val="13"/>
                <w:szCs w:val="13"/>
                <w:highlight w:val="none"/>
              </w:rPr>
              <w:t>一般情节</w:t>
            </w:r>
          </w:p>
        </w:tc>
        <w:tc>
          <w:tcPr>
            <w:tcW w:w="3437" w:type="dxa"/>
            <w:gridSpan w:val="2"/>
            <w:tcBorders>
              <w:tl2br w:val="nil"/>
              <w:tr2bl w:val="nil"/>
            </w:tcBorders>
            <w:shd w:val="clear" w:color="auto" w:fill="auto"/>
            <w:vAlign w:val="center"/>
          </w:tcPr>
          <w:p w14:paraId="7B83CA3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lang w:val="en-US" w:eastAsia="zh-CN"/>
              </w:rPr>
            </w:pPr>
            <w:r>
              <w:rPr>
                <w:rFonts w:hint="eastAsia" w:ascii="仿宋_GB2312" w:hAnsi="宋体" w:eastAsia="仿宋_GB2312"/>
                <w:color w:val="auto"/>
                <w:kern w:val="0"/>
                <w:sz w:val="13"/>
                <w:szCs w:val="13"/>
                <w:highlight w:val="none"/>
              </w:rPr>
              <w:t>不具有从轻、从重情节，且违法行为导致的抗震安全隐患能通过抗震加固满足抗震安全性能的。</w:t>
            </w:r>
          </w:p>
        </w:tc>
        <w:tc>
          <w:tcPr>
            <w:tcW w:w="3058" w:type="dxa"/>
            <w:tcBorders>
              <w:tl2br w:val="nil"/>
              <w:tr2bl w:val="nil"/>
            </w:tcBorders>
            <w:shd w:val="clear" w:color="auto" w:fill="auto"/>
            <w:vAlign w:val="top"/>
          </w:tcPr>
          <w:p w14:paraId="6EC1A13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lang w:val="en-US" w:eastAsia="zh-CN"/>
              </w:rPr>
            </w:pPr>
            <w:r>
              <w:rPr>
                <w:rFonts w:hint="eastAsia" w:ascii="仿宋_GB2312" w:hAnsi="宋体" w:eastAsia="仿宋_GB2312"/>
                <w:color w:val="auto"/>
                <w:kern w:val="0"/>
                <w:sz w:val="13"/>
                <w:szCs w:val="13"/>
                <w:highlight w:val="none"/>
              </w:rPr>
              <w:t>责令改正，处工程合同价款2.5%以上3.5%以下的罚款；对其直接负责的主管人员和其他直接责任人员处单位罚款数额6.5%以上8.5%以下的罚款</w:t>
            </w:r>
          </w:p>
        </w:tc>
      </w:tr>
      <w:tr w14:paraId="098C9FC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4" w:hRule="atLeast"/>
          <w:jc w:val="center"/>
        </w:trPr>
        <w:tc>
          <w:tcPr>
            <w:tcW w:w="443" w:type="dxa"/>
            <w:gridSpan w:val="2"/>
            <w:vMerge w:val="continue"/>
            <w:tcBorders>
              <w:tl2br w:val="nil"/>
              <w:tr2bl w:val="nil"/>
            </w:tcBorders>
            <w:vAlign w:val="center"/>
          </w:tcPr>
          <w:p w14:paraId="1DFCD85D">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仿宋_GB2312"/>
                <w:i w:val="0"/>
                <w:color w:val="auto"/>
                <w:kern w:val="0"/>
                <w:sz w:val="13"/>
                <w:szCs w:val="13"/>
                <w:highlight w:val="none"/>
                <w:u w:val="none"/>
                <w:lang w:val="en-US" w:eastAsia="zh-CN" w:bidi="ar"/>
              </w:rPr>
            </w:pPr>
          </w:p>
        </w:tc>
        <w:tc>
          <w:tcPr>
            <w:tcW w:w="1550" w:type="dxa"/>
            <w:vMerge w:val="continue"/>
            <w:tcBorders>
              <w:tl2br w:val="nil"/>
              <w:tr2bl w:val="nil"/>
            </w:tcBorders>
            <w:shd w:val="clear" w:color="auto" w:fill="auto"/>
            <w:vAlign w:val="center"/>
          </w:tcPr>
          <w:p w14:paraId="6A48EAD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lang w:val="en-US" w:eastAsia="zh-CN"/>
              </w:rPr>
            </w:pPr>
          </w:p>
        </w:tc>
        <w:tc>
          <w:tcPr>
            <w:tcW w:w="4820" w:type="dxa"/>
            <w:vMerge w:val="continue"/>
            <w:tcBorders>
              <w:tl2br w:val="nil"/>
              <w:tr2bl w:val="nil"/>
            </w:tcBorders>
            <w:shd w:val="clear" w:color="auto" w:fill="auto"/>
            <w:vAlign w:val="center"/>
          </w:tcPr>
          <w:p w14:paraId="7CA0DAA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lang w:val="en-US" w:eastAsia="zh-CN"/>
              </w:rPr>
            </w:pPr>
          </w:p>
        </w:tc>
        <w:tc>
          <w:tcPr>
            <w:tcW w:w="823" w:type="dxa"/>
            <w:vMerge w:val="restart"/>
            <w:tcBorders>
              <w:tl2br w:val="nil"/>
              <w:tr2bl w:val="nil"/>
            </w:tcBorders>
            <w:shd w:val="clear" w:color="auto" w:fill="auto"/>
            <w:vAlign w:val="center"/>
          </w:tcPr>
          <w:p w14:paraId="46BA3B3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lang w:val="en-US" w:eastAsia="zh-CN"/>
              </w:rPr>
            </w:pPr>
            <w:r>
              <w:rPr>
                <w:rFonts w:hint="eastAsia" w:ascii="仿宋_GB2312" w:hAnsi="宋体" w:eastAsia="仿宋_GB2312"/>
                <w:color w:val="auto"/>
                <w:kern w:val="0"/>
                <w:sz w:val="13"/>
                <w:szCs w:val="13"/>
                <w:highlight w:val="none"/>
              </w:rPr>
              <w:t>从重情节</w:t>
            </w:r>
          </w:p>
        </w:tc>
        <w:tc>
          <w:tcPr>
            <w:tcW w:w="3437" w:type="dxa"/>
            <w:gridSpan w:val="2"/>
            <w:tcBorders>
              <w:tl2br w:val="nil"/>
              <w:tr2bl w:val="nil"/>
            </w:tcBorders>
            <w:shd w:val="clear" w:color="auto" w:fill="auto"/>
            <w:vAlign w:val="center"/>
          </w:tcPr>
          <w:p w14:paraId="2418637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1.工程位于地震重点监视防御区或者超限高层，且违法行为导致的抗震安全隐患能通过抗震加固满足抗震安全性能的；</w:t>
            </w:r>
          </w:p>
          <w:p w14:paraId="13E4DFC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lang w:val="en-US" w:eastAsia="zh-CN"/>
              </w:rPr>
            </w:pPr>
            <w:r>
              <w:rPr>
                <w:rFonts w:hint="eastAsia" w:ascii="仿宋_GB2312" w:hAnsi="宋体" w:eastAsia="仿宋_GB2312"/>
                <w:color w:val="auto"/>
                <w:kern w:val="0"/>
                <w:sz w:val="13"/>
                <w:szCs w:val="13"/>
                <w:highlight w:val="none"/>
              </w:rPr>
              <w:t>2.非地震重点监视防御区工程，违法行为导致的抗震安全隐患不能通过抗震加固满足抗震安全性能的；</w:t>
            </w:r>
          </w:p>
        </w:tc>
        <w:tc>
          <w:tcPr>
            <w:tcW w:w="3058" w:type="dxa"/>
            <w:tcBorders>
              <w:tl2br w:val="nil"/>
              <w:tr2bl w:val="nil"/>
            </w:tcBorders>
            <w:shd w:val="clear" w:color="auto" w:fill="auto"/>
            <w:vAlign w:val="top"/>
          </w:tcPr>
          <w:p w14:paraId="3483FD7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lang w:val="en-US" w:eastAsia="zh-CN"/>
              </w:rPr>
            </w:pPr>
            <w:r>
              <w:rPr>
                <w:rFonts w:hint="eastAsia" w:ascii="仿宋_GB2312" w:hAnsi="宋体" w:eastAsia="仿宋_GB2312"/>
                <w:color w:val="auto"/>
                <w:kern w:val="0"/>
                <w:sz w:val="13"/>
                <w:szCs w:val="13"/>
                <w:highlight w:val="none"/>
              </w:rPr>
              <w:t>责令改正，处工程合同价款3.5%以上4%以下的罚款；责令停业整顿</w:t>
            </w:r>
            <w:r>
              <w:rPr>
                <w:rFonts w:hint="eastAsia" w:ascii="仿宋_GB2312" w:hAnsi="宋体" w:eastAsia="仿宋_GB2312"/>
                <w:color w:val="auto"/>
                <w:kern w:val="0"/>
                <w:sz w:val="13"/>
                <w:szCs w:val="13"/>
                <w:highlight w:val="none"/>
                <w:lang w:eastAsia="zh-CN"/>
              </w:rPr>
              <w:t>30日-</w:t>
            </w:r>
            <w:r>
              <w:rPr>
                <w:rFonts w:hint="eastAsia" w:ascii="仿宋_GB2312" w:hAnsi="宋体" w:eastAsia="仿宋_GB2312"/>
                <w:color w:val="auto"/>
                <w:kern w:val="0"/>
                <w:sz w:val="13"/>
                <w:szCs w:val="13"/>
                <w:highlight w:val="none"/>
              </w:rPr>
              <w:t>90日；对其直接负责的主管人员和其他直接责任人员处单位罚款数额8.5%以上10%以下的罚款</w:t>
            </w:r>
          </w:p>
        </w:tc>
      </w:tr>
      <w:tr w14:paraId="16AC8C8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4" w:hRule="atLeast"/>
          <w:jc w:val="center"/>
        </w:trPr>
        <w:tc>
          <w:tcPr>
            <w:tcW w:w="443" w:type="dxa"/>
            <w:gridSpan w:val="2"/>
            <w:vMerge w:val="continue"/>
            <w:tcBorders>
              <w:tl2br w:val="nil"/>
              <w:tr2bl w:val="nil"/>
            </w:tcBorders>
            <w:vAlign w:val="center"/>
          </w:tcPr>
          <w:p w14:paraId="1E19B84B">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仿宋_GB2312"/>
                <w:i w:val="0"/>
                <w:color w:val="auto"/>
                <w:kern w:val="0"/>
                <w:sz w:val="13"/>
                <w:szCs w:val="13"/>
                <w:highlight w:val="none"/>
                <w:u w:val="none"/>
                <w:lang w:val="en-US" w:eastAsia="zh-CN" w:bidi="ar"/>
              </w:rPr>
            </w:pPr>
          </w:p>
        </w:tc>
        <w:tc>
          <w:tcPr>
            <w:tcW w:w="1550" w:type="dxa"/>
            <w:vMerge w:val="continue"/>
            <w:tcBorders>
              <w:tl2br w:val="nil"/>
              <w:tr2bl w:val="nil"/>
            </w:tcBorders>
            <w:shd w:val="clear" w:color="auto" w:fill="auto"/>
            <w:vAlign w:val="center"/>
          </w:tcPr>
          <w:p w14:paraId="032D55D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lang w:val="en-US" w:eastAsia="zh-CN"/>
              </w:rPr>
            </w:pPr>
          </w:p>
        </w:tc>
        <w:tc>
          <w:tcPr>
            <w:tcW w:w="4820" w:type="dxa"/>
            <w:vMerge w:val="continue"/>
            <w:tcBorders>
              <w:tl2br w:val="nil"/>
              <w:tr2bl w:val="nil"/>
            </w:tcBorders>
            <w:shd w:val="clear" w:color="auto" w:fill="auto"/>
            <w:vAlign w:val="center"/>
          </w:tcPr>
          <w:p w14:paraId="04033DE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lang w:val="en-US" w:eastAsia="zh-CN"/>
              </w:rPr>
            </w:pPr>
          </w:p>
        </w:tc>
        <w:tc>
          <w:tcPr>
            <w:tcW w:w="823" w:type="dxa"/>
            <w:vMerge w:val="continue"/>
            <w:tcBorders>
              <w:tl2br w:val="nil"/>
              <w:tr2bl w:val="nil"/>
            </w:tcBorders>
            <w:shd w:val="clear" w:color="auto" w:fill="auto"/>
            <w:vAlign w:val="center"/>
          </w:tcPr>
          <w:p w14:paraId="73E41AB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lang w:val="en-US" w:eastAsia="zh-CN"/>
              </w:rPr>
            </w:pPr>
          </w:p>
        </w:tc>
        <w:tc>
          <w:tcPr>
            <w:tcW w:w="3437" w:type="dxa"/>
            <w:gridSpan w:val="2"/>
            <w:tcBorders>
              <w:tl2br w:val="nil"/>
              <w:tr2bl w:val="nil"/>
            </w:tcBorders>
            <w:shd w:val="clear" w:color="auto" w:fill="auto"/>
            <w:vAlign w:val="center"/>
          </w:tcPr>
          <w:p w14:paraId="635B02E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lang w:val="en-US" w:eastAsia="zh-CN"/>
              </w:rPr>
            </w:pPr>
            <w:r>
              <w:rPr>
                <w:rFonts w:hint="eastAsia" w:ascii="仿宋_GB2312" w:hAnsi="宋体" w:eastAsia="仿宋_GB2312"/>
                <w:color w:val="auto"/>
                <w:kern w:val="0"/>
                <w:sz w:val="13"/>
                <w:szCs w:val="13"/>
                <w:highlight w:val="none"/>
              </w:rPr>
              <w:t>导致严重抗震安全隐患，能通过抗震加固满足抗震安全性能的</w:t>
            </w:r>
          </w:p>
        </w:tc>
        <w:tc>
          <w:tcPr>
            <w:tcW w:w="3058" w:type="dxa"/>
            <w:tcBorders>
              <w:tl2br w:val="nil"/>
              <w:tr2bl w:val="nil"/>
            </w:tcBorders>
            <w:shd w:val="clear" w:color="auto" w:fill="auto"/>
            <w:vAlign w:val="top"/>
          </w:tcPr>
          <w:p w14:paraId="16D75A9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lang w:val="en-US" w:eastAsia="zh-CN"/>
              </w:rPr>
            </w:pPr>
            <w:r>
              <w:rPr>
                <w:rFonts w:hint="eastAsia" w:ascii="仿宋_GB2312" w:hAnsi="宋体" w:eastAsia="仿宋_GB2312"/>
                <w:color w:val="auto"/>
                <w:kern w:val="0"/>
                <w:sz w:val="13"/>
                <w:szCs w:val="13"/>
                <w:highlight w:val="none"/>
              </w:rPr>
              <w:t>责令改正，处工程合同价款4%的罚款；降低资质等级；对其直接负责的主管人员和其他直接责任人员处单位罚款数额8.5%以上10%以下的罚款</w:t>
            </w:r>
          </w:p>
        </w:tc>
      </w:tr>
      <w:tr w14:paraId="769383C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4" w:hRule="atLeast"/>
          <w:jc w:val="center"/>
        </w:trPr>
        <w:tc>
          <w:tcPr>
            <w:tcW w:w="443" w:type="dxa"/>
            <w:gridSpan w:val="2"/>
            <w:vMerge w:val="continue"/>
            <w:tcBorders>
              <w:tl2br w:val="nil"/>
              <w:tr2bl w:val="nil"/>
            </w:tcBorders>
            <w:vAlign w:val="center"/>
          </w:tcPr>
          <w:p w14:paraId="12B73B0B">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仿宋_GB2312"/>
                <w:i w:val="0"/>
                <w:color w:val="auto"/>
                <w:kern w:val="0"/>
                <w:sz w:val="13"/>
                <w:szCs w:val="13"/>
                <w:highlight w:val="none"/>
                <w:u w:val="none"/>
                <w:lang w:val="en-US" w:eastAsia="zh-CN" w:bidi="ar"/>
              </w:rPr>
            </w:pPr>
          </w:p>
        </w:tc>
        <w:tc>
          <w:tcPr>
            <w:tcW w:w="1550" w:type="dxa"/>
            <w:vMerge w:val="continue"/>
            <w:tcBorders>
              <w:tl2br w:val="nil"/>
              <w:tr2bl w:val="nil"/>
            </w:tcBorders>
            <w:shd w:val="clear" w:color="auto" w:fill="auto"/>
            <w:vAlign w:val="center"/>
          </w:tcPr>
          <w:p w14:paraId="45E2755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lang w:val="en-US" w:eastAsia="zh-CN"/>
              </w:rPr>
            </w:pPr>
          </w:p>
        </w:tc>
        <w:tc>
          <w:tcPr>
            <w:tcW w:w="4820" w:type="dxa"/>
            <w:vMerge w:val="continue"/>
            <w:tcBorders>
              <w:tl2br w:val="nil"/>
              <w:tr2bl w:val="nil"/>
            </w:tcBorders>
            <w:shd w:val="clear" w:color="auto" w:fill="auto"/>
            <w:vAlign w:val="center"/>
          </w:tcPr>
          <w:p w14:paraId="58BB64B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lang w:val="en-US" w:eastAsia="zh-CN"/>
              </w:rPr>
            </w:pPr>
          </w:p>
        </w:tc>
        <w:tc>
          <w:tcPr>
            <w:tcW w:w="823" w:type="dxa"/>
            <w:vMerge w:val="continue"/>
            <w:tcBorders>
              <w:tl2br w:val="nil"/>
              <w:tr2bl w:val="nil"/>
            </w:tcBorders>
            <w:shd w:val="clear" w:color="auto" w:fill="auto"/>
            <w:vAlign w:val="center"/>
          </w:tcPr>
          <w:p w14:paraId="6CDDADB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lang w:val="en-US" w:eastAsia="zh-CN"/>
              </w:rPr>
            </w:pPr>
          </w:p>
        </w:tc>
        <w:tc>
          <w:tcPr>
            <w:tcW w:w="3437" w:type="dxa"/>
            <w:gridSpan w:val="2"/>
            <w:tcBorders>
              <w:tl2br w:val="nil"/>
              <w:tr2bl w:val="nil"/>
            </w:tcBorders>
            <w:shd w:val="clear" w:color="auto" w:fill="auto"/>
            <w:vAlign w:val="center"/>
          </w:tcPr>
          <w:p w14:paraId="53296B4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lang w:val="en-US" w:eastAsia="zh-CN"/>
              </w:rPr>
            </w:pPr>
            <w:r>
              <w:rPr>
                <w:rFonts w:hint="eastAsia" w:ascii="仿宋_GB2312" w:hAnsi="宋体" w:eastAsia="仿宋_GB2312"/>
                <w:color w:val="auto"/>
                <w:kern w:val="0"/>
                <w:sz w:val="13"/>
                <w:szCs w:val="13"/>
                <w:highlight w:val="none"/>
              </w:rPr>
              <w:t>导致严重抗震安全隐患，不能通过抗震加固满足抗震安全性能的；造成其他严重危害后果的</w:t>
            </w:r>
          </w:p>
        </w:tc>
        <w:tc>
          <w:tcPr>
            <w:tcW w:w="3058" w:type="dxa"/>
            <w:tcBorders>
              <w:tl2br w:val="nil"/>
              <w:tr2bl w:val="nil"/>
            </w:tcBorders>
            <w:shd w:val="clear" w:color="auto" w:fill="auto"/>
            <w:vAlign w:val="top"/>
          </w:tcPr>
          <w:p w14:paraId="153BCBC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lang w:val="en-US" w:eastAsia="zh-CN"/>
              </w:rPr>
            </w:pPr>
            <w:r>
              <w:rPr>
                <w:rFonts w:hint="eastAsia" w:ascii="仿宋_GB2312" w:hAnsi="宋体" w:eastAsia="仿宋_GB2312"/>
                <w:color w:val="auto"/>
                <w:kern w:val="0"/>
                <w:sz w:val="13"/>
                <w:szCs w:val="13"/>
                <w:highlight w:val="none"/>
              </w:rPr>
              <w:t>责令改正，处工程合同价款4%的罚款；吊销资质证书；对其直接负责的主管人员和其他直接责任人员处单位罚款数额10%的罚款</w:t>
            </w:r>
          </w:p>
        </w:tc>
      </w:tr>
      <w:tr w14:paraId="5BA387B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4" w:hRule="atLeast"/>
          <w:jc w:val="center"/>
        </w:trPr>
        <w:tc>
          <w:tcPr>
            <w:tcW w:w="443" w:type="dxa"/>
            <w:gridSpan w:val="2"/>
            <w:vMerge w:val="restart"/>
            <w:tcBorders>
              <w:tl2br w:val="nil"/>
              <w:tr2bl w:val="nil"/>
            </w:tcBorders>
            <w:vAlign w:val="center"/>
          </w:tcPr>
          <w:p w14:paraId="622203DD">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仿宋_GB2312"/>
                <w:i w:val="0"/>
                <w:color w:val="auto"/>
                <w:kern w:val="0"/>
                <w:sz w:val="13"/>
                <w:szCs w:val="13"/>
                <w:highlight w:val="none"/>
                <w:u w:val="none"/>
                <w:lang w:val="en-US" w:eastAsia="zh-CN" w:bidi="ar"/>
              </w:rPr>
            </w:pPr>
            <w:r>
              <w:rPr>
                <w:rFonts w:hint="eastAsia" w:ascii="仿宋_GB2312" w:hAnsi="宋体" w:eastAsia="仿宋_GB2312" w:cs="仿宋_GB2312"/>
                <w:i w:val="0"/>
                <w:color w:val="auto"/>
                <w:kern w:val="0"/>
                <w:sz w:val="13"/>
                <w:szCs w:val="13"/>
                <w:highlight w:val="none"/>
                <w:u w:val="none"/>
                <w:lang w:val="en-US" w:eastAsia="zh-CN" w:bidi="ar"/>
              </w:rPr>
              <w:t>147</w:t>
            </w:r>
          </w:p>
        </w:tc>
        <w:tc>
          <w:tcPr>
            <w:tcW w:w="1550" w:type="dxa"/>
            <w:vMerge w:val="restart"/>
            <w:tcBorders>
              <w:tl2br w:val="nil"/>
              <w:tr2bl w:val="nil"/>
            </w:tcBorders>
            <w:shd w:val="clear" w:color="auto" w:fill="auto"/>
            <w:vAlign w:val="center"/>
          </w:tcPr>
          <w:p w14:paraId="3A27A8C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lang w:val="en-US" w:eastAsia="zh-CN"/>
              </w:rPr>
            </w:pPr>
            <w:r>
              <w:rPr>
                <w:rFonts w:hint="eastAsia" w:ascii="仿宋_GB2312" w:hAnsi="宋体" w:eastAsia="仿宋_GB2312"/>
                <w:color w:val="auto"/>
                <w:kern w:val="0"/>
                <w:sz w:val="13"/>
                <w:szCs w:val="13"/>
                <w:highlight w:val="none"/>
              </w:rPr>
              <w:t>施工单位未对隔震减震装置取样送检或者使用不</w:t>
            </w:r>
            <w:r>
              <w:rPr>
                <w:rFonts w:hint="eastAsia" w:ascii="仿宋_GB2312" w:hAnsi="宋体" w:eastAsia="仿宋_GB2312"/>
                <w:color w:val="auto"/>
                <w:kern w:val="0"/>
                <w:sz w:val="13"/>
                <w:szCs w:val="13"/>
                <w:highlight w:val="none"/>
                <w:lang w:val="en-US" w:eastAsia="zh-CN"/>
              </w:rPr>
              <w:t>1</w:t>
            </w:r>
            <w:r>
              <w:rPr>
                <w:rFonts w:hint="eastAsia" w:ascii="仿宋_GB2312" w:hAnsi="宋体" w:eastAsia="仿宋_GB2312"/>
                <w:color w:val="auto"/>
                <w:kern w:val="0"/>
                <w:sz w:val="13"/>
                <w:szCs w:val="13"/>
                <w:highlight w:val="none"/>
              </w:rPr>
              <w:t>合格隔震减震装置的</w:t>
            </w:r>
          </w:p>
        </w:tc>
        <w:tc>
          <w:tcPr>
            <w:tcW w:w="4820" w:type="dxa"/>
            <w:vMerge w:val="restart"/>
            <w:tcBorders>
              <w:tl2br w:val="nil"/>
              <w:tr2bl w:val="nil"/>
            </w:tcBorders>
            <w:shd w:val="clear" w:color="auto" w:fill="auto"/>
            <w:vAlign w:val="center"/>
          </w:tcPr>
          <w:p w14:paraId="53EDAD9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《建设工程抗震管理条例》第四十三条 违反本条例规定，施工单位未对隔震减震装置取样送检或者使用不合格隔震减震装置的，责令改正，处10万元以上20万元以下的罚款；情节严重的，责令停业整顿，并处20万元以上50万元以下的罚款，降低资质等级或者吊销资质证书；造成损失的，依法承担赔偿责任。</w:t>
            </w:r>
          </w:p>
          <w:p w14:paraId="44DDC96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lang w:val="en-US" w:eastAsia="zh-CN"/>
              </w:rPr>
            </w:pPr>
            <w:r>
              <w:rPr>
                <w:rFonts w:hint="eastAsia" w:ascii="仿宋_GB2312" w:hAnsi="宋体" w:eastAsia="仿宋_GB2312"/>
                <w:color w:val="auto"/>
                <w:kern w:val="0"/>
                <w:sz w:val="13"/>
                <w:szCs w:val="13"/>
                <w:highlight w:val="none"/>
              </w:rPr>
              <w:t>第四十七条 依照本条例规定，给予单位罚款处罚的，对其直接负责的主管人员和其他直接责任人员处单位罚款数额5%以上10%以下的罚款。</w:t>
            </w:r>
          </w:p>
        </w:tc>
        <w:tc>
          <w:tcPr>
            <w:tcW w:w="823" w:type="dxa"/>
            <w:tcBorders>
              <w:tl2br w:val="nil"/>
              <w:tr2bl w:val="nil"/>
            </w:tcBorders>
            <w:shd w:val="clear" w:color="auto" w:fill="auto"/>
            <w:vAlign w:val="center"/>
          </w:tcPr>
          <w:p w14:paraId="2A5EDE7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lang w:val="en-US" w:eastAsia="zh-CN"/>
              </w:rPr>
            </w:pPr>
            <w:r>
              <w:rPr>
                <w:rFonts w:hint="eastAsia" w:ascii="仿宋_GB2312" w:hAnsi="宋体" w:eastAsia="仿宋_GB2312"/>
                <w:color w:val="auto"/>
                <w:kern w:val="0"/>
                <w:sz w:val="13"/>
                <w:szCs w:val="13"/>
                <w:highlight w:val="none"/>
              </w:rPr>
              <w:t>从轻情节</w:t>
            </w:r>
          </w:p>
        </w:tc>
        <w:tc>
          <w:tcPr>
            <w:tcW w:w="3437" w:type="dxa"/>
            <w:gridSpan w:val="2"/>
            <w:tcBorders>
              <w:tl2br w:val="nil"/>
              <w:tr2bl w:val="nil"/>
            </w:tcBorders>
            <w:shd w:val="clear" w:color="auto" w:fill="auto"/>
            <w:vAlign w:val="center"/>
          </w:tcPr>
          <w:p w14:paraId="61EA6CC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lang w:val="en-US" w:eastAsia="zh-CN"/>
              </w:rPr>
            </w:pPr>
            <w:r>
              <w:rPr>
                <w:rFonts w:hint="eastAsia" w:ascii="仿宋_GB2312" w:hAnsi="宋体" w:eastAsia="仿宋_GB2312"/>
                <w:color w:val="auto"/>
                <w:kern w:val="0"/>
                <w:sz w:val="13"/>
                <w:szCs w:val="13"/>
                <w:highlight w:val="none"/>
              </w:rPr>
              <w:t>初次违法，危害后果轻微，主动消除违法行为危害后果的。</w:t>
            </w:r>
          </w:p>
        </w:tc>
        <w:tc>
          <w:tcPr>
            <w:tcW w:w="3058" w:type="dxa"/>
            <w:tcBorders>
              <w:tl2br w:val="nil"/>
              <w:tr2bl w:val="nil"/>
            </w:tcBorders>
            <w:shd w:val="clear" w:color="auto" w:fill="auto"/>
            <w:vAlign w:val="top"/>
          </w:tcPr>
          <w:p w14:paraId="069A4E1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lang w:val="en-US" w:eastAsia="zh-CN"/>
              </w:rPr>
            </w:pPr>
            <w:r>
              <w:rPr>
                <w:rFonts w:hint="eastAsia" w:ascii="仿宋_GB2312" w:hAnsi="宋体" w:eastAsia="仿宋_GB2312"/>
                <w:color w:val="auto"/>
                <w:kern w:val="0"/>
                <w:sz w:val="13"/>
                <w:szCs w:val="13"/>
                <w:highlight w:val="none"/>
              </w:rPr>
              <w:t>责令改正，处10万元以上15万元以下罚款；对其直接负责的主管人员和其他直接责任人员处单位罚款数额5%以上6.5%以下的罚款</w:t>
            </w:r>
          </w:p>
        </w:tc>
      </w:tr>
      <w:tr w14:paraId="4D173CA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4" w:hRule="atLeast"/>
          <w:jc w:val="center"/>
        </w:trPr>
        <w:tc>
          <w:tcPr>
            <w:tcW w:w="443" w:type="dxa"/>
            <w:gridSpan w:val="2"/>
            <w:vMerge w:val="continue"/>
            <w:tcBorders>
              <w:tl2br w:val="nil"/>
              <w:tr2bl w:val="nil"/>
            </w:tcBorders>
            <w:vAlign w:val="center"/>
          </w:tcPr>
          <w:p w14:paraId="6A115175">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仿宋_GB2312"/>
                <w:i w:val="0"/>
                <w:color w:val="auto"/>
                <w:kern w:val="0"/>
                <w:sz w:val="13"/>
                <w:szCs w:val="13"/>
                <w:highlight w:val="none"/>
                <w:u w:val="none"/>
                <w:lang w:val="en-US" w:eastAsia="zh-CN" w:bidi="ar"/>
              </w:rPr>
            </w:pPr>
          </w:p>
        </w:tc>
        <w:tc>
          <w:tcPr>
            <w:tcW w:w="1550" w:type="dxa"/>
            <w:vMerge w:val="continue"/>
            <w:tcBorders>
              <w:tl2br w:val="nil"/>
              <w:tr2bl w:val="nil"/>
            </w:tcBorders>
            <w:shd w:val="clear" w:color="auto" w:fill="auto"/>
            <w:vAlign w:val="center"/>
          </w:tcPr>
          <w:p w14:paraId="1E98403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lang w:val="en-US" w:eastAsia="zh-CN"/>
              </w:rPr>
            </w:pPr>
          </w:p>
        </w:tc>
        <w:tc>
          <w:tcPr>
            <w:tcW w:w="4820" w:type="dxa"/>
            <w:vMerge w:val="continue"/>
            <w:tcBorders>
              <w:tl2br w:val="nil"/>
              <w:tr2bl w:val="nil"/>
            </w:tcBorders>
            <w:shd w:val="clear" w:color="auto" w:fill="auto"/>
            <w:vAlign w:val="center"/>
          </w:tcPr>
          <w:p w14:paraId="6C86D04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lang w:val="en-US" w:eastAsia="zh-CN"/>
              </w:rPr>
            </w:pPr>
          </w:p>
        </w:tc>
        <w:tc>
          <w:tcPr>
            <w:tcW w:w="823" w:type="dxa"/>
            <w:tcBorders>
              <w:tl2br w:val="nil"/>
              <w:tr2bl w:val="nil"/>
            </w:tcBorders>
            <w:shd w:val="clear" w:color="auto" w:fill="auto"/>
            <w:vAlign w:val="center"/>
          </w:tcPr>
          <w:p w14:paraId="7AFFF6A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lang w:val="en-US" w:eastAsia="zh-CN"/>
              </w:rPr>
            </w:pPr>
            <w:r>
              <w:rPr>
                <w:rFonts w:hint="eastAsia" w:ascii="仿宋_GB2312" w:hAnsi="宋体" w:eastAsia="仿宋_GB2312"/>
                <w:color w:val="auto"/>
                <w:kern w:val="0"/>
                <w:sz w:val="13"/>
                <w:szCs w:val="13"/>
                <w:highlight w:val="none"/>
              </w:rPr>
              <w:t>一般情节</w:t>
            </w:r>
          </w:p>
        </w:tc>
        <w:tc>
          <w:tcPr>
            <w:tcW w:w="3437" w:type="dxa"/>
            <w:gridSpan w:val="2"/>
            <w:tcBorders>
              <w:tl2br w:val="nil"/>
              <w:tr2bl w:val="nil"/>
            </w:tcBorders>
            <w:shd w:val="clear" w:color="auto" w:fill="auto"/>
            <w:vAlign w:val="center"/>
          </w:tcPr>
          <w:p w14:paraId="6C0DEB6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lang w:val="en-US" w:eastAsia="zh-CN"/>
              </w:rPr>
            </w:pPr>
            <w:r>
              <w:rPr>
                <w:rFonts w:hint="eastAsia" w:ascii="仿宋_GB2312" w:hAnsi="宋体" w:eastAsia="仿宋_GB2312"/>
                <w:color w:val="auto"/>
                <w:kern w:val="0"/>
                <w:sz w:val="13"/>
                <w:szCs w:val="13"/>
                <w:highlight w:val="none"/>
              </w:rPr>
              <w:t>不具有从轻、从重情节，且违法行为导致的抗震安全隐患能通过抗震加固满足抗震安全性能的。</w:t>
            </w:r>
          </w:p>
        </w:tc>
        <w:tc>
          <w:tcPr>
            <w:tcW w:w="3058" w:type="dxa"/>
            <w:tcBorders>
              <w:tl2br w:val="nil"/>
              <w:tr2bl w:val="nil"/>
            </w:tcBorders>
            <w:shd w:val="clear" w:color="auto" w:fill="auto"/>
            <w:vAlign w:val="top"/>
          </w:tcPr>
          <w:p w14:paraId="1E644BB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lang w:val="en-US" w:eastAsia="zh-CN"/>
              </w:rPr>
            </w:pPr>
            <w:r>
              <w:rPr>
                <w:rFonts w:hint="eastAsia" w:ascii="仿宋_GB2312" w:hAnsi="宋体" w:eastAsia="仿宋_GB2312"/>
                <w:color w:val="auto"/>
                <w:kern w:val="0"/>
                <w:sz w:val="13"/>
                <w:szCs w:val="13"/>
                <w:highlight w:val="none"/>
              </w:rPr>
              <w:t>责令改正，处15万元以上20万元以下罚款；对其直接负责的主管人员和其他直接责任人员处单位罚款数额6.5%以上8.5%以下的罚款</w:t>
            </w:r>
          </w:p>
        </w:tc>
      </w:tr>
      <w:tr w14:paraId="1273A12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4" w:hRule="atLeast"/>
          <w:jc w:val="center"/>
        </w:trPr>
        <w:tc>
          <w:tcPr>
            <w:tcW w:w="443" w:type="dxa"/>
            <w:gridSpan w:val="2"/>
            <w:vMerge w:val="continue"/>
            <w:tcBorders>
              <w:tl2br w:val="nil"/>
              <w:tr2bl w:val="nil"/>
            </w:tcBorders>
            <w:vAlign w:val="center"/>
          </w:tcPr>
          <w:p w14:paraId="26034DE0">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仿宋_GB2312"/>
                <w:i w:val="0"/>
                <w:color w:val="auto"/>
                <w:kern w:val="0"/>
                <w:sz w:val="13"/>
                <w:szCs w:val="13"/>
                <w:highlight w:val="none"/>
                <w:u w:val="none"/>
                <w:lang w:val="en-US" w:eastAsia="zh-CN" w:bidi="ar"/>
              </w:rPr>
            </w:pPr>
          </w:p>
        </w:tc>
        <w:tc>
          <w:tcPr>
            <w:tcW w:w="1550" w:type="dxa"/>
            <w:vMerge w:val="continue"/>
            <w:tcBorders>
              <w:tl2br w:val="nil"/>
              <w:tr2bl w:val="nil"/>
            </w:tcBorders>
            <w:shd w:val="clear" w:color="auto" w:fill="auto"/>
            <w:vAlign w:val="center"/>
          </w:tcPr>
          <w:p w14:paraId="792570C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lang w:val="en-US" w:eastAsia="zh-CN"/>
              </w:rPr>
            </w:pPr>
          </w:p>
        </w:tc>
        <w:tc>
          <w:tcPr>
            <w:tcW w:w="4820" w:type="dxa"/>
            <w:vMerge w:val="continue"/>
            <w:tcBorders>
              <w:tl2br w:val="nil"/>
              <w:tr2bl w:val="nil"/>
            </w:tcBorders>
            <w:shd w:val="clear" w:color="auto" w:fill="auto"/>
            <w:vAlign w:val="center"/>
          </w:tcPr>
          <w:p w14:paraId="191AB74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lang w:val="en-US" w:eastAsia="zh-CN"/>
              </w:rPr>
            </w:pPr>
          </w:p>
        </w:tc>
        <w:tc>
          <w:tcPr>
            <w:tcW w:w="823" w:type="dxa"/>
            <w:vMerge w:val="restart"/>
            <w:tcBorders>
              <w:tl2br w:val="nil"/>
              <w:tr2bl w:val="nil"/>
            </w:tcBorders>
            <w:shd w:val="clear" w:color="auto" w:fill="auto"/>
            <w:vAlign w:val="center"/>
          </w:tcPr>
          <w:p w14:paraId="7B315CD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lang w:val="en-US" w:eastAsia="zh-CN"/>
              </w:rPr>
            </w:pPr>
            <w:r>
              <w:rPr>
                <w:rFonts w:hint="eastAsia" w:ascii="仿宋_GB2312" w:hAnsi="宋体" w:eastAsia="仿宋_GB2312"/>
                <w:color w:val="auto"/>
                <w:kern w:val="0"/>
                <w:sz w:val="13"/>
                <w:szCs w:val="13"/>
                <w:highlight w:val="none"/>
              </w:rPr>
              <w:t>从重情节</w:t>
            </w:r>
          </w:p>
        </w:tc>
        <w:tc>
          <w:tcPr>
            <w:tcW w:w="3437" w:type="dxa"/>
            <w:gridSpan w:val="2"/>
            <w:tcBorders>
              <w:tl2br w:val="nil"/>
              <w:tr2bl w:val="nil"/>
            </w:tcBorders>
            <w:shd w:val="clear" w:color="auto" w:fill="auto"/>
            <w:vAlign w:val="center"/>
          </w:tcPr>
          <w:p w14:paraId="6DCC62A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1.工程位于地震重点监视防御区或者超限高层，且违法行为导致的抗震安全隐患能通过抗震加固满足抗震安全性能的；</w:t>
            </w:r>
          </w:p>
          <w:p w14:paraId="25E4894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lang w:val="en-US" w:eastAsia="zh-CN"/>
              </w:rPr>
            </w:pPr>
            <w:r>
              <w:rPr>
                <w:rFonts w:hint="eastAsia" w:ascii="仿宋_GB2312" w:hAnsi="宋体" w:eastAsia="仿宋_GB2312"/>
                <w:color w:val="auto"/>
                <w:kern w:val="0"/>
                <w:sz w:val="13"/>
                <w:szCs w:val="13"/>
                <w:highlight w:val="none"/>
              </w:rPr>
              <w:t>2.非地震重点监视防御区工程，违法行为导致的抗震安全隐患不能通过抗震加固满足抗震安全性能的；</w:t>
            </w:r>
          </w:p>
        </w:tc>
        <w:tc>
          <w:tcPr>
            <w:tcW w:w="3058" w:type="dxa"/>
            <w:tcBorders>
              <w:tl2br w:val="nil"/>
              <w:tr2bl w:val="nil"/>
            </w:tcBorders>
            <w:shd w:val="clear" w:color="auto" w:fill="auto"/>
            <w:vAlign w:val="top"/>
          </w:tcPr>
          <w:p w14:paraId="228CEAF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lang w:val="en-US" w:eastAsia="zh-CN"/>
              </w:rPr>
            </w:pPr>
            <w:r>
              <w:rPr>
                <w:rFonts w:hint="eastAsia" w:ascii="仿宋_GB2312" w:hAnsi="宋体" w:eastAsia="仿宋_GB2312"/>
                <w:color w:val="auto"/>
                <w:kern w:val="0"/>
                <w:sz w:val="13"/>
                <w:szCs w:val="13"/>
                <w:highlight w:val="none"/>
              </w:rPr>
              <w:t>责令改正，处20万元以上40万元以下罚款，责令停业整顿</w:t>
            </w:r>
            <w:r>
              <w:rPr>
                <w:rFonts w:hint="eastAsia" w:ascii="仿宋_GB2312" w:hAnsi="宋体" w:eastAsia="仿宋_GB2312"/>
                <w:color w:val="auto"/>
                <w:kern w:val="0"/>
                <w:sz w:val="13"/>
                <w:szCs w:val="13"/>
                <w:highlight w:val="none"/>
                <w:lang w:eastAsia="zh-CN"/>
              </w:rPr>
              <w:t>30日-</w:t>
            </w:r>
            <w:r>
              <w:rPr>
                <w:rFonts w:hint="eastAsia" w:ascii="仿宋_GB2312" w:hAnsi="宋体" w:eastAsia="仿宋_GB2312"/>
                <w:color w:val="auto"/>
                <w:kern w:val="0"/>
                <w:sz w:val="13"/>
                <w:szCs w:val="13"/>
                <w:highlight w:val="none"/>
              </w:rPr>
              <w:t>90日；对其直接负责的主管人员和其他直接责任人员处单位罚款数额8.5%以上10%以下的罚款</w:t>
            </w:r>
          </w:p>
        </w:tc>
      </w:tr>
      <w:tr w14:paraId="5BC2BDC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4" w:hRule="atLeast"/>
          <w:jc w:val="center"/>
        </w:trPr>
        <w:tc>
          <w:tcPr>
            <w:tcW w:w="443" w:type="dxa"/>
            <w:gridSpan w:val="2"/>
            <w:vMerge w:val="continue"/>
            <w:tcBorders>
              <w:tl2br w:val="nil"/>
              <w:tr2bl w:val="nil"/>
            </w:tcBorders>
            <w:vAlign w:val="center"/>
          </w:tcPr>
          <w:p w14:paraId="387273C3">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仿宋_GB2312"/>
                <w:i w:val="0"/>
                <w:color w:val="auto"/>
                <w:kern w:val="0"/>
                <w:sz w:val="13"/>
                <w:szCs w:val="13"/>
                <w:highlight w:val="none"/>
                <w:u w:val="none"/>
                <w:lang w:val="en-US" w:eastAsia="zh-CN" w:bidi="ar"/>
              </w:rPr>
            </w:pPr>
          </w:p>
        </w:tc>
        <w:tc>
          <w:tcPr>
            <w:tcW w:w="1550" w:type="dxa"/>
            <w:vMerge w:val="continue"/>
            <w:tcBorders>
              <w:tl2br w:val="nil"/>
              <w:tr2bl w:val="nil"/>
            </w:tcBorders>
            <w:shd w:val="clear" w:color="auto" w:fill="auto"/>
            <w:vAlign w:val="center"/>
          </w:tcPr>
          <w:p w14:paraId="32B7369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lang w:val="en-US" w:eastAsia="zh-CN"/>
              </w:rPr>
            </w:pPr>
          </w:p>
        </w:tc>
        <w:tc>
          <w:tcPr>
            <w:tcW w:w="4820" w:type="dxa"/>
            <w:vMerge w:val="continue"/>
            <w:tcBorders>
              <w:tl2br w:val="nil"/>
              <w:tr2bl w:val="nil"/>
            </w:tcBorders>
            <w:shd w:val="clear" w:color="auto" w:fill="auto"/>
            <w:vAlign w:val="center"/>
          </w:tcPr>
          <w:p w14:paraId="20CAE70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lang w:val="en-US" w:eastAsia="zh-CN"/>
              </w:rPr>
            </w:pPr>
          </w:p>
        </w:tc>
        <w:tc>
          <w:tcPr>
            <w:tcW w:w="823" w:type="dxa"/>
            <w:vMerge w:val="continue"/>
            <w:tcBorders>
              <w:tl2br w:val="nil"/>
              <w:tr2bl w:val="nil"/>
            </w:tcBorders>
            <w:shd w:val="clear" w:color="auto" w:fill="auto"/>
            <w:vAlign w:val="center"/>
          </w:tcPr>
          <w:p w14:paraId="19ECFEC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lang w:val="en-US" w:eastAsia="zh-CN"/>
              </w:rPr>
            </w:pPr>
          </w:p>
        </w:tc>
        <w:tc>
          <w:tcPr>
            <w:tcW w:w="3437" w:type="dxa"/>
            <w:gridSpan w:val="2"/>
            <w:tcBorders>
              <w:tl2br w:val="nil"/>
              <w:tr2bl w:val="nil"/>
            </w:tcBorders>
            <w:shd w:val="clear" w:color="auto" w:fill="auto"/>
            <w:vAlign w:val="center"/>
          </w:tcPr>
          <w:p w14:paraId="10B9DD6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lang w:val="en-US" w:eastAsia="zh-CN"/>
              </w:rPr>
            </w:pPr>
            <w:r>
              <w:rPr>
                <w:rFonts w:hint="eastAsia" w:ascii="仿宋_GB2312" w:hAnsi="宋体" w:eastAsia="仿宋_GB2312"/>
                <w:color w:val="auto"/>
                <w:kern w:val="0"/>
                <w:sz w:val="13"/>
                <w:szCs w:val="13"/>
                <w:highlight w:val="none"/>
              </w:rPr>
              <w:t>导致严重抗震安全隐患，能通过抗震加固满足抗震安全性能的</w:t>
            </w:r>
          </w:p>
        </w:tc>
        <w:tc>
          <w:tcPr>
            <w:tcW w:w="3058" w:type="dxa"/>
            <w:tcBorders>
              <w:tl2br w:val="nil"/>
              <w:tr2bl w:val="nil"/>
            </w:tcBorders>
            <w:shd w:val="clear" w:color="auto" w:fill="auto"/>
            <w:vAlign w:val="top"/>
          </w:tcPr>
          <w:p w14:paraId="6187726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lang w:val="en-US" w:eastAsia="zh-CN"/>
              </w:rPr>
            </w:pPr>
            <w:r>
              <w:rPr>
                <w:rFonts w:hint="eastAsia" w:ascii="仿宋_GB2312" w:hAnsi="宋体" w:eastAsia="仿宋_GB2312"/>
                <w:color w:val="auto"/>
                <w:kern w:val="0"/>
                <w:sz w:val="13"/>
                <w:szCs w:val="13"/>
                <w:highlight w:val="none"/>
              </w:rPr>
              <w:t>责令改正，处40万元以上50万元以下罚款；降低资质等级；对其直接负责的主管人员和其他直接责任人员处单位罚款数额8.5%以上10%以下的罚款</w:t>
            </w:r>
          </w:p>
        </w:tc>
      </w:tr>
      <w:tr w14:paraId="005F922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4" w:hRule="atLeast"/>
          <w:jc w:val="center"/>
        </w:trPr>
        <w:tc>
          <w:tcPr>
            <w:tcW w:w="443" w:type="dxa"/>
            <w:gridSpan w:val="2"/>
            <w:vMerge w:val="continue"/>
            <w:tcBorders>
              <w:tl2br w:val="nil"/>
              <w:tr2bl w:val="nil"/>
            </w:tcBorders>
            <w:vAlign w:val="center"/>
          </w:tcPr>
          <w:p w14:paraId="76417F18">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仿宋_GB2312"/>
                <w:i w:val="0"/>
                <w:color w:val="auto"/>
                <w:kern w:val="0"/>
                <w:sz w:val="13"/>
                <w:szCs w:val="13"/>
                <w:highlight w:val="none"/>
                <w:u w:val="none"/>
                <w:lang w:val="en-US" w:eastAsia="zh-CN" w:bidi="ar"/>
              </w:rPr>
            </w:pPr>
          </w:p>
        </w:tc>
        <w:tc>
          <w:tcPr>
            <w:tcW w:w="1550" w:type="dxa"/>
            <w:vMerge w:val="continue"/>
            <w:tcBorders>
              <w:tl2br w:val="nil"/>
              <w:tr2bl w:val="nil"/>
            </w:tcBorders>
            <w:shd w:val="clear" w:color="auto" w:fill="auto"/>
            <w:vAlign w:val="center"/>
          </w:tcPr>
          <w:p w14:paraId="135195E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lang w:val="en-US" w:eastAsia="zh-CN"/>
              </w:rPr>
            </w:pPr>
          </w:p>
        </w:tc>
        <w:tc>
          <w:tcPr>
            <w:tcW w:w="4820" w:type="dxa"/>
            <w:vMerge w:val="continue"/>
            <w:tcBorders>
              <w:tl2br w:val="nil"/>
              <w:tr2bl w:val="nil"/>
            </w:tcBorders>
            <w:shd w:val="clear" w:color="auto" w:fill="auto"/>
            <w:vAlign w:val="center"/>
          </w:tcPr>
          <w:p w14:paraId="57B09F5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lang w:val="en-US" w:eastAsia="zh-CN"/>
              </w:rPr>
            </w:pPr>
          </w:p>
        </w:tc>
        <w:tc>
          <w:tcPr>
            <w:tcW w:w="823" w:type="dxa"/>
            <w:vMerge w:val="continue"/>
            <w:tcBorders>
              <w:tl2br w:val="nil"/>
              <w:tr2bl w:val="nil"/>
            </w:tcBorders>
            <w:shd w:val="clear" w:color="auto" w:fill="auto"/>
            <w:vAlign w:val="center"/>
          </w:tcPr>
          <w:p w14:paraId="1B60C2D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lang w:val="en-US" w:eastAsia="zh-CN"/>
              </w:rPr>
            </w:pPr>
          </w:p>
        </w:tc>
        <w:tc>
          <w:tcPr>
            <w:tcW w:w="3437" w:type="dxa"/>
            <w:gridSpan w:val="2"/>
            <w:tcBorders>
              <w:tl2br w:val="nil"/>
              <w:tr2bl w:val="nil"/>
            </w:tcBorders>
            <w:shd w:val="clear" w:color="auto" w:fill="auto"/>
            <w:vAlign w:val="center"/>
          </w:tcPr>
          <w:p w14:paraId="7DFAEFF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lang w:val="en-US" w:eastAsia="zh-CN"/>
              </w:rPr>
            </w:pPr>
            <w:r>
              <w:rPr>
                <w:rFonts w:hint="eastAsia" w:ascii="仿宋_GB2312" w:hAnsi="宋体" w:eastAsia="仿宋_GB2312"/>
                <w:color w:val="auto"/>
                <w:kern w:val="0"/>
                <w:sz w:val="13"/>
                <w:szCs w:val="13"/>
                <w:highlight w:val="none"/>
              </w:rPr>
              <w:t>导致严重抗震安全隐患，不能通过抗震加固满足抗震安全性能的；造成其他严重危害后果的</w:t>
            </w:r>
          </w:p>
        </w:tc>
        <w:tc>
          <w:tcPr>
            <w:tcW w:w="3058" w:type="dxa"/>
            <w:tcBorders>
              <w:tl2br w:val="nil"/>
              <w:tr2bl w:val="nil"/>
            </w:tcBorders>
            <w:shd w:val="clear" w:color="auto" w:fill="auto"/>
            <w:vAlign w:val="top"/>
          </w:tcPr>
          <w:p w14:paraId="0CAD77B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lang w:val="en-US" w:eastAsia="zh-CN"/>
              </w:rPr>
            </w:pPr>
            <w:r>
              <w:rPr>
                <w:rFonts w:hint="eastAsia" w:ascii="仿宋_GB2312" w:hAnsi="宋体" w:eastAsia="仿宋_GB2312"/>
                <w:color w:val="auto"/>
                <w:kern w:val="0"/>
                <w:sz w:val="13"/>
                <w:szCs w:val="13"/>
                <w:highlight w:val="none"/>
              </w:rPr>
              <w:t>责令改正，处50万元罚款；吊销资质证书；对其直接负责的主管人员和其他直接责任人员处单位罚款数额10%的罚款</w:t>
            </w:r>
          </w:p>
        </w:tc>
      </w:tr>
      <w:tr w14:paraId="2429F28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4" w:hRule="atLeast"/>
          <w:jc w:val="center"/>
        </w:trPr>
        <w:tc>
          <w:tcPr>
            <w:tcW w:w="443" w:type="dxa"/>
            <w:gridSpan w:val="2"/>
            <w:vMerge w:val="restart"/>
            <w:tcBorders>
              <w:tl2br w:val="nil"/>
              <w:tr2bl w:val="nil"/>
            </w:tcBorders>
            <w:vAlign w:val="center"/>
          </w:tcPr>
          <w:p w14:paraId="48E57A36">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仿宋_GB2312"/>
                <w:i w:val="0"/>
                <w:color w:val="auto"/>
                <w:kern w:val="0"/>
                <w:sz w:val="13"/>
                <w:szCs w:val="13"/>
                <w:highlight w:val="none"/>
                <w:u w:val="none"/>
                <w:lang w:val="en-US" w:eastAsia="zh-CN" w:bidi="ar"/>
              </w:rPr>
            </w:pPr>
            <w:r>
              <w:rPr>
                <w:rFonts w:hint="eastAsia" w:ascii="仿宋_GB2312" w:hAnsi="宋体" w:eastAsia="仿宋_GB2312" w:cs="仿宋_GB2312"/>
                <w:i w:val="0"/>
                <w:color w:val="auto"/>
                <w:kern w:val="0"/>
                <w:sz w:val="13"/>
                <w:szCs w:val="13"/>
                <w:highlight w:val="none"/>
                <w:u w:val="none"/>
                <w:lang w:val="en-US" w:eastAsia="zh-CN" w:bidi="ar"/>
              </w:rPr>
              <w:t>148</w:t>
            </w:r>
          </w:p>
        </w:tc>
        <w:tc>
          <w:tcPr>
            <w:tcW w:w="1550" w:type="dxa"/>
            <w:vMerge w:val="restart"/>
            <w:tcBorders>
              <w:tl2br w:val="nil"/>
              <w:tr2bl w:val="nil"/>
            </w:tcBorders>
            <w:shd w:val="clear" w:color="auto" w:fill="auto"/>
            <w:vAlign w:val="center"/>
          </w:tcPr>
          <w:p w14:paraId="462CFD4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lang w:val="en-US" w:eastAsia="zh-CN"/>
              </w:rPr>
            </w:pPr>
            <w:r>
              <w:rPr>
                <w:rFonts w:hint="eastAsia" w:ascii="仿宋_GB2312" w:hAnsi="宋体" w:eastAsia="仿宋_GB2312"/>
                <w:color w:val="auto"/>
                <w:kern w:val="0"/>
                <w:sz w:val="13"/>
                <w:szCs w:val="13"/>
                <w:highlight w:val="none"/>
              </w:rPr>
              <w:t>工程质量检测机构未建立建设工程过程数据和结果数据、检测影像资料及检测报告记录与留存制度的（在建设工程抗震活动中的违法行为）</w:t>
            </w:r>
          </w:p>
        </w:tc>
        <w:tc>
          <w:tcPr>
            <w:tcW w:w="4820" w:type="dxa"/>
            <w:vMerge w:val="restart"/>
            <w:tcBorders>
              <w:tl2br w:val="nil"/>
              <w:tr2bl w:val="nil"/>
            </w:tcBorders>
            <w:shd w:val="clear" w:color="auto" w:fill="auto"/>
            <w:vAlign w:val="center"/>
          </w:tcPr>
          <w:p w14:paraId="6091757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《建设工程抗震管理条例》第四十四条第一款 违反本条例规定，工程质量检测机构未建立建设工程过程数据和结果数据、检测影像资料及检测报告记录与留存制度的，责令改正，处10万元以上30万元以下的罚款；情节严重的，吊销资质证书；造成损失的，依法承担赔偿责任。</w:t>
            </w:r>
          </w:p>
          <w:p w14:paraId="505CC97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lang w:val="en-US" w:eastAsia="zh-CN"/>
              </w:rPr>
            </w:pPr>
            <w:r>
              <w:rPr>
                <w:rFonts w:hint="eastAsia" w:ascii="仿宋_GB2312" w:hAnsi="宋体" w:eastAsia="仿宋_GB2312"/>
                <w:color w:val="auto"/>
                <w:kern w:val="0"/>
                <w:sz w:val="13"/>
                <w:szCs w:val="13"/>
                <w:highlight w:val="none"/>
              </w:rPr>
              <w:t>第四十七条 依照本条例规定，给予单位罚款处罚的，对其直接负责的主管人员和其他直接责任人员处单位罚款数额5%以上10%以下的罚款。</w:t>
            </w:r>
          </w:p>
        </w:tc>
        <w:tc>
          <w:tcPr>
            <w:tcW w:w="823" w:type="dxa"/>
            <w:tcBorders>
              <w:tl2br w:val="nil"/>
              <w:tr2bl w:val="nil"/>
            </w:tcBorders>
            <w:shd w:val="clear" w:color="auto" w:fill="auto"/>
            <w:vAlign w:val="center"/>
          </w:tcPr>
          <w:p w14:paraId="33D9CFD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lang w:val="en-US" w:eastAsia="zh-CN"/>
              </w:rPr>
            </w:pPr>
            <w:r>
              <w:rPr>
                <w:rFonts w:hint="eastAsia" w:ascii="仿宋_GB2312" w:hAnsi="宋体" w:eastAsia="仿宋_GB2312"/>
                <w:color w:val="auto"/>
                <w:kern w:val="0"/>
                <w:sz w:val="13"/>
                <w:szCs w:val="13"/>
                <w:highlight w:val="none"/>
              </w:rPr>
              <w:t>从轻情节</w:t>
            </w:r>
          </w:p>
        </w:tc>
        <w:tc>
          <w:tcPr>
            <w:tcW w:w="3437" w:type="dxa"/>
            <w:gridSpan w:val="2"/>
            <w:tcBorders>
              <w:tl2br w:val="nil"/>
              <w:tr2bl w:val="nil"/>
            </w:tcBorders>
            <w:shd w:val="clear" w:color="auto" w:fill="auto"/>
            <w:vAlign w:val="center"/>
          </w:tcPr>
          <w:p w14:paraId="4E72B97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lang w:val="en-US" w:eastAsia="zh-CN"/>
              </w:rPr>
            </w:pPr>
            <w:r>
              <w:rPr>
                <w:rFonts w:hint="eastAsia" w:ascii="仿宋_GB2312" w:hAnsi="宋体" w:eastAsia="仿宋_GB2312"/>
                <w:color w:val="auto"/>
                <w:kern w:val="0"/>
                <w:sz w:val="13"/>
                <w:szCs w:val="13"/>
                <w:highlight w:val="none"/>
              </w:rPr>
              <w:t>初次违法，危害后果轻微，主动消除或减轻违法行为危害后果的。</w:t>
            </w:r>
          </w:p>
        </w:tc>
        <w:tc>
          <w:tcPr>
            <w:tcW w:w="3058" w:type="dxa"/>
            <w:tcBorders>
              <w:tl2br w:val="nil"/>
              <w:tr2bl w:val="nil"/>
            </w:tcBorders>
            <w:shd w:val="clear" w:color="auto" w:fill="auto"/>
            <w:vAlign w:val="top"/>
          </w:tcPr>
          <w:p w14:paraId="0394CD5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lang w:val="en-US" w:eastAsia="zh-CN"/>
              </w:rPr>
            </w:pPr>
            <w:r>
              <w:rPr>
                <w:rFonts w:hint="eastAsia" w:ascii="仿宋_GB2312" w:hAnsi="宋体" w:eastAsia="仿宋_GB2312"/>
                <w:color w:val="auto"/>
                <w:kern w:val="0"/>
                <w:sz w:val="13"/>
                <w:szCs w:val="13"/>
                <w:highlight w:val="none"/>
              </w:rPr>
              <w:t>责令改正，处10万元以上15万元以下罚款；对其直接负责的主管人员和其他直接责任人员处单位罚款数额5%以上6.5%以下的罚款</w:t>
            </w:r>
          </w:p>
        </w:tc>
      </w:tr>
      <w:tr w14:paraId="75420A6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4" w:hRule="atLeast"/>
          <w:jc w:val="center"/>
        </w:trPr>
        <w:tc>
          <w:tcPr>
            <w:tcW w:w="443" w:type="dxa"/>
            <w:gridSpan w:val="2"/>
            <w:vMerge w:val="continue"/>
            <w:tcBorders>
              <w:tl2br w:val="nil"/>
              <w:tr2bl w:val="nil"/>
            </w:tcBorders>
            <w:vAlign w:val="center"/>
          </w:tcPr>
          <w:p w14:paraId="71303378">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仿宋_GB2312"/>
                <w:i w:val="0"/>
                <w:color w:val="auto"/>
                <w:kern w:val="0"/>
                <w:sz w:val="13"/>
                <w:szCs w:val="13"/>
                <w:highlight w:val="none"/>
                <w:u w:val="none"/>
                <w:lang w:val="en-US" w:eastAsia="zh-CN" w:bidi="ar"/>
              </w:rPr>
            </w:pPr>
          </w:p>
        </w:tc>
        <w:tc>
          <w:tcPr>
            <w:tcW w:w="1550" w:type="dxa"/>
            <w:vMerge w:val="continue"/>
            <w:tcBorders>
              <w:tl2br w:val="nil"/>
              <w:tr2bl w:val="nil"/>
            </w:tcBorders>
            <w:shd w:val="clear" w:color="auto" w:fill="auto"/>
            <w:vAlign w:val="center"/>
          </w:tcPr>
          <w:p w14:paraId="4B1A85A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lang w:val="en-US" w:eastAsia="zh-CN"/>
              </w:rPr>
            </w:pPr>
          </w:p>
        </w:tc>
        <w:tc>
          <w:tcPr>
            <w:tcW w:w="4820" w:type="dxa"/>
            <w:vMerge w:val="continue"/>
            <w:tcBorders>
              <w:tl2br w:val="nil"/>
              <w:tr2bl w:val="nil"/>
            </w:tcBorders>
            <w:shd w:val="clear" w:color="auto" w:fill="auto"/>
            <w:vAlign w:val="center"/>
          </w:tcPr>
          <w:p w14:paraId="10162CF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lang w:val="en-US" w:eastAsia="zh-CN"/>
              </w:rPr>
            </w:pPr>
          </w:p>
        </w:tc>
        <w:tc>
          <w:tcPr>
            <w:tcW w:w="823" w:type="dxa"/>
            <w:tcBorders>
              <w:tl2br w:val="nil"/>
              <w:tr2bl w:val="nil"/>
            </w:tcBorders>
            <w:shd w:val="clear" w:color="auto" w:fill="auto"/>
            <w:vAlign w:val="center"/>
          </w:tcPr>
          <w:p w14:paraId="55F4D2B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lang w:val="en-US" w:eastAsia="zh-CN"/>
              </w:rPr>
            </w:pPr>
            <w:r>
              <w:rPr>
                <w:rFonts w:hint="eastAsia" w:ascii="仿宋_GB2312" w:hAnsi="宋体" w:eastAsia="仿宋_GB2312"/>
                <w:color w:val="auto"/>
                <w:kern w:val="0"/>
                <w:sz w:val="13"/>
                <w:szCs w:val="13"/>
                <w:highlight w:val="none"/>
              </w:rPr>
              <w:t>一般情节</w:t>
            </w:r>
          </w:p>
        </w:tc>
        <w:tc>
          <w:tcPr>
            <w:tcW w:w="3437" w:type="dxa"/>
            <w:gridSpan w:val="2"/>
            <w:tcBorders>
              <w:tl2br w:val="nil"/>
              <w:tr2bl w:val="nil"/>
            </w:tcBorders>
            <w:shd w:val="clear" w:color="auto" w:fill="auto"/>
            <w:vAlign w:val="center"/>
          </w:tcPr>
          <w:p w14:paraId="278E94D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lang w:val="en-US" w:eastAsia="zh-CN"/>
              </w:rPr>
            </w:pPr>
            <w:r>
              <w:rPr>
                <w:rFonts w:hint="eastAsia" w:ascii="仿宋_GB2312" w:hAnsi="宋体" w:eastAsia="仿宋_GB2312"/>
                <w:color w:val="auto"/>
                <w:kern w:val="0"/>
                <w:sz w:val="13"/>
                <w:szCs w:val="13"/>
                <w:highlight w:val="none"/>
              </w:rPr>
              <w:t>未建立制度或者有制度不执行，造成检测信息资料不全，导致隔震减震装置质量检测过程无法追溯的。</w:t>
            </w:r>
          </w:p>
        </w:tc>
        <w:tc>
          <w:tcPr>
            <w:tcW w:w="3058" w:type="dxa"/>
            <w:tcBorders>
              <w:tl2br w:val="nil"/>
              <w:tr2bl w:val="nil"/>
            </w:tcBorders>
            <w:shd w:val="clear" w:color="auto" w:fill="auto"/>
            <w:vAlign w:val="top"/>
          </w:tcPr>
          <w:p w14:paraId="4FE319F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lang w:val="en-US" w:eastAsia="zh-CN"/>
              </w:rPr>
            </w:pPr>
            <w:r>
              <w:rPr>
                <w:rFonts w:hint="eastAsia" w:ascii="仿宋_GB2312" w:hAnsi="宋体" w:eastAsia="仿宋_GB2312"/>
                <w:color w:val="auto"/>
                <w:kern w:val="0"/>
                <w:sz w:val="13"/>
                <w:szCs w:val="13"/>
                <w:highlight w:val="none"/>
              </w:rPr>
              <w:t>责令改正，处15万元以上25万元以下罚款；对其直接负责的主管人员和其他直接责任人员处单位罚款数额6.5%以上8.5%以下的罚款</w:t>
            </w:r>
          </w:p>
        </w:tc>
      </w:tr>
      <w:tr w14:paraId="461D261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4" w:hRule="atLeast"/>
          <w:jc w:val="center"/>
        </w:trPr>
        <w:tc>
          <w:tcPr>
            <w:tcW w:w="443" w:type="dxa"/>
            <w:gridSpan w:val="2"/>
            <w:vMerge w:val="continue"/>
            <w:tcBorders>
              <w:tl2br w:val="nil"/>
              <w:tr2bl w:val="nil"/>
            </w:tcBorders>
            <w:vAlign w:val="center"/>
          </w:tcPr>
          <w:p w14:paraId="268A5006">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仿宋_GB2312"/>
                <w:i w:val="0"/>
                <w:color w:val="auto"/>
                <w:kern w:val="0"/>
                <w:sz w:val="13"/>
                <w:szCs w:val="13"/>
                <w:highlight w:val="none"/>
                <w:u w:val="none"/>
                <w:lang w:val="en-US" w:eastAsia="zh-CN" w:bidi="ar"/>
              </w:rPr>
            </w:pPr>
          </w:p>
        </w:tc>
        <w:tc>
          <w:tcPr>
            <w:tcW w:w="1550" w:type="dxa"/>
            <w:vMerge w:val="continue"/>
            <w:tcBorders>
              <w:tl2br w:val="nil"/>
              <w:tr2bl w:val="nil"/>
            </w:tcBorders>
            <w:shd w:val="clear" w:color="auto" w:fill="auto"/>
            <w:vAlign w:val="center"/>
          </w:tcPr>
          <w:p w14:paraId="4732406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lang w:val="en-US" w:eastAsia="zh-CN"/>
              </w:rPr>
            </w:pPr>
          </w:p>
        </w:tc>
        <w:tc>
          <w:tcPr>
            <w:tcW w:w="4820" w:type="dxa"/>
            <w:vMerge w:val="continue"/>
            <w:tcBorders>
              <w:tl2br w:val="nil"/>
              <w:tr2bl w:val="nil"/>
            </w:tcBorders>
            <w:shd w:val="clear" w:color="auto" w:fill="auto"/>
            <w:vAlign w:val="center"/>
          </w:tcPr>
          <w:p w14:paraId="0A6F3F4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lang w:val="en-US" w:eastAsia="zh-CN"/>
              </w:rPr>
            </w:pPr>
          </w:p>
        </w:tc>
        <w:tc>
          <w:tcPr>
            <w:tcW w:w="823" w:type="dxa"/>
            <w:vMerge w:val="restart"/>
            <w:tcBorders>
              <w:tl2br w:val="nil"/>
              <w:tr2bl w:val="nil"/>
            </w:tcBorders>
            <w:shd w:val="clear" w:color="auto" w:fill="auto"/>
            <w:vAlign w:val="center"/>
          </w:tcPr>
          <w:p w14:paraId="7ADC989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lang w:val="en-US" w:eastAsia="zh-CN"/>
              </w:rPr>
            </w:pPr>
            <w:r>
              <w:rPr>
                <w:rFonts w:hint="eastAsia" w:ascii="仿宋_GB2312" w:hAnsi="宋体" w:eastAsia="仿宋_GB2312"/>
                <w:color w:val="auto"/>
                <w:kern w:val="0"/>
                <w:sz w:val="13"/>
                <w:szCs w:val="13"/>
                <w:highlight w:val="none"/>
              </w:rPr>
              <w:t>从重情节</w:t>
            </w:r>
          </w:p>
        </w:tc>
        <w:tc>
          <w:tcPr>
            <w:tcW w:w="3437" w:type="dxa"/>
            <w:gridSpan w:val="2"/>
            <w:tcBorders>
              <w:tl2br w:val="nil"/>
              <w:tr2bl w:val="nil"/>
            </w:tcBorders>
            <w:shd w:val="clear" w:color="auto" w:fill="auto"/>
            <w:vAlign w:val="center"/>
          </w:tcPr>
          <w:p w14:paraId="59371FD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lang w:val="en-US" w:eastAsia="zh-CN"/>
              </w:rPr>
            </w:pPr>
            <w:r>
              <w:rPr>
                <w:rFonts w:hint="eastAsia" w:ascii="仿宋_GB2312" w:hAnsi="宋体" w:eastAsia="仿宋_GB2312"/>
                <w:color w:val="auto"/>
                <w:kern w:val="0"/>
                <w:sz w:val="13"/>
                <w:szCs w:val="13"/>
                <w:highlight w:val="none"/>
              </w:rPr>
              <w:t>存在一般情节的行为，工程质量检测机构未发现隔震减震装置不合格，且工程因同批次隔震减震装置不合格导致严重抗震安全隐患，能通过抗震加固满足抗震安全性能。</w:t>
            </w:r>
          </w:p>
        </w:tc>
        <w:tc>
          <w:tcPr>
            <w:tcW w:w="3058" w:type="dxa"/>
            <w:tcBorders>
              <w:tl2br w:val="nil"/>
              <w:tr2bl w:val="nil"/>
            </w:tcBorders>
            <w:shd w:val="clear" w:color="auto" w:fill="auto"/>
            <w:vAlign w:val="top"/>
          </w:tcPr>
          <w:p w14:paraId="14A270D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lang w:val="en-US" w:eastAsia="zh-CN"/>
              </w:rPr>
            </w:pPr>
            <w:r>
              <w:rPr>
                <w:rFonts w:hint="eastAsia" w:ascii="仿宋_GB2312" w:hAnsi="宋体" w:eastAsia="仿宋_GB2312"/>
                <w:color w:val="auto"/>
                <w:kern w:val="0"/>
                <w:sz w:val="13"/>
                <w:szCs w:val="13"/>
                <w:highlight w:val="none"/>
              </w:rPr>
              <w:t>责令改正，处25万元以上30万元以下罚款；对其直接负责的主管人员和其他直接责任人员处单位罚款数额8.5%以上10%以下的罚款</w:t>
            </w:r>
          </w:p>
        </w:tc>
      </w:tr>
      <w:tr w14:paraId="40C3EF2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4" w:hRule="atLeast"/>
          <w:jc w:val="center"/>
        </w:trPr>
        <w:tc>
          <w:tcPr>
            <w:tcW w:w="443" w:type="dxa"/>
            <w:gridSpan w:val="2"/>
            <w:vMerge w:val="continue"/>
            <w:tcBorders>
              <w:tl2br w:val="nil"/>
              <w:tr2bl w:val="nil"/>
            </w:tcBorders>
            <w:vAlign w:val="center"/>
          </w:tcPr>
          <w:p w14:paraId="39CCF2F5">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仿宋_GB2312"/>
                <w:i w:val="0"/>
                <w:color w:val="auto"/>
                <w:kern w:val="0"/>
                <w:sz w:val="13"/>
                <w:szCs w:val="13"/>
                <w:highlight w:val="none"/>
                <w:u w:val="none"/>
                <w:lang w:val="en-US" w:eastAsia="zh-CN" w:bidi="ar"/>
              </w:rPr>
            </w:pPr>
          </w:p>
        </w:tc>
        <w:tc>
          <w:tcPr>
            <w:tcW w:w="1550" w:type="dxa"/>
            <w:vMerge w:val="continue"/>
            <w:tcBorders>
              <w:tl2br w:val="nil"/>
              <w:tr2bl w:val="nil"/>
            </w:tcBorders>
            <w:shd w:val="clear" w:color="auto" w:fill="auto"/>
            <w:vAlign w:val="center"/>
          </w:tcPr>
          <w:p w14:paraId="36D1FFD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lang w:val="en-US" w:eastAsia="zh-CN"/>
              </w:rPr>
            </w:pPr>
          </w:p>
        </w:tc>
        <w:tc>
          <w:tcPr>
            <w:tcW w:w="4820" w:type="dxa"/>
            <w:vMerge w:val="continue"/>
            <w:tcBorders>
              <w:tl2br w:val="nil"/>
              <w:tr2bl w:val="nil"/>
            </w:tcBorders>
            <w:shd w:val="clear" w:color="auto" w:fill="auto"/>
            <w:vAlign w:val="center"/>
          </w:tcPr>
          <w:p w14:paraId="7560237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lang w:val="en-US" w:eastAsia="zh-CN"/>
              </w:rPr>
            </w:pPr>
          </w:p>
        </w:tc>
        <w:tc>
          <w:tcPr>
            <w:tcW w:w="823" w:type="dxa"/>
            <w:vMerge w:val="continue"/>
            <w:tcBorders>
              <w:tl2br w:val="nil"/>
              <w:tr2bl w:val="nil"/>
            </w:tcBorders>
            <w:shd w:val="clear" w:color="auto" w:fill="auto"/>
            <w:vAlign w:val="center"/>
          </w:tcPr>
          <w:p w14:paraId="0F0D531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lang w:val="en-US" w:eastAsia="zh-CN"/>
              </w:rPr>
            </w:pPr>
          </w:p>
        </w:tc>
        <w:tc>
          <w:tcPr>
            <w:tcW w:w="3437" w:type="dxa"/>
            <w:gridSpan w:val="2"/>
            <w:tcBorders>
              <w:tl2br w:val="nil"/>
              <w:tr2bl w:val="nil"/>
            </w:tcBorders>
            <w:shd w:val="clear" w:color="auto" w:fill="auto"/>
            <w:vAlign w:val="center"/>
          </w:tcPr>
          <w:p w14:paraId="655EA6B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存在一般情节的行为，且存在下列情形之一的：</w:t>
            </w:r>
          </w:p>
          <w:p w14:paraId="52CE5DF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1.因同批次隔震减震装置不合格导致严重抗震安全隐患，不能通过抗震加固满足抗震安全性能，工程质量检测机构未发现隔震减震装置不合格的；</w:t>
            </w:r>
          </w:p>
          <w:p w14:paraId="1D049E1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lang w:val="en-US" w:eastAsia="zh-CN"/>
              </w:rPr>
            </w:pPr>
            <w:r>
              <w:rPr>
                <w:rFonts w:hint="eastAsia" w:ascii="仿宋_GB2312" w:hAnsi="宋体" w:eastAsia="仿宋_GB2312"/>
                <w:color w:val="auto"/>
                <w:kern w:val="0"/>
                <w:sz w:val="13"/>
                <w:szCs w:val="13"/>
                <w:highlight w:val="none"/>
              </w:rPr>
              <w:t>2..因同批次隔震减震装置不合格造成其他严重危害后果，工程质量检测机构未发现隔震减震装置不合格的；</w:t>
            </w:r>
          </w:p>
        </w:tc>
        <w:tc>
          <w:tcPr>
            <w:tcW w:w="3058" w:type="dxa"/>
            <w:tcBorders>
              <w:tl2br w:val="nil"/>
              <w:tr2bl w:val="nil"/>
            </w:tcBorders>
            <w:shd w:val="clear" w:color="auto" w:fill="auto"/>
            <w:vAlign w:val="top"/>
          </w:tcPr>
          <w:p w14:paraId="264E907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lang w:val="en-US" w:eastAsia="zh-CN"/>
              </w:rPr>
            </w:pPr>
            <w:r>
              <w:rPr>
                <w:rFonts w:hint="eastAsia" w:ascii="仿宋_GB2312" w:hAnsi="宋体" w:eastAsia="仿宋_GB2312"/>
                <w:color w:val="auto"/>
                <w:kern w:val="0"/>
                <w:sz w:val="13"/>
                <w:szCs w:val="13"/>
                <w:highlight w:val="none"/>
              </w:rPr>
              <w:t>责令改正，处30万元罚款；吊销资质证书；对其直接负责的主管人员和其他直接责任人员处单位罚款数额10%的罚款</w:t>
            </w:r>
          </w:p>
        </w:tc>
      </w:tr>
      <w:tr w14:paraId="60C07F3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890" w:hRule="atLeast"/>
          <w:jc w:val="center"/>
        </w:trPr>
        <w:tc>
          <w:tcPr>
            <w:tcW w:w="443" w:type="dxa"/>
            <w:gridSpan w:val="2"/>
            <w:vMerge w:val="restart"/>
            <w:tcBorders>
              <w:tl2br w:val="nil"/>
              <w:tr2bl w:val="nil"/>
            </w:tcBorders>
            <w:vAlign w:val="center"/>
          </w:tcPr>
          <w:p w14:paraId="0365BFFA">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仿宋_GB2312"/>
                <w:i w:val="0"/>
                <w:color w:val="auto"/>
                <w:kern w:val="0"/>
                <w:sz w:val="13"/>
                <w:szCs w:val="13"/>
                <w:highlight w:val="none"/>
                <w:u w:val="none"/>
                <w:lang w:val="en-US" w:eastAsia="zh-CN" w:bidi="ar"/>
              </w:rPr>
            </w:pPr>
            <w:r>
              <w:rPr>
                <w:rFonts w:hint="eastAsia" w:ascii="仿宋_GB2312" w:hAnsi="宋体" w:eastAsia="仿宋_GB2312" w:cs="仿宋_GB2312"/>
                <w:i w:val="0"/>
                <w:color w:val="auto"/>
                <w:kern w:val="0"/>
                <w:sz w:val="13"/>
                <w:szCs w:val="13"/>
                <w:highlight w:val="none"/>
                <w:u w:val="none"/>
                <w:lang w:val="en-US" w:eastAsia="zh-CN" w:bidi="ar"/>
              </w:rPr>
              <w:t>149</w:t>
            </w:r>
          </w:p>
        </w:tc>
        <w:tc>
          <w:tcPr>
            <w:tcW w:w="1550" w:type="dxa"/>
            <w:vMerge w:val="restart"/>
            <w:tcBorders>
              <w:tl2br w:val="nil"/>
              <w:tr2bl w:val="nil"/>
            </w:tcBorders>
            <w:shd w:val="clear" w:color="auto" w:fill="auto"/>
            <w:vAlign w:val="center"/>
          </w:tcPr>
          <w:p w14:paraId="35068E3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lang w:val="en-US" w:eastAsia="zh-CN"/>
              </w:rPr>
            </w:pPr>
            <w:r>
              <w:rPr>
                <w:rFonts w:hint="eastAsia" w:ascii="仿宋_GB2312" w:hAnsi="宋体" w:eastAsia="仿宋_GB2312"/>
                <w:color w:val="auto"/>
                <w:kern w:val="0"/>
                <w:sz w:val="13"/>
                <w:szCs w:val="13"/>
                <w:highlight w:val="none"/>
              </w:rPr>
              <w:t>工程质量检测机构出具虚假的检测数据或者检测报告的</w:t>
            </w:r>
          </w:p>
        </w:tc>
        <w:tc>
          <w:tcPr>
            <w:tcW w:w="4820" w:type="dxa"/>
            <w:vMerge w:val="restart"/>
            <w:tcBorders>
              <w:tl2br w:val="nil"/>
              <w:tr2bl w:val="nil"/>
            </w:tcBorders>
            <w:shd w:val="clear" w:color="auto" w:fill="auto"/>
            <w:vAlign w:val="center"/>
          </w:tcPr>
          <w:p w14:paraId="6275253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《建设工程抗震管理条例》第四十四条第二款 违反本条例规定，工程质量检测机构出具虚假的检测数据或者检测报告的，责令改正，处10万元以上30万元以下的罚款；情节严重的，吊销资质证书和负有直接责任的注册执业人员的执业资格证书，其直接负责的主管人员和其他直接责任人员终身禁止从事工程质量检测业务；造成损失的，依法承担赔偿责任。</w:t>
            </w:r>
          </w:p>
          <w:p w14:paraId="0806798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lang w:val="en-US" w:eastAsia="zh-CN"/>
              </w:rPr>
            </w:pPr>
            <w:r>
              <w:rPr>
                <w:rFonts w:hint="eastAsia" w:ascii="仿宋_GB2312" w:hAnsi="宋体" w:eastAsia="仿宋_GB2312"/>
                <w:color w:val="auto"/>
                <w:kern w:val="0"/>
                <w:sz w:val="13"/>
                <w:szCs w:val="13"/>
                <w:highlight w:val="none"/>
              </w:rPr>
              <w:t>第四十七条 依照本条例规定，给予单位罚款处罚的，对其直接负责的主管人员和其他直接责任人员处单位罚款数额5%以上10%以下的罚款。</w:t>
            </w:r>
          </w:p>
        </w:tc>
        <w:tc>
          <w:tcPr>
            <w:tcW w:w="823" w:type="dxa"/>
            <w:tcBorders>
              <w:tl2br w:val="nil"/>
              <w:tr2bl w:val="nil"/>
            </w:tcBorders>
            <w:shd w:val="clear" w:color="auto" w:fill="auto"/>
            <w:vAlign w:val="center"/>
          </w:tcPr>
          <w:p w14:paraId="3C5227E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lang w:val="en-US" w:eastAsia="zh-CN"/>
              </w:rPr>
            </w:pPr>
            <w:r>
              <w:rPr>
                <w:rFonts w:hint="eastAsia" w:ascii="仿宋_GB2312" w:hAnsi="宋体" w:eastAsia="仿宋_GB2312"/>
                <w:color w:val="auto"/>
                <w:kern w:val="0"/>
                <w:sz w:val="13"/>
                <w:szCs w:val="13"/>
                <w:highlight w:val="none"/>
              </w:rPr>
              <w:t>从轻情节</w:t>
            </w:r>
          </w:p>
        </w:tc>
        <w:tc>
          <w:tcPr>
            <w:tcW w:w="3437" w:type="dxa"/>
            <w:gridSpan w:val="2"/>
            <w:tcBorders>
              <w:tl2br w:val="nil"/>
              <w:tr2bl w:val="nil"/>
            </w:tcBorders>
            <w:shd w:val="clear" w:color="auto" w:fill="auto"/>
            <w:vAlign w:val="center"/>
          </w:tcPr>
          <w:p w14:paraId="348387D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lang w:val="en-US" w:eastAsia="zh-CN"/>
              </w:rPr>
            </w:pPr>
            <w:r>
              <w:rPr>
                <w:rFonts w:hint="eastAsia" w:ascii="仿宋_GB2312" w:hAnsi="宋体" w:eastAsia="仿宋_GB2312"/>
                <w:color w:val="auto"/>
                <w:kern w:val="0"/>
                <w:sz w:val="13"/>
                <w:szCs w:val="13"/>
                <w:highlight w:val="none"/>
              </w:rPr>
              <w:t>初次违法，危害后果轻微，主动消除或减轻违法行为危害后果的。</w:t>
            </w:r>
          </w:p>
        </w:tc>
        <w:tc>
          <w:tcPr>
            <w:tcW w:w="3058" w:type="dxa"/>
            <w:tcBorders>
              <w:tl2br w:val="nil"/>
              <w:tr2bl w:val="nil"/>
            </w:tcBorders>
            <w:shd w:val="clear" w:color="auto" w:fill="auto"/>
            <w:vAlign w:val="top"/>
          </w:tcPr>
          <w:p w14:paraId="0651035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lang w:val="en-US" w:eastAsia="zh-CN"/>
              </w:rPr>
            </w:pPr>
            <w:r>
              <w:rPr>
                <w:rFonts w:hint="eastAsia" w:ascii="仿宋_GB2312" w:hAnsi="宋体" w:eastAsia="仿宋_GB2312"/>
                <w:color w:val="auto"/>
                <w:kern w:val="0"/>
                <w:sz w:val="13"/>
                <w:szCs w:val="13"/>
                <w:highlight w:val="none"/>
              </w:rPr>
              <w:t>责令改正，处10万元以上15万元以下罚款；对其直接负责的主管人员和其他直接责任人员处单位罚款数额5%以上6.5%以下的罚款</w:t>
            </w:r>
          </w:p>
        </w:tc>
      </w:tr>
      <w:tr w14:paraId="338AA79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820" w:hRule="atLeast"/>
          <w:jc w:val="center"/>
        </w:trPr>
        <w:tc>
          <w:tcPr>
            <w:tcW w:w="443" w:type="dxa"/>
            <w:gridSpan w:val="2"/>
            <w:vMerge w:val="continue"/>
            <w:tcBorders>
              <w:tl2br w:val="nil"/>
              <w:tr2bl w:val="nil"/>
            </w:tcBorders>
            <w:vAlign w:val="center"/>
          </w:tcPr>
          <w:p w14:paraId="0362514F">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仿宋_GB2312"/>
                <w:i w:val="0"/>
                <w:color w:val="auto"/>
                <w:kern w:val="0"/>
                <w:sz w:val="13"/>
                <w:szCs w:val="13"/>
                <w:highlight w:val="none"/>
                <w:u w:val="none"/>
                <w:lang w:val="en-US" w:eastAsia="zh-CN" w:bidi="ar"/>
              </w:rPr>
            </w:pPr>
          </w:p>
        </w:tc>
        <w:tc>
          <w:tcPr>
            <w:tcW w:w="1550" w:type="dxa"/>
            <w:vMerge w:val="continue"/>
            <w:tcBorders>
              <w:tl2br w:val="nil"/>
              <w:tr2bl w:val="nil"/>
            </w:tcBorders>
            <w:shd w:val="clear" w:color="auto" w:fill="auto"/>
            <w:vAlign w:val="center"/>
          </w:tcPr>
          <w:p w14:paraId="6B7FCC3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lang w:val="en-US" w:eastAsia="zh-CN"/>
              </w:rPr>
            </w:pPr>
          </w:p>
        </w:tc>
        <w:tc>
          <w:tcPr>
            <w:tcW w:w="4820" w:type="dxa"/>
            <w:vMerge w:val="continue"/>
            <w:tcBorders>
              <w:tl2br w:val="nil"/>
              <w:tr2bl w:val="nil"/>
            </w:tcBorders>
            <w:shd w:val="clear" w:color="auto" w:fill="auto"/>
            <w:vAlign w:val="center"/>
          </w:tcPr>
          <w:p w14:paraId="400EBFE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lang w:val="en-US" w:eastAsia="zh-CN"/>
              </w:rPr>
            </w:pPr>
          </w:p>
        </w:tc>
        <w:tc>
          <w:tcPr>
            <w:tcW w:w="823" w:type="dxa"/>
            <w:tcBorders>
              <w:tl2br w:val="nil"/>
              <w:tr2bl w:val="nil"/>
            </w:tcBorders>
            <w:shd w:val="clear" w:color="auto" w:fill="auto"/>
            <w:vAlign w:val="center"/>
          </w:tcPr>
          <w:p w14:paraId="02B082F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lang w:val="en-US" w:eastAsia="zh-CN"/>
              </w:rPr>
            </w:pPr>
            <w:r>
              <w:rPr>
                <w:rFonts w:hint="eastAsia" w:ascii="仿宋_GB2312" w:hAnsi="宋体" w:eastAsia="仿宋_GB2312"/>
                <w:color w:val="auto"/>
                <w:kern w:val="0"/>
                <w:sz w:val="13"/>
                <w:szCs w:val="13"/>
                <w:highlight w:val="none"/>
              </w:rPr>
              <w:t>一般情节</w:t>
            </w:r>
          </w:p>
        </w:tc>
        <w:tc>
          <w:tcPr>
            <w:tcW w:w="3437" w:type="dxa"/>
            <w:gridSpan w:val="2"/>
            <w:tcBorders>
              <w:tl2br w:val="nil"/>
              <w:tr2bl w:val="nil"/>
            </w:tcBorders>
            <w:shd w:val="clear" w:color="auto" w:fill="auto"/>
            <w:vAlign w:val="center"/>
          </w:tcPr>
          <w:p w14:paraId="3CC7CCF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lang w:val="en-US" w:eastAsia="zh-CN"/>
              </w:rPr>
            </w:pPr>
            <w:r>
              <w:rPr>
                <w:rFonts w:hint="eastAsia" w:ascii="仿宋_GB2312" w:hAnsi="宋体" w:eastAsia="仿宋_GB2312"/>
                <w:color w:val="auto"/>
                <w:kern w:val="0"/>
                <w:sz w:val="13"/>
                <w:szCs w:val="13"/>
                <w:highlight w:val="none"/>
              </w:rPr>
              <w:t>不具有从轻、从重情节，且违法行为导致的抗震安全隐患能通过抗震加固满足抗震安全性能的。</w:t>
            </w:r>
          </w:p>
        </w:tc>
        <w:tc>
          <w:tcPr>
            <w:tcW w:w="3058" w:type="dxa"/>
            <w:tcBorders>
              <w:tl2br w:val="nil"/>
              <w:tr2bl w:val="nil"/>
            </w:tcBorders>
            <w:shd w:val="clear" w:color="auto" w:fill="auto"/>
            <w:vAlign w:val="top"/>
          </w:tcPr>
          <w:p w14:paraId="4FA37D4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lang w:val="en-US" w:eastAsia="zh-CN"/>
              </w:rPr>
            </w:pPr>
            <w:r>
              <w:rPr>
                <w:rFonts w:hint="eastAsia" w:ascii="仿宋_GB2312" w:hAnsi="宋体" w:eastAsia="仿宋_GB2312"/>
                <w:color w:val="auto"/>
                <w:kern w:val="0"/>
                <w:sz w:val="13"/>
                <w:szCs w:val="13"/>
                <w:highlight w:val="none"/>
              </w:rPr>
              <w:t>责令改正，处15万元以上25万元以下罚款；对其直接负责的主管人员和其他直接责任人员处单位罚款数额6.5%以上8.5%以下的罚款</w:t>
            </w:r>
          </w:p>
        </w:tc>
      </w:tr>
      <w:tr w14:paraId="7E9DBEA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4" w:hRule="atLeast"/>
          <w:jc w:val="center"/>
        </w:trPr>
        <w:tc>
          <w:tcPr>
            <w:tcW w:w="443" w:type="dxa"/>
            <w:gridSpan w:val="2"/>
            <w:vMerge w:val="continue"/>
            <w:tcBorders>
              <w:tl2br w:val="nil"/>
              <w:tr2bl w:val="nil"/>
            </w:tcBorders>
            <w:vAlign w:val="center"/>
          </w:tcPr>
          <w:p w14:paraId="5EDDD7D7">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仿宋_GB2312"/>
                <w:i w:val="0"/>
                <w:color w:val="auto"/>
                <w:kern w:val="0"/>
                <w:sz w:val="13"/>
                <w:szCs w:val="13"/>
                <w:highlight w:val="none"/>
                <w:u w:val="none"/>
                <w:lang w:val="en-US" w:eastAsia="zh-CN" w:bidi="ar"/>
              </w:rPr>
            </w:pPr>
          </w:p>
        </w:tc>
        <w:tc>
          <w:tcPr>
            <w:tcW w:w="1550" w:type="dxa"/>
            <w:vMerge w:val="continue"/>
            <w:tcBorders>
              <w:tl2br w:val="nil"/>
              <w:tr2bl w:val="nil"/>
            </w:tcBorders>
            <w:shd w:val="clear" w:color="auto" w:fill="auto"/>
            <w:vAlign w:val="center"/>
          </w:tcPr>
          <w:p w14:paraId="228408C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lang w:val="en-US" w:eastAsia="zh-CN"/>
              </w:rPr>
            </w:pPr>
          </w:p>
        </w:tc>
        <w:tc>
          <w:tcPr>
            <w:tcW w:w="4820" w:type="dxa"/>
            <w:vMerge w:val="continue"/>
            <w:tcBorders>
              <w:tl2br w:val="nil"/>
              <w:tr2bl w:val="nil"/>
            </w:tcBorders>
            <w:shd w:val="clear" w:color="auto" w:fill="auto"/>
            <w:vAlign w:val="center"/>
          </w:tcPr>
          <w:p w14:paraId="045412F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lang w:val="en-US" w:eastAsia="zh-CN"/>
              </w:rPr>
            </w:pPr>
          </w:p>
        </w:tc>
        <w:tc>
          <w:tcPr>
            <w:tcW w:w="823" w:type="dxa"/>
            <w:vMerge w:val="restart"/>
            <w:tcBorders>
              <w:tl2br w:val="nil"/>
              <w:tr2bl w:val="nil"/>
            </w:tcBorders>
            <w:shd w:val="clear" w:color="auto" w:fill="auto"/>
            <w:vAlign w:val="center"/>
          </w:tcPr>
          <w:p w14:paraId="03FEFAF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lang w:val="en-US" w:eastAsia="zh-CN"/>
              </w:rPr>
            </w:pPr>
            <w:r>
              <w:rPr>
                <w:rFonts w:hint="eastAsia" w:ascii="仿宋_GB2312" w:hAnsi="宋体" w:eastAsia="仿宋_GB2312"/>
                <w:color w:val="auto"/>
                <w:kern w:val="0"/>
                <w:sz w:val="13"/>
                <w:szCs w:val="13"/>
                <w:highlight w:val="none"/>
              </w:rPr>
              <w:t>从重情节</w:t>
            </w:r>
          </w:p>
        </w:tc>
        <w:tc>
          <w:tcPr>
            <w:tcW w:w="3437" w:type="dxa"/>
            <w:gridSpan w:val="2"/>
            <w:tcBorders>
              <w:tl2br w:val="nil"/>
              <w:tr2bl w:val="nil"/>
            </w:tcBorders>
            <w:shd w:val="clear" w:color="auto" w:fill="auto"/>
            <w:vAlign w:val="center"/>
          </w:tcPr>
          <w:p w14:paraId="0974805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1.工程位于地震重点监视防御区或者超限高层，且违法行为导致的抗震安全隐患能通过抗震加固满足抗震安全性能的；</w:t>
            </w:r>
          </w:p>
          <w:p w14:paraId="42DCF75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lang w:val="en-US" w:eastAsia="zh-CN"/>
              </w:rPr>
            </w:pPr>
            <w:r>
              <w:rPr>
                <w:rFonts w:hint="eastAsia" w:ascii="仿宋_GB2312" w:hAnsi="宋体" w:eastAsia="仿宋_GB2312"/>
                <w:color w:val="auto"/>
                <w:kern w:val="0"/>
                <w:sz w:val="13"/>
                <w:szCs w:val="13"/>
                <w:highlight w:val="none"/>
              </w:rPr>
              <w:t>2.非地震重点监视防御区工程，违法行为导致的抗震安全隐患不能通过抗震加固满足抗震安全性能的；</w:t>
            </w:r>
          </w:p>
        </w:tc>
        <w:tc>
          <w:tcPr>
            <w:tcW w:w="3058" w:type="dxa"/>
            <w:tcBorders>
              <w:tl2br w:val="nil"/>
              <w:tr2bl w:val="nil"/>
            </w:tcBorders>
            <w:shd w:val="clear" w:color="auto" w:fill="auto"/>
            <w:vAlign w:val="top"/>
          </w:tcPr>
          <w:p w14:paraId="2F43BB0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lang w:val="en-US" w:eastAsia="zh-CN"/>
              </w:rPr>
            </w:pPr>
            <w:r>
              <w:rPr>
                <w:rFonts w:hint="eastAsia" w:ascii="仿宋_GB2312" w:hAnsi="宋体" w:eastAsia="仿宋_GB2312"/>
                <w:color w:val="auto"/>
                <w:kern w:val="0"/>
                <w:sz w:val="13"/>
                <w:szCs w:val="13"/>
                <w:highlight w:val="none"/>
              </w:rPr>
              <w:t>责令改正，处25万元以上30万元以下罚款；对其直接负责的主管人员和其他直接责任人员处单位罚款数额8.5%以上10%以下的罚款</w:t>
            </w:r>
          </w:p>
        </w:tc>
      </w:tr>
      <w:tr w14:paraId="0FFE7E8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4" w:hRule="atLeast"/>
          <w:jc w:val="center"/>
        </w:trPr>
        <w:tc>
          <w:tcPr>
            <w:tcW w:w="443" w:type="dxa"/>
            <w:gridSpan w:val="2"/>
            <w:vMerge w:val="continue"/>
            <w:tcBorders>
              <w:tl2br w:val="nil"/>
              <w:tr2bl w:val="nil"/>
            </w:tcBorders>
            <w:vAlign w:val="center"/>
          </w:tcPr>
          <w:p w14:paraId="7FFE8073">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仿宋_GB2312"/>
                <w:i w:val="0"/>
                <w:color w:val="auto"/>
                <w:kern w:val="0"/>
                <w:sz w:val="13"/>
                <w:szCs w:val="13"/>
                <w:highlight w:val="none"/>
                <w:u w:val="none"/>
                <w:lang w:val="en-US" w:eastAsia="zh-CN" w:bidi="ar"/>
              </w:rPr>
            </w:pPr>
          </w:p>
        </w:tc>
        <w:tc>
          <w:tcPr>
            <w:tcW w:w="1550" w:type="dxa"/>
            <w:vMerge w:val="continue"/>
            <w:tcBorders>
              <w:tl2br w:val="nil"/>
              <w:tr2bl w:val="nil"/>
            </w:tcBorders>
            <w:shd w:val="clear" w:color="auto" w:fill="auto"/>
            <w:vAlign w:val="center"/>
          </w:tcPr>
          <w:p w14:paraId="12AADA8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lang w:val="en-US" w:eastAsia="zh-CN"/>
              </w:rPr>
            </w:pPr>
          </w:p>
        </w:tc>
        <w:tc>
          <w:tcPr>
            <w:tcW w:w="4820" w:type="dxa"/>
            <w:vMerge w:val="continue"/>
            <w:tcBorders>
              <w:tl2br w:val="nil"/>
              <w:tr2bl w:val="nil"/>
            </w:tcBorders>
            <w:shd w:val="clear" w:color="auto" w:fill="auto"/>
            <w:vAlign w:val="center"/>
          </w:tcPr>
          <w:p w14:paraId="6EAD6FB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lang w:val="en-US" w:eastAsia="zh-CN"/>
              </w:rPr>
            </w:pPr>
          </w:p>
        </w:tc>
        <w:tc>
          <w:tcPr>
            <w:tcW w:w="823" w:type="dxa"/>
            <w:vMerge w:val="continue"/>
            <w:tcBorders>
              <w:tl2br w:val="nil"/>
              <w:tr2bl w:val="nil"/>
            </w:tcBorders>
            <w:shd w:val="clear" w:color="auto" w:fill="auto"/>
            <w:vAlign w:val="center"/>
          </w:tcPr>
          <w:p w14:paraId="30A9F12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lang w:val="en-US" w:eastAsia="zh-CN"/>
              </w:rPr>
            </w:pPr>
          </w:p>
        </w:tc>
        <w:tc>
          <w:tcPr>
            <w:tcW w:w="3437" w:type="dxa"/>
            <w:gridSpan w:val="2"/>
            <w:tcBorders>
              <w:tl2br w:val="nil"/>
              <w:tr2bl w:val="nil"/>
            </w:tcBorders>
            <w:shd w:val="clear" w:color="auto" w:fill="auto"/>
            <w:vAlign w:val="center"/>
          </w:tcPr>
          <w:p w14:paraId="52A3FAE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lang w:val="en-US" w:eastAsia="zh-CN"/>
              </w:rPr>
            </w:pPr>
            <w:r>
              <w:rPr>
                <w:rFonts w:hint="eastAsia" w:ascii="仿宋_GB2312" w:hAnsi="宋体" w:eastAsia="仿宋_GB2312"/>
                <w:color w:val="auto"/>
                <w:kern w:val="0"/>
                <w:sz w:val="13"/>
                <w:szCs w:val="13"/>
                <w:highlight w:val="none"/>
              </w:rPr>
              <w:t>工程存在严重抗震安全隐患的；造成其他严重危害后果的</w:t>
            </w:r>
          </w:p>
        </w:tc>
        <w:tc>
          <w:tcPr>
            <w:tcW w:w="3058" w:type="dxa"/>
            <w:tcBorders>
              <w:tl2br w:val="nil"/>
              <w:tr2bl w:val="nil"/>
            </w:tcBorders>
            <w:shd w:val="clear" w:color="auto" w:fill="auto"/>
            <w:vAlign w:val="top"/>
          </w:tcPr>
          <w:p w14:paraId="55C3220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lang w:val="en-US" w:eastAsia="zh-CN"/>
              </w:rPr>
            </w:pPr>
            <w:r>
              <w:rPr>
                <w:rFonts w:hint="eastAsia" w:ascii="仿宋_GB2312" w:hAnsi="宋体" w:eastAsia="仿宋_GB2312"/>
                <w:color w:val="auto"/>
                <w:kern w:val="0"/>
                <w:sz w:val="13"/>
                <w:szCs w:val="13"/>
                <w:highlight w:val="none"/>
              </w:rPr>
              <w:t>责令改正，处25万元以上30万元以下罚款；对其直接负责的主管人员和其他直接责任人员处单位罚款数额8.5%以上10%以下的罚款；吊销资质证书和负有直接责任的注册执业人员的执业资格证书，其直接负责的主管人员和其他直接责任人员终身禁止从事工程质量检测业务</w:t>
            </w:r>
          </w:p>
        </w:tc>
      </w:tr>
      <w:tr w14:paraId="4EEEB08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4" w:hRule="atLeast"/>
          <w:jc w:val="center"/>
        </w:trPr>
        <w:tc>
          <w:tcPr>
            <w:tcW w:w="443" w:type="dxa"/>
            <w:gridSpan w:val="2"/>
            <w:vMerge w:val="restart"/>
            <w:tcBorders>
              <w:tl2br w:val="nil"/>
              <w:tr2bl w:val="nil"/>
            </w:tcBorders>
            <w:vAlign w:val="center"/>
          </w:tcPr>
          <w:p w14:paraId="73D38DED">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仿宋_GB2312"/>
                <w:i w:val="0"/>
                <w:color w:val="auto"/>
                <w:kern w:val="0"/>
                <w:sz w:val="13"/>
                <w:szCs w:val="13"/>
                <w:highlight w:val="none"/>
                <w:u w:val="none"/>
                <w:lang w:val="en-US" w:eastAsia="zh-CN" w:bidi="ar"/>
              </w:rPr>
            </w:pPr>
            <w:r>
              <w:rPr>
                <w:rFonts w:hint="eastAsia" w:ascii="仿宋_GB2312" w:hAnsi="宋体" w:eastAsia="仿宋_GB2312" w:cs="仿宋_GB2312"/>
                <w:i w:val="0"/>
                <w:color w:val="auto"/>
                <w:kern w:val="0"/>
                <w:sz w:val="13"/>
                <w:szCs w:val="13"/>
                <w:highlight w:val="none"/>
                <w:u w:val="none"/>
                <w:lang w:val="en-US" w:eastAsia="zh-CN" w:bidi="ar"/>
              </w:rPr>
              <w:t>150</w:t>
            </w:r>
          </w:p>
        </w:tc>
        <w:tc>
          <w:tcPr>
            <w:tcW w:w="1550" w:type="dxa"/>
            <w:vMerge w:val="restart"/>
            <w:tcBorders>
              <w:tl2br w:val="nil"/>
              <w:tr2bl w:val="nil"/>
            </w:tcBorders>
            <w:shd w:val="clear" w:color="auto" w:fill="auto"/>
            <w:vAlign w:val="center"/>
          </w:tcPr>
          <w:p w14:paraId="6166301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lang w:val="en-US" w:eastAsia="zh-CN"/>
              </w:rPr>
            </w:pPr>
            <w:r>
              <w:rPr>
                <w:rFonts w:hint="eastAsia" w:ascii="仿宋_GB2312" w:hAnsi="宋体" w:eastAsia="仿宋_GB2312"/>
                <w:color w:val="auto"/>
                <w:kern w:val="0"/>
                <w:sz w:val="13"/>
                <w:szCs w:val="13"/>
                <w:highlight w:val="none"/>
              </w:rPr>
              <w:t>抗震性能鉴定机构未按照抗震设防强制性标准进行抗震性能鉴定的</w:t>
            </w:r>
          </w:p>
        </w:tc>
        <w:tc>
          <w:tcPr>
            <w:tcW w:w="4820" w:type="dxa"/>
            <w:vMerge w:val="restart"/>
            <w:tcBorders>
              <w:tl2br w:val="nil"/>
              <w:tr2bl w:val="nil"/>
            </w:tcBorders>
            <w:shd w:val="clear" w:color="auto" w:fill="auto"/>
            <w:vAlign w:val="center"/>
          </w:tcPr>
          <w:p w14:paraId="784561B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《建设工程抗震管理条例》第四十五条第一款 违反本条例规定，抗震性能鉴定机构未按照抗震设防强制性标准进行抗震性能鉴定的，责令改正，处10万元以上30万元以下的罚款；情节严重的，责令停业整顿，并处30万元以上50万元以下的罚款；造成损失的，依法承担赔偿责任。</w:t>
            </w:r>
          </w:p>
          <w:p w14:paraId="2DDD5E0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lang w:val="en-US" w:eastAsia="zh-CN"/>
              </w:rPr>
            </w:pPr>
            <w:r>
              <w:rPr>
                <w:rFonts w:hint="eastAsia" w:ascii="仿宋_GB2312" w:hAnsi="宋体" w:eastAsia="仿宋_GB2312"/>
                <w:color w:val="auto"/>
                <w:kern w:val="0"/>
                <w:sz w:val="13"/>
                <w:szCs w:val="13"/>
                <w:highlight w:val="none"/>
              </w:rPr>
              <w:t>第四十七条 依照本条例规定，给予单位罚款处罚的，对其直接负责的主管人员和其他直接责任人员处单位罚款数额5%以上10%以下的罚款。</w:t>
            </w:r>
          </w:p>
        </w:tc>
        <w:tc>
          <w:tcPr>
            <w:tcW w:w="823" w:type="dxa"/>
            <w:tcBorders>
              <w:tl2br w:val="nil"/>
              <w:tr2bl w:val="nil"/>
            </w:tcBorders>
            <w:shd w:val="clear" w:color="auto" w:fill="auto"/>
            <w:vAlign w:val="center"/>
          </w:tcPr>
          <w:p w14:paraId="34F172C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lang w:val="en-US" w:eastAsia="zh-CN"/>
              </w:rPr>
            </w:pPr>
            <w:r>
              <w:rPr>
                <w:rFonts w:hint="eastAsia" w:ascii="仿宋_GB2312" w:hAnsi="宋体" w:eastAsia="仿宋_GB2312"/>
                <w:color w:val="auto"/>
                <w:kern w:val="0"/>
                <w:sz w:val="13"/>
                <w:szCs w:val="13"/>
                <w:highlight w:val="none"/>
              </w:rPr>
              <w:t>从轻情节</w:t>
            </w:r>
          </w:p>
        </w:tc>
        <w:tc>
          <w:tcPr>
            <w:tcW w:w="3437" w:type="dxa"/>
            <w:gridSpan w:val="2"/>
            <w:tcBorders>
              <w:tl2br w:val="nil"/>
              <w:tr2bl w:val="nil"/>
            </w:tcBorders>
            <w:shd w:val="clear" w:color="auto" w:fill="auto"/>
            <w:vAlign w:val="center"/>
          </w:tcPr>
          <w:p w14:paraId="263DD54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lang w:val="en-US" w:eastAsia="zh-CN"/>
              </w:rPr>
            </w:pPr>
            <w:r>
              <w:rPr>
                <w:rFonts w:hint="eastAsia" w:ascii="仿宋_GB2312" w:hAnsi="宋体" w:eastAsia="仿宋_GB2312"/>
                <w:color w:val="auto"/>
                <w:kern w:val="0"/>
                <w:sz w:val="13"/>
                <w:szCs w:val="13"/>
                <w:highlight w:val="none"/>
              </w:rPr>
              <w:t>未按照1条抗震设防强制性标准进行抗震性能鉴定的</w:t>
            </w:r>
          </w:p>
        </w:tc>
        <w:tc>
          <w:tcPr>
            <w:tcW w:w="3058" w:type="dxa"/>
            <w:tcBorders>
              <w:tl2br w:val="nil"/>
              <w:tr2bl w:val="nil"/>
            </w:tcBorders>
            <w:shd w:val="clear" w:color="auto" w:fill="auto"/>
            <w:vAlign w:val="top"/>
          </w:tcPr>
          <w:p w14:paraId="2E153ED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lang w:val="en-US" w:eastAsia="zh-CN"/>
              </w:rPr>
            </w:pPr>
            <w:r>
              <w:rPr>
                <w:rFonts w:hint="eastAsia" w:ascii="仿宋_GB2312" w:hAnsi="宋体" w:eastAsia="仿宋_GB2312"/>
                <w:color w:val="auto"/>
                <w:kern w:val="0"/>
                <w:sz w:val="13"/>
                <w:szCs w:val="13"/>
                <w:highlight w:val="none"/>
              </w:rPr>
              <w:t>责令改正，处10万元以上15万元以下罚款；对其直接负责的主管人员和其他直接责任人员处单位罚款数额5%以上6.5%以下的罚款</w:t>
            </w:r>
          </w:p>
        </w:tc>
      </w:tr>
      <w:tr w14:paraId="0790B5F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4" w:hRule="atLeast"/>
          <w:jc w:val="center"/>
        </w:trPr>
        <w:tc>
          <w:tcPr>
            <w:tcW w:w="443" w:type="dxa"/>
            <w:gridSpan w:val="2"/>
            <w:vMerge w:val="continue"/>
            <w:tcBorders>
              <w:tl2br w:val="nil"/>
              <w:tr2bl w:val="nil"/>
            </w:tcBorders>
            <w:vAlign w:val="center"/>
          </w:tcPr>
          <w:p w14:paraId="05B64859">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仿宋_GB2312"/>
                <w:i w:val="0"/>
                <w:color w:val="auto"/>
                <w:kern w:val="0"/>
                <w:sz w:val="13"/>
                <w:szCs w:val="13"/>
                <w:highlight w:val="none"/>
                <w:u w:val="none"/>
                <w:lang w:val="en-US" w:eastAsia="zh-CN" w:bidi="ar"/>
              </w:rPr>
            </w:pPr>
          </w:p>
        </w:tc>
        <w:tc>
          <w:tcPr>
            <w:tcW w:w="1550" w:type="dxa"/>
            <w:vMerge w:val="continue"/>
            <w:tcBorders>
              <w:tl2br w:val="nil"/>
              <w:tr2bl w:val="nil"/>
            </w:tcBorders>
            <w:shd w:val="clear" w:color="auto" w:fill="auto"/>
            <w:vAlign w:val="center"/>
          </w:tcPr>
          <w:p w14:paraId="4194F7D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lang w:val="en-US" w:eastAsia="zh-CN"/>
              </w:rPr>
            </w:pPr>
          </w:p>
        </w:tc>
        <w:tc>
          <w:tcPr>
            <w:tcW w:w="4820" w:type="dxa"/>
            <w:vMerge w:val="continue"/>
            <w:tcBorders>
              <w:tl2br w:val="nil"/>
              <w:tr2bl w:val="nil"/>
            </w:tcBorders>
            <w:shd w:val="clear" w:color="auto" w:fill="auto"/>
            <w:vAlign w:val="center"/>
          </w:tcPr>
          <w:p w14:paraId="5CA0733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lang w:val="en-US" w:eastAsia="zh-CN"/>
              </w:rPr>
            </w:pPr>
          </w:p>
        </w:tc>
        <w:tc>
          <w:tcPr>
            <w:tcW w:w="823" w:type="dxa"/>
            <w:tcBorders>
              <w:tl2br w:val="nil"/>
              <w:tr2bl w:val="nil"/>
            </w:tcBorders>
            <w:shd w:val="clear" w:color="auto" w:fill="auto"/>
            <w:vAlign w:val="center"/>
          </w:tcPr>
          <w:p w14:paraId="215C54C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lang w:val="en-US" w:eastAsia="zh-CN"/>
              </w:rPr>
            </w:pPr>
            <w:r>
              <w:rPr>
                <w:rFonts w:hint="eastAsia" w:ascii="仿宋_GB2312" w:hAnsi="宋体" w:eastAsia="仿宋_GB2312"/>
                <w:color w:val="auto"/>
                <w:kern w:val="0"/>
                <w:sz w:val="13"/>
                <w:szCs w:val="13"/>
                <w:highlight w:val="none"/>
              </w:rPr>
              <w:t>一般情节</w:t>
            </w:r>
          </w:p>
        </w:tc>
        <w:tc>
          <w:tcPr>
            <w:tcW w:w="3437" w:type="dxa"/>
            <w:gridSpan w:val="2"/>
            <w:tcBorders>
              <w:tl2br w:val="nil"/>
              <w:tr2bl w:val="nil"/>
            </w:tcBorders>
            <w:shd w:val="clear" w:color="auto" w:fill="auto"/>
            <w:vAlign w:val="center"/>
          </w:tcPr>
          <w:p w14:paraId="33199C1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lang w:val="en-US" w:eastAsia="zh-CN"/>
              </w:rPr>
            </w:pPr>
            <w:r>
              <w:rPr>
                <w:rFonts w:hint="eastAsia" w:ascii="仿宋_GB2312" w:hAnsi="宋体" w:eastAsia="仿宋_GB2312"/>
                <w:color w:val="auto"/>
                <w:kern w:val="0"/>
                <w:sz w:val="13"/>
                <w:szCs w:val="13"/>
                <w:highlight w:val="none"/>
              </w:rPr>
              <w:t>未按照2条及以上抗震设防强制性标准进行抗震性能鉴定的</w:t>
            </w:r>
          </w:p>
        </w:tc>
        <w:tc>
          <w:tcPr>
            <w:tcW w:w="3058" w:type="dxa"/>
            <w:tcBorders>
              <w:tl2br w:val="nil"/>
              <w:tr2bl w:val="nil"/>
            </w:tcBorders>
            <w:shd w:val="clear" w:color="auto" w:fill="auto"/>
            <w:vAlign w:val="top"/>
          </w:tcPr>
          <w:p w14:paraId="0ACD2E0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lang w:val="en-US" w:eastAsia="zh-CN"/>
              </w:rPr>
            </w:pPr>
            <w:r>
              <w:rPr>
                <w:rFonts w:hint="eastAsia" w:ascii="仿宋_GB2312" w:hAnsi="宋体" w:eastAsia="仿宋_GB2312"/>
                <w:color w:val="auto"/>
                <w:kern w:val="0"/>
                <w:sz w:val="13"/>
                <w:szCs w:val="13"/>
                <w:highlight w:val="none"/>
              </w:rPr>
              <w:t>责令改正，处15万元以上25万元以下罚款；对其直接负责的主管人员和其他直接责任人员处单位罚款数额6.5%以上8.5%以下的罚款</w:t>
            </w:r>
          </w:p>
        </w:tc>
      </w:tr>
      <w:tr w14:paraId="62876E7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4" w:hRule="atLeast"/>
          <w:jc w:val="center"/>
        </w:trPr>
        <w:tc>
          <w:tcPr>
            <w:tcW w:w="443" w:type="dxa"/>
            <w:gridSpan w:val="2"/>
            <w:vMerge w:val="continue"/>
            <w:tcBorders>
              <w:tl2br w:val="nil"/>
              <w:tr2bl w:val="nil"/>
            </w:tcBorders>
            <w:vAlign w:val="center"/>
          </w:tcPr>
          <w:p w14:paraId="277EB646">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仿宋_GB2312"/>
                <w:i w:val="0"/>
                <w:color w:val="auto"/>
                <w:kern w:val="0"/>
                <w:sz w:val="13"/>
                <w:szCs w:val="13"/>
                <w:highlight w:val="none"/>
                <w:u w:val="none"/>
                <w:lang w:val="en-US" w:eastAsia="zh-CN" w:bidi="ar"/>
              </w:rPr>
            </w:pPr>
          </w:p>
        </w:tc>
        <w:tc>
          <w:tcPr>
            <w:tcW w:w="1550" w:type="dxa"/>
            <w:vMerge w:val="continue"/>
            <w:tcBorders>
              <w:tl2br w:val="nil"/>
              <w:tr2bl w:val="nil"/>
            </w:tcBorders>
            <w:shd w:val="clear" w:color="auto" w:fill="auto"/>
            <w:vAlign w:val="center"/>
          </w:tcPr>
          <w:p w14:paraId="4661A7D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lang w:val="en-US" w:eastAsia="zh-CN"/>
              </w:rPr>
            </w:pPr>
          </w:p>
        </w:tc>
        <w:tc>
          <w:tcPr>
            <w:tcW w:w="4820" w:type="dxa"/>
            <w:vMerge w:val="continue"/>
            <w:tcBorders>
              <w:tl2br w:val="nil"/>
              <w:tr2bl w:val="nil"/>
            </w:tcBorders>
            <w:shd w:val="clear" w:color="auto" w:fill="auto"/>
            <w:vAlign w:val="center"/>
          </w:tcPr>
          <w:p w14:paraId="6D21FFD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lang w:val="en-US" w:eastAsia="zh-CN"/>
              </w:rPr>
            </w:pPr>
          </w:p>
        </w:tc>
        <w:tc>
          <w:tcPr>
            <w:tcW w:w="823" w:type="dxa"/>
            <w:vMerge w:val="restart"/>
            <w:tcBorders>
              <w:tl2br w:val="nil"/>
              <w:tr2bl w:val="nil"/>
            </w:tcBorders>
            <w:shd w:val="clear" w:color="auto" w:fill="auto"/>
            <w:vAlign w:val="center"/>
          </w:tcPr>
          <w:p w14:paraId="5FA82B6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lang w:val="en-US" w:eastAsia="zh-CN"/>
              </w:rPr>
            </w:pPr>
            <w:r>
              <w:rPr>
                <w:rFonts w:hint="eastAsia" w:ascii="仿宋_GB2312" w:hAnsi="宋体" w:eastAsia="仿宋_GB2312"/>
                <w:color w:val="auto"/>
                <w:kern w:val="0"/>
                <w:sz w:val="13"/>
                <w:szCs w:val="13"/>
                <w:highlight w:val="none"/>
              </w:rPr>
              <w:t>从重情节</w:t>
            </w:r>
          </w:p>
        </w:tc>
        <w:tc>
          <w:tcPr>
            <w:tcW w:w="3437" w:type="dxa"/>
            <w:gridSpan w:val="2"/>
            <w:tcBorders>
              <w:tl2br w:val="nil"/>
              <w:tr2bl w:val="nil"/>
            </w:tcBorders>
            <w:shd w:val="clear" w:color="auto" w:fill="auto"/>
            <w:vAlign w:val="center"/>
          </w:tcPr>
          <w:p w14:paraId="496DECB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lang w:val="en-US" w:eastAsia="zh-CN"/>
              </w:rPr>
            </w:pPr>
            <w:r>
              <w:rPr>
                <w:rFonts w:hint="eastAsia" w:ascii="仿宋_GB2312" w:hAnsi="宋体" w:eastAsia="仿宋_GB2312"/>
                <w:color w:val="auto"/>
                <w:kern w:val="0"/>
                <w:sz w:val="13"/>
                <w:szCs w:val="13"/>
                <w:highlight w:val="none"/>
              </w:rPr>
              <w:t>工程位于地震重点监视防御区的</w:t>
            </w:r>
          </w:p>
        </w:tc>
        <w:tc>
          <w:tcPr>
            <w:tcW w:w="3058" w:type="dxa"/>
            <w:tcBorders>
              <w:tl2br w:val="nil"/>
              <w:tr2bl w:val="nil"/>
            </w:tcBorders>
            <w:shd w:val="clear" w:color="auto" w:fill="auto"/>
            <w:vAlign w:val="top"/>
          </w:tcPr>
          <w:p w14:paraId="38BB6D6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lang w:val="en-US" w:eastAsia="zh-CN"/>
              </w:rPr>
            </w:pPr>
            <w:r>
              <w:rPr>
                <w:rFonts w:hint="eastAsia" w:ascii="仿宋_GB2312" w:hAnsi="宋体" w:eastAsia="仿宋_GB2312"/>
                <w:color w:val="auto"/>
                <w:kern w:val="0"/>
                <w:sz w:val="13"/>
                <w:szCs w:val="13"/>
                <w:highlight w:val="none"/>
              </w:rPr>
              <w:t>责令改正，处25万元以上30万元以下罚款；对其直接负责的主管人员和其他直接责任人员处单位罚款数额8.5%以上10%以下的罚款</w:t>
            </w:r>
          </w:p>
        </w:tc>
      </w:tr>
      <w:tr w14:paraId="499481C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4" w:hRule="atLeast"/>
          <w:jc w:val="center"/>
        </w:trPr>
        <w:tc>
          <w:tcPr>
            <w:tcW w:w="443" w:type="dxa"/>
            <w:gridSpan w:val="2"/>
            <w:vMerge w:val="continue"/>
            <w:tcBorders>
              <w:tl2br w:val="nil"/>
              <w:tr2bl w:val="nil"/>
            </w:tcBorders>
            <w:vAlign w:val="center"/>
          </w:tcPr>
          <w:p w14:paraId="3B7A7706">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仿宋_GB2312"/>
                <w:i w:val="0"/>
                <w:color w:val="auto"/>
                <w:kern w:val="0"/>
                <w:sz w:val="13"/>
                <w:szCs w:val="13"/>
                <w:highlight w:val="none"/>
                <w:u w:val="none"/>
                <w:lang w:val="en-US" w:eastAsia="zh-CN" w:bidi="ar"/>
              </w:rPr>
            </w:pPr>
          </w:p>
        </w:tc>
        <w:tc>
          <w:tcPr>
            <w:tcW w:w="1550" w:type="dxa"/>
            <w:vMerge w:val="continue"/>
            <w:tcBorders>
              <w:tl2br w:val="nil"/>
              <w:tr2bl w:val="nil"/>
            </w:tcBorders>
            <w:shd w:val="clear" w:color="auto" w:fill="auto"/>
            <w:vAlign w:val="center"/>
          </w:tcPr>
          <w:p w14:paraId="5A89537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lang w:val="en-US" w:eastAsia="zh-CN"/>
              </w:rPr>
            </w:pPr>
          </w:p>
        </w:tc>
        <w:tc>
          <w:tcPr>
            <w:tcW w:w="4820" w:type="dxa"/>
            <w:vMerge w:val="continue"/>
            <w:tcBorders>
              <w:tl2br w:val="nil"/>
              <w:tr2bl w:val="nil"/>
            </w:tcBorders>
            <w:shd w:val="clear" w:color="auto" w:fill="auto"/>
            <w:vAlign w:val="center"/>
          </w:tcPr>
          <w:p w14:paraId="0BE1A41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lang w:val="en-US" w:eastAsia="zh-CN"/>
              </w:rPr>
            </w:pPr>
          </w:p>
        </w:tc>
        <w:tc>
          <w:tcPr>
            <w:tcW w:w="823" w:type="dxa"/>
            <w:vMerge w:val="continue"/>
            <w:tcBorders>
              <w:tl2br w:val="nil"/>
              <w:tr2bl w:val="nil"/>
            </w:tcBorders>
            <w:shd w:val="clear" w:color="auto" w:fill="auto"/>
            <w:vAlign w:val="center"/>
          </w:tcPr>
          <w:p w14:paraId="52F2CAD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lang w:val="en-US" w:eastAsia="zh-CN"/>
              </w:rPr>
            </w:pPr>
          </w:p>
        </w:tc>
        <w:tc>
          <w:tcPr>
            <w:tcW w:w="3437" w:type="dxa"/>
            <w:gridSpan w:val="2"/>
            <w:tcBorders>
              <w:tl2br w:val="nil"/>
              <w:tr2bl w:val="nil"/>
            </w:tcBorders>
            <w:shd w:val="clear" w:color="auto" w:fill="auto"/>
            <w:vAlign w:val="center"/>
          </w:tcPr>
          <w:p w14:paraId="5F1D61A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lang w:val="en-US" w:eastAsia="zh-CN"/>
              </w:rPr>
            </w:pPr>
            <w:r>
              <w:rPr>
                <w:rFonts w:hint="eastAsia" w:ascii="仿宋_GB2312" w:hAnsi="宋体" w:eastAsia="仿宋_GB2312"/>
                <w:color w:val="auto"/>
                <w:kern w:val="0"/>
                <w:sz w:val="13"/>
                <w:szCs w:val="13"/>
                <w:highlight w:val="none"/>
              </w:rPr>
              <w:t>工程存在严重抗震安全隐患的；造成其他严重危害后果的</w:t>
            </w:r>
          </w:p>
        </w:tc>
        <w:tc>
          <w:tcPr>
            <w:tcW w:w="3058" w:type="dxa"/>
            <w:tcBorders>
              <w:tl2br w:val="nil"/>
              <w:tr2bl w:val="nil"/>
            </w:tcBorders>
            <w:shd w:val="clear" w:color="auto" w:fill="auto"/>
            <w:vAlign w:val="top"/>
          </w:tcPr>
          <w:p w14:paraId="1A62F90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lang w:val="en-US" w:eastAsia="zh-CN"/>
              </w:rPr>
            </w:pPr>
            <w:r>
              <w:rPr>
                <w:rFonts w:hint="eastAsia" w:ascii="仿宋_GB2312" w:hAnsi="宋体" w:eastAsia="仿宋_GB2312"/>
                <w:color w:val="auto"/>
                <w:kern w:val="0"/>
                <w:sz w:val="13"/>
                <w:szCs w:val="13"/>
                <w:highlight w:val="none"/>
              </w:rPr>
              <w:t>责令改正，责令停业整顿，直至改正违法行为，并处30万元以上50万元以下的罚款；对其直接负责的主管人员和其他直接责任人员处单位罚款数额8.5%以上10%以下的罚款</w:t>
            </w:r>
          </w:p>
        </w:tc>
      </w:tr>
      <w:tr w14:paraId="760C413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4" w:hRule="atLeast"/>
          <w:jc w:val="center"/>
        </w:trPr>
        <w:tc>
          <w:tcPr>
            <w:tcW w:w="443" w:type="dxa"/>
            <w:gridSpan w:val="2"/>
            <w:vMerge w:val="restart"/>
            <w:tcBorders>
              <w:tl2br w:val="nil"/>
              <w:tr2bl w:val="nil"/>
            </w:tcBorders>
            <w:vAlign w:val="center"/>
          </w:tcPr>
          <w:p w14:paraId="73671262">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仿宋_GB2312"/>
                <w:i w:val="0"/>
                <w:color w:val="auto"/>
                <w:kern w:val="0"/>
                <w:sz w:val="13"/>
                <w:szCs w:val="13"/>
                <w:highlight w:val="none"/>
                <w:u w:val="none"/>
                <w:lang w:val="en-US" w:eastAsia="zh-CN" w:bidi="ar"/>
              </w:rPr>
            </w:pPr>
            <w:r>
              <w:rPr>
                <w:rFonts w:hint="eastAsia" w:ascii="仿宋_GB2312" w:hAnsi="宋体" w:eastAsia="仿宋_GB2312" w:cs="仿宋_GB2312"/>
                <w:i w:val="0"/>
                <w:color w:val="auto"/>
                <w:kern w:val="0"/>
                <w:sz w:val="13"/>
                <w:szCs w:val="13"/>
                <w:highlight w:val="none"/>
                <w:u w:val="none"/>
                <w:lang w:val="en-US" w:eastAsia="zh-CN" w:bidi="ar"/>
              </w:rPr>
              <w:t>151</w:t>
            </w:r>
          </w:p>
        </w:tc>
        <w:tc>
          <w:tcPr>
            <w:tcW w:w="1550" w:type="dxa"/>
            <w:vMerge w:val="restart"/>
            <w:tcBorders>
              <w:tl2br w:val="nil"/>
              <w:tr2bl w:val="nil"/>
            </w:tcBorders>
            <w:shd w:val="clear" w:color="auto" w:fill="auto"/>
            <w:vAlign w:val="center"/>
          </w:tcPr>
          <w:p w14:paraId="55617CF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lang w:val="en-US" w:eastAsia="zh-CN"/>
              </w:rPr>
            </w:pPr>
            <w:r>
              <w:rPr>
                <w:rFonts w:hint="eastAsia" w:ascii="仿宋_GB2312" w:hAnsi="宋体" w:eastAsia="仿宋_GB2312"/>
                <w:color w:val="auto"/>
                <w:kern w:val="0"/>
                <w:sz w:val="13"/>
                <w:szCs w:val="13"/>
                <w:highlight w:val="none"/>
              </w:rPr>
              <w:t>抗震性能鉴定机构出具虚假鉴定结果的</w:t>
            </w:r>
          </w:p>
        </w:tc>
        <w:tc>
          <w:tcPr>
            <w:tcW w:w="4820" w:type="dxa"/>
            <w:vMerge w:val="restart"/>
            <w:tcBorders>
              <w:tl2br w:val="nil"/>
              <w:tr2bl w:val="nil"/>
            </w:tcBorders>
            <w:shd w:val="clear" w:color="auto" w:fill="auto"/>
            <w:vAlign w:val="center"/>
          </w:tcPr>
          <w:p w14:paraId="6819807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《建设工程抗震管理条例》第四十五条第二款 违反本条例规定，抗震性能鉴定机构出具虚假鉴定结果的，责令改正，处10万元以上30万元以下的罚款；情节严重的，责令停业整顿，并处30万元以上50万元以下的罚款，吊销负有直接责任的注册执业人员的执业资格证书，其直接负责的主管人员和其他直接责任人员终身禁止从事抗震性能鉴定业务；造成损失的，依法承担赔偿责任。</w:t>
            </w:r>
          </w:p>
          <w:p w14:paraId="4CDD7AB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lang w:val="en-US" w:eastAsia="zh-CN"/>
              </w:rPr>
            </w:pPr>
            <w:r>
              <w:rPr>
                <w:rFonts w:hint="eastAsia" w:ascii="仿宋_GB2312" w:hAnsi="宋体" w:eastAsia="仿宋_GB2312"/>
                <w:color w:val="auto"/>
                <w:kern w:val="0"/>
                <w:sz w:val="13"/>
                <w:szCs w:val="13"/>
                <w:highlight w:val="none"/>
              </w:rPr>
              <w:t>第四十七条 依照本条例规定，给予单位罚款处罚的，对其直接负责的主管人员和其他直接责任人员处单位罚款数额5%以上10%以下的罚款。</w:t>
            </w:r>
          </w:p>
        </w:tc>
        <w:tc>
          <w:tcPr>
            <w:tcW w:w="823" w:type="dxa"/>
            <w:tcBorders>
              <w:tl2br w:val="nil"/>
              <w:tr2bl w:val="nil"/>
            </w:tcBorders>
            <w:shd w:val="clear" w:color="auto" w:fill="auto"/>
            <w:vAlign w:val="center"/>
          </w:tcPr>
          <w:p w14:paraId="25616EA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lang w:val="en-US" w:eastAsia="zh-CN"/>
              </w:rPr>
            </w:pPr>
            <w:r>
              <w:rPr>
                <w:rFonts w:hint="eastAsia" w:ascii="仿宋_GB2312" w:hAnsi="宋体" w:eastAsia="仿宋_GB2312"/>
                <w:color w:val="auto"/>
                <w:kern w:val="0"/>
                <w:sz w:val="13"/>
                <w:szCs w:val="13"/>
                <w:highlight w:val="none"/>
              </w:rPr>
              <w:t>从轻情节</w:t>
            </w:r>
          </w:p>
        </w:tc>
        <w:tc>
          <w:tcPr>
            <w:tcW w:w="3437" w:type="dxa"/>
            <w:gridSpan w:val="2"/>
            <w:tcBorders>
              <w:tl2br w:val="nil"/>
              <w:tr2bl w:val="nil"/>
            </w:tcBorders>
            <w:shd w:val="clear" w:color="auto" w:fill="auto"/>
            <w:vAlign w:val="center"/>
          </w:tcPr>
          <w:p w14:paraId="2D6D70A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lang w:val="en-US" w:eastAsia="zh-CN"/>
              </w:rPr>
            </w:pPr>
            <w:r>
              <w:rPr>
                <w:rFonts w:hint="eastAsia" w:ascii="仿宋_GB2312" w:hAnsi="宋体" w:eastAsia="仿宋_GB2312"/>
                <w:color w:val="auto"/>
                <w:kern w:val="0"/>
                <w:sz w:val="13"/>
                <w:szCs w:val="13"/>
                <w:highlight w:val="none"/>
              </w:rPr>
              <w:t>初次违法，危害后果轻微，主动消除或减轻违法行为危害后果的。</w:t>
            </w:r>
          </w:p>
        </w:tc>
        <w:tc>
          <w:tcPr>
            <w:tcW w:w="3058" w:type="dxa"/>
            <w:tcBorders>
              <w:tl2br w:val="nil"/>
              <w:tr2bl w:val="nil"/>
            </w:tcBorders>
            <w:shd w:val="clear" w:color="auto" w:fill="auto"/>
            <w:vAlign w:val="top"/>
          </w:tcPr>
          <w:p w14:paraId="2047722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lang w:val="en-US" w:eastAsia="zh-CN"/>
              </w:rPr>
            </w:pPr>
            <w:r>
              <w:rPr>
                <w:rFonts w:hint="eastAsia" w:ascii="仿宋_GB2312" w:hAnsi="宋体" w:eastAsia="仿宋_GB2312"/>
                <w:color w:val="auto"/>
                <w:kern w:val="0"/>
                <w:sz w:val="13"/>
                <w:szCs w:val="13"/>
                <w:highlight w:val="none"/>
              </w:rPr>
              <w:t>责令改正，处10万元以上15万元以下罚款；对其直接负责的主管人员和其他直接责任人员处单位罚款数额5%以上6.5%以下的罚款</w:t>
            </w:r>
          </w:p>
        </w:tc>
      </w:tr>
      <w:tr w14:paraId="63025F3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4" w:hRule="atLeast"/>
          <w:jc w:val="center"/>
        </w:trPr>
        <w:tc>
          <w:tcPr>
            <w:tcW w:w="443" w:type="dxa"/>
            <w:gridSpan w:val="2"/>
            <w:vMerge w:val="continue"/>
            <w:tcBorders>
              <w:tl2br w:val="nil"/>
              <w:tr2bl w:val="nil"/>
            </w:tcBorders>
            <w:vAlign w:val="center"/>
          </w:tcPr>
          <w:p w14:paraId="356E2B6D">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仿宋_GB2312"/>
                <w:i w:val="0"/>
                <w:color w:val="auto"/>
                <w:kern w:val="0"/>
                <w:sz w:val="13"/>
                <w:szCs w:val="13"/>
                <w:highlight w:val="none"/>
                <w:u w:val="none"/>
                <w:lang w:val="en-US" w:eastAsia="zh-CN" w:bidi="ar"/>
              </w:rPr>
            </w:pPr>
          </w:p>
        </w:tc>
        <w:tc>
          <w:tcPr>
            <w:tcW w:w="1550" w:type="dxa"/>
            <w:vMerge w:val="continue"/>
            <w:tcBorders>
              <w:tl2br w:val="nil"/>
              <w:tr2bl w:val="nil"/>
            </w:tcBorders>
            <w:shd w:val="clear" w:color="auto" w:fill="auto"/>
            <w:vAlign w:val="center"/>
          </w:tcPr>
          <w:p w14:paraId="2A2AB8C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lang w:val="en-US" w:eastAsia="zh-CN"/>
              </w:rPr>
            </w:pPr>
          </w:p>
        </w:tc>
        <w:tc>
          <w:tcPr>
            <w:tcW w:w="4820" w:type="dxa"/>
            <w:vMerge w:val="continue"/>
            <w:tcBorders>
              <w:tl2br w:val="nil"/>
              <w:tr2bl w:val="nil"/>
            </w:tcBorders>
            <w:shd w:val="clear" w:color="auto" w:fill="auto"/>
            <w:vAlign w:val="center"/>
          </w:tcPr>
          <w:p w14:paraId="227757F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lang w:val="en-US" w:eastAsia="zh-CN"/>
              </w:rPr>
            </w:pPr>
          </w:p>
        </w:tc>
        <w:tc>
          <w:tcPr>
            <w:tcW w:w="823" w:type="dxa"/>
            <w:tcBorders>
              <w:tl2br w:val="nil"/>
              <w:tr2bl w:val="nil"/>
            </w:tcBorders>
            <w:shd w:val="clear" w:color="auto" w:fill="auto"/>
            <w:vAlign w:val="center"/>
          </w:tcPr>
          <w:p w14:paraId="531D6E3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lang w:val="en-US" w:eastAsia="zh-CN"/>
              </w:rPr>
            </w:pPr>
            <w:r>
              <w:rPr>
                <w:rFonts w:hint="eastAsia" w:ascii="仿宋_GB2312" w:hAnsi="宋体" w:eastAsia="仿宋_GB2312"/>
                <w:color w:val="auto"/>
                <w:kern w:val="0"/>
                <w:sz w:val="13"/>
                <w:szCs w:val="13"/>
                <w:highlight w:val="none"/>
              </w:rPr>
              <w:t>一般情节</w:t>
            </w:r>
          </w:p>
        </w:tc>
        <w:tc>
          <w:tcPr>
            <w:tcW w:w="3437" w:type="dxa"/>
            <w:gridSpan w:val="2"/>
            <w:tcBorders>
              <w:tl2br w:val="nil"/>
              <w:tr2bl w:val="nil"/>
            </w:tcBorders>
            <w:shd w:val="clear" w:color="auto" w:fill="auto"/>
            <w:vAlign w:val="center"/>
          </w:tcPr>
          <w:p w14:paraId="6201771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lang w:val="en-US" w:eastAsia="zh-CN"/>
              </w:rPr>
            </w:pPr>
            <w:r>
              <w:rPr>
                <w:rFonts w:hint="eastAsia" w:ascii="仿宋_GB2312" w:hAnsi="宋体" w:eastAsia="仿宋_GB2312"/>
                <w:color w:val="auto"/>
                <w:kern w:val="0"/>
                <w:sz w:val="13"/>
                <w:szCs w:val="13"/>
                <w:highlight w:val="none"/>
              </w:rPr>
              <w:t>不具有从轻、从重情节，且违法行为导致的抗震安全隐患能通过抗震加固满足抗震安全性能的。</w:t>
            </w:r>
          </w:p>
        </w:tc>
        <w:tc>
          <w:tcPr>
            <w:tcW w:w="3058" w:type="dxa"/>
            <w:tcBorders>
              <w:tl2br w:val="nil"/>
              <w:tr2bl w:val="nil"/>
            </w:tcBorders>
            <w:shd w:val="clear" w:color="auto" w:fill="auto"/>
            <w:vAlign w:val="top"/>
          </w:tcPr>
          <w:p w14:paraId="2765DFC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lang w:val="en-US" w:eastAsia="zh-CN"/>
              </w:rPr>
            </w:pPr>
            <w:r>
              <w:rPr>
                <w:rFonts w:hint="eastAsia" w:ascii="仿宋_GB2312" w:hAnsi="宋体" w:eastAsia="仿宋_GB2312"/>
                <w:color w:val="auto"/>
                <w:kern w:val="0"/>
                <w:sz w:val="13"/>
                <w:szCs w:val="13"/>
                <w:highlight w:val="none"/>
              </w:rPr>
              <w:t>责令改正，处15万元以上25万元以下罚款；对其直接负责的主管人员和其他直接责任人员处单位罚款数额6.5%以上8.5%以下的罚款</w:t>
            </w:r>
          </w:p>
        </w:tc>
      </w:tr>
      <w:tr w14:paraId="64B8503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4" w:hRule="atLeast"/>
          <w:jc w:val="center"/>
        </w:trPr>
        <w:tc>
          <w:tcPr>
            <w:tcW w:w="443" w:type="dxa"/>
            <w:gridSpan w:val="2"/>
            <w:vMerge w:val="continue"/>
            <w:tcBorders>
              <w:tl2br w:val="nil"/>
              <w:tr2bl w:val="nil"/>
            </w:tcBorders>
            <w:vAlign w:val="center"/>
          </w:tcPr>
          <w:p w14:paraId="000A458D">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仿宋_GB2312"/>
                <w:i w:val="0"/>
                <w:color w:val="auto"/>
                <w:kern w:val="0"/>
                <w:sz w:val="13"/>
                <w:szCs w:val="13"/>
                <w:highlight w:val="none"/>
                <w:u w:val="none"/>
                <w:lang w:val="en-US" w:eastAsia="zh-CN" w:bidi="ar"/>
              </w:rPr>
            </w:pPr>
          </w:p>
        </w:tc>
        <w:tc>
          <w:tcPr>
            <w:tcW w:w="1550" w:type="dxa"/>
            <w:vMerge w:val="continue"/>
            <w:tcBorders>
              <w:tl2br w:val="nil"/>
              <w:tr2bl w:val="nil"/>
            </w:tcBorders>
            <w:shd w:val="clear" w:color="auto" w:fill="auto"/>
            <w:vAlign w:val="center"/>
          </w:tcPr>
          <w:p w14:paraId="7651D6B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lang w:val="en-US" w:eastAsia="zh-CN"/>
              </w:rPr>
            </w:pPr>
          </w:p>
        </w:tc>
        <w:tc>
          <w:tcPr>
            <w:tcW w:w="4820" w:type="dxa"/>
            <w:vMerge w:val="continue"/>
            <w:tcBorders>
              <w:tl2br w:val="nil"/>
              <w:tr2bl w:val="nil"/>
            </w:tcBorders>
            <w:shd w:val="clear" w:color="auto" w:fill="auto"/>
            <w:vAlign w:val="center"/>
          </w:tcPr>
          <w:p w14:paraId="69345C5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lang w:val="en-US" w:eastAsia="zh-CN"/>
              </w:rPr>
            </w:pPr>
          </w:p>
        </w:tc>
        <w:tc>
          <w:tcPr>
            <w:tcW w:w="823" w:type="dxa"/>
            <w:vMerge w:val="restart"/>
            <w:tcBorders>
              <w:tl2br w:val="nil"/>
              <w:tr2bl w:val="nil"/>
            </w:tcBorders>
            <w:shd w:val="clear" w:color="auto" w:fill="auto"/>
            <w:vAlign w:val="center"/>
          </w:tcPr>
          <w:p w14:paraId="4607AF0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lang w:val="en-US" w:eastAsia="zh-CN"/>
              </w:rPr>
            </w:pPr>
            <w:r>
              <w:rPr>
                <w:rFonts w:hint="eastAsia" w:ascii="仿宋_GB2312" w:hAnsi="宋体" w:eastAsia="仿宋_GB2312"/>
                <w:color w:val="auto"/>
                <w:kern w:val="0"/>
                <w:sz w:val="13"/>
                <w:szCs w:val="13"/>
                <w:highlight w:val="none"/>
              </w:rPr>
              <w:t>从重情节</w:t>
            </w:r>
          </w:p>
        </w:tc>
        <w:tc>
          <w:tcPr>
            <w:tcW w:w="3437" w:type="dxa"/>
            <w:gridSpan w:val="2"/>
            <w:tcBorders>
              <w:tl2br w:val="nil"/>
              <w:tr2bl w:val="nil"/>
            </w:tcBorders>
            <w:shd w:val="clear" w:color="auto" w:fill="auto"/>
            <w:vAlign w:val="center"/>
          </w:tcPr>
          <w:p w14:paraId="0CA41B2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1.工程位于地震重点监视防御区或者超限高层，且违法行为导致的抗震安全隐患能通过抗震加固满足抗震安全性能的；</w:t>
            </w:r>
          </w:p>
          <w:p w14:paraId="1F8CFD9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lang w:val="en-US" w:eastAsia="zh-CN"/>
              </w:rPr>
            </w:pPr>
            <w:r>
              <w:rPr>
                <w:rFonts w:hint="eastAsia" w:ascii="仿宋_GB2312" w:hAnsi="宋体" w:eastAsia="仿宋_GB2312"/>
                <w:color w:val="auto"/>
                <w:kern w:val="0"/>
                <w:sz w:val="13"/>
                <w:szCs w:val="13"/>
                <w:highlight w:val="none"/>
              </w:rPr>
              <w:t>2.非地震重点监视防御区工程，违法行为导致的抗震安全隐患不能通过抗震加固满足抗震安全性能的；</w:t>
            </w:r>
          </w:p>
        </w:tc>
        <w:tc>
          <w:tcPr>
            <w:tcW w:w="3058" w:type="dxa"/>
            <w:tcBorders>
              <w:tl2br w:val="nil"/>
              <w:tr2bl w:val="nil"/>
            </w:tcBorders>
            <w:shd w:val="clear" w:color="auto" w:fill="auto"/>
            <w:vAlign w:val="top"/>
          </w:tcPr>
          <w:p w14:paraId="7343CFF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lang w:val="en-US" w:eastAsia="zh-CN"/>
              </w:rPr>
            </w:pPr>
            <w:r>
              <w:rPr>
                <w:rFonts w:hint="eastAsia" w:ascii="仿宋_GB2312" w:hAnsi="宋体" w:eastAsia="仿宋_GB2312"/>
                <w:color w:val="auto"/>
                <w:kern w:val="0"/>
                <w:sz w:val="13"/>
                <w:szCs w:val="13"/>
                <w:highlight w:val="none"/>
              </w:rPr>
              <w:t>责令改正，处25万元以上30万元以下罚款；对其直接负责的主管人员和其他直接责任人员处单位罚款数额8.5%以上10%以下的罚款</w:t>
            </w:r>
          </w:p>
        </w:tc>
      </w:tr>
      <w:tr w14:paraId="4135BA4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4" w:hRule="atLeast"/>
          <w:jc w:val="center"/>
        </w:trPr>
        <w:tc>
          <w:tcPr>
            <w:tcW w:w="443" w:type="dxa"/>
            <w:gridSpan w:val="2"/>
            <w:vMerge w:val="continue"/>
            <w:tcBorders>
              <w:tl2br w:val="nil"/>
              <w:tr2bl w:val="nil"/>
            </w:tcBorders>
            <w:vAlign w:val="center"/>
          </w:tcPr>
          <w:p w14:paraId="7613AC1F">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仿宋_GB2312"/>
                <w:i w:val="0"/>
                <w:color w:val="auto"/>
                <w:kern w:val="0"/>
                <w:sz w:val="13"/>
                <w:szCs w:val="13"/>
                <w:highlight w:val="none"/>
                <w:u w:val="none"/>
                <w:lang w:val="en-US" w:eastAsia="zh-CN" w:bidi="ar"/>
              </w:rPr>
            </w:pPr>
          </w:p>
        </w:tc>
        <w:tc>
          <w:tcPr>
            <w:tcW w:w="1550" w:type="dxa"/>
            <w:vMerge w:val="continue"/>
            <w:tcBorders>
              <w:tl2br w:val="nil"/>
              <w:tr2bl w:val="nil"/>
            </w:tcBorders>
            <w:shd w:val="clear" w:color="auto" w:fill="auto"/>
            <w:vAlign w:val="center"/>
          </w:tcPr>
          <w:p w14:paraId="085620F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lang w:val="en-US" w:eastAsia="zh-CN"/>
              </w:rPr>
            </w:pPr>
          </w:p>
        </w:tc>
        <w:tc>
          <w:tcPr>
            <w:tcW w:w="4820" w:type="dxa"/>
            <w:vMerge w:val="continue"/>
            <w:tcBorders>
              <w:tl2br w:val="nil"/>
              <w:tr2bl w:val="nil"/>
            </w:tcBorders>
            <w:shd w:val="clear" w:color="auto" w:fill="auto"/>
            <w:vAlign w:val="center"/>
          </w:tcPr>
          <w:p w14:paraId="4C9A013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lang w:val="en-US" w:eastAsia="zh-CN"/>
              </w:rPr>
            </w:pPr>
          </w:p>
        </w:tc>
        <w:tc>
          <w:tcPr>
            <w:tcW w:w="823" w:type="dxa"/>
            <w:vMerge w:val="continue"/>
            <w:tcBorders>
              <w:tl2br w:val="nil"/>
              <w:tr2bl w:val="nil"/>
            </w:tcBorders>
            <w:shd w:val="clear" w:color="auto" w:fill="auto"/>
            <w:vAlign w:val="center"/>
          </w:tcPr>
          <w:p w14:paraId="6D70B37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lang w:val="en-US" w:eastAsia="zh-CN"/>
              </w:rPr>
            </w:pPr>
          </w:p>
        </w:tc>
        <w:tc>
          <w:tcPr>
            <w:tcW w:w="3437" w:type="dxa"/>
            <w:gridSpan w:val="2"/>
            <w:tcBorders>
              <w:tl2br w:val="nil"/>
              <w:tr2bl w:val="nil"/>
            </w:tcBorders>
            <w:shd w:val="clear" w:color="auto" w:fill="auto"/>
            <w:vAlign w:val="center"/>
          </w:tcPr>
          <w:p w14:paraId="4455C9E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lang w:val="en-US" w:eastAsia="zh-CN"/>
              </w:rPr>
            </w:pPr>
            <w:r>
              <w:rPr>
                <w:rFonts w:hint="eastAsia" w:ascii="仿宋_GB2312" w:hAnsi="宋体" w:eastAsia="仿宋_GB2312"/>
                <w:color w:val="auto"/>
                <w:kern w:val="0"/>
                <w:sz w:val="13"/>
                <w:szCs w:val="13"/>
                <w:highlight w:val="none"/>
              </w:rPr>
              <w:t>工程存在严重抗震安全隐患的；造成其他严重危害后果的</w:t>
            </w:r>
          </w:p>
        </w:tc>
        <w:tc>
          <w:tcPr>
            <w:tcW w:w="3058" w:type="dxa"/>
            <w:tcBorders>
              <w:tl2br w:val="nil"/>
              <w:tr2bl w:val="nil"/>
            </w:tcBorders>
            <w:shd w:val="clear" w:color="auto" w:fill="auto"/>
            <w:vAlign w:val="top"/>
          </w:tcPr>
          <w:p w14:paraId="3A2246E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lang w:val="en-US" w:eastAsia="zh-CN"/>
              </w:rPr>
            </w:pPr>
            <w:r>
              <w:rPr>
                <w:rFonts w:hint="eastAsia" w:ascii="仿宋_GB2312" w:hAnsi="宋体" w:eastAsia="仿宋_GB2312"/>
                <w:color w:val="auto"/>
                <w:kern w:val="0"/>
                <w:sz w:val="13"/>
                <w:szCs w:val="13"/>
                <w:highlight w:val="none"/>
              </w:rPr>
              <w:t>责令改正，责令停业整顿，直至改正违法行为，并处30万元以上50万元以下罚款；对其直接负责的主管人员和其他直接责任人员处单位罚款数额8.5%以上10%以下的罚款；吊销负有直接责任的注册执业人员的执业资格证书，其直接负责的主管人员和其他直接责任人员终身禁止从事抗震性能鉴定业务</w:t>
            </w:r>
          </w:p>
        </w:tc>
      </w:tr>
      <w:tr w14:paraId="53398F2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4" w:hRule="atLeast"/>
          <w:jc w:val="center"/>
        </w:trPr>
        <w:tc>
          <w:tcPr>
            <w:tcW w:w="443" w:type="dxa"/>
            <w:gridSpan w:val="2"/>
            <w:vMerge w:val="restart"/>
            <w:tcBorders>
              <w:tl2br w:val="nil"/>
              <w:tr2bl w:val="nil"/>
            </w:tcBorders>
            <w:vAlign w:val="center"/>
          </w:tcPr>
          <w:p w14:paraId="27AA073A">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仿宋_GB2312"/>
                <w:i w:val="0"/>
                <w:color w:val="auto"/>
                <w:kern w:val="0"/>
                <w:sz w:val="13"/>
                <w:szCs w:val="13"/>
                <w:highlight w:val="none"/>
                <w:u w:val="none"/>
                <w:lang w:val="en-US" w:eastAsia="zh-CN" w:bidi="ar"/>
              </w:rPr>
            </w:pPr>
            <w:r>
              <w:rPr>
                <w:rFonts w:hint="eastAsia" w:ascii="仿宋_GB2312" w:hAnsi="宋体" w:eastAsia="仿宋_GB2312" w:cs="仿宋_GB2312"/>
                <w:i w:val="0"/>
                <w:color w:val="auto"/>
                <w:kern w:val="0"/>
                <w:sz w:val="13"/>
                <w:szCs w:val="13"/>
                <w:highlight w:val="none"/>
                <w:u w:val="none"/>
                <w:lang w:val="en-US" w:eastAsia="zh-CN" w:bidi="ar"/>
              </w:rPr>
              <w:t>152</w:t>
            </w:r>
          </w:p>
        </w:tc>
        <w:tc>
          <w:tcPr>
            <w:tcW w:w="1550" w:type="dxa"/>
            <w:vMerge w:val="restart"/>
            <w:tcBorders>
              <w:tl2br w:val="nil"/>
              <w:tr2bl w:val="nil"/>
            </w:tcBorders>
            <w:shd w:val="clear" w:color="auto" w:fill="auto"/>
            <w:vAlign w:val="center"/>
          </w:tcPr>
          <w:p w14:paraId="3D92C74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lang w:val="en-US" w:eastAsia="zh-CN"/>
              </w:rPr>
            </w:pPr>
            <w:r>
              <w:rPr>
                <w:rFonts w:hint="eastAsia" w:ascii="仿宋_GB2312" w:hAnsi="宋体" w:eastAsia="仿宋_GB2312"/>
                <w:color w:val="auto"/>
                <w:kern w:val="0"/>
                <w:sz w:val="13"/>
                <w:szCs w:val="13"/>
                <w:highlight w:val="none"/>
              </w:rPr>
              <w:t>擅自变动、损坏或者拆除建设工程抗震构件、隔震沟、隔震缝、隔震减震装置及隔震标识的</w:t>
            </w:r>
          </w:p>
        </w:tc>
        <w:tc>
          <w:tcPr>
            <w:tcW w:w="4820" w:type="dxa"/>
            <w:vMerge w:val="restart"/>
            <w:tcBorders>
              <w:tl2br w:val="nil"/>
              <w:tr2bl w:val="nil"/>
            </w:tcBorders>
            <w:shd w:val="clear" w:color="auto" w:fill="auto"/>
            <w:vAlign w:val="center"/>
          </w:tcPr>
          <w:p w14:paraId="58F2568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《建设工程抗震管理条例》第四十六条 违反本条例规定，擅自变动、损坏或者拆除建设工程抗震构件、隔震沟、隔震缝、隔震减震装置及隔震标识的，责令停止违法行为，恢复原状或者采取其他补救措施，对个人处5万元以上10万元以下的罚款，对单位处10万元以上30万元以下的罚款；造成损失的，依法承担赔偿责任。</w:t>
            </w:r>
          </w:p>
          <w:p w14:paraId="39CBCD2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lang w:val="en-US" w:eastAsia="zh-CN"/>
              </w:rPr>
            </w:pPr>
            <w:r>
              <w:rPr>
                <w:rFonts w:hint="eastAsia" w:ascii="仿宋_GB2312" w:hAnsi="宋体" w:eastAsia="仿宋_GB2312"/>
                <w:color w:val="auto"/>
                <w:kern w:val="0"/>
                <w:sz w:val="13"/>
                <w:szCs w:val="13"/>
                <w:highlight w:val="none"/>
              </w:rPr>
              <w:t>第四十七条 依照本条例规定，给予单位罚款处罚的，对其直接负责的主管人员和其他直接责任人员处单位罚款数额5%以上10%以下的罚款。</w:t>
            </w:r>
          </w:p>
        </w:tc>
        <w:tc>
          <w:tcPr>
            <w:tcW w:w="823" w:type="dxa"/>
            <w:tcBorders>
              <w:tl2br w:val="nil"/>
              <w:tr2bl w:val="nil"/>
            </w:tcBorders>
            <w:shd w:val="clear" w:color="auto" w:fill="auto"/>
            <w:vAlign w:val="center"/>
          </w:tcPr>
          <w:p w14:paraId="23304BA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lang w:val="en-US" w:eastAsia="zh-CN"/>
              </w:rPr>
            </w:pPr>
            <w:r>
              <w:rPr>
                <w:rFonts w:hint="eastAsia" w:ascii="仿宋_GB2312" w:hAnsi="宋体" w:eastAsia="仿宋_GB2312"/>
                <w:color w:val="auto"/>
                <w:kern w:val="0"/>
                <w:sz w:val="13"/>
                <w:szCs w:val="13"/>
                <w:highlight w:val="none"/>
              </w:rPr>
              <w:t>从轻情节</w:t>
            </w:r>
          </w:p>
        </w:tc>
        <w:tc>
          <w:tcPr>
            <w:tcW w:w="3437" w:type="dxa"/>
            <w:gridSpan w:val="2"/>
            <w:tcBorders>
              <w:tl2br w:val="nil"/>
              <w:tr2bl w:val="nil"/>
            </w:tcBorders>
            <w:shd w:val="clear" w:color="auto" w:fill="auto"/>
            <w:vAlign w:val="center"/>
          </w:tcPr>
          <w:p w14:paraId="4F3C659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lang w:val="en-US" w:eastAsia="zh-CN"/>
              </w:rPr>
            </w:pPr>
            <w:r>
              <w:rPr>
                <w:rFonts w:hint="eastAsia" w:ascii="仿宋_GB2312" w:hAnsi="宋体" w:eastAsia="仿宋_GB2312"/>
                <w:color w:val="auto"/>
                <w:kern w:val="0"/>
                <w:sz w:val="13"/>
                <w:szCs w:val="13"/>
                <w:highlight w:val="none"/>
              </w:rPr>
              <w:t>初次违法，危害后果轻微，主动消除或减轻违法行为危害后果的。</w:t>
            </w:r>
          </w:p>
        </w:tc>
        <w:tc>
          <w:tcPr>
            <w:tcW w:w="3058" w:type="dxa"/>
            <w:tcBorders>
              <w:tl2br w:val="nil"/>
              <w:tr2bl w:val="nil"/>
            </w:tcBorders>
            <w:shd w:val="clear" w:color="auto" w:fill="auto"/>
            <w:vAlign w:val="top"/>
          </w:tcPr>
          <w:p w14:paraId="49BB1E6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lang w:val="en-US" w:eastAsia="zh-CN"/>
              </w:rPr>
            </w:pPr>
            <w:r>
              <w:rPr>
                <w:rFonts w:hint="eastAsia" w:ascii="仿宋_GB2312" w:hAnsi="宋体" w:eastAsia="仿宋_GB2312"/>
                <w:color w:val="auto"/>
                <w:kern w:val="0"/>
                <w:sz w:val="13"/>
                <w:szCs w:val="13"/>
                <w:highlight w:val="none"/>
              </w:rPr>
              <w:t>责令停止违法行为，恢复原状或者采取其他补救措施，对个人处5万元以上6.5万元以下罚款；对单位处10万元以上15万元以下罚款，对其直接负责的主管人员和其他直接责任人员处单位罚款数额5%以上6.5%以下的罚款</w:t>
            </w:r>
          </w:p>
        </w:tc>
      </w:tr>
      <w:tr w14:paraId="120E7EA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4" w:hRule="atLeast"/>
          <w:jc w:val="center"/>
        </w:trPr>
        <w:tc>
          <w:tcPr>
            <w:tcW w:w="443" w:type="dxa"/>
            <w:gridSpan w:val="2"/>
            <w:vMerge w:val="continue"/>
            <w:tcBorders>
              <w:tl2br w:val="nil"/>
              <w:tr2bl w:val="nil"/>
            </w:tcBorders>
            <w:vAlign w:val="center"/>
          </w:tcPr>
          <w:p w14:paraId="2A1A33F9">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仿宋_GB2312"/>
                <w:i w:val="0"/>
                <w:color w:val="auto"/>
                <w:kern w:val="0"/>
                <w:sz w:val="13"/>
                <w:szCs w:val="13"/>
                <w:highlight w:val="none"/>
                <w:u w:val="none"/>
                <w:lang w:val="en-US" w:eastAsia="zh-CN" w:bidi="ar"/>
              </w:rPr>
            </w:pPr>
          </w:p>
        </w:tc>
        <w:tc>
          <w:tcPr>
            <w:tcW w:w="1550" w:type="dxa"/>
            <w:vMerge w:val="continue"/>
            <w:tcBorders>
              <w:tl2br w:val="nil"/>
              <w:tr2bl w:val="nil"/>
            </w:tcBorders>
            <w:shd w:val="clear" w:color="auto" w:fill="auto"/>
            <w:vAlign w:val="center"/>
          </w:tcPr>
          <w:p w14:paraId="06EFFDD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lang w:val="en-US" w:eastAsia="zh-CN"/>
              </w:rPr>
            </w:pPr>
          </w:p>
        </w:tc>
        <w:tc>
          <w:tcPr>
            <w:tcW w:w="4820" w:type="dxa"/>
            <w:vMerge w:val="continue"/>
            <w:tcBorders>
              <w:tl2br w:val="nil"/>
              <w:tr2bl w:val="nil"/>
            </w:tcBorders>
            <w:shd w:val="clear" w:color="auto" w:fill="auto"/>
            <w:vAlign w:val="center"/>
          </w:tcPr>
          <w:p w14:paraId="754B936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lang w:val="en-US" w:eastAsia="zh-CN"/>
              </w:rPr>
            </w:pPr>
          </w:p>
        </w:tc>
        <w:tc>
          <w:tcPr>
            <w:tcW w:w="823" w:type="dxa"/>
            <w:tcBorders>
              <w:tl2br w:val="nil"/>
              <w:tr2bl w:val="nil"/>
            </w:tcBorders>
            <w:shd w:val="clear" w:color="auto" w:fill="auto"/>
            <w:vAlign w:val="center"/>
          </w:tcPr>
          <w:p w14:paraId="659A270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lang w:val="en-US" w:eastAsia="zh-CN"/>
              </w:rPr>
            </w:pPr>
            <w:r>
              <w:rPr>
                <w:rFonts w:hint="eastAsia" w:ascii="仿宋_GB2312" w:hAnsi="宋体" w:eastAsia="仿宋_GB2312"/>
                <w:color w:val="auto"/>
                <w:kern w:val="0"/>
                <w:sz w:val="13"/>
                <w:szCs w:val="13"/>
                <w:highlight w:val="none"/>
              </w:rPr>
              <w:t>一般情节</w:t>
            </w:r>
          </w:p>
        </w:tc>
        <w:tc>
          <w:tcPr>
            <w:tcW w:w="3437" w:type="dxa"/>
            <w:gridSpan w:val="2"/>
            <w:tcBorders>
              <w:tl2br w:val="nil"/>
              <w:tr2bl w:val="nil"/>
            </w:tcBorders>
            <w:shd w:val="clear" w:color="auto" w:fill="auto"/>
            <w:vAlign w:val="center"/>
          </w:tcPr>
          <w:p w14:paraId="2669DBE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lang w:val="en-US" w:eastAsia="zh-CN"/>
              </w:rPr>
            </w:pPr>
            <w:r>
              <w:rPr>
                <w:rFonts w:hint="eastAsia" w:ascii="仿宋_GB2312" w:hAnsi="宋体" w:eastAsia="仿宋_GB2312"/>
                <w:color w:val="auto"/>
                <w:kern w:val="0"/>
                <w:sz w:val="13"/>
                <w:szCs w:val="13"/>
                <w:highlight w:val="none"/>
              </w:rPr>
              <w:t>不具有从轻、从重情节，且违法行为导致的抗震安全隐患能通过抗震加固满足抗震安全性能的。</w:t>
            </w:r>
          </w:p>
        </w:tc>
        <w:tc>
          <w:tcPr>
            <w:tcW w:w="3058" w:type="dxa"/>
            <w:tcBorders>
              <w:tl2br w:val="nil"/>
              <w:tr2bl w:val="nil"/>
            </w:tcBorders>
            <w:shd w:val="clear" w:color="auto" w:fill="auto"/>
            <w:vAlign w:val="top"/>
          </w:tcPr>
          <w:p w14:paraId="465F982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lang w:val="en-US" w:eastAsia="zh-CN"/>
              </w:rPr>
            </w:pPr>
            <w:r>
              <w:rPr>
                <w:rFonts w:hint="eastAsia" w:ascii="仿宋_GB2312" w:hAnsi="宋体" w:eastAsia="仿宋_GB2312"/>
                <w:color w:val="auto"/>
                <w:kern w:val="0"/>
                <w:sz w:val="13"/>
                <w:szCs w:val="13"/>
                <w:highlight w:val="none"/>
              </w:rPr>
              <w:t>责令停止违法行为，恢复原状或者采取其他补救措施，对个人处6.5万元以上8.5万元以下罚款；对单位处15万元以上25万元以下罚款，对其直接负责的主管人员和其他直接责任人员处单位罚款数额6.5%以上8.5%以下的罚款</w:t>
            </w:r>
          </w:p>
        </w:tc>
      </w:tr>
      <w:tr w14:paraId="503B03B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4" w:hRule="atLeast"/>
          <w:jc w:val="center"/>
        </w:trPr>
        <w:tc>
          <w:tcPr>
            <w:tcW w:w="443" w:type="dxa"/>
            <w:gridSpan w:val="2"/>
            <w:vMerge w:val="continue"/>
            <w:tcBorders>
              <w:tl2br w:val="nil"/>
              <w:tr2bl w:val="nil"/>
            </w:tcBorders>
            <w:vAlign w:val="center"/>
          </w:tcPr>
          <w:p w14:paraId="6A9BD48D">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仿宋_GB2312"/>
                <w:i w:val="0"/>
                <w:color w:val="auto"/>
                <w:kern w:val="0"/>
                <w:sz w:val="13"/>
                <w:szCs w:val="13"/>
                <w:highlight w:val="none"/>
                <w:u w:val="none"/>
                <w:lang w:val="en-US" w:eastAsia="zh-CN" w:bidi="ar"/>
              </w:rPr>
            </w:pPr>
          </w:p>
        </w:tc>
        <w:tc>
          <w:tcPr>
            <w:tcW w:w="1550" w:type="dxa"/>
            <w:vMerge w:val="continue"/>
            <w:tcBorders>
              <w:tl2br w:val="nil"/>
              <w:tr2bl w:val="nil"/>
            </w:tcBorders>
            <w:shd w:val="clear" w:color="auto" w:fill="auto"/>
            <w:vAlign w:val="center"/>
          </w:tcPr>
          <w:p w14:paraId="5DF4F13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lang w:val="en-US" w:eastAsia="zh-CN"/>
              </w:rPr>
            </w:pPr>
          </w:p>
        </w:tc>
        <w:tc>
          <w:tcPr>
            <w:tcW w:w="4820" w:type="dxa"/>
            <w:vMerge w:val="continue"/>
            <w:tcBorders>
              <w:tl2br w:val="nil"/>
              <w:tr2bl w:val="nil"/>
            </w:tcBorders>
            <w:shd w:val="clear" w:color="auto" w:fill="auto"/>
            <w:vAlign w:val="center"/>
          </w:tcPr>
          <w:p w14:paraId="78F46BC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lang w:val="en-US" w:eastAsia="zh-CN"/>
              </w:rPr>
            </w:pPr>
          </w:p>
        </w:tc>
        <w:tc>
          <w:tcPr>
            <w:tcW w:w="823" w:type="dxa"/>
            <w:tcBorders>
              <w:tl2br w:val="nil"/>
              <w:tr2bl w:val="nil"/>
            </w:tcBorders>
            <w:shd w:val="clear" w:color="auto" w:fill="auto"/>
            <w:vAlign w:val="center"/>
          </w:tcPr>
          <w:p w14:paraId="01F4861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lang w:val="en-US" w:eastAsia="zh-CN"/>
              </w:rPr>
            </w:pPr>
            <w:r>
              <w:rPr>
                <w:rFonts w:hint="eastAsia" w:ascii="仿宋_GB2312" w:hAnsi="宋体" w:eastAsia="仿宋_GB2312"/>
                <w:color w:val="auto"/>
                <w:kern w:val="0"/>
                <w:sz w:val="13"/>
                <w:szCs w:val="13"/>
                <w:highlight w:val="none"/>
              </w:rPr>
              <w:t>从重情节</w:t>
            </w:r>
          </w:p>
        </w:tc>
        <w:tc>
          <w:tcPr>
            <w:tcW w:w="3437" w:type="dxa"/>
            <w:gridSpan w:val="2"/>
            <w:tcBorders>
              <w:tl2br w:val="nil"/>
              <w:tr2bl w:val="nil"/>
            </w:tcBorders>
            <w:shd w:val="clear" w:color="auto" w:fill="auto"/>
            <w:vAlign w:val="center"/>
          </w:tcPr>
          <w:p w14:paraId="21F3D57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lang w:val="en-US" w:eastAsia="zh-CN"/>
              </w:rPr>
            </w:pPr>
            <w:r>
              <w:rPr>
                <w:rFonts w:hint="eastAsia" w:ascii="仿宋_GB2312" w:hAnsi="宋体" w:eastAsia="仿宋_GB2312"/>
                <w:color w:val="auto"/>
                <w:kern w:val="0"/>
                <w:sz w:val="13"/>
                <w:szCs w:val="13"/>
                <w:highlight w:val="none"/>
              </w:rPr>
              <w:t>工程位于地震重点监视防御区的或者超限高层；拒不改正的；造成严重危害后果的</w:t>
            </w:r>
          </w:p>
        </w:tc>
        <w:tc>
          <w:tcPr>
            <w:tcW w:w="3058" w:type="dxa"/>
            <w:tcBorders>
              <w:tl2br w:val="nil"/>
              <w:tr2bl w:val="nil"/>
            </w:tcBorders>
            <w:shd w:val="clear" w:color="auto" w:fill="auto"/>
            <w:vAlign w:val="top"/>
          </w:tcPr>
          <w:p w14:paraId="44EB72A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lang w:val="en-US" w:eastAsia="zh-CN"/>
              </w:rPr>
            </w:pPr>
            <w:r>
              <w:rPr>
                <w:rFonts w:hint="eastAsia" w:ascii="仿宋_GB2312" w:hAnsi="宋体" w:eastAsia="仿宋_GB2312"/>
                <w:color w:val="auto"/>
                <w:kern w:val="0"/>
                <w:sz w:val="13"/>
                <w:szCs w:val="13"/>
                <w:highlight w:val="none"/>
              </w:rPr>
              <w:t>责令停止违法行为，恢复原状或者采取其他补救措施，对个人处8.5万元以上10万元以下罚款；对单位处25万元以上30万元以下罚款，对其直接负责的主管人员和其他直接责任人员处单位罚款数额8.5%以上10%以下的罚款</w:t>
            </w:r>
          </w:p>
        </w:tc>
      </w:tr>
      <w:tr w14:paraId="7D24F56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4" w:hRule="atLeast"/>
          <w:jc w:val="center"/>
        </w:trPr>
        <w:tc>
          <w:tcPr>
            <w:tcW w:w="443" w:type="dxa"/>
            <w:gridSpan w:val="2"/>
            <w:vMerge w:val="restart"/>
            <w:tcBorders>
              <w:tl2br w:val="nil"/>
              <w:tr2bl w:val="nil"/>
            </w:tcBorders>
            <w:vAlign w:val="center"/>
          </w:tcPr>
          <w:p w14:paraId="22062CAE">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Times New Roman"/>
                <w:color w:val="auto"/>
                <w:sz w:val="13"/>
                <w:szCs w:val="13"/>
                <w:highlight w:val="none"/>
                <w:lang w:val="en-US"/>
              </w:rPr>
            </w:pPr>
            <w:r>
              <w:rPr>
                <w:rFonts w:hint="default" w:ascii="仿宋_GB2312" w:hAnsi="宋体" w:eastAsia="仿宋_GB2312" w:cs="仿宋_GB2312"/>
                <w:i w:val="0"/>
                <w:color w:val="auto"/>
                <w:kern w:val="0"/>
                <w:sz w:val="13"/>
                <w:szCs w:val="13"/>
                <w:highlight w:val="none"/>
                <w:u w:val="none"/>
                <w:lang w:val="en-US" w:eastAsia="zh-CN" w:bidi="ar"/>
              </w:rPr>
              <w:t>1</w:t>
            </w:r>
            <w:r>
              <w:rPr>
                <w:rFonts w:hint="eastAsia" w:ascii="仿宋_GB2312" w:hAnsi="宋体" w:eastAsia="仿宋_GB2312" w:cs="仿宋_GB2312"/>
                <w:i w:val="0"/>
                <w:color w:val="auto"/>
                <w:kern w:val="0"/>
                <w:sz w:val="13"/>
                <w:szCs w:val="13"/>
                <w:highlight w:val="none"/>
                <w:u w:val="none"/>
                <w:lang w:val="en-US" w:eastAsia="zh-CN" w:bidi="ar"/>
              </w:rPr>
              <w:t>53</w:t>
            </w:r>
          </w:p>
        </w:tc>
        <w:tc>
          <w:tcPr>
            <w:tcW w:w="1550" w:type="dxa"/>
            <w:vMerge w:val="restart"/>
            <w:tcBorders>
              <w:tl2br w:val="nil"/>
              <w:tr2bl w:val="nil"/>
            </w:tcBorders>
            <w:vAlign w:val="center"/>
          </w:tcPr>
          <w:p w14:paraId="093D84E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勘察单位违反规定，未按照抗震设防专项审查意见进行超限高层建筑工程勘察的</w:t>
            </w:r>
          </w:p>
        </w:tc>
        <w:tc>
          <w:tcPr>
            <w:tcW w:w="4820" w:type="dxa"/>
            <w:vMerge w:val="restart"/>
            <w:tcBorders>
              <w:tl2br w:val="nil"/>
              <w:tr2bl w:val="nil"/>
            </w:tcBorders>
            <w:vAlign w:val="center"/>
          </w:tcPr>
          <w:p w14:paraId="135A2AB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《超限高层建筑工程抗震设防管理规定》</w:t>
            </w:r>
          </w:p>
          <w:p w14:paraId="3E7DDA2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0" w:firstLineChars="2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第十八条勘察、设计单位违反本规定，未按照抗震设防专项审查意见进行超限高层建筑工程勘察、设计的，责令改正，处以1万元以上3万元以下的罚款；造成损失的，依法承担赔偿责任。</w:t>
            </w:r>
          </w:p>
        </w:tc>
        <w:tc>
          <w:tcPr>
            <w:tcW w:w="823" w:type="dxa"/>
            <w:tcBorders>
              <w:tl2br w:val="nil"/>
              <w:tr2bl w:val="nil"/>
            </w:tcBorders>
            <w:vAlign w:val="center"/>
          </w:tcPr>
          <w:p w14:paraId="193D2D1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vAlign w:val="center"/>
          </w:tcPr>
          <w:p w14:paraId="4146DC8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初次违法，危害后果轻微，主动消除或减轻违法行为危害后果的。</w:t>
            </w:r>
          </w:p>
        </w:tc>
        <w:tc>
          <w:tcPr>
            <w:tcW w:w="3058" w:type="dxa"/>
            <w:tcBorders>
              <w:tl2br w:val="nil"/>
              <w:tr2bl w:val="nil"/>
            </w:tcBorders>
            <w:vAlign w:val="center"/>
          </w:tcPr>
          <w:p w14:paraId="21C9AAA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责令改正，处1万元</w:t>
            </w:r>
            <w:r>
              <w:rPr>
                <w:rFonts w:hint="eastAsia" w:ascii="仿宋_GB2312" w:hAnsi="宋体" w:eastAsia="仿宋_GB2312"/>
                <w:color w:val="auto"/>
                <w:kern w:val="0"/>
                <w:sz w:val="13"/>
                <w:szCs w:val="13"/>
                <w:highlight w:val="none"/>
                <w:lang w:val="en-US" w:eastAsia="zh-CN"/>
              </w:rPr>
              <w:t>以上1.5万元以下</w:t>
            </w:r>
            <w:r>
              <w:rPr>
                <w:rFonts w:hint="eastAsia" w:ascii="仿宋_GB2312" w:hAnsi="宋体" w:eastAsia="仿宋_GB2312"/>
                <w:color w:val="auto"/>
                <w:kern w:val="0"/>
                <w:sz w:val="13"/>
                <w:szCs w:val="13"/>
                <w:highlight w:val="none"/>
              </w:rPr>
              <w:t>罚款。</w:t>
            </w:r>
          </w:p>
        </w:tc>
      </w:tr>
      <w:tr w14:paraId="3158CCF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77" w:hRule="atLeast"/>
          <w:jc w:val="center"/>
        </w:trPr>
        <w:tc>
          <w:tcPr>
            <w:tcW w:w="443" w:type="dxa"/>
            <w:gridSpan w:val="2"/>
            <w:vMerge w:val="continue"/>
            <w:tcBorders>
              <w:tl2br w:val="nil"/>
              <w:tr2bl w:val="nil"/>
            </w:tcBorders>
            <w:vAlign w:val="center"/>
          </w:tcPr>
          <w:p w14:paraId="3E63398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755EF50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3074570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823" w:type="dxa"/>
            <w:tcBorders>
              <w:tl2br w:val="nil"/>
              <w:tr2bl w:val="nil"/>
            </w:tcBorders>
            <w:vAlign w:val="center"/>
          </w:tcPr>
          <w:p w14:paraId="31368FB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一般情节</w:t>
            </w:r>
          </w:p>
        </w:tc>
        <w:tc>
          <w:tcPr>
            <w:tcW w:w="3437" w:type="dxa"/>
            <w:gridSpan w:val="2"/>
            <w:tcBorders>
              <w:tl2br w:val="nil"/>
              <w:tr2bl w:val="nil"/>
            </w:tcBorders>
            <w:vAlign w:val="center"/>
          </w:tcPr>
          <w:p w14:paraId="7FEF268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不具有从轻、</w:t>
            </w:r>
            <w:r>
              <w:rPr>
                <w:rFonts w:hint="eastAsia" w:ascii="仿宋_GB2312" w:hAnsi="宋体" w:eastAsia="仿宋_GB2312"/>
                <w:color w:val="auto"/>
                <w:kern w:val="0"/>
                <w:sz w:val="13"/>
                <w:szCs w:val="13"/>
                <w:highlight w:val="none"/>
                <w:lang w:eastAsia="zh-CN"/>
              </w:rPr>
              <w:t>从重情节</w:t>
            </w:r>
            <w:r>
              <w:rPr>
                <w:rFonts w:hint="eastAsia" w:ascii="仿宋_GB2312" w:hAnsi="宋体" w:eastAsia="仿宋_GB2312"/>
                <w:color w:val="auto"/>
                <w:kern w:val="0"/>
                <w:sz w:val="13"/>
                <w:szCs w:val="13"/>
                <w:highlight w:val="none"/>
              </w:rPr>
              <w:t>的。</w:t>
            </w:r>
          </w:p>
        </w:tc>
        <w:tc>
          <w:tcPr>
            <w:tcW w:w="3058" w:type="dxa"/>
            <w:tcBorders>
              <w:tl2br w:val="nil"/>
              <w:tr2bl w:val="nil"/>
            </w:tcBorders>
            <w:vAlign w:val="center"/>
          </w:tcPr>
          <w:p w14:paraId="75C636A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责令改正，处1</w:t>
            </w:r>
            <w:r>
              <w:rPr>
                <w:rFonts w:hint="eastAsia" w:ascii="仿宋_GB2312" w:hAnsi="宋体" w:eastAsia="仿宋_GB2312"/>
                <w:color w:val="auto"/>
                <w:kern w:val="0"/>
                <w:sz w:val="13"/>
                <w:szCs w:val="13"/>
                <w:highlight w:val="none"/>
                <w:lang w:val="en-US" w:eastAsia="zh-CN"/>
              </w:rPr>
              <w:t>.5</w:t>
            </w:r>
            <w:r>
              <w:rPr>
                <w:rFonts w:hint="eastAsia" w:ascii="仿宋_GB2312" w:hAnsi="宋体" w:eastAsia="仿宋_GB2312"/>
                <w:color w:val="auto"/>
                <w:kern w:val="0"/>
                <w:sz w:val="13"/>
                <w:szCs w:val="13"/>
                <w:highlight w:val="none"/>
              </w:rPr>
              <w:t>万元以上2万元以下罚款。</w:t>
            </w:r>
          </w:p>
        </w:tc>
      </w:tr>
      <w:tr w14:paraId="353BC79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94" w:hRule="atLeast"/>
          <w:jc w:val="center"/>
        </w:trPr>
        <w:tc>
          <w:tcPr>
            <w:tcW w:w="443" w:type="dxa"/>
            <w:gridSpan w:val="2"/>
            <w:vMerge w:val="continue"/>
            <w:tcBorders>
              <w:tl2br w:val="nil"/>
              <w:tr2bl w:val="nil"/>
            </w:tcBorders>
            <w:vAlign w:val="center"/>
          </w:tcPr>
          <w:p w14:paraId="62CC52E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7C28927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57CFC96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823" w:type="dxa"/>
            <w:tcBorders>
              <w:tl2br w:val="nil"/>
              <w:tr2bl w:val="nil"/>
            </w:tcBorders>
            <w:vAlign w:val="center"/>
          </w:tcPr>
          <w:p w14:paraId="020305D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从重情节</w:t>
            </w:r>
          </w:p>
        </w:tc>
        <w:tc>
          <w:tcPr>
            <w:tcW w:w="3437" w:type="dxa"/>
            <w:gridSpan w:val="2"/>
            <w:tcBorders>
              <w:tl2br w:val="nil"/>
              <w:tr2bl w:val="nil"/>
            </w:tcBorders>
            <w:vAlign w:val="center"/>
          </w:tcPr>
          <w:p w14:paraId="35F299C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0" w:firstLineChars="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lang w:val="en-US" w:eastAsia="zh-CN"/>
              </w:rPr>
              <w:t>有下列情形之一的：</w:t>
            </w:r>
            <w:r>
              <w:rPr>
                <w:rFonts w:hint="eastAsia" w:ascii="仿宋_GB2312" w:hAnsi="宋体" w:eastAsia="仿宋_GB2312"/>
                <w:color w:val="auto"/>
                <w:kern w:val="0"/>
                <w:sz w:val="13"/>
                <w:szCs w:val="13"/>
                <w:highlight w:val="none"/>
              </w:rPr>
              <w:t>(1)经责令改正后，拒不改正的；</w:t>
            </w:r>
          </w:p>
          <w:p w14:paraId="01733C8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95" w:firstLineChars="15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(2)曾因该违法行为被查处，再次实施违法行为的；</w:t>
            </w:r>
          </w:p>
          <w:p w14:paraId="084B0E3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95" w:firstLineChars="15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(3)其他依法应予从重处罚的情形。</w:t>
            </w:r>
          </w:p>
        </w:tc>
        <w:tc>
          <w:tcPr>
            <w:tcW w:w="3058" w:type="dxa"/>
            <w:tcBorders>
              <w:tl2br w:val="nil"/>
              <w:tr2bl w:val="nil"/>
            </w:tcBorders>
            <w:vAlign w:val="center"/>
          </w:tcPr>
          <w:p w14:paraId="4BDA904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责令改正，处</w:t>
            </w:r>
            <w:r>
              <w:rPr>
                <w:rFonts w:hint="eastAsia" w:ascii="仿宋_GB2312" w:hAnsi="宋体" w:eastAsia="仿宋_GB2312"/>
                <w:color w:val="auto"/>
                <w:kern w:val="0"/>
                <w:sz w:val="13"/>
                <w:szCs w:val="13"/>
                <w:highlight w:val="none"/>
                <w:lang w:val="en-US" w:eastAsia="zh-CN"/>
              </w:rPr>
              <w:t>2</w:t>
            </w:r>
            <w:r>
              <w:rPr>
                <w:rFonts w:hint="eastAsia" w:ascii="仿宋_GB2312" w:hAnsi="宋体" w:eastAsia="仿宋_GB2312"/>
                <w:color w:val="auto"/>
                <w:kern w:val="0"/>
                <w:sz w:val="13"/>
                <w:szCs w:val="13"/>
                <w:highlight w:val="none"/>
              </w:rPr>
              <w:t>万元以上</w:t>
            </w:r>
            <w:r>
              <w:rPr>
                <w:rFonts w:hint="eastAsia" w:ascii="仿宋_GB2312" w:hAnsi="宋体" w:eastAsia="仿宋_GB2312"/>
                <w:color w:val="auto"/>
                <w:kern w:val="0"/>
                <w:sz w:val="13"/>
                <w:szCs w:val="13"/>
                <w:highlight w:val="none"/>
                <w:lang w:val="en-US" w:eastAsia="zh-CN"/>
              </w:rPr>
              <w:t>3</w:t>
            </w:r>
            <w:r>
              <w:rPr>
                <w:rFonts w:hint="eastAsia" w:ascii="仿宋_GB2312" w:hAnsi="宋体" w:eastAsia="仿宋_GB2312"/>
                <w:color w:val="auto"/>
                <w:kern w:val="0"/>
                <w:sz w:val="13"/>
                <w:szCs w:val="13"/>
                <w:highlight w:val="none"/>
              </w:rPr>
              <w:t>万元以下罚款。</w:t>
            </w:r>
          </w:p>
        </w:tc>
      </w:tr>
      <w:tr w14:paraId="507A881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7" w:hRule="atLeast"/>
          <w:jc w:val="center"/>
        </w:trPr>
        <w:tc>
          <w:tcPr>
            <w:tcW w:w="443" w:type="dxa"/>
            <w:gridSpan w:val="2"/>
            <w:vMerge w:val="restart"/>
            <w:tcBorders>
              <w:tl2br w:val="nil"/>
              <w:tr2bl w:val="nil"/>
            </w:tcBorders>
            <w:vAlign w:val="center"/>
          </w:tcPr>
          <w:p w14:paraId="2A52B3CE">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Times New Roman"/>
                <w:color w:val="auto"/>
                <w:sz w:val="13"/>
                <w:szCs w:val="13"/>
                <w:highlight w:val="none"/>
                <w:lang w:val="en-US"/>
              </w:rPr>
            </w:pPr>
            <w:r>
              <w:rPr>
                <w:rFonts w:hint="default" w:ascii="仿宋_GB2312" w:hAnsi="宋体" w:eastAsia="仿宋_GB2312" w:cs="仿宋_GB2312"/>
                <w:i w:val="0"/>
                <w:color w:val="auto"/>
                <w:kern w:val="0"/>
                <w:sz w:val="13"/>
                <w:szCs w:val="13"/>
                <w:highlight w:val="none"/>
                <w:u w:val="none"/>
                <w:lang w:val="en-US" w:eastAsia="zh-CN" w:bidi="ar"/>
              </w:rPr>
              <w:t>1</w:t>
            </w:r>
            <w:r>
              <w:rPr>
                <w:rFonts w:hint="eastAsia" w:ascii="仿宋_GB2312" w:hAnsi="宋体" w:eastAsia="仿宋_GB2312" w:cs="仿宋_GB2312"/>
                <w:i w:val="0"/>
                <w:color w:val="auto"/>
                <w:kern w:val="0"/>
                <w:sz w:val="13"/>
                <w:szCs w:val="13"/>
                <w:highlight w:val="none"/>
                <w:u w:val="none"/>
                <w:lang w:val="en-US" w:eastAsia="zh-CN" w:bidi="ar"/>
              </w:rPr>
              <w:t>54</w:t>
            </w:r>
          </w:p>
        </w:tc>
        <w:tc>
          <w:tcPr>
            <w:tcW w:w="1550" w:type="dxa"/>
            <w:vMerge w:val="restart"/>
            <w:tcBorders>
              <w:tl2br w:val="nil"/>
              <w:tr2bl w:val="nil"/>
            </w:tcBorders>
            <w:vAlign w:val="center"/>
          </w:tcPr>
          <w:p w14:paraId="428C3BA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sz w:val="13"/>
                <w:szCs w:val="13"/>
                <w:highlight w:val="none"/>
              </w:rPr>
            </w:pPr>
            <w:r>
              <w:rPr>
                <w:rFonts w:hint="eastAsia" w:ascii="仿宋_GB2312" w:hAnsi="宋体" w:eastAsia="仿宋_GB2312"/>
                <w:color w:val="auto"/>
                <w:kern w:val="0"/>
                <w:sz w:val="13"/>
                <w:szCs w:val="13"/>
                <w:highlight w:val="none"/>
              </w:rPr>
              <w:t>擅自采用没有工程建设标准又未经核准的新技术、新材料的</w:t>
            </w:r>
          </w:p>
        </w:tc>
        <w:tc>
          <w:tcPr>
            <w:tcW w:w="4820" w:type="dxa"/>
            <w:vMerge w:val="restart"/>
            <w:tcBorders>
              <w:tl2br w:val="nil"/>
              <w:tr2bl w:val="nil"/>
            </w:tcBorders>
            <w:vAlign w:val="center"/>
          </w:tcPr>
          <w:p w14:paraId="50EEE35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《市政公用设施抗灾设防管理规定》</w:t>
            </w:r>
          </w:p>
          <w:p w14:paraId="639724E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0" w:firstLineChars="200"/>
              <w:jc w:val="left"/>
              <w:textAlignment w:val="center"/>
              <w:rPr>
                <w:rFonts w:ascii="仿宋_GB2312" w:hAnsi="宋体" w:eastAsia="仿宋_GB2312"/>
                <w:color w:val="auto"/>
                <w:sz w:val="13"/>
                <w:szCs w:val="13"/>
                <w:highlight w:val="none"/>
              </w:rPr>
            </w:pPr>
            <w:r>
              <w:rPr>
                <w:rFonts w:hint="eastAsia" w:ascii="仿宋_GB2312" w:hAnsi="宋体" w:eastAsia="仿宋_GB2312"/>
                <w:color w:val="auto"/>
                <w:kern w:val="0"/>
                <w:sz w:val="13"/>
                <w:szCs w:val="13"/>
                <w:highlight w:val="none"/>
              </w:rPr>
              <w:t>第三十一条违反本规定，擅自使用没有国家技术标准又未经审定的新技术、新材料的，由县级以上地方人民政府</w:t>
            </w:r>
            <w:r>
              <w:rPr>
                <w:rFonts w:hint="eastAsia" w:ascii="仿宋_GB2312" w:hAnsi="宋体" w:eastAsia="仿宋_GB2312"/>
                <w:color w:val="auto"/>
                <w:kern w:val="0"/>
                <w:sz w:val="13"/>
                <w:szCs w:val="13"/>
                <w:highlight w:val="none"/>
                <w:lang w:val="en-US" w:eastAsia="zh-CN"/>
              </w:rPr>
              <w:t>住房城乡</w:t>
            </w:r>
            <w:r>
              <w:rPr>
                <w:rFonts w:hint="eastAsia" w:ascii="仿宋_GB2312" w:hAnsi="宋体" w:eastAsia="仿宋_GB2312"/>
                <w:color w:val="auto"/>
                <w:kern w:val="0"/>
                <w:sz w:val="13"/>
                <w:szCs w:val="13"/>
                <w:highlight w:val="none"/>
              </w:rPr>
              <w:t>建设主管部门责令限期改正，并处以1万元以上3万元以下罚款。</w:t>
            </w:r>
          </w:p>
        </w:tc>
        <w:tc>
          <w:tcPr>
            <w:tcW w:w="823" w:type="dxa"/>
            <w:tcBorders>
              <w:tl2br w:val="nil"/>
              <w:tr2bl w:val="nil"/>
            </w:tcBorders>
            <w:vAlign w:val="center"/>
          </w:tcPr>
          <w:p w14:paraId="16A9848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vAlign w:val="center"/>
          </w:tcPr>
          <w:p w14:paraId="1196596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sz w:val="13"/>
                <w:szCs w:val="13"/>
                <w:highlight w:val="none"/>
              </w:rPr>
            </w:pPr>
            <w:r>
              <w:rPr>
                <w:rFonts w:hint="eastAsia" w:ascii="仿宋_GB2312" w:hAnsi="宋体" w:eastAsia="仿宋_GB2312"/>
                <w:color w:val="auto"/>
                <w:kern w:val="0"/>
                <w:sz w:val="13"/>
                <w:szCs w:val="13"/>
                <w:highlight w:val="none"/>
              </w:rPr>
              <w:t>初次违法，危害后果轻微，主动消除或减轻违法行为危害后果的。</w:t>
            </w:r>
          </w:p>
        </w:tc>
        <w:tc>
          <w:tcPr>
            <w:tcW w:w="3058" w:type="dxa"/>
            <w:tcBorders>
              <w:tl2br w:val="nil"/>
              <w:tr2bl w:val="nil"/>
            </w:tcBorders>
            <w:vAlign w:val="center"/>
          </w:tcPr>
          <w:p w14:paraId="4326D1A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sz w:val="13"/>
                <w:szCs w:val="13"/>
                <w:highlight w:val="none"/>
              </w:rPr>
            </w:pPr>
            <w:r>
              <w:rPr>
                <w:rFonts w:hint="eastAsia" w:ascii="仿宋_GB2312" w:hAnsi="宋体" w:eastAsia="仿宋_GB2312"/>
                <w:color w:val="auto"/>
                <w:kern w:val="0"/>
                <w:sz w:val="13"/>
                <w:szCs w:val="13"/>
                <w:highlight w:val="none"/>
              </w:rPr>
              <w:t>责令限期改正，并处1万元</w:t>
            </w:r>
            <w:r>
              <w:rPr>
                <w:rFonts w:hint="eastAsia" w:ascii="仿宋_GB2312" w:hAnsi="宋体" w:eastAsia="仿宋_GB2312"/>
                <w:color w:val="auto"/>
                <w:kern w:val="0"/>
                <w:sz w:val="13"/>
                <w:szCs w:val="13"/>
                <w:highlight w:val="none"/>
                <w:lang w:val="en-US" w:eastAsia="zh-CN"/>
              </w:rPr>
              <w:t>以上1.5万元以下</w:t>
            </w:r>
            <w:r>
              <w:rPr>
                <w:rFonts w:hint="eastAsia" w:ascii="仿宋_GB2312" w:hAnsi="宋体" w:eastAsia="仿宋_GB2312"/>
                <w:color w:val="auto"/>
                <w:kern w:val="0"/>
                <w:sz w:val="13"/>
                <w:szCs w:val="13"/>
                <w:highlight w:val="none"/>
              </w:rPr>
              <w:t>罚款。</w:t>
            </w:r>
          </w:p>
        </w:tc>
      </w:tr>
      <w:tr w14:paraId="2A14C50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70" w:hRule="atLeast"/>
          <w:jc w:val="center"/>
        </w:trPr>
        <w:tc>
          <w:tcPr>
            <w:tcW w:w="443" w:type="dxa"/>
            <w:gridSpan w:val="2"/>
            <w:vMerge w:val="continue"/>
            <w:tcBorders>
              <w:tl2br w:val="nil"/>
              <w:tr2bl w:val="nil"/>
            </w:tcBorders>
            <w:vAlign w:val="center"/>
          </w:tcPr>
          <w:p w14:paraId="482CA43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3EB8C94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3909585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823" w:type="dxa"/>
            <w:tcBorders>
              <w:tl2br w:val="nil"/>
              <w:tr2bl w:val="nil"/>
            </w:tcBorders>
            <w:vAlign w:val="center"/>
          </w:tcPr>
          <w:p w14:paraId="793BD6D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一般情节</w:t>
            </w:r>
          </w:p>
        </w:tc>
        <w:tc>
          <w:tcPr>
            <w:tcW w:w="3437" w:type="dxa"/>
            <w:gridSpan w:val="2"/>
            <w:tcBorders>
              <w:tl2br w:val="nil"/>
              <w:tr2bl w:val="nil"/>
            </w:tcBorders>
            <w:vAlign w:val="center"/>
          </w:tcPr>
          <w:p w14:paraId="6EAAC1D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sz w:val="13"/>
                <w:szCs w:val="13"/>
                <w:highlight w:val="none"/>
              </w:rPr>
            </w:pPr>
            <w:r>
              <w:rPr>
                <w:rFonts w:hint="eastAsia" w:ascii="仿宋_GB2312" w:hAnsi="宋体" w:eastAsia="仿宋_GB2312"/>
                <w:color w:val="auto"/>
                <w:kern w:val="0"/>
                <w:sz w:val="13"/>
                <w:szCs w:val="13"/>
                <w:highlight w:val="none"/>
              </w:rPr>
              <w:t>不具有从轻、</w:t>
            </w:r>
            <w:r>
              <w:rPr>
                <w:rFonts w:hint="eastAsia" w:ascii="仿宋_GB2312" w:hAnsi="宋体" w:eastAsia="仿宋_GB2312"/>
                <w:color w:val="auto"/>
                <w:kern w:val="0"/>
                <w:sz w:val="13"/>
                <w:szCs w:val="13"/>
                <w:highlight w:val="none"/>
                <w:lang w:eastAsia="zh-CN"/>
              </w:rPr>
              <w:t>从重情节</w:t>
            </w:r>
            <w:r>
              <w:rPr>
                <w:rFonts w:hint="eastAsia" w:ascii="仿宋_GB2312" w:hAnsi="宋体" w:eastAsia="仿宋_GB2312"/>
                <w:color w:val="auto"/>
                <w:kern w:val="0"/>
                <w:sz w:val="13"/>
                <w:szCs w:val="13"/>
                <w:highlight w:val="none"/>
              </w:rPr>
              <w:t>的。</w:t>
            </w:r>
          </w:p>
        </w:tc>
        <w:tc>
          <w:tcPr>
            <w:tcW w:w="3058" w:type="dxa"/>
            <w:tcBorders>
              <w:tl2br w:val="nil"/>
              <w:tr2bl w:val="nil"/>
            </w:tcBorders>
            <w:vAlign w:val="center"/>
          </w:tcPr>
          <w:p w14:paraId="2FD7C05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sz w:val="13"/>
                <w:szCs w:val="13"/>
                <w:highlight w:val="none"/>
              </w:rPr>
            </w:pPr>
            <w:r>
              <w:rPr>
                <w:rFonts w:hint="eastAsia" w:ascii="仿宋_GB2312" w:hAnsi="宋体" w:eastAsia="仿宋_GB2312"/>
                <w:color w:val="auto"/>
                <w:kern w:val="0"/>
                <w:sz w:val="13"/>
                <w:szCs w:val="13"/>
                <w:highlight w:val="none"/>
              </w:rPr>
              <w:t>责令限期改正，并处1</w:t>
            </w:r>
            <w:r>
              <w:rPr>
                <w:rFonts w:hint="eastAsia" w:ascii="仿宋_GB2312" w:hAnsi="宋体" w:eastAsia="仿宋_GB2312"/>
                <w:color w:val="auto"/>
                <w:kern w:val="0"/>
                <w:sz w:val="13"/>
                <w:szCs w:val="13"/>
                <w:highlight w:val="none"/>
                <w:lang w:val="en-US" w:eastAsia="zh-CN"/>
              </w:rPr>
              <w:t>.5</w:t>
            </w:r>
            <w:r>
              <w:rPr>
                <w:rFonts w:hint="eastAsia" w:ascii="仿宋_GB2312" w:hAnsi="宋体" w:eastAsia="仿宋_GB2312"/>
                <w:color w:val="auto"/>
                <w:kern w:val="0"/>
                <w:sz w:val="13"/>
                <w:szCs w:val="13"/>
                <w:highlight w:val="none"/>
              </w:rPr>
              <w:t>万元以上2万元以下罚款。</w:t>
            </w:r>
          </w:p>
        </w:tc>
      </w:tr>
      <w:tr w14:paraId="525BCCE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16" w:hRule="atLeast"/>
          <w:jc w:val="center"/>
        </w:trPr>
        <w:tc>
          <w:tcPr>
            <w:tcW w:w="443" w:type="dxa"/>
            <w:gridSpan w:val="2"/>
            <w:vMerge w:val="continue"/>
            <w:tcBorders>
              <w:tl2br w:val="nil"/>
              <w:tr2bl w:val="nil"/>
            </w:tcBorders>
            <w:vAlign w:val="center"/>
          </w:tcPr>
          <w:p w14:paraId="1B9649A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3BC3A39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7C4B640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823" w:type="dxa"/>
            <w:tcBorders>
              <w:tl2br w:val="nil"/>
              <w:tr2bl w:val="nil"/>
            </w:tcBorders>
            <w:vAlign w:val="center"/>
          </w:tcPr>
          <w:p w14:paraId="0CDBF57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从重情节</w:t>
            </w:r>
          </w:p>
        </w:tc>
        <w:tc>
          <w:tcPr>
            <w:tcW w:w="3437" w:type="dxa"/>
            <w:gridSpan w:val="2"/>
            <w:tcBorders>
              <w:tl2br w:val="nil"/>
              <w:tr2bl w:val="nil"/>
            </w:tcBorders>
            <w:vAlign w:val="center"/>
          </w:tcPr>
          <w:p w14:paraId="096DE6E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sz w:val="13"/>
                <w:szCs w:val="13"/>
                <w:highlight w:val="none"/>
              </w:rPr>
            </w:pPr>
            <w:r>
              <w:rPr>
                <w:rFonts w:hint="eastAsia" w:ascii="仿宋_GB2312" w:hAnsi="宋体" w:eastAsia="仿宋_GB2312"/>
                <w:color w:val="auto"/>
                <w:kern w:val="0"/>
                <w:sz w:val="13"/>
                <w:szCs w:val="13"/>
                <w:highlight w:val="none"/>
              </w:rPr>
              <w:t>曾因该违法行为被查处，再次实施违法行为的</w:t>
            </w:r>
          </w:p>
        </w:tc>
        <w:tc>
          <w:tcPr>
            <w:tcW w:w="3058" w:type="dxa"/>
            <w:tcBorders>
              <w:tl2br w:val="nil"/>
              <w:tr2bl w:val="nil"/>
            </w:tcBorders>
            <w:vAlign w:val="center"/>
          </w:tcPr>
          <w:p w14:paraId="06F300E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sz w:val="13"/>
                <w:szCs w:val="13"/>
                <w:highlight w:val="none"/>
              </w:rPr>
            </w:pPr>
            <w:r>
              <w:rPr>
                <w:rFonts w:hint="eastAsia" w:ascii="仿宋_GB2312" w:hAnsi="宋体" w:eastAsia="仿宋_GB2312"/>
                <w:color w:val="auto"/>
                <w:kern w:val="0"/>
                <w:sz w:val="13"/>
                <w:szCs w:val="13"/>
                <w:highlight w:val="none"/>
              </w:rPr>
              <w:t>责令限期改正，并2万元以上3万元以下罚款。</w:t>
            </w:r>
          </w:p>
        </w:tc>
      </w:tr>
      <w:tr w14:paraId="070CEBD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16" w:hRule="atLeast"/>
          <w:jc w:val="center"/>
        </w:trPr>
        <w:tc>
          <w:tcPr>
            <w:tcW w:w="443" w:type="dxa"/>
            <w:gridSpan w:val="2"/>
            <w:vMerge w:val="restart"/>
            <w:tcBorders>
              <w:tl2br w:val="nil"/>
              <w:tr2bl w:val="nil"/>
            </w:tcBorders>
            <w:vAlign w:val="center"/>
          </w:tcPr>
          <w:p w14:paraId="7F70AE02">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Times New Roman"/>
                <w:color w:val="auto"/>
                <w:sz w:val="13"/>
                <w:szCs w:val="13"/>
                <w:highlight w:val="none"/>
                <w:lang w:val="en-US"/>
              </w:rPr>
            </w:pPr>
            <w:r>
              <w:rPr>
                <w:rFonts w:hint="default" w:ascii="仿宋_GB2312" w:hAnsi="宋体" w:eastAsia="仿宋_GB2312" w:cs="仿宋_GB2312"/>
                <w:i w:val="0"/>
                <w:color w:val="auto"/>
                <w:kern w:val="0"/>
                <w:sz w:val="13"/>
                <w:szCs w:val="13"/>
                <w:highlight w:val="none"/>
                <w:u w:val="none"/>
                <w:lang w:val="en-US" w:eastAsia="zh-CN" w:bidi="ar"/>
              </w:rPr>
              <w:t>1</w:t>
            </w:r>
            <w:r>
              <w:rPr>
                <w:rFonts w:hint="eastAsia" w:ascii="仿宋_GB2312" w:hAnsi="宋体" w:eastAsia="仿宋_GB2312" w:cs="仿宋_GB2312"/>
                <w:i w:val="0"/>
                <w:color w:val="auto"/>
                <w:kern w:val="0"/>
                <w:sz w:val="13"/>
                <w:szCs w:val="13"/>
                <w:highlight w:val="none"/>
                <w:u w:val="none"/>
                <w:lang w:val="en-US" w:eastAsia="zh-CN" w:bidi="ar"/>
              </w:rPr>
              <w:t>55</w:t>
            </w:r>
          </w:p>
        </w:tc>
        <w:tc>
          <w:tcPr>
            <w:tcW w:w="1550" w:type="dxa"/>
            <w:vMerge w:val="restart"/>
            <w:tcBorders>
              <w:tl2br w:val="nil"/>
              <w:tr2bl w:val="nil"/>
            </w:tcBorders>
            <w:vAlign w:val="center"/>
          </w:tcPr>
          <w:p w14:paraId="05E63BF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擅自变动或者破坏市政公用设施的防灾设施、抗震抗风构件、隔震或者振动控制装置、安全监测系统、健康监测系统、应急自动处置系统以及地震反应观测系统等设施的</w:t>
            </w:r>
          </w:p>
        </w:tc>
        <w:tc>
          <w:tcPr>
            <w:tcW w:w="4820" w:type="dxa"/>
            <w:vMerge w:val="restart"/>
            <w:tcBorders>
              <w:tl2br w:val="nil"/>
              <w:tr2bl w:val="nil"/>
            </w:tcBorders>
            <w:vAlign w:val="center"/>
          </w:tcPr>
          <w:p w14:paraId="7CF0654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《市政公用设施抗灾设防管理规定》</w:t>
            </w:r>
          </w:p>
          <w:p w14:paraId="28B78FA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0" w:firstLineChars="2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第三十二条违反本规定，擅自变动或者破坏市政公用设施的防灾设施、抗震抗风构件、隔震或者振动控制装置、安全监测系统、健康监测系统、应急自动处置系统以及地震反应观测系统等设施的，由县级以上地方人民政府</w:t>
            </w:r>
            <w:r>
              <w:rPr>
                <w:rFonts w:hint="eastAsia" w:ascii="仿宋_GB2312" w:hAnsi="宋体" w:eastAsia="仿宋_GB2312"/>
                <w:color w:val="auto"/>
                <w:kern w:val="0"/>
                <w:sz w:val="13"/>
                <w:szCs w:val="13"/>
                <w:highlight w:val="none"/>
                <w:lang w:val="en-US" w:eastAsia="zh-CN"/>
              </w:rPr>
              <w:t>住房城乡</w:t>
            </w:r>
            <w:r>
              <w:rPr>
                <w:rFonts w:hint="eastAsia" w:ascii="仿宋_GB2312" w:hAnsi="宋体" w:eastAsia="仿宋_GB2312"/>
                <w:color w:val="auto"/>
                <w:kern w:val="0"/>
                <w:sz w:val="13"/>
                <w:szCs w:val="13"/>
                <w:highlight w:val="none"/>
              </w:rPr>
              <w:t>建设主管部门责令限期改正，并对个人处以1000元以下罚款，对单位处以1万元以上3万元以下罚款。</w:t>
            </w:r>
          </w:p>
        </w:tc>
        <w:tc>
          <w:tcPr>
            <w:tcW w:w="823" w:type="dxa"/>
            <w:tcBorders>
              <w:tl2br w:val="nil"/>
              <w:tr2bl w:val="nil"/>
            </w:tcBorders>
            <w:vAlign w:val="center"/>
          </w:tcPr>
          <w:p w14:paraId="0B11ABA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vAlign w:val="center"/>
          </w:tcPr>
          <w:p w14:paraId="098F5CB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sz w:val="13"/>
                <w:szCs w:val="13"/>
                <w:highlight w:val="none"/>
              </w:rPr>
            </w:pPr>
            <w:r>
              <w:rPr>
                <w:rFonts w:hint="eastAsia" w:ascii="仿宋_GB2312" w:hAnsi="宋体" w:eastAsia="仿宋_GB2312"/>
                <w:color w:val="auto"/>
                <w:kern w:val="0"/>
                <w:sz w:val="13"/>
                <w:szCs w:val="13"/>
                <w:highlight w:val="none"/>
              </w:rPr>
              <w:t>初次违法，危害后果轻微，主动消除或减轻违法行为危害后果的。</w:t>
            </w:r>
          </w:p>
        </w:tc>
        <w:tc>
          <w:tcPr>
            <w:tcW w:w="3058" w:type="dxa"/>
            <w:tcBorders>
              <w:tl2br w:val="nil"/>
              <w:tr2bl w:val="nil"/>
            </w:tcBorders>
            <w:vAlign w:val="center"/>
          </w:tcPr>
          <w:p w14:paraId="4624F15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sz w:val="13"/>
                <w:szCs w:val="13"/>
                <w:highlight w:val="none"/>
              </w:rPr>
            </w:pPr>
            <w:r>
              <w:rPr>
                <w:rFonts w:hint="eastAsia" w:ascii="仿宋_GB2312" w:hAnsi="宋体" w:eastAsia="仿宋_GB2312"/>
                <w:color w:val="auto"/>
                <w:kern w:val="0"/>
                <w:sz w:val="13"/>
                <w:szCs w:val="13"/>
                <w:highlight w:val="none"/>
              </w:rPr>
              <w:t>责令限期改正，对个人处200元罚款，对单位处1万元罚款。</w:t>
            </w:r>
          </w:p>
        </w:tc>
      </w:tr>
      <w:tr w14:paraId="1353D31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06" w:hRule="atLeast"/>
          <w:jc w:val="center"/>
        </w:trPr>
        <w:tc>
          <w:tcPr>
            <w:tcW w:w="443" w:type="dxa"/>
            <w:gridSpan w:val="2"/>
            <w:vMerge w:val="continue"/>
            <w:tcBorders>
              <w:tl2br w:val="nil"/>
              <w:tr2bl w:val="nil"/>
            </w:tcBorders>
            <w:vAlign w:val="center"/>
          </w:tcPr>
          <w:p w14:paraId="7C42802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71C68D0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3B2B29D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823" w:type="dxa"/>
            <w:tcBorders>
              <w:tl2br w:val="nil"/>
              <w:tr2bl w:val="nil"/>
            </w:tcBorders>
            <w:vAlign w:val="center"/>
          </w:tcPr>
          <w:p w14:paraId="7BA1C71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一般情节</w:t>
            </w:r>
          </w:p>
        </w:tc>
        <w:tc>
          <w:tcPr>
            <w:tcW w:w="3437" w:type="dxa"/>
            <w:gridSpan w:val="2"/>
            <w:tcBorders>
              <w:tl2br w:val="nil"/>
              <w:tr2bl w:val="nil"/>
            </w:tcBorders>
            <w:vAlign w:val="center"/>
          </w:tcPr>
          <w:p w14:paraId="13D206F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sz w:val="13"/>
                <w:szCs w:val="13"/>
                <w:highlight w:val="none"/>
              </w:rPr>
            </w:pPr>
            <w:r>
              <w:rPr>
                <w:rFonts w:hint="eastAsia" w:ascii="仿宋_GB2312" w:hAnsi="宋体" w:eastAsia="仿宋_GB2312"/>
                <w:color w:val="auto"/>
                <w:kern w:val="0"/>
                <w:sz w:val="13"/>
                <w:szCs w:val="13"/>
                <w:highlight w:val="none"/>
              </w:rPr>
              <w:t>不具有从轻、</w:t>
            </w:r>
            <w:r>
              <w:rPr>
                <w:rFonts w:hint="eastAsia" w:ascii="仿宋_GB2312" w:hAnsi="宋体" w:eastAsia="仿宋_GB2312"/>
                <w:color w:val="auto"/>
                <w:kern w:val="0"/>
                <w:sz w:val="13"/>
                <w:szCs w:val="13"/>
                <w:highlight w:val="none"/>
                <w:lang w:eastAsia="zh-CN"/>
              </w:rPr>
              <w:t>从重情节</w:t>
            </w:r>
            <w:r>
              <w:rPr>
                <w:rFonts w:hint="eastAsia" w:ascii="仿宋_GB2312" w:hAnsi="宋体" w:eastAsia="仿宋_GB2312"/>
                <w:color w:val="auto"/>
                <w:kern w:val="0"/>
                <w:sz w:val="13"/>
                <w:szCs w:val="13"/>
                <w:highlight w:val="none"/>
              </w:rPr>
              <w:t>的。</w:t>
            </w:r>
          </w:p>
        </w:tc>
        <w:tc>
          <w:tcPr>
            <w:tcW w:w="3058" w:type="dxa"/>
            <w:tcBorders>
              <w:tl2br w:val="nil"/>
              <w:tr2bl w:val="nil"/>
            </w:tcBorders>
            <w:vAlign w:val="center"/>
          </w:tcPr>
          <w:p w14:paraId="44DA5DF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sz w:val="13"/>
                <w:szCs w:val="13"/>
                <w:highlight w:val="none"/>
              </w:rPr>
            </w:pPr>
            <w:r>
              <w:rPr>
                <w:rFonts w:hint="eastAsia" w:ascii="仿宋_GB2312" w:hAnsi="宋体" w:eastAsia="仿宋_GB2312"/>
                <w:color w:val="auto"/>
                <w:kern w:val="0"/>
                <w:sz w:val="13"/>
                <w:szCs w:val="13"/>
                <w:highlight w:val="none"/>
              </w:rPr>
              <w:t>责令限期改正，对个人处200元以上500元以下罚款，对单位处以1万元以上2万元以下罚款。</w:t>
            </w:r>
          </w:p>
        </w:tc>
      </w:tr>
      <w:tr w14:paraId="2122852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572" w:hRule="atLeast"/>
          <w:jc w:val="center"/>
        </w:trPr>
        <w:tc>
          <w:tcPr>
            <w:tcW w:w="443" w:type="dxa"/>
            <w:gridSpan w:val="2"/>
            <w:vMerge w:val="continue"/>
            <w:tcBorders>
              <w:tl2br w:val="nil"/>
              <w:tr2bl w:val="nil"/>
            </w:tcBorders>
            <w:vAlign w:val="center"/>
          </w:tcPr>
          <w:p w14:paraId="6274267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7026C47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34B692D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823" w:type="dxa"/>
            <w:tcBorders>
              <w:tl2br w:val="nil"/>
              <w:tr2bl w:val="nil"/>
            </w:tcBorders>
            <w:vAlign w:val="center"/>
          </w:tcPr>
          <w:p w14:paraId="4E22362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从重情节</w:t>
            </w:r>
          </w:p>
        </w:tc>
        <w:tc>
          <w:tcPr>
            <w:tcW w:w="3437" w:type="dxa"/>
            <w:gridSpan w:val="2"/>
            <w:tcBorders>
              <w:tl2br w:val="nil"/>
              <w:tr2bl w:val="nil"/>
            </w:tcBorders>
            <w:vAlign w:val="center"/>
          </w:tcPr>
          <w:p w14:paraId="38D8056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sz w:val="13"/>
                <w:szCs w:val="13"/>
                <w:highlight w:val="none"/>
              </w:rPr>
            </w:pPr>
            <w:r>
              <w:rPr>
                <w:rFonts w:hint="eastAsia" w:ascii="仿宋_GB2312" w:hAnsi="宋体" w:eastAsia="仿宋_GB2312"/>
                <w:color w:val="auto"/>
                <w:kern w:val="0"/>
                <w:sz w:val="13"/>
                <w:szCs w:val="13"/>
                <w:highlight w:val="none"/>
              </w:rPr>
              <w:t>曾因该违法行为被查处，再次实施违法行为的</w:t>
            </w:r>
          </w:p>
        </w:tc>
        <w:tc>
          <w:tcPr>
            <w:tcW w:w="3058" w:type="dxa"/>
            <w:tcBorders>
              <w:tl2br w:val="nil"/>
              <w:tr2bl w:val="nil"/>
            </w:tcBorders>
            <w:vAlign w:val="center"/>
          </w:tcPr>
          <w:p w14:paraId="0616431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sz w:val="13"/>
                <w:szCs w:val="13"/>
                <w:highlight w:val="none"/>
              </w:rPr>
            </w:pPr>
            <w:r>
              <w:rPr>
                <w:rFonts w:hint="eastAsia" w:ascii="仿宋_GB2312" w:hAnsi="宋体" w:eastAsia="仿宋_GB2312"/>
                <w:color w:val="auto"/>
                <w:kern w:val="0"/>
                <w:sz w:val="13"/>
                <w:szCs w:val="13"/>
                <w:highlight w:val="none"/>
              </w:rPr>
              <w:t>责令限期改正，对个人处500元以上1千元以下罚款，对单位处2万元以上3万元以下罚款。</w:t>
            </w:r>
          </w:p>
        </w:tc>
      </w:tr>
      <w:tr w14:paraId="1940A91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90" w:hRule="atLeast"/>
          <w:jc w:val="center"/>
        </w:trPr>
        <w:tc>
          <w:tcPr>
            <w:tcW w:w="443" w:type="dxa"/>
            <w:gridSpan w:val="2"/>
            <w:vMerge w:val="restart"/>
            <w:tcBorders>
              <w:tl2br w:val="nil"/>
              <w:tr2bl w:val="nil"/>
            </w:tcBorders>
            <w:vAlign w:val="center"/>
          </w:tcPr>
          <w:p w14:paraId="0CEFD0D7">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Times New Roman"/>
                <w:color w:val="auto"/>
                <w:sz w:val="13"/>
                <w:szCs w:val="13"/>
                <w:highlight w:val="none"/>
                <w:lang w:val="en-US"/>
              </w:rPr>
            </w:pPr>
            <w:r>
              <w:rPr>
                <w:rFonts w:hint="default" w:ascii="仿宋_GB2312" w:hAnsi="宋体" w:eastAsia="仿宋_GB2312" w:cs="仿宋_GB2312"/>
                <w:i w:val="0"/>
                <w:color w:val="auto"/>
                <w:kern w:val="0"/>
                <w:sz w:val="13"/>
                <w:szCs w:val="13"/>
                <w:highlight w:val="none"/>
                <w:u w:val="none"/>
                <w:lang w:val="en-US" w:eastAsia="zh-CN" w:bidi="ar"/>
              </w:rPr>
              <w:t>1</w:t>
            </w:r>
            <w:r>
              <w:rPr>
                <w:rFonts w:hint="eastAsia" w:ascii="仿宋_GB2312" w:hAnsi="宋体" w:eastAsia="仿宋_GB2312" w:cs="仿宋_GB2312"/>
                <w:i w:val="0"/>
                <w:color w:val="auto"/>
                <w:kern w:val="0"/>
                <w:sz w:val="13"/>
                <w:szCs w:val="13"/>
                <w:highlight w:val="none"/>
                <w:u w:val="none"/>
                <w:lang w:val="en-US" w:eastAsia="zh-CN" w:bidi="ar"/>
              </w:rPr>
              <w:t>56</w:t>
            </w:r>
          </w:p>
        </w:tc>
        <w:tc>
          <w:tcPr>
            <w:tcW w:w="1550" w:type="dxa"/>
            <w:vMerge w:val="restart"/>
            <w:tcBorders>
              <w:tl2br w:val="nil"/>
              <w:tr2bl w:val="nil"/>
            </w:tcBorders>
            <w:vAlign w:val="center"/>
          </w:tcPr>
          <w:p w14:paraId="29EC934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未对经鉴定不符合抗震要求的市政公用设施进行改造、改建或者抗震加固，又未限制使用的</w:t>
            </w:r>
          </w:p>
        </w:tc>
        <w:tc>
          <w:tcPr>
            <w:tcW w:w="4820" w:type="dxa"/>
            <w:vMerge w:val="restart"/>
            <w:tcBorders>
              <w:tl2br w:val="nil"/>
              <w:tr2bl w:val="nil"/>
            </w:tcBorders>
            <w:vAlign w:val="center"/>
          </w:tcPr>
          <w:p w14:paraId="0AAE3C6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《市政公用设施抗灾设防管理规定》</w:t>
            </w:r>
          </w:p>
          <w:p w14:paraId="7A58AF9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0" w:firstLineChars="200"/>
              <w:jc w:val="left"/>
              <w:textAlignment w:val="center"/>
              <w:rPr>
                <w:rFonts w:ascii="仿宋_GB2312" w:hAnsi="宋体" w:eastAsia="仿宋_GB2312"/>
                <w:color w:val="auto"/>
                <w:sz w:val="13"/>
                <w:szCs w:val="13"/>
                <w:highlight w:val="none"/>
              </w:rPr>
            </w:pPr>
            <w:r>
              <w:rPr>
                <w:rFonts w:hint="eastAsia" w:ascii="仿宋_GB2312" w:hAnsi="宋体" w:eastAsia="仿宋_GB2312"/>
                <w:color w:val="auto"/>
                <w:kern w:val="0"/>
                <w:sz w:val="13"/>
                <w:szCs w:val="13"/>
                <w:highlight w:val="none"/>
              </w:rPr>
              <w:t>第三十三条违反本规定，未对经鉴定不符合抗震要求的市政公用设施进行改造、改建或者抗震加固，又未限制使用的，由县级以上地方人民政府</w:t>
            </w:r>
            <w:r>
              <w:rPr>
                <w:rFonts w:hint="eastAsia" w:ascii="仿宋_GB2312" w:hAnsi="宋体" w:eastAsia="仿宋_GB2312"/>
                <w:color w:val="auto"/>
                <w:kern w:val="0"/>
                <w:sz w:val="13"/>
                <w:szCs w:val="13"/>
                <w:highlight w:val="none"/>
                <w:lang w:val="en-US" w:eastAsia="zh-CN"/>
              </w:rPr>
              <w:t>住房城乡</w:t>
            </w:r>
            <w:r>
              <w:rPr>
                <w:rFonts w:hint="eastAsia" w:ascii="仿宋_GB2312" w:hAnsi="宋体" w:eastAsia="仿宋_GB2312"/>
                <w:color w:val="auto"/>
                <w:kern w:val="0"/>
                <w:sz w:val="13"/>
                <w:szCs w:val="13"/>
                <w:highlight w:val="none"/>
              </w:rPr>
              <w:t>建设主管部门责令限期改正，逾期不改的，处以1万元以上3万元以下罚款。</w:t>
            </w:r>
          </w:p>
        </w:tc>
        <w:tc>
          <w:tcPr>
            <w:tcW w:w="823" w:type="dxa"/>
            <w:tcBorders>
              <w:tl2br w:val="nil"/>
              <w:tr2bl w:val="nil"/>
            </w:tcBorders>
            <w:vAlign w:val="center"/>
          </w:tcPr>
          <w:p w14:paraId="3A43816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vAlign w:val="center"/>
          </w:tcPr>
          <w:p w14:paraId="398B2D7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sz w:val="13"/>
                <w:szCs w:val="13"/>
                <w:highlight w:val="none"/>
              </w:rPr>
            </w:pPr>
            <w:r>
              <w:rPr>
                <w:rFonts w:hint="eastAsia" w:ascii="仿宋_GB2312" w:hAnsi="宋体" w:eastAsia="仿宋_GB2312"/>
                <w:color w:val="auto"/>
                <w:kern w:val="0"/>
                <w:sz w:val="13"/>
                <w:szCs w:val="13"/>
                <w:highlight w:val="none"/>
              </w:rPr>
              <w:t>责令限期改正、逾期不改的。</w:t>
            </w:r>
          </w:p>
        </w:tc>
        <w:tc>
          <w:tcPr>
            <w:tcW w:w="3058" w:type="dxa"/>
            <w:tcBorders>
              <w:tl2br w:val="nil"/>
              <w:tr2bl w:val="nil"/>
            </w:tcBorders>
            <w:vAlign w:val="center"/>
          </w:tcPr>
          <w:p w14:paraId="462264E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sz w:val="13"/>
                <w:szCs w:val="13"/>
                <w:highlight w:val="none"/>
              </w:rPr>
            </w:pPr>
            <w:r>
              <w:rPr>
                <w:rFonts w:hint="eastAsia" w:ascii="仿宋_GB2312" w:hAnsi="宋体" w:eastAsia="仿宋_GB2312"/>
                <w:color w:val="auto"/>
                <w:kern w:val="0"/>
                <w:sz w:val="13"/>
                <w:szCs w:val="13"/>
                <w:highlight w:val="none"/>
              </w:rPr>
              <w:t>处1万元</w:t>
            </w:r>
            <w:r>
              <w:rPr>
                <w:rFonts w:hint="eastAsia" w:ascii="仿宋_GB2312" w:hAnsi="宋体" w:eastAsia="仿宋_GB2312"/>
                <w:color w:val="auto"/>
                <w:kern w:val="0"/>
                <w:sz w:val="13"/>
                <w:szCs w:val="13"/>
                <w:highlight w:val="none"/>
                <w:lang w:val="en-US" w:eastAsia="zh-CN"/>
              </w:rPr>
              <w:t>以上1.5万元以下</w:t>
            </w:r>
            <w:r>
              <w:rPr>
                <w:rFonts w:hint="eastAsia" w:ascii="仿宋_GB2312" w:hAnsi="宋体" w:eastAsia="仿宋_GB2312"/>
                <w:color w:val="auto"/>
                <w:kern w:val="0"/>
                <w:sz w:val="13"/>
                <w:szCs w:val="13"/>
                <w:highlight w:val="none"/>
              </w:rPr>
              <w:t>罚款。</w:t>
            </w:r>
          </w:p>
        </w:tc>
      </w:tr>
      <w:tr w14:paraId="37E9E7A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90" w:hRule="atLeast"/>
          <w:jc w:val="center"/>
        </w:trPr>
        <w:tc>
          <w:tcPr>
            <w:tcW w:w="443" w:type="dxa"/>
            <w:gridSpan w:val="2"/>
            <w:vMerge w:val="continue"/>
            <w:tcBorders>
              <w:tl2br w:val="nil"/>
              <w:tr2bl w:val="nil"/>
            </w:tcBorders>
            <w:vAlign w:val="center"/>
          </w:tcPr>
          <w:p w14:paraId="0D8CB90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3095C13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sz w:val="13"/>
                <w:szCs w:val="13"/>
                <w:highlight w:val="none"/>
              </w:rPr>
            </w:pPr>
          </w:p>
        </w:tc>
        <w:tc>
          <w:tcPr>
            <w:tcW w:w="4820" w:type="dxa"/>
            <w:vMerge w:val="continue"/>
            <w:tcBorders>
              <w:tl2br w:val="nil"/>
              <w:tr2bl w:val="nil"/>
            </w:tcBorders>
            <w:vAlign w:val="center"/>
          </w:tcPr>
          <w:p w14:paraId="33894F6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sz w:val="13"/>
                <w:szCs w:val="13"/>
                <w:highlight w:val="none"/>
              </w:rPr>
            </w:pPr>
          </w:p>
        </w:tc>
        <w:tc>
          <w:tcPr>
            <w:tcW w:w="823" w:type="dxa"/>
            <w:tcBorders>
              <w:tl2br w:val="nil"/>
              <w:tr2bl w:val="nil"/>
            </w:tcBorders>
            <w:vAlign w:val="center"/>
          </w:tcPr>
          <w:p w14:paraId="75E60FF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一般情节</w:t>
            </w:r>
          </w:p>
        </w:tc>
        <w:tc>
          <w:tcPr>
            <w:tcW w:w="3437" w:type="dxa"/>
            <w:gridSpan w:val="2"/>
            <w:tcBorders>
              <w:tl2br w:val="nil"/>
              <w:tr2bl w:val="nil"/>
            </w:tcBorders>
            <w:vAlign w:val="center"/>
          </w:tcPr>
          <w:p w14:paraId="2F4200D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不具有从轻、</w:t>
            </w:r>
            <w:r>
              <w:rPr>
                <w:rFonts w:hint="eastAsia" w:ascii="仿宋_GB2312" w:hAnsi="宋体" w:eastAsia="仿宋_GB2312"/>
                <w:color w:val="auto"/>
                <w:kern w:val="0"/>
                <w:sz w:val="13"/>
                <w:szCs w:val="13"/>
                <w:highlight w:val="none"/>
                <w:lang w:eastAsia="zh-CN"/>
              </w:rPr>
              <w:t>从重情节</w:t>
            </w:r>
            <w:r>
              <w:rPr>
                <w:rFonts w:hint="eastAsia" w:ascii="仿宋_GB2312" w:hAnsi="宋体" w:eastAsia="仿宋_GB2312"/>
                <w:color w:val="auto"/>
                <w:kern w:val="0"/>
                <w:sz w:val="13"/>
                <w:szCs w:val="13"/>
                <w:highlight w:val="none"/>
              </w:rPr>
              <w:t>的。</w:t>
            </w:r>
          </w:p>
        </w:tc>
        <w:tc>
          <w:tcPr>
            <w:tcW w:w="3058" w:type="dxa"/>
            <w:tcBorders>
              <w:tl2br w:val="nil"/>
              <w:tr2bl w:val="nil"/>
            </w:tcBorders>
            <w:vAlign w:val="center"/>
          </w:tcPr>
          <w:p w14:paraId="3582DF4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处1</w:t>
            </w:r>
            <w:r>
              <w:rPr>
                <w:rFonts w:hint="eastAsia" w:ascii="仿宋_GB2312" w:hAnsi="宋体" w:eastAsia="仿宋_GB2312"/>
                <w:color w:val="auto"/>
                <w:kern w:val="0"/>
                <w:sz w:val="13"/>
                <w:szCs w:val="13"/>
                <w:highlight w:val="none"/>
                <w:lang w:val="en-US" w:eastAsia="zh-CN"/>
              </w:rPr>
              <w:t>.5</w:t>
            </w:r>
            <w:r>
              <w:rPr>
                <w:rFonts w:hint="eastAsia" w:ascii="仿宋_GB2312" w:hAnsi="宋体" w:eastAsia="仿宋_GB2312"/>
                <w:color w:val="auto"/>
                <w:kern w:val="0"/>
                <w:sz w:val="13"/>
                <w:szCs w:val="13"/>
                <w:highlight w:val="none"/>
              </w:rPr>
              <w:t>万元以上2万元以下罚款。</w:t>
            </w:r>
          </w:p>
        </w:tc>
      </w:tr>
      <w:tr w14:paraId="2D65A4B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8" w:hRule="atLeast"/>
          <w:jc w:val="center"/>
        </w:trPr>
        <w:tc>
          <w:tcPr>
            <w:tcW w:w="443" w:type="dxa"/>
            <w:gridSpan w:val="2"/>
            <w:vMerge w:val="continue"/>
            <w:tcBorders>
              <w:tl2br w:val="nil"/>
              <w:tr2bl w:val="nil"/>
            </w:tcBorders>
            <w:vAlign w:val="center"/>
          </w:tcPr>
          <w:p w14:paraId="5F1B48A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4A1638E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sz w:val="13"/>
                <w:szCs w:val="13"/>
                <w:highlight w:val="none"/>
              </w:rPr>
            </w:pPr>
          </w:p>
        </w:tc>
        <w:tc>
          <w:tcPr>
            <w:tcW w:w="4820" w:type="dxa"/>
            <w:vMerge w:val="continue"/>
            <w:tcBorders>
              <w:tl2br w:val="nil"/>
              <w:tr2bl w:val="nil"/>
            </w:tcBorders>
            <w:vAlign w:val="center"/>
          </w:tcPr>
          <w:p w14:paraId="5CFAD78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sz w:val="13"/>
                <w:szCs w:val="13"/>
                <w:highlight w:val="none"/>
              </w:rPr>
            </w:pPr>
          </w:p>
        </w:tc>
        <w:tc>
          <w:tcPr>
            <w:tcW w:w="823" w:type="dxa"/>
            <w:tcBorders>
              <w:tl2br w:val="nil"/>
              <w:tr2bl w:val="nil"/>
            </w:tcBorders>
            <w:vAlign w:val="center"/>
          </w:tcPr>
          <w:p w14:paraId="2845AE6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从重情节</w:t>
            </w:r>
          </w:p>
        </w:tc>
        <w:tc>
          <w:tcPr>
            <w:tcW w:w="3437" w:type="dxa"/>
            <w:gridSpan w:val="2"/>
            <w:tcBorders>
              <w:tl2br w:val="nil"/>
              <w:tr2bl w:val="nil"/>
            </w:tcBorders>
            <w:vAlign w:val="center"/>
          </w:tcPr>
          <w:p w14:paraId="1ED05D8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lang w:val="en-US" w:eastAsia="zh-CN"/>
              </w:rPr>
              <w:t>有下列情形之一的：</w:t>
            </w:r>
            <w:r>
              <w:rPr>
                <w:rFonts w:hint="eastAsia" w:ascii="仿宋_GB2312" w:hAnsi="宋体" w:eastAsia="仿宋_GB2312"/>
                <w:color w:val="auto"/>
                <w:kern w:val="0"/>
                <w:sz w:val="13"/>
                <w:szCs w:val="13"/>
                <w:highlight w:val="none"/>
              </w:rPr>
              <w:t>(1)逾期不改，曾因该违法行为被查处，再次实施违法行为的；</w:t>
            </w:r>
          </w:p>
          <w:p w14:paraId="1B2D76F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(2)其他依法应予从重处罚的情形。</w:t>
            </w:r>
          </w:p>
        </w:tc>
        <w:tc>
          <w:tcPr>
            <w:tcW w:w="3058" w:type="dxa"/>
            <w:tcBorders>
              <w:tl2br w:val="nil"/>
              <w:tr2bl w:val="nil"/>
            </w:tcBorders>
            <w:vAlign w:val="center"/>
          </w:tcPr>
          <w:p w14:paraId="60C1929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处2万元以上3万元以下罚款。</w:t>
            </w:r>
          </w:p>
        </w:tc>
      </w:tr>
      <w:tr w14:paraId="3240DD4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13" w:hRule="atLeast"/>
          <w:jc w:val="center"/>
        </w:trPr>
        <w:tc>
          <w:tcPr>
            <w:tcW w:w="443" w:type="dxa"/>
            <w:gridSpan w:val="2"/>
            <w:vMerge w:val="restart"/>
            <w:tcBorders>
              <w:tl2br w:val="nil"/>
              <w:tr2bl w:val="nil"/>
            </w:tcBorders>
            <w:vAlign w:val="center"/>
          </w:tcPr>
          <w:p w14:paraId="4BF027A1">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Times New Roman"/>
                <w:color w:val="auto"/>
                <w:sz w:val="13"/>
                <w:szCs w:val="13"/>
                <w:highlight w:val="none"/>
                <w:lang w:val="en-US"/>
              </w:rPr>
            </w:pPr>
            <w:r>
              <w:rPr>
                <w:rFonts w:hint="default" w:ascii="仿宋_GB2312" w:hAnsi="宋体" w:eastAsia="仿宋_GB2312" w:cs="仿宋_GB2312"/>
                <w:i w:val="0"/>
                <w:color w:val="auto"/>
                <w:kern w:val="0"/>
                <w:sz w:val="13"/>
                <w:szCs w:val="13"/>
                <w:highlight w:val="none"/>
                <w:u w:val="none"/>
                <w:lang w:val="en-US" w:eastAsia="zh-CN" w:bidi="ar"/>
              </w:rPr>
              <w:t>1</w:t>
            </w:r>
            <w:r>
              <w:rPr>
                <w:rFonts w:hint="eastAsia" w:ascii="仿宋_GB2312" w:hAnsi="宋体" w:eastAsia="仿宋_GB2312" w:cs="仿宋_GB2312"/>
                <w:i w:val="0"/>
                <w:color w:val="auto"/>
                <w:kern w:val="0"/>
                <w:sz w:val="13"/>
                <w:szCs w:val="13"/>
                <w:highlight w:val="none"/>
                <w:u w:val="none"/>
                <w:lang w:val="en-US" w:eastAsia="zh-CN" w:bidi="ar"/>
              </w:rPr>
              <w:t>57</w:t>
            </w:r>
          </w:p>
        </w:tc>
        <w:tc>
          <w:tcPr>
            <w:tcW w:w="1550" w:type="dxa"/>
            <w:vMerge w:val="restart"/>
            <w:tcBorders>
              <w:tl2br w:val="nil"/>
              <w:tr2bl w:val="nil"/>
            </w:tcBorders>
            <w:vAlign w:val="center"/>
          </w:tcPr>
          <w:p w14:paraId="7D0C7F8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sz w:val="13"/>
                <w:szCs w:val="13"/>
                <w:highlight w:val="none"/>
              </w:rPr>
            </w:pPr>
            <w:r>
              <w:rPr>
                <w:rFonts w:hint="eastAsia" w:ascii="仿宋_GB2312" w:hAnsi="宋体" w:eastAsia="仿宋_GB2312"/>
                <w:color w:val="auto"/>
                <w:kern w:val="0"/>
                <w:sz w:val="13"/>
                <w:szCs w:val="13"/>
                <w:highlight w:val="none"/>
              </w:rPr>
              <w:t>擅自使用没有国家技术标准又未经审定通过的新技术、新材料，或者将不适用于抗震设防区的新技术、新材料用于抗震设防区，或者超出经审定的抗震烈度范围的</w:t>
            </w:r>
          </w:p>
        </w:tc>
        <w:tc>
          <w:tcPr>
            <w:tcW w:w="4820" w:type="dxa"/>
            <w:vMerge w:val="restart"/>
            <w:tcBorders>
              <w:tl2br w:val="nil"/>
              <w:tr2bl w:val="nil"/>
            </w:tcBorders>
            <w:vAlign w:val="center"/>
          </w:tcPr>
          <w:p w14:paraId="17B28D3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《房屋建筑工程抗震设防管理规定》</w:t>
            </w:r>
          </w:p>
          <w:p w14:paraId="0D9F43C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0" w:firstLineChars="200"/>
              <w:jc w:val="left"/>
              <w:textAlignment w:val="center"/>
              <w:rPr>
                <w:rFonts w:ascii="仿宋_GB2312" w:hAnsi="宋体" w:eastAsia="仿宋_GB2312"/>
                <w:color w:val="auto"/>
                <w:sz w:val="13"/>
                <w:szCs w:val="13"/>
                <w:highlight w:val="none"/>
              </w:rPr>
            </w:pPr>
            <w:r>
              <w:rPr>
                <w:rFonts w:hint="eastAsia" w:ascii="仿宋_GB2312" w:hAnsi="宋体" w:eastAsia="仿宋_GB2312"/>
                <w:color w:val="auto"/>
                <w:kern w:val="0"/>
                <w:sz w:val="13"/>
                <w:szCs w:val="13"/>
                <w:highlight w:val="none"/>
              </w:rPr>
              <w:t>第二十五条违反本规定，擅自使用没有国家技术标准又未经审定通过的新技术、新材料，或者将不适用于抗震设防区的新技术、新材料用于抗震设防区，或者超出经审定的抗震烈度范围的，由县级以上地方人民政府建设主管部门责令限期改正，并处以1万元以上3万元以下罚款。</w:t>
            </w:r>
          </w:p>
        </w:tc>
        <w:tc>
          <w:tcPr>
            <w:tcW w:w="823" w:type="dxa"/>
            <w:tcBorders>
              <w:tl2br w:val="nil"/>
              <w:tr2bl w:val="nil"/>
            </w:tcBorders>
            <w:vAlign w:val="center"/>
          </w:tcPr>
          <w:p w14:paraId="16354D1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vAlign w:val="center"/>
          </w:tcPr>
          <w:p w14:paraId="77F7ADD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sz w:val="13"/>
                <w:szCs w:val="13"/>
                <w:highlight w:val="none"/>
              </w:rPr>
            </w:pPr>
            <w:r>
              <w:rPr>
                <w:rFonts w:hint="eastAsia" w:ascii="仿宋_GB2312" w:hAnsi="宋体" w:eastAsia="仿宋_GB2312"/>
                <w:color w:val="auto"/>
                <w:kern w:val="0"/>
                <w:sz w:val="13"/>
                <w:szCs w:val="13"/>
                <w:highlight w:val="none"/>
              </w:rPr>
              <w:t>初次违法，危害后果轻微，主动消除或减轻违法行为危害后果的。</w:t>
            </w:r>
          </w:p>
        </w:tc>
        <w:tc>
          <w:tcPr>
            <w:tcW w:w="3058" w:type="dxa"/>
            <w:tcBorders>
              <w:tl2br w:val="nil"/>
              <w:tr2bl w:val="nil"/>
            </w:tcBorders>
            <w:vAlign w:val="center"/>
          </w:tcPr>
          <w:p w14:paraId="10905B2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sz w:val="13"/>
                <w:szCs w:val="13"/>
                <w:highlight w:val="none"/>
              </w:rPr>
            </w:pPr>
            <w:r>
              <w:rPr>
                <w:rFonts w:hint="eastAsia" w:ascii="仿宋_GB2312" w:hAnsi="宋体" w:eastAsia="仿宋_GB2312"/>
                <w:color w:val="auto"/>
                <w:kern w:val="0"/>
                <w:sz w:val="13"/>
                <w:szCs w:val="13"/>
                <w:highlight w:val="none"/>
              </w:rPr>
              <w:t>责令限期改正，处1万元</w:t>
            </w:r>
            <w:r>
              <w:rPr>
                <w:rFonts w:hint="eastAsia" w:ascii="仿宋_GB2312" w:hAnsi="宋体" w:eastAsia="仿宋_GB2312"/>
                <w:color w:val="auto"/>
                <w:kern w:val="0"/>
                <w:sz w:val="13"/>
                <w:szCs w:val="13"/>
                <w:highlight w:val="none"/>
                <w:lang w:val="en-US" w:eastAsia="zh-CN"/>
              </w:rPr>
              <w:t>以上1.5万元以下</w:t>
            </w:r>
            <w:r>
              <w:rPr>
                <w:rFonts w:hint="eastAsia" w:ascii="仿宋_GB2312" w:hAnsi="宋体" w:eastAsia="仿宋_GB2312"/>
                <w:color w:val="auto"/>
                <w:kern w:val="0"/>
                <w:sz w:val="13"/>
                <w:szCs w:val="13"/>
                <w:highlight w:val="none"/>
              </w:rPr>
              <w:t>罚款。</w:t>
            </w:r>
          </w:p>
        </w:tc>
      </w:tr>
      <w:tr w14:paraId="3D63EB6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27" w:hRule="atLeast"/>
          <w:jc w:val="center"/>
        </w:trPr>
        <w:tc>
          <w:tcPr>
            <w:tcW w:w="443" w:type="dxa"/>
            <w:gridSpan w:val="2"/>
            <w:vMerge w:val="continue"/>
            <w:tcBorders>
              <w:tl2br w:val="nil"/>
              <w:tr2bl w:val="nil"/>
            </w:tcBorders>
            <w:vAlign w:val="center"/>
          </w:tcPr>
          <w:p w14:paraId="6BF3D50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415FF9B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sz w:val="13"/>
                <w:szCs w:val="13"/>
                <w:highlight w:val="none"/>
              </w:rPr>
            </w:pPr>
          </w:p>
        </w:tc>
        <w:tc>
          <w:tcPr>
            <w:tcW w:w="4820" w:type="dxa"/>
            <w:vMerge w:val="continue"/>
            <w:tcBorders>
              <w:tl2br w:val="nil"/>
              <w:tr2bl w:val="nil"/>
            </w:tcBorders>
            <w:vAlign w:val="center"/>
          </w:tcPr>
          <w:p w14:paraId="61176E2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sz w:val="13"/>
                <w:szCs w:val="13"/>
                <w:highlight w:val="none"/>
              </w:rPr>
            </w:pPr>
          </w:p>
        </w:tc>
        <w:tc>
          <w:tcPr>
            <w:tcW w:w="823" w:type="dxa"/>
            <w:tcBorders>
              <w:tl2br w:val="nil"/>
              <w:tr2bl w:val="nil"/>
            </w:tcBorders>
            <w:vAlign w:val="center"/>
          </w:tcPr>
          <w:p w14:paraId="2D95710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一般情节</w:t>
            </w:r>
          </w:p>
        </w:tc>
        <w:tc>
          <w:tcPr>
            <w:tcW w:w="3437" w:type="dxa"/>
            <w:gridSpan w:val="2"/>
            <w:tcBorders>
              <w:tl2br w:val="nil"/>
              <w:tr2bl w:val="nil"/>
            </w:tcBorders>
            <w:vAlign w:val="center"/>
          </w:tcPr>
          <w:p w14:paraId="679C6AE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不具有从轻、</w:t>
            </w:r>
            <w:r>
              <w:rPr>
                <w:rFonts w:hint="eastAsia" w:ascii="仿宋_GB2312" w:hAnsi="宋体" w:eastAsia="仿宋_GB2312"/>
                <w:color w:val="auto"/>
                <w:kern w:val="0"/>
                <w:sz w:val="13"/>
                <w:szCs w:val="13"/>
                <w:highlight w:val="none"/>
                <w:lang w:eastAsia="zh-CN"/>
              </w:rPr>
              <w:t>从重情节</w:t>
            </w:r>
            <w:r>
              <w:rPr>
                <w:rFonts w:hint="eastAsia" w:ascii="仿宋_GB2312" w:hAnsi="宋体" w:eastAsia="仿宋_GB2312"/>
                <w:color w:val="auto"/>
                <w:kern w:val="0"/>
                <w:sz w:val="13"/>
                <w:szCs w:val="13"/>
                <w:highlight w:val="none"/>
              </w:rPr>
              <w:t>的。</w:t>
            </w:r>
          </w:p>
        </w:tc>
        <w:tc>
          <w:tcPr>
            <w:tcW w:w="3058" w:type="dxa"/>
            <w:tcBorders>
              <w:tl2br w:val="nil"/>
              <w:tr2bl w:val="nil"/>
            </w:tcBorders>
            <w:vAlign w:val="center"/>
          </w:tcPr>
          <w:p w14:paraId="499F1D5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责令限期改正，并处1</w:t>
            </w:r>
            <w:r>
              <w:rPr>
                <w:rFonts w:hint="eastAsia" w:ascii="仿宋_GB2312" w:hAnsi="宋体" w:eastAsia="仿宋_GB2312"/>
                <w:color w:val="auto"/>
                <w:kern w:val="0"/>
                <w:sz w:val="13"/>
                <w:szCs w:val="13"/>
                <w:highlight w:val="none"/>
                <w:lang w:val="en-US" w:eastAsia="zh-CN"/>
              </w:rPr>
              <w:t>.5</w:t>
            </w:r>
            <w:r>
              <w:rPr>
                <w:rFonts w:hint="eastAsia" w:ascii="仿宋_GB2312" w:hAnsi="宋体" w:eastAsia="仿宋_GB2312"/>
                <w:color w:val="auto"/>
                <w:kern w:val="0"/>
                <w:sz w:val="13"/>
                <w:szCs w:val="13"/>
                <w:highlight w:val="none"/>
              </w:rPr>
              <w:t>万元以上2万元以下罚款。</w:t>
            </w:r>
          </w:p>
        </w:tc>
      </w:tr>
      <w:tr w14:paraId="6C21DF2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762" w:hRule="atLeast"/>
          <w:jc w:val="center"/>
        </w:trPr>
        <w:tc>
          <w:tcPr>
            <w:tcW w:w="443" w:type="dxa"/>
            <w:gridSpan w:val="2"/>
            <w:vMerge w:val="continue"/>
            <w:tcBorders>
              <w:tl2br w:val="nil"/>
              <w:tr2bl w:val="nil"/>
            </w:tcBorders>
            <w:vAlign w:val="center"/>
          </w:tcPr>
          <w:p w14:paraId="18E2060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340A551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sz w:val="13"/>
                <w:szCs w:val="13"/>
                <w:highlight w:val="none"/>
              </w:rPr>
            </w:pPr>
          </w:p>
        </w:tc>
        <w:tc>
          <w:tcPr>
            <w:tcW w:w="4820" w:type="dxa"/>
            <w:vMerge w:val="continue"/>
            <w:tcBorders>
              <w:tl2br w:val="nil"/>
              <w:tr2bl w:val="nil"/>
            </w:tcBorders>
            <w:vAlign w:val="center"/>
          </w:tcPr>
          <w:p w14:paraId="2C36DB0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sz w:val="13"/>
                <w:szCs w:val="13"/>
                <w:highlight w:val="none"/>
              </w:rPr>
            </w:pPr>
          </w:p>
        </w:tc>
        <w:tc>
          <w:tcPr>
            <w:tcW w:w="823" w:type="dxa"/>
            <w:tcBorders>
              <w:tl2br w:val="nil"/>
              <w:tr2bl w:val="nil"/>
            </w:tcBorders>
            <w:vAlign w:val="center"/>
          </w:tcPr>
          <w:p w14:paraId="066E865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从重情节</w:t>
            </w:r>
          </w:p>
        </w:tc>
        <w:tc>
          <w:tcPr>
            <w:tcW w:w="3437" w:type="dxa"/>
            <w:gridSpan w:val="2"/>
            <w:tcBorders>
              <w:tl2br w:val="nil"/>
              <w:tr2bl w:val="nil"/>
            </w:tcBorders>
            <w:vAlign w:val="center"/>
          </w:tcPr>
          <w:p w14:paraId="3D4D242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曾因该违法行为被查处，再次实施违法行为的</w:t>
            </w:r>
          </w:p>
        </w:tc>
        <w:tc>
          <w:tcPr>
            <w:tcW w:w="3058" w:type="dxa"/>
            <w:tcBorders>
              <w:tl2br w:val="nil"/>
              <w:tr2bl w:val="nil"/>
            </w:tcBorders>
            <w:vAlign w:val="center"/>
          </w:tcPr>
          <w:p w14:paraId="7E242E0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责令限期改正，并处2万元以上3万元以下罚款。</w:t>
            </w:r>
          </w:p>
        </w:tc>
      </w:tr>
      <w:tr w14:paraId="4063899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55" w:hRule="atLeast"/>
          <w:jc w:val="center"/>
        </w:trPr>
        <w:tc>
          <w:tcPr>
            <w:tcW w:w="443" w:type="dxa"/>
            <w:gridSpan w:val="2"/>
            <w:vMerge w:val="restart"/>
            <w:tcBorders>
              <w:tl2br w:val="nil"/>
              <w:tr2bl w:val="nil"/>
            </w:tcBorders>
            <w:vAlign w:val="center"/>
          </w:tcPr>
          <w:p w14:paraId="6323E085">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Times New Roman"/>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158</w:t>
            </w:r>
          </w:p>
        </w:tc>
        <w:tc>
          <w:tcPr>
            <w:tcW w:w="1550" w:type="dxa"/>
            <w:vMerge w:val="restart"/>
            <w:tcBorders>
              <w:tl2br w:val="nil"/>
              <w:tr2bl w:val="nil"/>
            </w:tcBorders>
            <w:vAlign w:val="center"/>
          </w:tcPr>
          <w:p w14:paraId="7F272D7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hint="default" w:ascii="仿宋_GB2312" w:hAnsi="宋体" w:eastAsia="仿宋_GB2312"/>
                <w:color w:val="auto"/>
                <w:sz w:val="13"/>
                <w:szCs w:val="13"/>
                <w:highlight w:val="none"/>
                <w:lang w:val="en-US"/>
              </w:rPr>
            </w:pPr>
            <w:r>
              <w:rPr>
                <w:rFonts w:hint="eastAsia" w:ascii="仿宋_GB2312" w:hAnsi="宋体" w:eastAsia="仿宋_GB2312"/>
                <w:color w:val="auto"/>
                <w:kern w:val="0"/>
                <w:sz w:val="13"/>
                <w:szCs w:val="13"/>
                <w:highlight w:val="none"/>
              </w:rPr>
              <w:t>擅自变动或者破坏房屋建筑抗震构件、隔震装置、减震部件或者地震反应观测系统等抗震设施的</w:t>
            </w:r>
          </w:p>
        </w:tc>
        <w:tc>
          <w:tcPr>
            <w:tcW w:w="4820" w:type="dxa"/>
            <w:vMerge w:val="restart"/>
            <w:tcBorders>
              <w:tl2br w:val="nil"/>
              <w:tr2bl w:val="nil"/>
            </w:tcBorders>
            <w:vAlign w:val="center"/>
          </w:tcPr>
          <w:p w14:paraId="394BEB2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《房屋建筑工程抗震设防管理规定》</w:t>
            </w:r>
          </w:p>
          <w:p w14:paraId="4E076ED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0" w:firstLineChars="200"/>
              <w:jc w:val="left"/>
              <w:textAlignment w:val="center"/>
              <w:rPr>
                <w:rFonts w:ascii="仿宋_GB2312" w:hAnsi="宋体" w:eastAsia="仿宋_GB2312"/>
                <w:color w:val="auto"/>
                <w:sz w:val="13"/>
                <w:szCs w:val="13"/>
                <w:highlight w:val="none"/>
              </w:rPr>
            </w:pPr>
            <w:r>
              <w:rPr>
                <w:rFonts w:hint="eastAsia" w:ascii="仿宋_GB2312" w:hAnsi="宋体" w:eastAsia="仿宋_GB2312"/>
                <w:color w:val="auto"/>
                <w:kern w:val="0"/>
                <w:sz w:val="13"/>
                <w:szCs w:val="13"/>
                <w:highlight w:val="none"/>
              </w:rPr>
              <w:t>第二十六条违反本规定，擅自变动或者破坏房屋建筑抗震构件、隔震装置、减震部件或者地震反应观测系统等抗震设施的，由县级以上地方人民政府建设主管部门责令限期改正，并对个人处以1000元以下罚款，对单位处以1万元以上3万元以下罚款。</w:t>
            </w:r>
          </w:p>
        </w:tc>
        <w:tc>
          <w:tcPr>
            <w:tcW w:w="823" w:type="dxa"/>
            <w:tcBorders>
              <w:tl2br w:val="nil"/>
              <w:tr2bl w:val="nil"/>
            </w:tcBorders>
            <w:vAlign w:val="center"/>
          </w:tcPr>
          <w:p w14:paraId="6C7A514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vAlign w:val="center"/>
          </w:tcPr>
          <w:p w14:paraId="7E493E7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sz w:val="13"/>
                <w:szCs w:val="13"/>
                <w:highlight w:val="none"/>
              </w:rPr>
            </w:pPr>
            <w:r>
              <w:rPr>
                <w:rFonts w:hint="eastAsia" w:ascii="仿宋_GB2312" w:hAnsi="宋体" w:eastAsia="仿宋_GB2312"/>
                <w:color w:val="auto"/>
                <w:kern w:val="0"/>
                <w:sz w:val="13"/>
                <w:szCs w:val="13"/>
                <w:highlight w:val="none"/>
              </w:rPr>
              <w:t>初次违法，危害后果轻微，主动消除或减轻违法行为危害后果的。</w:t>
            </w:r>
          </w:p>
        </w:tc>
        <w:tc>
          <w:tcPr>
            <w:tcW w:w="3058" w:type="dxa"/>
            <w:tcBorders>
              <w:tl2br w:val="nil"/>
              <w:tr2bl w:val="nil"/>
            </w:tcBorders>
            <w:vAlign w:val="center"/>
          </w:tcPr>
          <w:p w14:paraId="29D3BC2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sz w:val="13"/>
                <w:szCs w:val="13"/>
                <w:highlight w:val="none"/>
              </w:rPr>
            </w:pPr>
            <w:r>
              <w:rPr>
                <w:rFonts w:hint="eastAsia" w:ascii="仿宋_GB2312" w:hAnsi="宋体" w:eastAsia="仿宋_GB2312"/>
                <w:color w:val="auto"/>
                <w:kern w:val="0"/>
                <w:sz w:val="13"/>
                <w:szCs w:val="13"/>
                <w:highlight w:val="none"/>
              </w:rPr>
              <w:t>责令限期改正，对个人处200元罚款，对单位处1万元罚款。</w:t>
            </w:r>
          </w:p>
        </w:tc>
      </w:tr>
      <w:tr w14:paraId="6CBA2D9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33" w:hRule="atLeast"/>
          <w:jc w:val="center"/>
        </w:trPr>
        <w:tc>
          <w:tcPr>
            <w:tcW w:w="443" w:type="dxa"/>
            <w:gridSpan w:val="2"/>
            <w:vMerge w:val="continue"/>
            <w:tcBorders>
              <w:tl2br w:val="nil"/>
              <w:tr2bl w:val="nil"/>
            </w:tcBorders>
            <w:vAlign w:val="center"/>
          </w:tcPr>
          <w:p w14:paraId="08DA0C8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00B7EBD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sz w:val="13"/>
                <w:szCs w:val="13"/>
                <w:highlight w:val="none"/>
              </w:rPr>
            </w:pPr>
          </w:p>
        </w:tc>
        <w:tc>
          <w:tcPr>
            <w:tcW w:w="4820" w:type="dxa"/>
            <w:vMerge w:val="continue"/>
            <w:tcBorders>
              <w:tl2br w:val="nil"/>
              <w:tr2bl w:val="nil"/>
            </w:tcBorders>
            <w:vAlign w:val="center"/>
          </w:tcPr>
          <w:p w14:paraId="4D1B755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sz w:val="13"/>
                <w:szCs w:val="13"/>
                <w:highlight w:val="none"/>
              </w:rPr>
            </w:pPr>
          </w:p>
        </w:tc>
        <w:tc>
          <w:tcPr>
            <w:tcW w:w="823" w:type="dxa"/>
            <w:tcBorders>
              <w:tl2br w:val="nil"/>
              <w:tr2bl w:val="nil"/>
            </w:tcBorders>
            <w:vAlign w:val="center"/>
          </w:tcPr>
          <w:p w14:paraId="15D7AB2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一般情节</w:t>
            </w:r>
          </w:p>
        </w:tc>
        <w:tc>
          <w:tcPr>
            <w:tcW w:w="3437" w:type="dxa"/>
            <w:gridSpan w:val="2"/>
            <w:tcBorders>
              <w:tl2br w:val="nil"/>
              <w:tr2bl w:val="nil"/>
            </w:tcBorders>
            <w:vAlign w:val="center"/>
          </w:tcPr>
          <w:p w14:paraId="45D6717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sz w:val="13"/>
                <w:szCs w:val="13"/>
                <w:highlight w:val="none"/>
              </w:rPr>
            </w:pPr>
            <w:r>
              <w:rPr>
                <w:rFonts w:hint="eastAsia" w:ascii="仿宋_GB2312" w:hAnsi="宋体" w:eastAsia="仿宋_GB2312"/>
                <w:color w:val="auto"/>
                <w:kern w:val="0"/>
                <w:sz w:val="13"/>
                <w:szCs w:val="13"/>
                <w:highlight w:val="none"/>
              </w:rPr>
              <w:t>不具有从轻、</w:t>
            </w:r>
            <w:r>
              <w:rPr>
                <w:rFonts w:hint="eastAsia" w:ascii="仿宋_GB2312" w:hAnsi="宋体" w:eastAsia="仿宋_GB2312"/>
                <w:color w:val="auto"/>
                <w:kern w:val="0"/>
                <w:sz w:val="13"/>
                <w:szCs w:val="13"/>
                <w:highlight w:val="none"/>
                <w:lang w:eastAsia="zh-CN"/>
              </w:rPr>
              <w:t>从重情节</w:t>
            </w:r>
            <w:r>
              <w:rPr>
                <w:rFonts w:hint="eastAsia" w:ascii="仿宋_GB2312" w:hAnsi="宋体" w:eastAsia="仿宋_GB2312"/>
                <w:color w:val="auto"/>
                <w:kern w:val="0"/>
                <w:sz w:val="13"/>
                <w:szCs w:val="13"/>
                <w:highlight w:val="none"/>
              </w:rPr>
              <w:t>的。</w:t>
            </w:r>
          </w:p>
        </w:tc>
        <w:tc>
          <w:tcPr>
            <w:tcW w:w="3058" w:type="dxa"/>
            <w:tcBorders>
              <w:tl2br w:val="nil"/>
              <w:tr2bl w:val="nil"/>
            </w:tcBorders>
            <w:vAlign w:val="center"/>
          </w:tcPr>
          <w:p w14:paraId="47E461D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sz w:val="13"/>
                <w:szCs w:val="13"/>
                <w:highlight w:val="none"/>
              </w:rPr>
            </w:pPr>
            <w:r>
              <w:rPr>
                <w:rFonts w:hint="eastAsia" w:ascii="仿宋_GB2312" w:hAnsi="宋体" w:eastAsia="仿宋_GB2312"/>
                <w:color w:val="auto"/>
                <w:kern w:val="0"/>
                <w:sz w:val="13"/>
                <w:szCs w:val="13"/>
                <w:highlight w:val="none"/>
              </w:rPr>
              <w:t>责令限期改正，对个人处200元以上500元以下罚款，对单位处1万元以上2万元以下罚款。</w:t>
            </w:r>
          </w:p>
        </w:tc>
      </w:tr>
      <w:tr w14:paraId="3C15506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94" w:hRule="atLeast"/>
          <w:jc w:val="center"/>
        </w:trPr>
        <w:tc>
          <w:tcPr>
            <w:tcW w:w="443" w:type="dxa"/>
            <w:gridSpan w:val="2"/>
            <w:vMerge w:val="continue"/>
            <w:tcBorders>
              <w:tl2br w:val="nil"/>
              <w:tr2bl w:val="nil"/>
            </w:tcBorders>
            <w:vAlign w:val="center"/>
          </w:tcPr>
          <w:p w14:paraId="041B8C3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69CFABE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sz w:val="13"/>
                <w:szCs w:val="13"/>
                <w:highlight w:val="none"/>
              </w:rPr>
            </w:pPr>
          </w:p>
        </w:tc>
        <w:tc>
          <w:tcPr>
            <w:tcW w:w="4820" w:type="dxa"/>
            <w:vMerge w:val="continue"/>
            <w:tcBorders>
              <w:tl2br w:val="nil"/>
              <w:tr2bl w:val="nil"/>
            </w:tcBorders>
            <w:vAlign w:val="center"/>
          </w:tcPr>
          <w:p w14:paraId="75892CF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sz w:val="13"/>
                <w:szCs w:val="13"/>
                <w:highlight w:val="none"/>
              </w:rPr>
            </w:pPr>
          </w:p>
        </w:tc>
        <w:tc>
          <w:tcPr>
            <w:tcW w:w="823" w:type="dxa"/>
            <w:tcBorders>
              <w:tl2br w:val="nil"/>
              <w:tr2bl w:val="nil"/>
            </w:tcBorders>
            <w:vAlign w:val="center"/>
          </w:tcPr>
          <w:p w14:paraId="7D59D01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从重情节</w:t>
            </w:r>
          </w:p>
        </w:tc>
        <w:tc>
          <w:tcPr>
            <w:tcW w:w="3437" w:type="dxa"/>
            <w:gridSpan w:val="2"/>
            <w:tcBorders>
              <w:tl2br w:val="nil"/>
              <w:tr2bl w:val="nil"/>
            </w:tcBorders>
            <w:vAlign w:val="center"/>
          </w:tcPr>
          <w:p w14:paraId="7C3A7AB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sz w:val="13"/>
                <w:szCs w:val="13"/>
                <w:highlight w:val="none"/>
              </w:rPr>
            </w:pPr>
            <w:r>
              <w:rPr>
                <w:rFonts w:hint="eastAsia" w:ascii="仿宋_GB2312" w:hAnsi="宋体" w:eastAsia="仿宋_GB2312"/>
                <w:color w:val="auto"/>
                <w:kern w:val="0"/>
                <w:sz w:val="13"/>
                <w:szCs w:val="13"/>
                <w:highlight w:val="none"/>
              </w:rPr>
              <w:t>曾因该违法行为被查处，再次实施违法行为的</w:t>
            </w:r>
          </w:p>
        </w:tc>
        <w:tc>
          <w:tcPr>
            <w:tcW w:w="3058" w:type="dxa"/>
            <w:tcBorders>
              <w:tl2br w:val="nil"/>
              <w:tr2bl w:val="nil"/>
            </w:tcBorders>
            <w:vAlign w:val="center"/>
          </w:tcPr>
          <w:p w14:paraId="40E0B3F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sz w:val="13"/>
                <w:szCs w:val="13"/>
                <w:highlight w:val="none"/>
              </w:rPr>
            </w:pPr>
            <w:r>
              <w:rPr>
                <w:rFonts w:hint="eastAsia" w:ascii="仿宋_GB2312" w:hAnsi="宋体" w:eastAsia="仿宋_GB2312"/>
                <w:color w:val="auto"/>
                <w:kern w:val="0"/>
                <w:sz w:val="13"/>
                <w:szCs w:val="13"/>
                <w:highlight w:val="none"/>
              </w:rPr>
              <w:t>责令限期改正，对个人处500元以上1千元以下罚款，对单位处2万元以上3万元以下罚款。</w:t>
            </w:r>
          </w:p>
        </w:tc>
      </w:tr>
      <w:tr w14:paraId="2DD5B69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90" w:hRule="atLeast"/>
          <w:jc w:val="center"/>
        </w:trPr>
        <w:tc>
          <w:tcPr>
            <w:tcW w:w="443" w:type="dxa"/>
            <w:gridSpan w:val="2"/>
            <w:vMerge w:val="restart"/>
            <w:tcBorders>
              <w:tl2br w:val="nil"/>
              <w:tr2bl w:val="nil"/>
            </w:tcBorders>
            <w:vAlign w:val="center"/>
          </w:tcPr>
          <w:p w14:paraId="3F6AD334">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Times New Roman"/>
                <w:color w:val="auto"/>
                <w:sz w:val="13"/>
                <w:szCs w:val="13"/>
                <w:highlight w:val="none"/>
                <w:lang w:val="en-US"/>
              </w:rPr>
            </w:pPr>
            <w:r>
              <w:rPr>
                <w:rFonts w:hint="default" w:ascii="仿宋_GB2312" w:hAnsi="宋体" w:eastAsia="仿宋_GB2312" w:cs="仿宋_GB2312"/>
                <w:i w:val="0"/>
                <w:color w:val="auto"/>
                <w:kern w:val="0"/>
                <w:sz w:val="13"/>
                <w:szCs w:val="13"/>
                <w:highlight w:val="none"/>
                <w:u w:val="none"/>
                <w:lang w:val="en-US" w:eastAsia="zh-CN" w:bidi="ar"/>
              </w:rPr>
              <w:t>1</w:t>
            </w:r>
            <w:r>
              <w:rPr>
                <w:rFonts w:hint="eastAsia" w:ascii="仿宋_GB2312" w:hAnsi="宋体" w:eastAsia="仿宋_GB2312" w:cs="仿宋_GB2312"/>
                <w:i w:val="0"/>
                <w:color w:val="auto"/>
                <w:kern w:val="0"/>
                <w:sz w:val="13"/>
                <w:szCs w:val="13"/>
                <w:highlight w:val="none"/>
                <w:u w:val="none"/>
                <w:lang w:val="en-US" w:eastAsia="zh-CN" w:bidi="ar"/>
              </w:rPr>
              <w:t>59</w:t>
            </w:r>
          </w:p>
        </w:tc>
        <w:tc>
          <w:tcPr>
            <w:tcW w:w="1550" w:type="dxa"/>
            <w:vMerge w:val="restart"/>
            <w:tcBorders>
              <w:tl2br w:val="nil"/>
              <w:tr2bl w:val="nil"/>
            </w:tcBorders>
            <w:vAlign w:val="center"/>
          </w:tcPr>
          <w:p w14:paraId="66551A3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sz w:val="13"/>
                <w:szCs w:val="13"/>
                <w:highlight w:val="none"/>
              </w:rPr>
            </w:pPr>
            <w:r>
              <w:rPr>
                <w:rFonts w:hint="eastAsia" w:ascii="仿宋_GB2312" w:hAnsi="宋体" w:eastAsia="仿宋_GB2312"/>
                <w:color w:val="auto"/>
                <w:kern w:val="0"/>
                <w:sz w:val="13"/>
                <w:szCs w:val="13"/>
                <w:highlight w:val="none"/>
              </w:rPr>
              <w:t>未对抗震能力受损、荷载增加或者需提高抗震设防类别的房屋建筑工程，进行抗震验算、修复和加固的</w:t>
            </w:r>
          </w:p>
        </w:tc>
        <w:tc>
          <w:tcPr>
            <w:tcW w:w="4820" w:type="dxa"/>
            <w:vMerge w:val="restart"/>
            <w:tcBorders>
              <w:tl2br w:val="nil"/>
              <w:tr2bl w:val="nil"/>
            </w:tcBorders>
            <w:vAlign w:val="center"/>
          </w:tcPr>
          <w:p w14:paraId="5E74A9C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p>
          <w:p w14:paraId="3AB674E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《房屋建筑工程抗震设防管理规定》</w:t>
            </w:r>
          </w:p>
          <w:p w14:paraId="52783DB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0" w:firstLineChars="2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第二十七条违反本规定，未对抗震能力受损、荷载增加或者需提高抗震设防类别的房屋建筑工程，进行抗震验算、修复和加固的，由县级以上地方人民政府建设主管部门责令限期改正，逾期不改的，处以1万元以下罚款。</w:t>
            </w:r>
          </w:p>
          <w:p w14:paraId="62F737D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sz w:val="13"/>
                <w:szCs w:val="13"/>
                <w:highlight w:val="none"/>
              </w:rPr>
            </w:pPr>
          </w:p>
        </w:tc>
        <w:tc>
          <w:tcPr>
            <w:tcW w:w="823" w:type="dxa"/>
            <w:tcBorders>
              <w:tl2br w:val="nil"/>
              <w:tr2bl w:val="nil"/>
            </w:tcBorders>
            <w:vAlign w:val="center"/>
          </w:tcPr>
          <w:p w14:paraId="236E4CC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vAlign w:val="center"/>
          </w:tcPr>
          <w:p w14:paraId="18475E3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sz w:val="13"/>
                <w:szCs w:val="13"/>
                <w:highlight w:val="none"/>
              </w:rPr>
            </w:pPr>
            <w:r>
              <w:rPr>
                <w:rFonts w:hint="eastAsia" w:ascii="仿宋_GB2312" w:hAnsi="宋体" w:eastAsia="仿宋_GB2312"/>
                <w:color w:val="auto"/>
                <w:kern w:val="0"/>
                <w:sz w:val="13"/>
                <w:szCs w:val="13"/>
                <w:highlight w:val="none"/>
              </w:rPr>
              <w:t>责令限期改正、逾期未改的。</w:t>
            </w:r>
          </w:p>
        </w:tc>
        <w:tc>
          <w:tcPr>
            <w:tcW w:w="3058" w:type="dxa"/>
            <w:tcBorders>
              <w:tl2br w:val="nil"/>
              <w:tr2bl w:val="nil"/>
            </w:tcBorders>
            <w:vAlign w:val="center"/>
          </w:tcPr>
          <w:p w14:paraId="043FB7F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sz w:val="13"/>
                <w:szCs w:val="13"/>
                <w:highlight w:val="none"/>
              </w:rPr>
            </w:pPr>
            <w:r>
              <w:rPr>
                <w:rFonts w:hint="eastAsia" w:ascii="仿宋_GB2312" w:hAnsi="宋体" w:eastAsia="仿宋_GB2312"/>
                <w:color w:val="auto"/>
                <w:kern w:val="0"/>
                <w:sz w:val="13"/>
                <w:szCs w:val="13"/>
                <w:highlight w:val="none"/>
              </w:rPr>
              <w:t>处2千元罚款。</w:t>
            </w:r>
          </w:p>
        </w:tc>
      </w:tr>
      <w:tr w14:paraId="406B1A6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90" w:hRule="atLeast"/>
          <w:jc w:val="center"/>
        </w:trPr>
        <w:tc>
          <w:tcPr>
            <w:tcW w:w="443" w:type="dxa"/>
            <w:gridSpan w:val="2"/>
            <w:vMerge w:val="continue"/>
            <w:tcBorders>
              <w:tl2br w:val="nil"/>
              <w:tr2bl w:val="nil"/>
            </w:tcBorders>
            <w:vAlign w:val="center"/>
          </w:tcPr>
          <w:p w14:paraId="65C40AC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68E1A84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sz w:val="13"/>
                <w:szCs w:val="13"/>
                <w:highlight w:val="none"/>
              </w:rPr>
            </w:pPr>
          </w:p>
        </w:tc>
        <w:tc>
          <w:tcPr>
            <w:tcW w:w="4820" w:type="dxa"/>
            <w:vMerge w:val="continue"/>
            <w:tcBorders>
              <w:tl2br w:val="nil"/>
              <w:tr2bl w:val="nil"/>
            </w:tcBorders>
            <w:vAlign w:val="center"/>
          </w:tcPr>
          <w:p w14:paraId="0F38482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sz w:val="13"/>
                <w:szCs w:val="13"/>
                <w:highlight w:val="none"/>
              </w:rPr>
            </w:pPr>
          </w:p>
        </w:tc>
        <w:tc>
          <w:tcPr>
            <w:tcW w:w="823" w:type="dxa"/>
            <w:tcBorders>
              <w:tl2br w:val="nil"/>
              <w:tr2bl w:val="nil"/>
            </w:tcBorders>
            <w:vAlign w:val="center"/>
          </w:tcPr>
          <w:p w14:paraId="6095B42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一般情节</w:t>
            </w:r>
          </w:p>
        </w:tc>
        <w:tc>
          <w:tcPr>
            <w:tcW w:w="3437" w:type="dxa"/>
            <w:gridSpan w:val="2"/>
            <w:tcBorders>
              <w:tl2br w:val="nil"/>
              <w:tr2bl w:val="nil"/>
            </w:tcBorders>
            <w:vAlign w:val="center"/>
          </w:tcPr>
          <w:p w14:paraId="152959C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sz w:val="13"/>
                <w:szCs w:val="13"/>
                <w:highlight w:val="none"/>
              </w:rPr>
            </w:pPr>
            <w:r>
              <w:rPr>
                <w:rFonts w:hint="eastAsia" w:ascii="仿宋_GB2312" w:hAnsi="宋体" w:eastAsia="仿宋_GB2312"/>
                <w:color w:val="auto"/>
                <w:kern w:val="0"/>
                <w:sz w:val="13"/>
                <w:szCs w:val="13"/>
                <w:highlight w:val="none"/>
              </w:rPr>
              <w:t>不具有从轻、</w:t>
            </w:r>
            <w:r>
              <w:rPr>
                <w:rFonts w:hint="eastAsia" w:ascii="仿宋_GB2312" w:hAnsi="宋体" w:eastAsia="仿宋_GB2312"/>
                <w:color w:val="auto"/>
                <w:kern w:val="0"/>
                <w:sz w:val="13"/>
                <w:szCs w:val="13"/>
                <w:highlight w:val="none"/>
                <w:lang w:eastAsia="zh-CN"/>
              </w:rPr>
              <w:t>从重情节</w:t>
            </w:r>
            <w:r>
              <w:rPr>
                <w:rFonts w:hint="eastAsia" w:ascii="仿宋_GB2312" w:hAnsi="宋体" w:eastAsia="仿宋_GB2312"/>
                <w:color w:val="auto"/>
                <w:kern w:val="0"/>
                <w:sz w:val="13"/>
                <w:szCs w:val="13"/>
                <w:highlight w:val="none"/>
              </w:rPr>
              <w:t>的。</w:t>
            </w:r>
          </w:p>
        </w:tc>
        <w:tc>
          <w:tcPr>
            <w:tcW w:w="3058" w:type="dxa"/>
            <w:tcBorders>
              <w:tl2br w:val="nil"/>
              <w:tr2bl w:val="nil"/>
            </w:tcBorders>
            <w:vAlign w:val="center"/>
          </w:tcPr>
          <w:p w14:paraId="195B9CF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sz w:val="13"/>
                <w:szCs w:val="13"/>
                <w:highlight w:val="none"/>
              </w:rPr>
            </w:pPr>
            <w:r>
              <w:rPr>
                <w:rFonts w:hint="eastAsia" w:ascii="仿宋_GB2312" w:hAnsi="宋体" w:eastAsia="仿宋_GB2312"/>
                <w:color w:val="auto"/>
                <w:kern w:val="0"/>
                <w:sz w:val="13"/>
                <w:szCs w:val="13"/>
                <w:highlight w:val="none"/>
              </w:rPr>
              <w:t>处2千元以上5千以下元罚款。</w:t>
            </w:r>
          </w:p>
        </w:tc>
      </w:tr>
      <w:tr w14:paraId="0D22A4E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16" w:hRule="atLeast"/>
          <w:jc w:val="center"/>
        </w:trPr>
        <w:tc>
          <w:tcPr>
            <w:tcW w:w="443" w:type="dxa"/>
            <w:gridSpan w:val="2"/>
            <w:vMerge w:val="continue"/>
            <w:tcBorders>
              <w:tl2br w:val="nil"/>
              <w:tr2bl w:val="nil"/>
            </w:tcBorders>
            <w:vAlign w:val="center"/>
          </w:tcPr>
          <w:p w14:paraId="30EEFA7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4E030D7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sz w:val="13"/>
                <w:szCs w:val="13"/>
                <w:highlight w:val="none"/>
              </w:rPr>
            </w:pPr>
          </w:p>
        </w:tc>
        <w:tc>
          <w:tcPr>
            <w:tcW w:w="4820" w:type="dxa"/>
            <w:vMerge w:val="continue"/>
            <w:tcBorders>
              <w:tl2br w:val="nil"/>
              <w:tr2bl w:val="nil"/>
            </w:tcBorders>
            <w:vAlign w:val="center"/>
          </w:tcPr>
          <w:p w14:paraId="2FE9827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sz w:val="13"/>
                <w:szCs w:val="13"/>
                <w:highlight w:val="none"/>
              </w:rPr>
            </w:pPr>
          </w:p>
        </w:tc>
        <w:tc>
          <w:tcPr>
            <w:tcW w:w="823" w:type="dxa"/>
            <w:tcBorders>
              <w:tl2br w:val="nil"/>
              <w:tr2bl w:val="nil"/>
            </w:tcBorders>
            <w:vAlign w:val="center"/>
          </w:tcPr>
          <w:p w14:paraId="1CC0E0E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从重情节</w:t>
            </w:r>
          </w:p>
        </w:tc>
        <w:tc>
          <w:tcPr>
            <w:tcW w:w="3437" w:type="dxa"/>
            <w:gridSpan w:val="2"/>
            <w:tcBorders>
              <w:tl2br w:val="nil"/>
              <w:tr2bl w:val="nil"/>
            </w:tcBorders>
            <w:vAlign w:val="center"/>
          </w:tcPr>
          <w:p w14:paraId="2ED17B8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lang w:val="en-US" w:eastAsia="zh-CN"/>
              </w:rPr>
              <w:t>有下列情形之一的：</w:t>
            </w:r>
            <w:r>
              <w:rPr>
                <w:rFonts w:hint="eastAsia" w:ascii="仿宋_GB2312" w:hAnsi="宋体" w:eastAsia="仿宋_GB2312"/>
                <w:color w:val="auto"/>
                <w:kern w:val="0"/>
                <w:sz w:val="13"/>
                <w:szCs w:val="13"/>
                <w:highlight w:val="none"/>
              </w:rPr>
              <w:t>(1)曾因该违法行为被查处，再次实施违法行为的；</w:t>
            </w:r>
          </w:p>
          <w:p w14:paraId="134A2A2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(2)其他依法应予从重处罚的情形。</w:t>
            </w:r>
          </w:p>
          <w:p w14:paraId="5ED28DC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sz w:val="13"/>
                <w:szCs w:val="13"/>
                <w:highlight w:val="none"/>
              </w:rPr>
            </w:pPr>
          </w:p>
        </w:tc>
        <w:tc>
          <w:tcPr>
            <w:tcW w:w="3058" w:type="dxa"/>
            <w:tcBorders>
              <w:tl2br w:val="nil"/>
              <w:tr2bl w:val="nil"/>
            </w:tcBorders>
            <w:vAlign w:val="center"/>
          </w:tcPr>
          <w:p w14:paraId="5F508BD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sz w:val="13"/>
                <w:szCs w:val="13"/>
                <w:highlight w:val="none"/>
              </w:rPr>
            </w:pPr>
            <w:r>
              <w:rPr>
                <w:rFonts w:hint="eastAsia" w:ascii="仿宋_GB2312" w:hAnsi="宋体" w:eastAsia="仿宋_GB2312"/>
                <w:color w:val="auto"/>
                <w:kern w:val="0"/>
                <w:sz w:val="13"/>
                <w:szCs w:val="13"/>
                <w:highlight w:val="none"/>
              </w:rPr>
              <w:t>处5千元以上1万元以下罚款。</w:t>
            </w:r>
          </w:p>
        </w:tc>
      </w:tr>
      <w:tr w14:paraId="322AEDB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90" w:hRule="atLeast"/>
          <w:jc w:val="center"/>
        </w:trPr>
        <w:tc>
          <w:tcPr>
            <w:tcW w:w="443" w:type="dxa"/>
            <w:gridSpan w:val="2"/>
            <w:vMerge w:val="restart"/>
            <w:tcBorders>
              <w:tl2br w:val="nil"/>
              <w:tr2bl w:val="nil"/>
            </w:tcBorders>
            <w:vAlign w:val="center"/>
          </w:tcPr>
          <w:p w14:paraId="600E0C44">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Times New Roman"/>
                <w:color w:val="auto"/>
                <w:sz w:val="13"/>
                <w:szCs w:val="13"/>
                <w:highlight w:val="none"/>
                <w:lang w:val="en-US"/>
              </w:rPr>
            </w:pPr>
            <w:r>
              <w:rPr>
                <w:rFonts w:hint="default" w:ascii="仿宋_GB2312" w:hAnsi="宋体" w:eastAsia="仿宋_GB2312" w:cs="仿宋_GB2312"/>
                <w:i w:val="0"/>
                <w:color w:val="auto"/>
                <w:kern w:val="0"/>
                <w:sz w:val="13"/>
                <w:szCs w:val="13"/>
                <w:highlight w:val="none"/>
                <w:u w:val="none"/>
                <w:lang w:val="en-US" w:eastAsia="zh-CN" w:bidi="ar"/>
              </w:rPr>
              <w:t>1</w:t>
            </w:r>
            <w:r>
              <w:rPr>
                <w:rFonts w:hint="eastAsia" w:ascii="仿宋_GB2312" w:hAnsi="宋体" w:eastAsia="仿宋_GB2312" w:cs="仿宋_GB2312"/>
                <w:i w:val="0"/>
                <w:color w:val="auto"/>
                <w:kern w:val="0"/>
                <w:sz w:val="13"/>
                <w:szCs w:val="13"/>
                <w:highlight w:val="none"/>
                <w:u w:val="none"/>
                <w:lang w:val="en-US" w:eastAsia="zh-CN" w:bidi="ar"/>
              </w:rPr>
              <w:t>60</w:t>
            </w:r>
          </w:p>
        </w:tc>
        <w:tc>
          <w:tcPr>
            <w:tcW w:w="1550" w:type="dxa"/>
            <w:vMerge w:val="restart"/>
            <w:tcBorders>
              <w:tl2br w:val="nil"/>
              <w:tr2bl w:val="nil"/>
            </w:tcBorders>
            <w:vAlign w:val="center"/>
          </w:tcPr>
          <w:p w14:paraId="51108A5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sz w:val="13"/>
                <w:szCs w:val="13"/>
                <w:highlight w:val="none"/>
              </w:rPr>
            </w:pPr>
            <w:r>
              <w:rPr>
                <w:rFonts w:hint="eastAsia" w:ascii="仿宋_GB2312" w:hAnsi="宋体" w:eastAsia="仿宋_GB2312"/>
                <w:color w:val="auto"/>
                <w:kern w:val="0"/>
                <w:sz w:val="13"/>
                <w:szCs w:val="13"/>
                <w:highlight w:val="none"/>
              </w:rPr>
              <w:t>经鉴定需抗震加固的房屋建筑工程在进行装修改造时未进行抗震加固的</w:t>
            </w:r>
          </w:p>
        </w:tc>
        <w:tc>
          <w:tcPr>
            <w:tcW w:w="4820" w:type="dxa"/>
            <w:vMerge w:val="restart"/>
            <w:tcBorders>
              <w:tl2br w:val="nil"/>
              <w:tr2bl w:val="nil"/>
            </w:tcBorders>
            <w:vAlign w:val="center"/>
          </w:tcPr>
          <w:p w14:paraId="665CA97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《房屋建筑工程抗震设防管理规定》</w:t>
            </w:r>
          </w:p>
          <w:p w14:paraId="6AD4C7E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0" w:firstLineChars="200"/>
              <w:jc w:val="left"/>
              <w:textAlignment w:val="center"/>
              <w:rPr>
                <w:rFonts w:ascii="仿宋_GB2312" w:hAnsi="宋体" w:eastAsia="仿宋_GB2312"/>
                <w:color w:val="auto"/>
                <w:sz w:val="13"/>
                <w:szCs w:val="13"/>
                <w:highlight w:val="none"/>
              </w:rPr>
            </w:pPr>
            <w:r>
              <w:rPr>
                <w:rFonts w:hint="eastAsia" w:ascii="仿宋_GB2312" w:hAnsi="宋体" w:eastAsia="仿宋_GB2312"/>
                <w:color w:val="auto"/>
                <w:kern w:val="0"/>
                <w:sz w:val="13"/>
                <w:szCs w:val="13"/>
                <w:highlight w:val="none"/>
              </w:rPr>
              <w:t>第二十八条违反本规定，经鉴定需抗震加固的房屋建筑工程在进行装修改造时未进行抗震加固的，由县级以上地方人民政府建设主管部门责令限期改正，逾期不改的，处以1万元以下罚款。</w:t>
            </w:r>
          </w:p>
        </w:tc>
        <w:tc>
          <w:tcPr>
            <w:tcW w:w="823" w:type="dxa"/>
            <w:tcBorders>
              <w:tl2br w:val="nil"/>
              <w:tr2bl w:val="nil"/>
            </w:tcBorders>
            <w:vAlign w:val="center"/>
          </w:tcPr>
          <w:p w14:paraId="7D071BC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vAlign w:val="center"/>
          </w:tcPr>
          <w:p w14:paraId="6DCFA88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sz w:val="13"/>
                <w:szCs w:val="13"/>
                <w:highlight w:val="none"/>
              </w:rPr>
            </w:pPr>
            <w:r>
              <w:rPr>
                <w:rFonts w:hint="eastAsia" w:ascii="仿宋_GB2312" w:hAnsi="宋体" w:eastAsia="仿宋_GB2312"/>
                <w:color w:val="auto"/>
                <w:kern w:val="0"/>
                <w:sz w:val="13"/>
                <w:szCs w:val="13"/>
                <w:highlight w:val="none"/>
              </w:rPr>
              <w:t>责令限期改正、逾期未改的。</w:t>
            </w:r>
          </w:p>
        </w:tc>
        <w:tc>
          <w:tcPr>
            <w:tcW w:w="3058" w:type="dxa"/>
            <w:tcBorders>
              <w:tl2br w:val="nil"/>
              <w:tr2bl w:val="nil"/>
            </w:tcBorders>
            <w:vAlign w:val="center"/>
          </w:tcPr>
          <w:p w14:paraId="33C92A0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sz w:val="13"/>
                <w:szCs w:val="13"/>
                <w:highlight w:val="none"/>
              </w:rPr>
            </w:pPr>
            <w:r>
              <w:rPr>
                <w:rFonts w:hint="eastAsia" w:ascii="仿宋_GB2312" w:hAnsi="宋体" w:eastAsia="仿宋_GB2312"/>
                <w:color w:val="auto"/>
                <w:kern w:val="0"/>
                <w:sz w:val="13"/>
                <w:szCs w:val="13"/>
                <w:highlight w:val="none"/>
              </w:rPr>
              <w:t>处2千元罚款。</w:t>
            </w:r>
          </w:p>
        </w:tc>
      </w:tr>
      <w:tr w14:paraId="56A77F1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90" w:hRule="atLeast"/>
          <w:jc w:val="center"/>
        </w:trPr>
        <w:tc>
          <w:tcPr>
            <w:tcW w:w="443" w:type="dxa"/>
            <w:gridSpan w:val="2"/>
            <w:vMerge w:val="continue"/>
            <w:tcBorders>
              <w:tl2br w:val="nil"/>
              <w:tr2bl w:val="nil"/>
            </w:tcBorders>
            <w:vAlign w:val="center"/>
          </w:tcPr>
          <w:p w14:paraId="7B26484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6765626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vAlign w:val="center"/>
          </w:tcPr>
          <w:p w14:paraId="61F8E7F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tcBorders>
              <w:tl2br w:val="nil"/>
              <w:tr2bl w:val="nil"/>
            </w:tcBorders>
            <w:vAlign w:val="center"/>
          </w:tcPr>
          <w:p w14:paraId="4EB1CBA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一般情节</w:t>
            </w:r>
          </w:p>
        </w:tc>
        <w:tc>
          <w:tcPr>
            <w:tcW w:w="3437" w:type="dxa"/>
            <w:gridSpan w:val="2"/>
            <w:tcBorders>
              <w:tl2br w:val="nil"/>
              <w:tr2bl w:val="nil"/>
            </w:tcBorders>
            <w:vAlign w:val="center"/>
          </w:tcPr>
          <w:p w14:paraId="5AAEDCC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不具有从轻、</w:t>
            </w:r>
            <w:r>
              <w:rPr>
                <w:rFonts w:hint="eastAsia" w:ascii="仿宋_GB2312" w:hAnsi="宋体" w:eastAsia="仿宋_GB2312"/>
                <w:color w:val="auto"/>
                <w:kern w:val="0"/>
                <w:sz w:val="13"/>
                <w:szCs w:val="13"/>
                <w:highlight w:val="none"/>
                <w:lang w:eastAsia="zh-CN"/>
              </w:rPr>
              <w:t>从重情节</w:t>
            </w:r>
            <w:r>
              <w:rPr>
                <w:rFonts w:hint="eastAsia" w:ascii="仿宋_GB2312" w:hAnsi="宋体" w:eastAsia="仿宋_GB2312"/>
                <w:color w:val="auto"/>
                <w:kern w:val="0"/>
                <w:sz w:val="13"/>
                <w:szCs w:val="13"/>
                <w:highlight w:val="none"/>
              </w:rPr>
              <w:t>的。</w:t>
            </w:r>
          </w:p>
        </w:tc>
        <w:tc>
          <w:tcPr>
            <w:tcW w:w="3058" w:type="dxa"/>
            <w:tcBorders>
              <w:tl2br w:val="nil"/>
              <w:tr2bl w:val="nil"/>
            </w:tcBorders>
            <w:vAlign w:val="center"/>
          </w:tcPr>
          <w:p w14:paraId="37E032C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处2千元以上5千以下元罚款。</w:t>
            </w:r>
          </w:p>
        </w:tc>
      </w:tr>
      <w:tr w14:paraId="390615A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8" w:hRule="atLeast"/>
          <w:jc w:val="center"/>
        </w:trPr>
        <w:tc>
          <w:tcPr>
            <w:tcW w:w="443" w:type="dxa"/>
            <w:gridSpan w:val="2"/>
            <w:vMerge w:val="continue"/>
            <w:tcBorders>
              <w:tl2br w:val="nil"/>
              <w:tr2bl w:val="nil"/>
            </w:tcBorders>
            <w:vAlign w:val="center"/>
          </w:tcPr>
          <w:p w14:paraId="4E89923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1EB70D4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vAlign w:val="center"/>
          </w:tcPr>
          <w:p w14:paraId="6FBFED1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tcBorders>
              <w:tl2br w:val="nil"/>
              <w:tr2bl w:val="nil"/>
            </w:tcBorders>
            <w:vAlign w:val="center"/>
          </w:tcPr>
          <w:p w14:paraId="1BBD757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从重情节</w:t>
            </w:r>
          </w:p>
        </w:tc>
        <w:tc>
          <w:tcPr>
            <w:tcW w:w="3437" w:type="dxa"/>
            <w:gridSpan w:val="2"/>
            <w:tcBorders>
              <w:tl2br w:val="nil"/>
              <w:tr2bl w:val="nil"/>
            </w:tcBorders>
            <w:vAlign w:val="center"/>
          </w:tcPr>
          <w:p w14:paraId="2AEB3BF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(1)逾期不改，曾因该违法行为被查处，再次实施违法行为的；</w:t>
            </w:r>
          </w:p>
          <w:p w14:paraId="13A843A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(2)其他依法应予从重处罚的情形。</w:t>
            </w:r>
          </w:p>
        </w:tc>
        <w:tc>
          <w:tcPr>
            <w:tcW w:w="3058" w:type="dxa"/>
            <w:tcBorders>
              <w:tl2br w:val="nil"/>
              <w:tr2bl w:val="nil"/>
            </w:tcBorders>
            <w:vAlign w:val="center"/>
          </w:tcPr>
          <w:p w14:paraId="368B420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处5千元以上1万元以下罚款。</w:t>
            </w:r>
          </w:p>
        </w:tc>
      </w:tr>
      <w:tr w14:paraId="56FFDAD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16" w:hRule="atLeast"/>
          <w:jc w:val="center"/>
        </w:trPr>
        <w:tc>
          <w:tcPr>
            <w:tcW w:w="443" w:type="dxa"/>
            <w:gridSpan w:val="2"/>
            <w:vMerge w:val="restart"/>
            <w:tcBorders>
              <w:tl2br w:val="nil"/>
              <w:tr2bl w:val="nil"/>
            </w:tcBorders>
            <w:vAlign w:val="center"/>
          </w:tcPr>
          <w:p w14:paraId="5F5A62BE">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Times New Roman"/>
                <w:color w:val="auto"/>
                <w:sz w:val="13"/>
                <w:szCs w:val="13"/>
                <w:highlight w:val="none"/>
                <w:lang w:val="en-US"/>
              </w:rPr>
            </w:pPr>
            <w:r>
              <w:rPr>
                <w:rFonts w:hint="default" w:ascii="仿宋_GB2312" w:hAnsi="宋体" w:eastAsia="仿宋_GB2312" w:cs="仿宋_GB2312"/>
                <w:i w:val="0"/>
                <w:color w:val="auto"/>
                <w:kern w:val="0"/>
                <w:sz w:val="13"/>
                <w:szCs w:val="13"/>
                <w:highlight w:val="none"/>
                <w:u w:val="none"/>
                <w:lang w:val="en-US" w:eastAsia="zh-CN" w:bidi="ar"/>
              </w:rPr>
              <w:t>1</w:t>
            </w:r>
            <w:r>
              <w:rPr>
                <w:rFonts w:hint="eastAsia" w:ascii="仿宋_GB2312" w:hAnsi="宋体" w:eastAsia="仿宋_GB2312" w:cs="仿宋_GB2312"/>
                <w:i w:val="0"/>
                <w:color w:val="auto"/>
                <w:kern w:val="0"/>
                <w:sz w:val="13"/>
                <w:szCs w:val="13"/>
                <w:highlight w:val="none"/>
                <w:u w:val="none"/>
                <w:lang w:val="en-US" w:eastAsia="zh-CN" w:bidi="ar"/>
              </w:rPr>
              <w:t>61</w:t>
            </w:r>
          </w:p>
        </w:tc>
        <w:tc>
          <w:tcPr>
            <w:tcW w:w="1550" w:type="dxa"/>
            <w:vMerge w:val="restart"/>
            <w:tcBorders>
              <w:tl2br w:val="nil"/>
              <w:tr2bl w:val="nil"/>
            </w:tcBorders>
            <w:vAlign w:val="center"/>
          </w:tcPr>
          <w:p w14:paraId="4D65155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sz w:val="13"/>
                <w:szCs w:val="13"/>
                <w:highlight w:val="none"/>
              </w:rPr>
            </w:pPr>
            <w:r>
              <w:rPr>
                <w:rFonts w:hint="eastAsia" w:ascii="仿宋_GB2312" w:hAnsi="宋体" w:eastAsia="仿宋_GB2312"/>
                <w:color w:val="auto"/>
                <w:kern w:val="0"/>
                <w:sz w:val="13"/>
                <w:szCs w:val="13"/>
                <w:highlight w:val="none"/>
              </w:rPr>
              <w:t>企业降低安全生产条件或不具备安全生产条件的</w:t>
            </w:r>
          </w:p>
        </w:tc>
        <w:tc>
          <w:tcPr>
            <w:tcW w:w="4820" w:type="dxa"/>
            <w:vMerge w:val="restart"/>
            <w:tcBorders>
              <w:tl2br w:val="nil"/>
              <w:tr2bl w:val="nil"/>
            </w:tcBorders>
            <w:vAlign w:val="center"/>
          </w:tcPr>
          <w:p w14:paraId="05EDA779">
            <w:pPr>
              <w:keepNext w:val="0"/>
              <w:keepLines w:val="0"/>
              <w:pageBreakBefore w:val="0"/>
              <w:widowControl/>
              <w:shd w:val="clear" w:color="auto" w:fill="FFFFFF"/>
              <w:kinsoku/>
              <w:overflowPunct/>
              <w:topLinePunct w:val="0"/>
              <w:autoSpaceDE/>
              <w:autoSpaceDN/>
              <w:bidi w:val="0"/>
              <w:adjustRightInd/>
              <w:snapToGrid/>
              <w:spacing w:beforeAutospacing="0" w:afterAutospacing="0" w:line="260" w:lineRule="exact"/>
              <w:ind w:left="0" w:leftChars="0" w:right="0" w:rightChars="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《安全生产许可证条例》</w:t>
            </w:r>
          </w:p>
          <w:p w14:paraId="45CE2998">
            <w:pPr>
              <w:keepNext w:val="0"/>
              <w:keepLines w:val="0"/>
              <w:pageBreakBefore w:val="0"/>
              <w:widowControl/>
              <w:shd w:val="clear" w:color="auto" w:fill="FFFFFF"/>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r>
              <w:rPr>
                <w:rFonts w:ascii="仿宋_GB2312" w:hAnsi="宋体" w:eastAsia="仿宋_GB2312"/>
                <w:color w:val="auto"/>
                <w:kern w:val="0"/>
                <w:sz w:val="13"/>
                <w:szCs w:val="13"/>
                <w:highlight w:val="none"/>
              </w:rPr>
              <w:t>第十四条企业取得安全生产许可证后，不得降低安全生产条件，并应当加强日常安全生产管理，接受安全生产许可证颁发管理机关的监督检查。</w:t>
            </w:r>
          </w:p>
          <w:p w14:paraId="66127728">
            <w:pPr>
              <w:keepNext w:val="0"/>
              <w:keepLines w:val="0"/>
              <w:pageBreakBefore w:val="0"/>
              <w:widowControl/>
              <w:shd w:val="clear" w:color="auto" w:fill="FFFFFF"/>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r>
              <w:rPr>
                <w:rFonts w:ascii="仿宋_GB2312" w:hAnsi="宋体" w:eastAsia="仿宋_GB2312"/>
                <w:color w:val="auto"/>
                <w:kern w:val="0"/>
                <w:sz w:val="13"/>
                <w:szCs w:val="13"/>
                <w:highlight w:val="none"/>
              </w:rPr>
              <w:t>安全生产许可证颁发管理机关应当加强对取得安全生产许可证的企业的监督检查，发现其不再具备本条例规定的安全生产条件的，应当暂扣或者吊销安全生产许可证。</w:t>
            </w:r>
          </w:p>
          <w:p w14:paraId="1C95F55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p w14:paraId="0E56B48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《建筑施工企业安全生产许可证管理规定》</w:t>
            </w:r>
          </w:p>
          <w:p w14:paraId="2021B6B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0" w:firstLineChars="2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第二十三条</w:t>
            </w:r>
            <w:r>
              <w:rPr>
                <w:rFonts w:ascii="仿宋_GB2312" w:hAnsi="宋体" w:eastAsia="仿宋_GB2312"/>
                <w:color w:val="auto"/>
                <w:kern w:val="0"/>
                <w:sz w:val="13"/>
                <w:szCs w:val="13"/>
                <w:highlight w:val="none"/>
              </w:rPr>
              <w:t>建筑施工企业不再具备安全生产条件的，暂扣安全生产许可证并限期整改；情节严重的，吊销安全生产许可证。</w:t>
            </w:r>
          </w:p>
        </w:tc>
        <w:tc>
          <w:tcPr>
            <w:tcW w:w="823" w:type="dxa"/>
            <w:tcBorders>
              <w:tl2br w:val="nil"/>
              <w:tr2bl w:val="nil"/>
            </w:tcBorders>
            <w:vAlign w:val="center"/>
          </w:tcPr>
          <w:p w14:paraId="781345B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vAlign w:val="center"/>
          </w:tcPr>
          <w:p w14:paraId="325DEE2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企业不再具备《安全生产许可证条例》第六条或《建筑施工企业安全生产许可证管理规定》第四条规定的安全生产条件中一条以上四条（含）以下的。</w:t>
            </w:r>
          </w:p>
        </w:tc>
        <w:tc>
          <w:tcPr>
            <w:tcW w:w="3058" w:type="dxa"/>
            <w:tcBorders>
              <w:tl2br w:val="nil"/>
              <w:tr2bl w:val="nil"/>
            </w:tcBorders>
            <w:vAlign w:val="center"/>
          </w:tcPr>
          <w:p w14:paraId="4035179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暂扣安全生产许可证30</w:t>
            </w:r>
            <w:r>
              <w:rPr>
                <w:rFonts w:hint="eastAsia" w:ascii="仿宋_GB2312" w:hAnsi="宋体" w:eastAsia="仿宋_GB2312"/>
                <w:color w:val="auto"/>
                <w:kern w:val="0"/>
                <w:sz w:val="13"/>
                <w:szCs w:val="13"/>
                <w:highlight w:val="none"/>
                <w:lang w:val="en-US" w:eastAsia="zh-CN"/>
              </w:rPr>
              <w:t>日</w:t>
            </w:r>
            <w:r>
              <w:rPr>
                <w:rFonts w:hint="eastAsia" w:ascii="仿宋_GB2312" w:hAnsi="宋体" w:eastAsia="仿宋_GB2312"/>
                <w:color w:val="auto"/>
                <w:kern w:val="0"/>
                <w:sz w:val="13"/>
                <w:szCs w:val="13"/>
                <w:highlight w:val="none"/>
              </w:rPr>
              <w:t>。</w:t>
            </w:r>
          </w:p>
        </w:tc>
      </w:tr>
      <w:tr w14:paraId="2979F94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16" w:hRule="atLeast"/>
          <w:jc w:val="center"/>
        </w:trPr>
        <w:tc>
          <w:tcPr>
            <w:tcW w:w="443" w:type="dxa"/>
            <w:gridSpan w:val="2"/>
            <w:vMerge w:val="continue"/>
            <w:tcBorders>
              <w:tl2br w:val="nil"/>
              <w:tr2bl w:val="nil"/>
            </w:tcBorders>
            <w:vAlign w:val="center"/>
          </w:tcPr>
          <w:p w14:paraId="4BBD49C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0832F0E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sz w:val="13"/>
                <w:szCs w:val="13"/>
                <w:highlight w:val="none"/>
              </w:rPr>
            </w:pPr>
          </w:p>
        </w:tc>
        <w:tc>
          <w:tcPr>
            <w:tcW w:w="4820" w:type="dxa"/>
            <w:vMerge w:val="continue"/>
            <w:tcBorders>
              <w:tl2br w:val="nil"/>
              <w:tr2bl w:val="nil"/>
            </w:tcBorders>
            <w:vAlign w:val="center"/>
          </w:tcPr>
          <w:p w14:paraId="5F1537D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sz w:val="13"/>
                <w:szCs w:val="13"/>
                <w:highlight w:val="none"/>
              </w:rPr>
            </w:pPr>
          </w:p>
        </w:tc>
        <w:tc>
          <w:tcPr>
            <w:tcW w:w="823" w:type="dxa"/>
            <w:tcBorders>
              <w:tl2br w:val="nil"/>
              <w:tr2bl w:val="nil"/>
            </w:tcBorders>
            <w:vAlign w:val="center"/>
          </w:tcPr>
          <w:p w14:paraId="2C10787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一般情节</w:t>
            </w:r>
          </w:p>
        </w:tc>
        <w:tc>
          <w:tcPr>
            <w:tcW w:w="3437" w:type="dxa"/>
            <w:gridSpan w:val="2"/>
            <w:tcBorders>
              <w:tl2br w:val="nil"/>
              <w:tr2bl w:val="nil"/>
            </w:tcBorders>
            <w:vAlign w:val="center"/>
          </w:tcPr>
          <w:p w14:paraId="56D21A3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sz w:val="13"/>
                <w:szCs w:val="13"/>
                <w:highlight w:val="none"/>
              </w:rPr>
            </w:pPr>
            <w:r>
              <w:rPr>
                <w:rFonts w:hint="eastAsia" w:ascii="仿宋_GB2312" w:hAnsi="宋体" w:eastAsia="仿宋_GB2312"/>
                <w:color w:val="auto"/>
                <w:kern w:val="0"/>
                <w:sz w:val="13"/>
                <w:szCs w:val="13"/>
                <w:highlight w:val="none"/>
              </w:rPr>
              <w:t>企业不再具备《安全生产许可证条例》第六条或《建筑施工企业安全生产许可证管理规定》第四条规定的安全生产条件中四条以上八条（含）以下的。</w:t>
            </w:r>
          </w:p>
        </w:tc>
        <w:tc>
          <w:tcPr>
            <w:tcW w:w="3058" w:type="dxa"/>
            <w:tcBorders>
              <w:tl2br w:val="nil"/>
              <w:tr2bl w:val="nil"/>
            </w:tcBorders>
            <w:vAlign w:val="center"/>
          </w:tcPr>
          <w:p w14:paraId="29C38E2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sz w:val="13"/>
                <w:szCs w:val="13"/>
                <w:highlight w:val="none"/>
              </w:rPr>
            </w:pPr>
            <w:r>
              <w:rPr>
                <w:rFonts w:hint="eastAsia" w:ascii="仿宋_GB2312" w:hAnsi="宋体" w:eastAsia="仿宋_GB2312"/>
                <w:color w:val="auto"/>
                <w:kern w:val="0"/>
                <w:sz w:val="13"/>
                <w:szCs w:val="13"/>
                <w:highlight w:val="none"/>
              </w:rPr>
              <w:t>暂扣安全生产许可证60</w:t>
            </w:r>
            <w:r>
              <w:rPr>
                <w:rFonts w:hint="eastAsia" w:ascii="仿宋_GB2312" w:hAnsi="宋体" w:eastAsia="仿宋_GB2312"/>
                <w:color w:val="auto"/>
                <w:kern w:val="0"/>
                <w:sz w:val="13"/>
                <w:szCs w:val="13"/>
                <w:highlight w:val="none"/>
                <w:lang w:val="en-US" w:eastAsia="zh-CN"/>
              </w:rPr>
              <w:t>日</w:t>
            </w:r>
            <w:r>
              <w:rPr>
                <w:rFonts w:hint="eastAsia" w:ascii="仿宋_GB2312" w:hAnsi="宋体" w:eastAsia="仿宋_GB2312"/>
                <w:color w:val="auto"/>
                <w:kern w:val="0"/>
                <w:sz w:val="13"/>
                <w:szCs w:val="13"/>
                <w:highlight w:val="none"/>
              </w:rPr>
              <w:t>。</w:t>
            </w:r>
          </w:p>
        </w:tc>
      </w:tr>
      <w:tr w14:paraId="5347EF2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16" w:hRule="atLeast"/>
          <w:jc w:val="center"/>
        </w:trPr>
        <w:tc>
          <w:tcPr>
            <w:tcW w:w="443" w:type="dxa"/>
            <w:gridSpan w:val="2"/>
            <w:vMerge w:val="continue"/>
            <w:tcBorders>
              <w:tl2br w:val="nil"/>
              <w:tr2bl w:val="nil"/>
            </w:tcBorders>
            <w:vAlign w:val="center"/>
          </w:tcPr>
          <w:p w14:paraId="7DA25EA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7203012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sz w:val="13"/>
                <w:szCs w:val="13"/>
                <w:highlight w:val="none"/>
              </w:rPr>
            </w:pPr>
          </w:p>
        </w:tc>
        <w:tc>
          <w:tcPr>
            <w:tcW w:w="4820" w:type="dxa"/>
            <w:vMerge w:val="continue"/>
            <w:tcBorders>
              <w:tl2br w:val="nil"/>
              <w:tr2bl w:val="nil"/>
            </w:tcBorders>
            <w:vAlign w:val="center"/>
          </w:tcPr>
          <w:p w14:paraId="1C2BE32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sz w:val="13"/>
                <w:szCs w:val="13"/>
                <w:highlight w:val="none"/>
              </w:rPr>
            </w:pPr>
          </w:p>
        </w:tc>
        <w:tc>
          <w:tcPr>
            <w:tcW w:w="823" w:type="dxa"/>
            <w:vMerge w:val="restart"/>
            <w:tcBorders>
              <w:tl2br w:val="nil"/>
              <w:tr2bl w:val="nil"/>
            </w:tcBorders>
            <w:vAlign w:val="center"/>
          </w:tcPr>
          <w:p w14:paraId="1B970E7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从重情节</w:t>
            </w:r>
          </w:p>
        </w:tc>
        <w:tc>
          <w:tcPr>
            <w:tcW w:w="3437" w:type="dxa"/>
            <w:gridSpan w:val="2"/>
            <w:tcBorders>
              <w:tl2br w:val="nil"/>
              <w:tr2bl w:val="nil"/>
            </w:tcBorders>
            <w:vAlign w:val="center"/>
          </w:tcPr>
          <w:p w14:paraId="5C15BF3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sz w:val="13"/>
                <w:szCs w:val="13"/>
                <w:highlight w:val="none"/>
              </w:rPr>
            </w:pPr>
            <w:r>
              <w:rPr>
                <w:rFonts w:hint="eastAsia" w:ascii="仿宋_GB2312" w:hAnsi="宋体" w:eastAsia="仿宋_GB2312"/>
                <w:color w:val="auto"/>
                <w:kern w:val="0"/>
                <w:sz w:val="13"/>
                <w:szCs w:val="13"/>
                <w:highlight w:val="none"/>
              </w:rPr>
              <w:t>企业不再具备《安全生产许可证条例》第六条或《建筑施工企业安全生产许可证管理规定》第四条规定的安全生产条件中八条以上十二条（不含）以下的。</w:t>
            </w:r>
          </w:p>
        </w:tc>
        <w:tc>
          <w:tcPr>
            <w:tcW w:w="3058" w:type="dxa"/>
            <w:tcBorders>
              <w:tl2br w:val="nil"/>
              <w:tr2bl w:val="nil"/>
            </w:tcBorders>
            <w:vAlign w:val="center"/>
          </w:tcPr>
          <w:p w14:paraId="2473409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sz w:val="13"/>
                <w:szCs w:val="13"/>
                <w:highlight w:val="none"/>
              </w:rPr>
            </w:pPr>
            <w:r>
              <w:rPr>
                <w:rFonts w:hint="eastAsia" w:ascii="仿宋_GB2312" w:hAnsi="宋体" w:eastAsia="仿宋_GB2312"/>
                <w:color w:val="auto"/>
                <w:kern w:val="0"/>
                <w:sz w:val="13"/>
                <w:szCs w:val="13"/>
                <w:highlight w:val="none"/>
              </w:rPr>
              <w:t>暂扣安全生产许可证90</w:t>
            </w:r>
            <w:r>
              <w:rPr>
                <w:rFonts w:hint="eastAsia" w:ascii="仿宋_GB2312" w:hAnsi="宋体" w:eastAsia="仿宋_GB2312"/>
                <w:color w:val="auto"/>
                <w:kern w:val="0"/>
                <w:sz w:val="13"/>
                <w:szCs w:val="13"/>
                <w:highlight w:val="none"/>
                <w:lang w:val="en-US" w:eastAsia="zh-CN"/>
              </w:rPr>
              <w:t>日</w:t>
            </w:r>
            <w:r>
              <w:rPr>
                <w:rFonts w:hint="eastAsia" w:ascii="仿宋_GB2312" w:hAnsi="宋体" w:eastAsia="仿宋_GB2312"/>
                <w:color w:val="auto"/>
                <w:kern w:val="0"/>
                <w:sz w:val="13"/>
                <w:szCs w:val="13"/>
                <w:highlight w:val="none"/>
              </w:rPr>
              <w:t>。</w:t>
            </w:r>
          </w:p>
        </w:tc>
      </w:tr>
      <w:tr w14:paraId="22776D5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16" w:hRule="atLeast"/>
          <w:jc w:val="center"/>
        </w:trPr>
        <w:tc>
          <w:tcPr>
            <w:tcW w:w="443" w:type="dxa"/>
            <w:gridSpan w:val="2"/>
            <w:vMerge w:val="continue"/>
            <w:tcBorders>
              <w:tl2br w:val="nil"/>
              <w:tr2bl w:val="nil"/>
            </w:tcBorders>
            <w:vAlign w:val="center"/>
          </w:tcPr>
          <w:p w14:paraId="3962010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425E1AA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sz w:val="13"/>
                <w:szCs w:val="13"/>
                <w:highlight w:val="none"/>
              </w:rPr>
            </w:pPr>
          </w:p>
        </w:tc>
        <w:tc>
          <w:tcPr>
            <w:tcW w:w="4820" w:type="dxa"/>
            <w:vMerge w:val="continue"/>
            <w:tcBorders>
              <w:tl2br w:val="nil"/>
              <w:tr2bl w:val="nil"/>
            </w:tcBorders>
            <w:vAlign w:val="center"/>
          </w:tcPr>
          <w:p w14:paraId="72B7EDB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sz w:val="13"/>
                <w:szCs w:val="13"/>
                <w:highlight w:val="none"/>
              </w:rPr>
            </w:pPr>
          </w:p>
        </w:tc>
        <w:tc>
          <w:tcPr>
            <w:tcW w:w="823" w:type="dxa"/>
            <w:vMerge w:val="continue"/>
            <w:tcBorders>
              <w:tl2br w:val="nil"/>
              <w:tr2bl w:val="nil"/>
            </w:tcBorders>
            <w:vAlign w:val="center"/>
          </w:tcPr>
          <w:p w14:paraId="536E19F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sz w:val="13"/>
                <w:szCs w:val="13"/>
                <w:highlight w:val="none"/>
              </w:rPr>
            </w:pPr>
          </w:p>
        </w:tc>
        <w:tc>
          <w:tcPr>
            <w:tcW w:w="3437" w:type="dxa"/>
            <w:gridSpan w:val="2"/>
            <w:tcBorders>
              <w:tl2br w:val="nil"/>
              <w:tr2bl w:val="nil"/>
            </w:tcBorders>
            <w:vAlign w:val="center"/>
          </w:tcPr>
          <w:p w14:paraId="134D1D1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sz w:val="13"/>
                <w:szCs w:val="13"/>
                <w:highlight w:val="none"/>
              </w:rPr>
            </w:pPr>
            <w:r>
              <w:rPr>
                <w:rFonts w:hint="eastAsia" w:ascii="仿宋_GB2312" w:hAnsi="宋体" w:eastAsia="仿宋_GB2312"/>
                <w:color w:val="auto"/>
                <w:kern w:val="0"/>
                <w:sz w:val="13"/>
                <w:szCs w:val="13"/>
                <w:highlight w:val="none"/>
              </w:rPr>
              <w:t>企业不再具备《安全生产许可证条例》第六条或《建筑施工企业安全生产许可证管理规定》第四条规定的全部安全生产条件的。</w:t>
            </w:r>
          </w:p>
        </w:tc>
        <w:tc>
          <w:tcPr>
            <w:tcW w:w="3058" w:type="dxa"/>
            <w:tcBorders>
              <w:tl2br w:val="nil"/>
              <w:tr2bl w:val="nil"/>
            </w:tcBorders>
            <w:vAlign w:val="center"/>
          </w:tcPr>
          <w:p w14:paraId="0CDB785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sz w:val="13"/>
                <w:szCs w:val="13"/>
                <w:highlight w:val="none"/>
              </w:rPr>
            </w:pPr>
            <w:r>
              <w:rPr>
                <w:rFonts w:hint="eastAsia" w:ascii="仿宋_GB2312" w:hAnsi="宋体" w:eastAsia="仿宋_GB2312"/>
                <w:color w:val="auto"/>
                <w:kern w:val="0"/>
                <w:sz w:val="13"/>
                <w:szCs w:val="13"/>
                <w:highlight w:val="none"/>
              </w:rPr>
              <w:t>吊销安全生产许可证。</w:t>
            </w:r>
          </w:p>
        </w:tc>
      </w:tr>
      <w:tr w14:paraId="7D51747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493" w:hRule="atLeast"/>
          <w:jc w:val="center"/>
        </w:trPr>
        <w:tc>
          <w:tcPr>
            <w:tcW w:w="443" w:type="dxa"/>
            <w:gridSpan w:val="2"/>
            <w:vMerge w:val="restart"/>
            <w:tcBorders>
              <w:tl2br w:val="nil"/>
              <w:tr2bl w:val="nil"/>
            </w:tcBorders>
            <w:vAlign w:val="center"/>
          </w:tcPr>
          <w:p w14:paraId="6F40589C">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Times New Roman"/>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162</w:t>
            </w:r>
          </w:p>
        </w:tc>
        <w:tc>
          <w:tcPr>
            <w:tcW w:w="1550" w:type="dxa"/>
            <w:vMerge w:val="restart"/>
            <w:tcBorders>
              <w:tl2br w:val="nil"/>
              <w:tr2bl w:val="nil"/>
            </w:tcBorders>
            <w:vAlign w:val="center"/>
          </w:tcPr>
          <w:p w14:paraId="74D446E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sz w:val="13"/>
                <w:szCs w:val="13"/>
                <w:highlight w:val="none"/>
              </w:rPr>
            </w:pPr>
            <w:r>
              <w:rPr>
                <w:rFonts w:hint="eastAsia" w:ascii="仿宋_GB2312" w:hAnsi="宋体" w:eastAsia="仿宋_GB2312"/>
                <w:color w:val="auto"/>
                <w:kern w:val="0"/>
                <w:sz w:val="13"/>
                <w:szCs w:val="13"/>
                <w:highlight w:val="none"/>
              </w:rPr>
              <w:t>事故发生单位对事故发生负有责任的</w:t>
            </w:r>
          </w:p>
        </w:tc>
        <w:tc>
          <w:tcPr>
            <w:tcW w:w="4820" w:type="dxa"/>
            <w:vMerge w:val="restart"/>
            <w:tcBorders>
              <w:tl2br w:val="nil"/>
              <w:tr2bl w:val="nil"/>
            </w:tcBorders>
            <w:vAlign w:val="center"/>
          </w:tcPr>
          <w:p w14:paraId="693F399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《生产安全事故报告和调查处理条例》</w:t>
            </w:r>
          </w:p>
          <w:p w14:paraId="1AB0086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0" w:firstLineChars="2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第四十条</w:t>
            </w:r>
            <w:r>
              <w:rPr>
                <w:rFonts w:hint="eastAsia" w:ascii="仿宋_GB2312" w:hAnsi="宋体" w:eastAsia="仿宋_GB2312"/>
                <w:color w:val="auto"/>
                <w:kern w:val="0"/>
                <w:sz w:val="13"/>
                <w:szCs w:val="13"/>
                <w:highlight w:val="none"/>
                <w:lang w:eastAsia="zh-CN"/>
              </w:rPr>
              <w:t>第一款</w:t>
            </w:r>
            <w:r>
              <w:rPr>
                <w:rFonts w:hint="eastAsia" w:ascii="仿宋_GB2312" w:hAnsi="宋体" w:eastAsia="仿宋_GB2312"/>
                <w:color w:val="auto"/>
                <w:kern w:val="0"/>
                <w:sz w:val="13"/>
                <w:szCs w:val="13"/>
                <w:highlight w:val="none"/>
              </w:rPr>
              <w:t>事故发生单位对事故发生负有责任的，由有关部门依法暂扣或者吊销其有关证照；对事故发生单位负有事故责任的有关人员，依法暂停或者撤销其与安全生产有关的执业资格、岗位证书；事故发生单位主要负责人受到刑事处罚或者撤职处分的，自刑罚执行完毕或者受处分之日起，5年内不得担任任何生产经营单位的主要负责人。</w:t>
            </w:r>
          </w:p>
          <w:p w14:paraId="10864CD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p>
          <w:p w14:paraId="62B01D58">
            <w:pPr>
              <w:keepNext w:val="0"/>
              <w:keepLines w:val="0"/>
              <w:pageBreakBefore w:val="0"/>
              <w:widowControl/>
              <w:shd w:val="clear" w:color="auto" w:fill="FFFFFF"/>
              <w:kinsoku/>
              <w:overflowPunct/>
              <w:topLinePunct w:val="0"/>
              <w:autoSpaceDE/>
              <w:autoSpaceDN/>
              <w:bidi w:val="0"/>
              <w:adjustRightInd/>
              <w:snapToGrid/>
              <w:spacing w:beforeAutospacing="0" w:afterAutospacing="0" w:line="260" w:lineRule="exact"/>
              <w:ind w:left="0" w:leftChars="0" w:right="0" w:rightChars="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《安全生产许可证条例》</w:t>
            </w:r>
          </w:p>
          <w:p w14:paraId="2B584433">
            <w:pPr>
              <w:keepNext w:val="0"/>
              <w:keepLines w:val="0"/>
              <w:pageBreakBefore w:val="0"/>
              <w:widowControl/>
              <w:shd w:val="clear" w:color="auto" w:fill="FFFFFF"/>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r>
              <w:rPr>
                <w:rFonts w:ascii="仿宋_GB2312" w:hAnsi="宋体" w:eastAsia="仿宋_GB2312"/>
                <w:color w:val="auto"/>
                <w:kern w:val="0"/>
                <w:sz w:val="13"/>
                <w:szCs w:val="13"/>
                <w:highlight w:val="none"/>
              </w:rPr>
              <w:t>第十四条企业取得安全生产许可证后，不得降低安全生产条件，并应当加强日常安全生产管理，接受安全生产许可证颁发管理机关的监督检查。</w:t>
            </w:r>
          </w:p>
          <w:p w14:paraId="1A91DDFC">
            <w:pPr>
              <w:keepNext w:val="0"/>
              <w:keepLines w:val="0"/>
              <w:pageBreakBefore w:val="0"/>
              <w:widowControl/>
              <w:shd w:val="clear" w:color="auto" w:fill="FFFFFF"/>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r>
              <w:rPr>
                <w:rFonts w:ascii="仿宋_GB2312" w:hAnsi="宋体" w:eastAsia="仿宋_GB2312"/>
                <w:color w:val="auto"/>
                <w:kern w:val="0"/>
                <w:sz w:val="13"/>
                <w:szCs w:val="13"/>
                <w:highlight w:val="none"/>
              </w:rPr>
              <w:t>安全生产许可证颁发管理机关应当加强对取得安全生产许可证的企业的监督检查，发现其不再具备本条例规定的安全生产条件的，应当暂扣或者吊销安全生产许可证。</w:t>
            </w:r>
          </w:p>
          <w:p w14:paraId="79EB1EE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p w14:paraId="2051DB0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《建筑施工企业安全生产许可证管理规定》</w:t>
            </w:r>
          </w:p>
          <w:p w14:paraId="1A9E82F2">
            <w:pPr>
              <w:keepNext w:val="0"/>
              <w:keepLines w:val="0"/>
              <w:pageBreakBefore w:val="0"/>
              <w:widowControl/>
              <w:shd w:val="clear" w:color="auto" w:fill="FFFFFF"/>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第二十三条</w:t>
            </w:r>
            <w:r>
              <w:rPr>
                <w:rFonts w:ascii="仿宋_GB2312" w:hAnsi="宋体" w:eastAsia="仿宋_GB2312"/>
                <w:color w:val="auto"/>
                <w:kern w:val="0"/>
                <w:sz w:val="13"/>
                <w:szCs w:val="13"/>
                <w:highlight w:val="none"/>
              </w:rPr>
              <w:t>建筑施工企业不再具备安全生产条件的，暂扣安全生产许可证并限期整改；情节严重的，吊销安全生产许可证。</w:t>
            </w:r>
          </w:p>
          <w:p w14:paraId="79A19FD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p>
          <w:p w14:paraId="7DF9B21C">
            <w:pPr>
              <w:keepNext w:val="0"/>
              <w:keepLines w:val="0"/>
              <w:pageBreakBefore w:val="0"/>
              <w:widowControl/>
              <w:kinsoku/>
              <w:overflowPunct/>
              <w:topLinePunct w:val="0"/>
              <w:autoSpaceDE/>
              <w:autoSpaceDN/>
              <w:bidi w:val="0"/>
              <w:adjustRightInd/>
              <w:snapToGrid/>
              <w:spacing w:beforeAutospacing="0" w:afterAutospacing="0" w:line="260" w:lineRule="exact"/>
              <w:ind w:right="0" w:rightChars="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《建筑施工企业安全生产许可证动态监管暂行办法》</w:t>
            </w:r>
          </w:p>
          <w:p w14:paraId="790AF1F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0" w:firstLineChars="200"/>
              <w:jc w:val="left"/>
              <w:textAlignment w:val="center"/>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第十四条　依据本办法第十三条进行复核，对企业降低安全生产条件的，颁发管理机关应当依法给予企业暂扣安全生产许可证的处罚；属情节特别严重的或者发生特别重大事故的，依法吊销安全生产许可证。</w:t>
            </w:r>
          </w:p>
          <w:p w14:paraId="47F31A5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hint="eastAsia" w:ascii="仿宋_GB2312" w:hAnsi="宋体" w:eastAsia="仿宋_GB2312"/>
                <w:color w:val="auto"/>
                <w:kern w:val="0"/>
                <w:sz w:val="13"/>
                <w:szCs w:val="13"/>
                <w:highlight w:val="none"/>
              </w:rPr>
            </w:pPr>
          </w:p>
          <w:p w14:paraId="642BB86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　　暂扣安全生产许可证处罚视事故发生级别和安全生产条件降低情况，按下列标准执行：</w:t>
            </w:r>
          </w:p>
          <w:p w14:paraId="2325955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　　（一）发生一般事故的，暂扣安全生产许可证30至60日。</w:t>
            </w:r>
          </w:p>
          <w:p w14:paraId="6EECEFF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　　（二）发生较大事故的，暂扣安全生产许可证60至90日。</w:t>
            </w:r>
          </w:p>
          <w:p w14:paraId="0FB406E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　　（三）发生重大事故的，暂扣安全生产许可证90至120日。</w:t>
            </w:r>
          </w:p>
          <w:p w14:paraId="4768530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第十五条　建筑施工企业在12个月内第二次发生生产安全事故的，视事故级别和安全生产条件降低情况，分别按下列标准进行处罚：</w:t>
            </w:r>
          </w:p>
          <w:p w14:paraId="3DD0C30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　　（一）发生一般事故的，暂扣时限为在上一次暂扣时限的基础上再增加30日。</w:t>
            </w:r>
          </w:p>
          <w:p w14:paraId="1063822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　　（二）发生较大事故的，暂扣时限为在上一次暂扣时限的基础上再增加60日。</w:t>
            </w:r>
          </w:p>
          <w:p w14:paraId="55B76DC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　　（三）发生重大事故的，或按本条（一）、（二）处罚暂扣时限超过120日的，吊销安全生产许可证。</w:t>
            </w:r>
          </w:p>
          <w:p w14:paraId="31A8441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　　12个月内同一企业连续发生三次生产安全事故的，吊销安全生产许可证。</w:t>
            </w:r>
          </w:p>
          <w:p w14:paraId="0229047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390" w:firstLineChars="300"/>
              <w:jc w:val="left"/>
              <w:textAlignment w:val="center"/>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第十六条　建筑施工企业瞒报、谎报、迟报或漏报事故的，在本办法第十四条、第十五条处罚的基础上，再处延长暂扣期30日至60日的处罚。暂扣时限超过120日的，吊销安全生产许可证。</w:t>
            </w:r>
          </w:p>
          <w:p w14:paraId="0F841D4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0" w:firstLineChars="200"/>
              <w:jc w:val="left"/>
              <w:textAlignment w:val="center"/>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第十七条　建筑施工企业在安全生产许可证暂扣期内，拒不整改的，吊销其安全生产许可证。</w:t>
            </w:r>
          </w:p>
        </w:tc>
        <w:tc>
          <w:tcPr>
            <w:tcW w:w="823" w:type="dxa"/>
            <w:tcBorders>
              <w:tl2br w:val="nil"/>
              <w:tr2bl w:val="nil"/>
            </w:tcBorders>
            <w:vAlign w:val="center"/>
          </w:tcPr>
          <w:p w14:paraId="3F39BA83">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center"/>
              <w:rPr>
                <w:rFonts w:hint="eastAsia" w:ascii="仿宋_GB2312" w:eastAsia="仿宋_GB2312"/>
                <w:color w:val="auto"/>
                <w:sz w:val="13"/>
                <w:szCs w:val="13"/>
                <w:highlight w:val="none"/>
                <w:lang w:eastAsia="zh-CN"/>
              </w:rPr>
            </w:pPr>
            <w:r>
              <w:rPr>
                <w:rFonts w:hint="eastAsia" w:ascii="仿宋_GB2312" w:eastAsia="仿宋_GB2312"/>
                <w:color w:val="auto"/>
                <w:sz w:val="13"/>
                <w:szCs w:val="13"/>
                <w:highlight w:val="none"/>
                <w:lang w:eastAsia="zh-CN"/>
              </w:rPr>
              <w:t>从轻情节</w:t>
            </w:r>
          </w:p>
        </w:tc>
        <w:tc>
          <w:tcPr>
            <w:tcW w:w="3437" w:type="dxa"/>
            <w:gridSpan w:val="2"/>
            <w:tcBorders>
              <w:tl2br w:val="nil"/>
              <w:tr2bl w:val="nil"/>
            </w:tcBorders>
            <w:vAlign w:val="center"/>
          </w:tcPr>
          <w:p w14:paraId="208CC62A">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eastAsia="仿宋_GB2312"/>
                <w:color w:val="auto"/>
                <w:sz w:val="13"/>
                <w:szCs w:val="13"/>
                <w:highlight w:val="none"/>
                <w:lang w:eastAsia="zh-CN"/>
              </w:rPr>
            </w:pPr>
            <w:r>
              <w:rPr>
                <w:rFonts w:hint="eastAsia" w:ascii="仿宋_GB2312" w:eastAsia="仿宋_GB2312"/>
                <w:color w:val="auto"/>
                <w:sz w:val="13"/>
                <w:szCs w:val="13"/>
                <w:highlight w:val="none"/>
              </w:rPr>
              <w:t>发生一般生产安全事故。</w:t>
            </w:r>
            <w:r>
              <w:rPr>
                <w:rFonts w:hint="eastAsia" w:ascii="仿宋_GB2312" w:eastAsia="仿宋_GB2312"/>
                <w:color w:val="auto"/>
                <w:sz w:val="13"/>
                <w:szCs w:val="13"/>
                <w:highlight w:val="none"/>
                <w:lang w:eastAsia="zh-CN"/>
              </w:rPr>
              <w:t>（</w:t>
            </w:r>
            <w:r>
              <w:rPr>
                <w:rFonts w:hint="eastAsia" w:ascii="仿宋_GB2312" w:eastAsia="仿宋_GB2312"/>
                <w:color w:val="auto"/>
                <w:sz w:val="13"/>
                <w:szCs w:val="13"/>
                <w:highlight w:val="none"/>
                <w:lang w:val="en-US" w:eastAsia="zh-CN"/>
              </w:rPr>
              <w:t>12个月内首次，未</w:t>
            </w:r>
            <w:r>
              <w:rPr>
                <w:rFonts w:hint="eastAsia" w:ascii="仿宋_GB2312" w:hAnsi="宋体" w:eastAsia="仿宋_GB2312"/>
                <w:color w:val="auto"/>
                <w:kern w:val="0"/>
                <w:sz w:val="13"/>
                <w:szCs w:val="13"/>
                <w:highlight w:val="none"/>
              </w:rPr>
              <w:t>瞒报、谎报、迟报或漏报事故</w:t>
            </w:r>
            <w:r>
              <w:rPr>
                <w:rFonts w:hint="eastAsia" w:ascii="仿宋_GB2312" w:eastAsia="仿宋_GB2312"/>
                <w:color w:val="auto"/>
                <w:sz w:val="13"/>
                <w:szCs w:val="13"/>
                <w:highlight w:val="none"/>
                <w:lang w:eastAsia="zh-CN"/>
              </w:rPr>
              <w:t>）</w:t>
            </w:r>
          </w:p>
        </w:tc>
        <w:tc>
          <w:tcPr>
            <w:tcW w:w="3058" w:type="dxa"/>
            <w:tcBorders>
              <w:tl2br w:val="nil"/>
              <w:tr2bl w:val="nil"/>
            </w:tcBorders>
            <w:vAlign w:val="center"/>
          </w:tcPr>
          <w:p w14:paraId="45B5A4EA">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eastAsia="仿宋_GB2312"/>
                <w:color w:val="auto"/>
                <w:sz w:val="13"/>
                <w:szCs w:val="13"/>
                <w:highlight w:val="none"/>
              </w:rPr>
            </w:pPr>
            <w:r>
              <w:rPr>
                <w:rFonts w:hint="eastAsia" w:ascii="仿宋_GB2312" w:eastAsia="仿宋_GB2312"/>
                <w:color w:val="auto"/>
                <w:sz w:val="13"/>
                <w:szCs w:val="13"/>
                <w:highlight w:val="none"/>
              </w:rPr>
              <w:t>暂扣安全生产许可证</w:t>
            </w:r>
            <w:r>
              <w:rPr>
                <w:rFonts w:hint="eastAsia" w:ascii="仿宋_GB2312" w:eastAsia="仿宋_GB2312"/>
                <w:color w:val="auto"/>
                <w:sz w:val="13"/>
                <w:szCs w:val="13"/>
                <w:highlight w:val="none"/>
                <w:lang w:eastAsia="zh-CN"/>
              </w:rPr>
              <w:t>30日-</w:t>
            </w:r>
            <w:r>
              <w:rPr>
                <w:rFonts w:hint="eastAsia" w:ascii="仿宋_GB2312" w:eastAsia="仿宋_GB2312"/>
                <w:color w:val="auto"/>
                <w:sz w:val="13"/>
                <w:szCs w:val="13"/>
                <w:highlight w:val="none"/>
              </w:rPr>
              <w:t>60</w:t>
            </w:r>
            <w:r>
              <w:rPr>
                <w:rFonts w:hint="eastAsia" w:ascii="仿宋_GB2312" w:eastAsia="仿宋_GB2312"/>
                <w:color w:val="auto"/>
                <w:sz w:val="13"/>
                <w:szCs w:val="13"/>
                <w:highlight w:val="none"/>
                <w:lang w:val="en-US" w:eastAsia="zh-CN"/>
              </w:rPr>
              <w:t>日</w:t>
            </w:r>
            <w:r>
              <w:rPr>
                <w:rFonts w:hint="eastAsia" w:ascii="仿宋_GB2312" w:eastAsia="仿宋_GB2312"/>
                <w:color w:val="auto"/>
                <w:sz w:val="13"/>
                <w:szCs w:val="13"/>
                <w:highlight w:val="none"/>
              </w:rPr>
              <w:t>。</w:t>
            </w:r>
          </w:p>
        </w:tc>
      </w:tr>
      <w:tr w14:paraId="42F1271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779" w:hRule="atLeast"/>
          <w:jc w:val="center"/>
        </w:trPr>
        <w:tc>
          <w:tcPr>
            <w:tcW w:w="443" w:type="dxa"/>
            <w:gridSpan w:val="2"/>
            <w:vMerge w:val="continue"/>
            <w:tcBorders>
              <w:tl2br w:val="nil"/>
              <w:tr2bl w:val="nil"/>
            </w:tcBorders>
            <w:vAlign w:val="center"/>
          </w:tcPr>
          <w:p w14:paraId="1C992B8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03BE7F4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sz w:val="13"/>
                <w:szCs w:val="13"/>
                <w:highlight w:val="none"/>
              </w:rPr>
            </w:pPr>
          </w:p>
        </w:tc>
        <w:tc>
          <w:tcPr>
            <w:tcW w:w="4820" w:type="dxa"/>
            <w:vMerge w:val="continue"/>
            <w:tcBorders>
              <w:tl2br w:val="nil"/>
              <w:tr2bl w:val="nil"/>
            </w:tcBorders>
            <w:vAlign w:val="center"/>
          </w:tcPr>
          <w:p w14:paraId="2EAE800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sz w:val="13"/>
                <w:szCs w:val="13"/>
                <w:highlight w:val="none"/>
              </w:rPr>
            </w:pPr>
          </w:p>
        </w:tc>
        <w:tc>
          <w:tcPr>
            <w:tcW w:w="823" w:type="dxa"/>
            <w:tcBorders>
              <w:tl2br w:val="nil"/>
              <w:tr2bl w:val="nil"/>
            </w:tcBorders>
            <w:vAlign w:val="center"/>
          </w:tcPr>
          <w:p w14:paraId="71C115D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rPr>
                <w:rFonts w:hint="eastAsia" w:ascii="仿宋_GB2312" w:hAnsi="宋体" w:eastAsia="仿宋_GB2312"/>
                <w:color w:val="auto"/>
                <w:sz w:val="13"/>
                <w:szCs w:val="13"/>
                <w:highlight w:val="none"/>
                <w:lang w:eastAsia="zh-CN"/>
              </w:rPr>
            </w:pPr>
            <w:r>
              <w:rPr>
                <w:rFonts w:hint="eastAsia" w:ascii="仿宋_GB2312" w:eastAsia="仿宋_GB2312"/>
                <w:color w:val="auto"/>
                <w:sz w:val="13"/>
                <w:szCs w:val="13"/>
                <w:highlight w:val="none"/>
                <w:lang w:eastAsia="zh-CN"/>
              </w:rPr>
              <w:t>一般情节</w:t>
            </w:r>
          </w:p>
        </w:tc>
        <w:tc>
          <w:tcPr>
            <w:tcW w:w="3437" w:type="dxa"/>
            <w:gridSpan w:val="2"/>
            <w:tcBorders>
              <w:tl2br w:val="nil"/>
              <w:tr2bl w:val="nil"/>
            </w:tcBorders>
            <w:vAlign w:val="center"/>
          </w:tcPr>
          <w:p w14:paraId="7AED809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sz w:val="13"/>
                <w:szCs w:val="13"/>
                <w:highlight w:val="none"/>
              </w:rPr>
            </w:pPr>
            <w:r>
              <w:rPr>
                <w:rFonts w:hint="eastAsia" w:ascii="仿宋_GB2312" w:hAnsi="宋体" w:eastAsia="仿宋_GB2312"/>
                <w:color w:val="auto"/>
                <w:kern w:val="0"/>
                <w:sz w:val="13"/>
                <w:szCs w:val="13"/>
                <w:highlight w:val="none"/>
              </w:rPr>
              <w:t>发生较大生产安全事故的</w:t>
            </w:r>
            <w:r>
              <w:rPr>
                <w:rFonts w:hint="eastAsia" w:ascii="仿宋_GB2312" w:hAnsi="宋体" w:eastAsia="仿宋_GB2312"/>
                <w:color w:val="auto"/>
                <w:kern w:val="0"/>
                <w:sz w:val="13"/>
                <w:szCs w:val="13"/>
                <w:highlight w:val="none"/>
                <w:lang w:eastAsia="zh-CN"/>
              </w:rPr>
              <w:t>；</w:t>
            </w:r>
            <w:r>
              <w:rPr>
                <w:rFonts w:hint="eastAsia" w:ascii="仿宋_GB2312" w:eastAsia="仿宋_GB2312"/>
                <w:color w:val="auto"/>
                <w:sz w:val="13"/>
                <w:szCs w:val="13"/>
                <w:highlight w:val="none"/>
                <w:lang w:eastAsia="zh-CN"/>
              </w:rPr>
              <w:t>（</w:t>
            </w:r>
            <w:r>
              <w:rPr>
                <w:rFonts w:hint="eastAsia" w:ascii="仿宋_GB2312" w:eastAsia="仿宋_GB2312"/>
                <w:color w:val="auto"/>
                <w:sz w:val="13"/>
                <w:szCs w:val="13"/>
                <w:highlight w:val="none"/>
                <w:lang w:val="en-US" w:eastAsia="zh-CN"/>
              </w:rPr>
              <w:t>12个月内首次，未</w:t>
            </w:r>
            <w:r>
              <w:rPr>
                <w:rFonts w:hint="eastAsia" w:ascii="仿宋_GB2312" w:hAnsi="宋体" w:eastAsia="仿宋_GB2312"/>
                <w:color w:val="auto"/>
                <w:kern w:val="0"/>
                <w:sz w:val="13"/>
                <w:szCs w:val="13"/>
                <w:highlight w:val="none"/>
              </w:rPr>
              <w:t>瞒报、谎报、迟报或漏报事故</w:t>
            </w:r>
            <w:r>
              <w:rPr>
                <w:rFonts w:hint="eastAsia" w:ascii="仿宋_GB2312" w:eastAsia="仿宋_GB2312"/>
                <w:color w:val="auto"/>
                <w:sz w:val="13"/>
                <w:szCs w:val="13"/>
                <w:highlight w:val="none"/>
                <w:lang w:eastAsia="zh-CN"/>
              </w:rPr>
              <w:t>）</w:t>
            </w:r>
          </w:p>
        </w:tc>
        <w:tc>
          <w:tcPr>
            <w:tcW w:w="3058" w:type="dxa"/>
            <w:tcBorders>
              <w:tl2br w:val="nil"/>
              <w:tr2bl w:val="nil"/>
            </w:tcBorders>
            <w:vAlign w:val="center"/>
          </w:tcPr>
          <w:p w14:paraId="3BB7058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sz w:val="13"/>
                <w:szCs w:val="13"/>
                <w:highlight w:val="none"/>
              </w:rPr>
            </w:pPr>
            <w:r>
              <w:rPr>
                <w:rFonts w:hint="eastAsia" w:ascii="仿宋_GB2312" w:hAnsi="宋体" w:eastAsia="仿宋_GB2312"/>
                <w:color w:val="auto"/>
                <w:sz w:val="13"/>
                <w:szCs w:val="13"/>
                <w:highlight w:val="none"/>
              </w:rPr>
              <w:t>暂扣安全生产许可证</w:t>
            </w:r>
            <w:r>
              <w:rPr>
                <w:rFonts w:hint="eastAsia" w:ascii="仿宋_GB2312" w:hAnsi="宋体" w:eastAsia="仿宋_GB2312"/>
                <w:color w:val="auto"/>
                <w:sz w:val="13"/>
                <w:szCs w:val="13"/>
                <w:highlight w:val="none"/>
                <w:lang w:eastAsia="zh-CN"/>
              </w:rPr>
              <w:t>60日-</w:t>
            </w:r>
            <w:r>
              <w:rPr>
                <w:rFonts w:hint="eastAsia" w:ascii="仿宋_GB2312" w:hAnsi="宋体" w:eastAsia="仿宋_GB2312"/>
                <w:color w:val="auto"/>
                <w:sz w:val="13"/>
                <w:szCs w:val="13"/>
                <w:highlight w:val="none"/>
                <w:lang w:val="en-US" w:eastAsia="zh-CN"/>
              </w:rPr>
              <w:t>90日</w:t>
            </w:r>
            <w:r>
              <w:rPr>
                <w:rFonts w:hint="eastAsia" w:ascii="仿宋_GB2312" w:hAnsi="宋体" w:eastAsia="仿宋_GB2312"/>
                <w:color w:val="auto"/>
                <w:sz w:val="13"/>
                <w:szCs w:val="13"/>
                <w:highlight w:val="none"/>
              </w:rPr>
              <w:t>。</w:t>
            </w:r>
          </w:p>
        </w:tc>
      </w:tr>
      <w:tr w14:paraId="5F1BC8A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779" w:hRule="atLeast"/>
          <w:jc w:val="center"/>
        </w:trPr>
        <w:tc>
          <w:tcPr>
            <w:tcW w:w="443" w:type="dxa"/>
            <w:gridSpan w:val="2"/>
            <w:vMerge w:val="continue"/>
            <w:tcBorders>
              <w:tl2br w:val="nil"/>
              <w:tr2bl w:val="nil"/>
            </w:tcBorders>
            <w:vAlign w:val="center"/>
          </w:tcPr>
          <w:p w14:paraId="188926C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5803B0A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sz w:val="13"/>
                <w:szCs w:val="13"/>
                <w:highlight w:val="none"/>
              </w:rPr>
            </w:pPr>
          </w:p>
        </w:tc>
        <w:tc>
          <w:tcPr>
            <w:tcW w:w="4820" w:type="dxa"/>
            <w:vMerge w:val="continue"/>
            <w:tcBorders>
              <w:tl2br w:val="nil"/>
              <w:tr2bl w:val="nil"/>
            </w:tcBorders>
            <w:vAlign w:val="center"/>
          </w:tcPr>
          <w:p w14:paraId="548ADB7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sz w:val="13"/>
                <w:szCs w:val="13"/>
                <w:highlight w:val="none"/>
              </w:rPr>
            </w:pPr>
          </w:p>
        </w:tc>
        <w:tc>
          <w:tcPr>
            <w:tcW w:w="823" w:type="dxa"/>
            <w:vMerge w:val="restart"/>
            <w:tcBorders>
              <w:tl2br w:val="nil"/>
              <w:tr2bl w:val="nil"/>
            </w:tcBorders>
            <w:vAlign w:val="center"/>
          </w:tcPr>
          <w:p w14:paraId="6FA0D4E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rPr>
                <w:rFonts w:hint="eastAsia" w:ascii="仿宋_GB2312" w:hAnsi="宋体" w:eastAsia="仿宋_GB2312"/>
                <w:color w:val="auto"/>
                <w:sz w:val="13"/>
                <w:szCs w:val="13"/>
                <w:highlight w:val="none"/>
                <w:lang w:eastAsia="zh-CN"/>
              </w:rPr>
            </w:pPr>
            <w:r>
              <w:rPr>
                <w:rFonts w:hint="eastAsia" w:ascii="仿宋_GB2312" w:eastAsia="仿宋_GB2312"/>
                <w:color w:val="auto"/>
                <w:sz w:val="13"/>
                <w:szCs w:val="13"/>
                <w:highlight w:val="none"/>
                <w:lang w:eastAsia="zh-CN"/>
              </w:rPr>
              <w:t>从重情节</w:t>
            </w:r>
          </w:p>
        </w:tc>
        <w:tc>
          <w:tcPr>
            <w:tcW w:w="3437" w:type="dxa"/>
            <w:gridSpan w:val="2"/>
            <w:tcBorders>
              <w:tl2br w:val="nil"/>
              <w:tr2bl w:val="nil"/>
            </w:tcBorders>
            <w:vAlign w:val="center"/>
          </w:tcPr>
          <w:p w14:paraId="3B90D84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lang w:val="en-US" w:eastAsia="zh-CN"/>
              </w:rPr>
              <w:t>12个月内发生两次生产安全事故，第二次事故为一般安全生产事故的（</w:t>
            </w:r>
            <w:r>
              <w:rPr>
                <w:rFonts w:hint="eastAsia" w:ascii="仿宋_GB2312" w:eastAsia="仿宋_GB2312"/>
                <w:color w:val="auto"/>
                <w:sz w:val="13"/>
                <w:szCs w:val="13"/>
                <w:highlight w:val="none"/>
                <w:lang w:val="en-US" w:eastAsia="zh-CN"/>
              </w:rPr>
              <w:t>未</w:t>
            </w:r>
            <w:r>
              <w:rPr>
                <w:rFonts w:hint="eastAsia" w:ascii="仿宋_GB2312" w:hAnsi="宋体" w:eastAsia="仿宋_GB2312"/>
                <w:color w:val="auto"/>
                <w:kern w:val="0"/>
                <w:sz w:val="13"/>
                <w:szCs w:val="13"/>
                <w:highlight w:val="none"/>
              </w:rPr>
              <w:t>瞒报、谎报、迟报或漏报事故</w:t>
            </w:r>
            <w:r>
              <w:rPr>
                <w:rFonts w:hint="eastAsia" w:ascii="仿宋_GB2312" w:eastAsia="仿宋_GB2312"/>
                <w:color w:val="auto"/>
                <w:sz w:val="13"/>
                <w:szCs w:val="13"/>
                <w:highlight w:val="none"/>
                <w:lang w:eastAsia="zh-CN"/>
              </w:rPr>
              <w:t>）</w:t>
            </w:r>
          </w:p>
        </w:tc>
        <w:tc>
          <w:tcPr>
            <w:tcW w:w="3058" w:type="dxa"/>
            <w:tcBorders>
              <w:tl2br w:val="nil"/>
              <w:tr2bl w:val="nil"/>
            </w:tcBorders>
            <w:vAlign w:val="center"/>
          </w:tcPr>
          <w:p w14:paraId="22F52A3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sz w:val="13"/>
                <w:szCs w:val="13"/>
                <w:highlight w:val="none"/>
              </w:rPr>
            </w:pPr>
            <w:r>
              <w:rPr>
                <w:rFonts w:hint="eastAsia" w:ascii="仿宋_GB2312" w:hAnsi="宋体" w:eastAsia="仿宋_GB2312"/>
                <w:color w:val="auto"/>
                <w:sz w:val="13"/>
                <w:szCs w:val="13"/>
                <w:highlight w:val="none"/>
              </w:rPr>
              <w:t>暂扣时限为在上一次暂扣时限的基础上再增加30日。</w:t>
            </w:r>
          </w:p>
        </w:tc>
      </w:tr>
      <w:tr w14:paraId="3C82C34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779" w:hRule="atLeast"/>
          <w:jc w:val="center"/>
        </w:trPr>
        <w:tc>
          <w:tcPr>
            <w:tcW w:w="443" w:type="dxa"/>
            <w:gridSpan w:val="2"/>
            <w:vMerge w:val="continue"/>
            <w:tcBorders>
              <w:tl2br w:val="nil"/>
              <w:tr2bl w:val="nil"/>
            </w:tcBorders>
            <w:vAlign w:val="center"/>
          </w:tcPr>
          <w:p w14:paraId="1247A46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3B8A3CA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sz w:val="13"/>
                <w:szCs w:val="13"/>
                <w:highlight w:val="none"/>
              </w:rPr>
            </w:pPr>
          </w:p>
        </w:tc>
        <w:tc>
          <w:tcPr>
            <w:tcW w:w="4820" w:type="dxa"/>
            <w:vMerge w:val="continue"/>
            <w:tcBorders>
              <w:tl2br w:val="nil"/>
              <w:tr2bl w:val="nil"/>
            </w:tcBorders>
            <w:vAlign w:val="center"/>
          </w:tcPr>
          <w:p w14:paraId="4D4CA2E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sz w:val="13"/>
                <w:szCs w:val="13"/>
                <w:highlight w:val="none"/>
              </w:rPr>
            </w:pPr>
          </w:p>
        </w:tc>
        <w:tc>
          <w:tcPr>
            <w:tcW w:w="823" w:type="dxa"/>
            <w:vMerge w:val="continue"/>
            <w:tcBorders>
              <w:tl2br w:val="nil"/>
              <w:tr2bl w:val="nil"/>
            </w:tcBorders>
            <w:vAlign w:val="center"/>
          </w:tcPr>
          <w:p w14:paraId="2170C1F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rPr>
                <w:rFonts w:hint="eastAsia" w:ascii="仿宋_GB2312" w:eastAsia="仿宋_GB2312"/>
                <w:color w:val="auto"/>
                <w:sz w:val="13"/>
                <w:szCs w:val="13"/>
                <w:highlight w:val="none"/>
                <w:lang w:eastAsia="zh-CN"/>
              </w:rPr>
            </w:pPr>
          </w:p>
        </w:tc>
        <w:tc>
          <w:tcPr>
            <w:tcW w:w="3437" w:type="dxa"/>
            <w:gridSpan w:val="2"/>
            <w:tcBorders>
              <w:tl2br w:val="nil"/>
              <w:tr2bl w:val="nil"/>
            </w:tcBorders>
            <w:vAlign w:val="center"/>
          </w:tcPr>
          <w:p w14:paraId="26FD4FF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lang w:val="en-US" w:eastAsia="zh-CN"/>
              </w:rPr>
            </w:pPr>
            <w:r>
              <w:rPr>
                <w:rFonts w:hint="eastAsia" w:ascii="仿宋_GB2312" w:hAnsi="宋体" w:eastAsia="仿宋_GB2312"/>
                <w:color w:val="auto"/>
                <w:kern w:val="0"/>
                <w:sz w:val="13"/>
                <w:szCs w:val="13"/>
                <w:highlight w:val="none"/>
                <w:lang w:val="en-US" w:eastAsia="zh-CN"/>
              </w:rPr>
              <w:t>12个月内发生两次生产安全事故，第二次事故为较大安全生产事故的（</w:t>
            </w:r>
            <w:r>
              <w:rPr>
                <w:rFonts w:hint="eastAsia" w:ascii="仿宋_GB2312" w:eastAsia="仿宋_GB2312"/>
                <w:color w:val="auto"/>
                <w:sz w:val="13"/>
                <w:szCs w:val="13"/>
                <w:highlight w:val="none"/>
                <w:lang w:val="en-US" w:eastAsia="zh-CN"/>
              </w:rPr>
              <w:t>未</w:t>
            </w:r>
            <w:r>
              <w:rPr>
                <w:rFonts w:hint="eastAsia" w:ascii="仿宋_GB2312" w:hAnsi="宋体" w:eastAsia="仿宋_GB2312"/>
                <w:color w:val="auto"/>
                <w:kern w:val="0"/>
                <w:sz w:val="13"/>
                <w:szCs w:val="13"/>
                <w:highlight w:val="none"/>
              </w:rPr>
              <w:t>瞒报、谎报、迟报或漏报事故</w:t>
            </w:r>
            <w:r>
              <w:rPr>
                <w:rFonts w:hint="eastAsia" w:ascii="仿宋_GB2312" w:eastAsia="仿宋_GB2312"/>
                <w:color w:val="auto"/>
                <w:sz w:val="13"/>
                <w:szCs w:val="13"/>
                <w:highlight w:val="none"/>
                <w:lang w:eastAsia="zh-CN"/>
              </w:rPr>
              <w:t>）</w:t>
            </w:r>
          </w:p>
        </w:tc>
        <w:tc>
          <w:tcPr>
            <w:tcW w:w="3058" w:type="dxa"/>
            <w:tcBorders>
              <w:tl2br w:val="nil"/>
              <w:tr2bl w:val="nil"/>
            </w:tcBorders>
            <w:vAlign w:val="center"/>
          </w:tcPr>
          <w:p w14:paraId="7D6EFC5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sz w:val="13"/>
                <w:szCs w:val="13"/>
                <w:highlight w:val="none"/>
              </w:rPr>
            </w:pPr>
            <w:r>
              <w:rPr>
                <w:rFonts w:hint="eastAsia" w:ascii="仿宋_GB2312" w:hAnsi="宋体" w:eastAsia="仿宋_GB2312"/>
                <w:color w:val="auto"/>
                <w:sz w:val="13"/>
                <w:szCs w:val="13"/>
                <w:highlight w:val="none"/>
              </w:rPr>
              <w:t>暂扣时限为在上一次暂扣时限的基础上再增加</w:t>
            </w:r>
            <w:r>
              <w:rPr>
                <w:rFonts w:hint="eastAsia" w:ascii="仿宋_GB2312" w:hAnsi="宋体" w:eastAsia="仿宋_GB2312"/>
                <w:color w:val="auto"/>
                <w:sz w:val="13"/>
                <w:szCs w:val="13"/>
                <w:highlight w:val="none"/>
                <w:lang w:val="en-US" w:eastAsia="zh-CN"/>
              </w:rPr>
              <w:t>60</w:t>
            </w:r>
            <w:r>
              <w:rPr>
                <w:rFonts w:hint="eastAsia" w:ascii="仿宋_GB2312" w:hAnsi="宋体" w:eastAsia="仿宋_GB2312"/>
                <w:color w:val="auto"/>
                <w:sz w:val="13"/>
                <w:szCs w:val="13"/>
                <w:highlight w:val="none"/>
              </w:rPr>
              <w:t>日。</w:t>
            </w:r>
          </w:p>
        </w:tc>
      </w:tr>
      <w:tr w14:paraId="7E31A45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779" w:hRule="atLeast"/>
          <w:jc w:val="center"/>
        </w:trPr>
        <w:tc>
          <w:tcPr>
            <w:tcW w:w="443" w:type="dxa"/>
            <w:gridSpan w:val="2"/>
            <w:vMerge w:val="continue"/>
            <w:tcBorders>
              <w:tl2br w:val="nil"/>
              <w:tr2bl w:val="nil"/>
            </w:tcBorders>
            <w:vAlign w:val="center"/>
          </w:tcPr>
          <w:p w14:paraId="4F017FD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62EE268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sz w:val="13"/>
                <w:szCs w:val="13"/>
                <w:highlight w:val="none"/>
              </w:rPr>
            </w:pPr>
          </w:p>
        </w:tc>
        <w:tc>
          <w:tcPr>
            <w:tcW w:w="4820" w:type="dxa"/>
            <w:vMerge w:val="continue"/>
            <w:tcBorders>
              <w:tl2br w:val="nil"/>
              <w:tr2bl w:val="nil"/>
            </w:tcBorders>
            <w:vAlign w:val="center"/>
          </w:tcPr>
          <w:p w14:paraId="2990B92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sz w:val="13"/>
                <w:szCs w:val="13"/>
                <w:highlight w:val="none"/>
              </w:rPr>
            </w:pPr>
          </w:p>
        </w:tc>
        <w:tc>
          <w:tcPr>
            <w:tcW w:w="823" w:type="dxa"/>
            <w:vMerge w:val="continue"/>
            <w:tcBorders>
              <w:tl2br w:val="nil"/>
              <w:tr2bl w:val="nil"/>
            </w:tcBorders>
            <w:vAlign w:val="center"/>
          </w:tcPr>
          <w:p w14:paraId="01E603F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rPr>
                <w:rFonts w:hint="eastAsia" w:ascii="仿宋_GB2312" w:eastAsia="仿宋_GB2312"/>
                <w:color w:val="auto"/>
                <w:sz w:val="13"/>
                <w:szCs w:val="13"/>
                <w:highlight w:val="none"/>
                <w:lang w:eastAsia="zh-CN"/>
              </w:rPr>
            </w:pPr>
          </w:p>
        </w:tc>
        <w:tc>
          <w:tcPr>
            <w:tcW w:w="3437" w:type="dxa"/>
            <w:gridSpan w:val="2"/>
            <w:tcBorders>
              <w:tl2br w:val="nil"/>
              <w:tr2bl w:val="nil"/>
            </w:tcBorders>
            <w:vAlign w:val="center"/>
          </w:tcPr>
          <w:p w14:paraId="1DDC753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lang w:val="en-US" w:eastAsia="zh-CN"/>
              </w:rPr>
            </w:pPr>
            <w:r>
              <w:rPr>
                <w:rFonts w:hint="eastAsia" w:ascii="仿宋_GB2312" w:hAnsi="宋体" w:eastAsia="仿宋_GB2312"/>
                <w:color w:val="auto"/>
                <w:kern w:val="0"/>
                <w:sz w:val="13"/>
                <w:szCs w:val="13"/>
                <w:highlight w:val="none"/>
                <w:lang w:val="en-US" w:eastAsia="zh-CN"/>
              </w:rPr>
              <w:t>12个月内发生事故</w:t>
            </w:r>
            <w:r>
              <w:rPr>
                <w:rFonts w:hint="eastAsia" w:ascii="仿宋_GB2312" w:hAnsi="宋体" w:eastAsia="仿宋_GB2312"/>
                <w:color w:val="auto"/>
                <w:kern w:val="0"/>
                <w:sz w:val="13"/>
                <w:szCs w:val="13"/>
                <w:highlight w:val="none"/>
              </w:rPr>
              <w:t>瞒报、谎报、迟报或漏报</w:t>
            </w:r>
            <w:r>
              <w:rPr>
                <w:rFonts w:hint="eastAsia" w:ascii="仿宋_GB2312" w:hAnsi="宋体" w:eastAsia="仿宋_GB2312"/>
                <w:color w:val="auto"/>
                <w:kern w:val="0"/>
                <w:sz w:val="13"/>
                <w:szCs w:val="13"/>
                <w:highlight w:val="none"/>
                <w:lang w:val="en-US" w:eastAsia="zh-CN"/>
              </w:rPr>
              <w:t>的</w:t>
            </w:r>
          </w:p>
        </w:tc>
        <w:tc>
          <w:tcPr>
            <w:tcW w:w="3058" w:type="dxa"/>
            <w:tcBorders>
              <w:tl2br w:val="nil"/>
              <w:tr2bl w:val="nil"/>
            </w:tcBorders>
            <w:vAlign w:val="center"/>
          </w:tcPr>
          <w:p w14:paraId="4B1C17A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sz w:val="13"/>
                <w:szCs w:val="13"/>
                <w:highlight w:val="none"/>
              </w:rPr>
            </w:pPr>
            <w:r>
              <w:rPr>
                <w:rFonts w:hint="eastAsia" w:ascii="仿宋_GB2312" w:hAnsi="宋体" w:eastAsia="仿宋_GB2312"/>
                <w:color w:val="auto"/>
                <w:sz w:val="13"/>
                <w:szCs w:val="13"/>
                <w:highlight w:val="none"/>
              </w:rPr>
              <w:t>在</w:t>
            </w:r>
            <w:r>
              <w:rPr>
                <w:rFonts w:hint="eastAsia" w:ascii="仿宋_GB2312" w:hAnsi="宋体" w:eastAsia="仿宋_GB2312"/>
                <w:color w:val="auto"/>
                <w:sz w:val="13"/>
                <w:szCs w:val="13"/>
                <w:highlight w:val="none"/>
                <w:lang w:val="en-US" w:eastAsia="zh-CN"/>
              </w:rPr>
              <w:t>从轻情节、一般情节、从重情节第一、二项确定应给予</w:t>
            </w:r>
            <w:r>
              <w:rPr>
                <w:rFonts w:hint="eastAsia" w:ascii="仿宋_GB2312" w:hAnsi="宋体" w:eastAsia="仿宋_GB2312"/>
                <w:color w:val="auto"/>
                <w:sz w:val="13"/>
                <w:szCs w:val="13"/>
                <w:highlight w:val="none"/>
              </w:rPr>
              <w:t>处罚的基础上，再处延长暂扣期30日至60日。</w:t>
            </w:r>
          </w:p>
        </w:tc>
      </w:tr>
      <w:tr w14:paraId="32E831C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057" w:hRule="atLeast"/>
          <w:jc w:val="center"/>
        </w:trPr>
        <w:tc>
          <w:tcPr>
            <w:tcW w:w="443" w:type="dxa"/>
            <w:gridSpan w:val="2"/>
            <w:vMerge w:val="continue"/>
            <w:tcBorders>
              <w:tl2br w:val="nil"/>
              <w:tr2bl w:val="nil"/>
            </w:tcBorders>
            <w:vAlign w:val="center"/>
          </w:tcPr>
          <w:p w14:paraId="5031EBA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6965330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sz w:val="13"/>
                <w:szCs w:val="13"/>
                <w:highlight w:val="none"/>
              </w:rPr>
            </w:pPr>
          </w:p>
        </w:tc>
        <w:tc>
          <w:tcPr>
            <w:tcW w:w="4820" w:type="dxa"/>
            <w:vMerge w:val="continue"/>
            <w:tcBorders>
              <w:tl2br w:val="nil"/>
              <w:tr2bl w:val="nil"/>
            </w:tcBorders>
            <w:vAlign w:val="center"/>
          </w:tcPr>
          <w:p w14:paraId="1E7DBC3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sz w:val="13"/>
                <w:szCs w:val="13"/>
                <w:highlight w:val="none"/>
              </w:rPr>
            </w:pPr>
          </w:p>
        </w:tc>
        <w:tc>
          <w:tcPr>
            <w:tcW w:w="823" w:type="dxa"/>
            <w:vMerge w:val="continue"/>
            <w:tcBorders>
              <w:tl2br w:val="nil"/>
              <w:tr2bl w:val="nil"/>
            </w:tcBorders>
            <w:vAlign w:val="center"/>
          </w:tcPr>
          <w:p w14:paraId="03063D3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rPr>
                <w:rFonts w:hint="eastAsia" w:ascii="仿宋_GB2312" w:hAnsi="宋体" w:eastAsia="仿宋_GB2312"/>
                <w:color w:val="auto"/>
                <w:sz w:val="13"/>
                <w:szCs w:val="13"/>
                <w:highlight w:val="none"/>
                <w:lang w:eastAsia="zh-CN"/>
              </w:rPr>
            </w:pPr>
          </w:p>
        </w:tc>
        <w:tc>
          <w:tcPr>
            <w:tcW w:w="3437" w:type="dxa"/>
            <w:gridSpan w:val="2"/>
            <w:tcBorders>
              <w:tl2br w:val="nil"/>
              <w:tr2bl w:val="nil"/>
            </w:tcBorders>
            <w:vAlign w:val="center"/>
          </w:tcPr>
          <w:p w14:paraId="2C32C59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r>
              <w:rPr>
                <w:rFonts w:hint="eastAsia" w:ascii="仿宋_GB2312" w:eastAsia="仿宋_GB2312"/>
                <w:color w:val="auto"/>
                <w:sz w:val="13"/>
                <w:szCs w:val="13"/>
                <w:highlight w:val="none"/>
              </w:rPr>
              <w:t>发生重大生产安全事故的</w:t>
            </w:r>
            <w:r>
              <w:rPr>
                <w:rFonts w:hint="eastAsia" w:ascii="仿宋_GB2312" w:eastAsia="仿宋_GB2312"/>
                <w:color w:val="auto"/>
                <w:sz w:val="13"/>
                <w:szCs w:val="13"/>
                <w:highlight w:val="none"/>
                <w:lang w:eastAsia="zh-CN"/>
              </w:rPr>
              <w:t>（</w:t>
            </w:r>
            <w:r>
              <w:rPr>
                <w:rFonts w:hint="eastAsia" w:ascii="仿宋_GB2312" w:eastAsia="仿宋_GB2312"/>
                <w:color w:val="auto"/>
                <w:sz w:val="13"/>
                <w:szCs w:val="13"/>
                <w:highlight w:val="none"/>
                <w:lang w:val="en-US" w:eastAsia="zh-CN"/>
              </w:rPr>
              <w:t>12个月内首次</w:t>
            </w:r>
            <w:r>
              <w:rPr>
                <w:rFonts w:hint="eastAsia" w:ascii="仿宋_GB2312" w:eastAsia="仿宋_GB2312"/>
                <w:color w:val="auto"/>
                <w:sz w:val="13"/>
                <w:szCs w:val="13"/>
                <w:highlight w:val="none"/>
                <w:lang w:eastAsia="zh-CN"/>
              </w:rPr>
              <w:t>）</w:t>
            </w:r>
            <w:r>
              <w:rPr>
                <w:rFonts w:hint="eastAsia" w:ascii="仿宋_GB2312" w:eastAsia="仿宋_GB2312"/>
                <w:color w:val="auto"/>
                <w:sz w:val="13"/>
                <w:szCs w:val="13"/>
                <w:highlight w:val="none"/>
              </w:rPr>
              <w:t>；</w:t>
            </w:r>
            <w:r>
              <w:rPr>
                <w:rFonts w:hint="eastAsia" w:ascii="仿宋_GB2312" w:hAnsi="宋体" w:eastAsia="仿宋_GB2312"/>
                <w:color w:val="auto"/>
                <w:kern w:val="0"/>
                <w:sz w:val="13"/>
                <w:szCs w:val="13"/>
                <w:highlight w:val="none"/>
              </w:rPr>
              <w:t>因违法发包、转包、违法分包、挂靠等违法行为导致发生较大生产安全事故的</w:t>
            </w:r>
            <w:r>
              <w:rPr>
                <w:rFonts w:hint="eastAsia" w:ascii="仿宋_GB2312" w:eastAsia="仿宋_GB2312"/>
                <w:color w:val="auto"/>
                <w:sz w:val="13"/>
                <w:szCs w:val="13"/>
                <w:highlight w:val="none"/>
                <w:lang w:eastAsia="zh-CN"/>
              </w:rPr>
              <w:t>（</w:t>
            </w:r>
            <w:r>
              <w:rPr>
                <w:rFonts w:hint="eastAsia" w:ascii="仿宋_GB2312" w:eastAsia="仿宋_GB2312"/>
                <w:color w:val="auto"/>
                <w:sz w:val="13"/>
                <w:szCs w:val="13"/>
                <w:highlight w:val="none"/>
                <w:lang w:val="en-US" w:eastAsia="zh-CN"/>
              </w:rPr>
              <w:t>12个月内首次</w:t>
            </w:r>
            <w:r>
              <w:rPr>
                <w:rFonts w:hint="eastAsia" w:ascii="仿宋_GB2312" w:eastAsia="仿宋_GB2312"/>
                <w:color w:val="auto"/>
                <w:sz w:val="13"/>
                <w:szCs w:val="13"/>
                <w:highlight w:val="none"/>
                <w:lang w:eastAsia="zh-CN"/>
              </w:rPr>
              <w:t>）</w:t>
            </w:r>
            <w:r>
              <w:rPr>
                <w:rFonts w:hint="eastAsia" w:ascii="仿宋_GB2312" w:hAnsi="宋体" w:eastAsia="仿宋_GB2312"/>
                <w:color w:val="auto"/>
                <w:kern w:val="0"/>
                <w:sz w:val="13"/>
                <w:szCs w:val="13"/>
                <w:highlight w:val="none"/>
              </w:rPr>
              <w:t>。</w:t>
            </w:r>
          </w:p>
        </w:tc>
        <w:tc>
          <w:tcPr>
            <w:tcW w:w="3058" w:type="dxa"/>
            <w:tcBorders>
              <w:tl2br w:val="nil"/>
              <w:tr2bl w:val="nil"/>
            </w:tcBorders>
            <w:vAlign w:val="center"/>
          </w:tcPr>
          <w:p w14:paraId="5A2F87C2">
            <w:pPr>
              <w:keepNext w:val="0"/>
              <w:keepLines w:val="0"/>
              <w:widowControl/>
              <w:suppressLineNumbers w:val="0"/>
              <w:jc w:val="left"/>
              <w:textAlignment w:val="center"/>
              <w:rPr>
                <w:rFonts w:ascii="仿宋_GB2312" w:hAnsi="宋体" w:eastAsia="仿宋_GB2312"/>
                <w:color w:val="auto"/>
                <w:sz w:val="13"/>
                <w:szCs w:val="13"/>
                <w:highlight w:val="none"/>
              </w:rPr>
            </w:pPr>
            <w:r>
              <w:rPr>
                <w:rFonts w:hint="eastAsia" w:ascii="仿宋_GB2312" w:hAnsi="宋体" w:eastAsia="仿宋_GB2312" w:cs="仿宋_GB2312"/>
                <w:i w:val="0"/>
                <w:iCs w:val="0"/>
                <w:color w:val="auto"/>
                <w:kern w:val="0"/>
                <w:sz w:val="13"/>
                <w:szCs w:val="13"/>
                <w:highlight w:val="none"/>
                <w:u w:val="none"/>
                <w:lang w:val="en-US" w:eastAsia="zh-CN" w:bidi="ar"/>
              </w:rPr>
              <w:t>暂扣安全生产许可证90日-120日。</w:t>
            </w:r>
          </w:p>
        </w:tc>
      </w:tr>
      <w:tr w14:paraId="4CFF446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539" w:hRule="atLeast"/>
          <w:jc w:val="center"/>
        </w:trPr>
        <w:tc>
          <w:tcPr>
            <w:tcW w:w="443" w:type="dxa"/>
            <w:gridSpan w:val="2"/>
            <w:vMerge w:val="continue"/>
            <w:tcBorders>
              <w:tl2br w:val="nil"/>
              <w:tr2bl w:val="nil"/>
            </w:tcBorders>
            <w:vAlign w:val="center"/>
          </w:tcPr>
          <w:p w14:paraId="2EDCABC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05E8BFD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sz w:val="13"/>
                <w:szCs w:val="13"/>
                <w:highlight w:val="none"/>
              </w:rPr>
            </w:pPr>
          </w:p>
        </w:tc>
        <w:tc>
          <w:tcPr>
            <w:tcW w:w="4820" w:type="dxa"/>
            <w:vMerge w:val="continue"/>
            <w:tcBorders>
              <w:tl2br w:val="nil"/>
              <w:tr2bl w:val="nil"/>
            </w:tcBorders>
            <w:vAlign w:val="center"/>
          </w:tcPr>
          <w:p w14:paraId="089E5A5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sz w:val="13"/>
                <w:szCs w:val="13"/>
                <w:highlight w:val="none"/>
              </w:rPr>
            </w:pPr>
          </w:p>
        </w:tc>
        <w:tc>
          <w:tcPr>
            <w:tcW w:w="823" w:type="dxa"/>
            <w:vMerge w:val="continue"/>
            <w:tcBorders>
              <w:tl2br w:val="nil"/>
              <w:tr2bl w:val="nil"/>
            </w:tcBorders>
            <w:vAlign w:val="center"/>
          </w:tcPr>
          <w:p w14:paraId="6948EB3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sz w:val="13"/>
                <w:szCs w:val="13"/>
                <w:highlight w:val="none"/>
              </w:rPr>
            </w:pPr>
          </w:p>
        </w:tc>
        <w:tc>
          <w:tcPr>
            <w:tcW w:w="3437" w:type="dxa"/>
            <w:gridSpan w:val="2"/>
            <w:tcBorders>
              <w:tl2br w:val="nil"/>
              <w:tr2bl w:val="nil"/>
            </w:tcBorders>
            <w:vAlign w:val="center"/>
          </w:tcPr>
          <w:p w14:paraId="1E96D93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eastAsia="仿宋_GB2312"/>
                <w:color w:val="auto"/>
                <w:sz w:val="13"/>
                <w:szCs w:val="13"/>
                <w:highlight w:val="none"/>
                <w:lang w:eastAsia="zh-CN"/>
              </w:rPr>
            </w:pPr>
            <w:r>
              <w:rPr>
                <w:rFonts w:hint="eastAsia" w:ascii="仿宋_GB2312" w:eastAsia="仿宋_GB2312"/>
                <w:color w:val="auto"/>
                <w:sz w:val="13"/>
                <w:szCs w:val="13"/>
                <w:highlight w:val="none"/>
              </w:rPr>
              <w:t>发生特别重大生产安全事故</w:t>
            </w:r>
            <w:r>
              <w:rPr>
                <w:rFonts w:hint="eastAsia" w:ascii="仿宋_GB2312" w:eastAsia="仿宋_GB2312"/>
                <w:color w:val="auto"/>
                <w:sz w:val="13"/>
                <w:szCs w:val="13"/>
                <w:highlight w:val="none"/>
                <w:lang w:eastAsia="zh-CN"/>
              </w:rPr>
              <w:t>；</w:t>
            </w:r>
          </w:p>
          <w:p w14:paraId="308C9F9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eastAsia="仿宋_GB2312"/>
                <w:color w:val="auto"/>
                <w:sz w:val="13"/>
                <w:szCs w:val="13"/>
                <w:highlight w:val="none"/>
                <w:lang w:eastAsia="zh-CN"/>
              </w:rPr>
            </w:pPr>
            <w:r>
              <w:rPr>
                <w:rFonts w:hint="eastAsia" w:ascii="仿宋_GB2312" w:eastAsia="仿宋_GB2312"/>
                <w:color w:val="auto"/>
                <w:sz w:val="13"/>
                <w:szCs w:val="13"/>
                <w:highlight w:val="none"/>
              </w:rPr>
              <w:t>在安全生产许可证暂扣期间拒不整改的</w:t>
            </w:r>
            <w:r>
              <w:rPr>
                <w:rFonts w:hint="eastAsia" w:ascii="仿宋_GB2312" w:eastAsia="仿宋_GB2312"/>
                <w:color w:val="auto"/>
                <w:sz w:val="13"/>
                <w:szCs w:val="13"/>
                <w:highlight w:val="none"/>
                <w:lang w:eastAsia="zh-CN"/>
              </w:rPr>
              <w:t>；</w:t>
            </w:r>
          </w:p>
          <w:p w14:paraId="67D5B31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lang w:val="en-US" w:eastAsia="zh-CN"/>
              </w:rPr>
            </w:pPr>
            <w:r>
              <w:rPr>
                <w:rFonts w:hint="eastAsia" w:ascii="仿宋_GB2312" w:hAnsi="宋体" w:eastAsia="仿宋_GB2312"/>
                <w:color w:val="auto"/>
                <w:kern w:val="0"/>
                <w:sz w:val="13"/>
                <w:szCs w:val="13"/>
                <w:highlight w:val="none"/>
                <w:lang w:val="en-US" w:eastAsia="zh-CN"/>
              </w:rPr>
              <w:t>12个月内发生两次生产安全事故，第二次发生事故按从重情节第一、二项处罚暂扣时限超过120日的；</w:t>
            </w:r>
          </w:p>
          <w:p w14:paraId="38C09BB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lang w:val="en-US" w:eastAsia="zh-CN"/>
              </w:rPr>
            </w:pPr>
            <w:r>
              <w:rPr>
                <w:rFonts w:hint="eastAsia" w:ascii="仿宋_GB2312" w:hAnsi="宋体" w:eastAsia="仿宋_GB2312"/>
                <w:color w:val="auto"/>
                <w:kern w:val="0"/>
                <w:sz w:val="13"/>
                <w:szCs w:val="13"/>
                <w:highlight w:val="none"/>
                <w:lang w:val="en-US" w:eastAsia="zh-CN"/>
              </w:rPr>
              <w:t>12个月内发生两次生产安全事故，第二次事故为重大安全生产事故的；</w:t>
            </w:r>
          </w:p>
          <w:p w14:paraId="7EDE206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eastAsia="仿宋_GB2312"/>
                <w:color w:val="auto"/>
                <w:sz w:val="13"/>
                <w:szCs w:val="13"/>
                <w:highlight w:val="none"/>
                <w:lang w:eastAsia="zh-CN"/>
              </w:rPr>
            </w:pPr>
            <w:r>
              <w:rPr>
                <w:rFonts w:hint="eastAsia" w:ascii="仿宋_GB2312" w:eastAsia="仿宋_GB2312"/>
                <w:color w:val="auto"/>
                <w:sz w:val="13"/>
                <w:szCs w:val="13"/>
                <w:highlight w:val="none"/>
              </w:rPr>
              <w:t>12个月内连续发生三次生产安全事故</w:t>
            </w:r>
            <w:r>
              <w:rPr>
                <w:rFonts w:hint="eastAsia" w:ascii="仿宋_GB2312" w:eastAsia="仿宋_GB2312"/>
                <w:color w:val="auto"/>
                <w:sz w:val="13"/>
                <w:szCs w:val="13"/>
                <w:highlight w:val="none"/>
                <w:lang w:eastAsia="zh-CN"/>
              </w:rPr>
              <w:t>；</w:t>
            </w:r>
          </w:p>
          <w:p w14:paraId="095E3A3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default" w:ascii="仿宋_GB2312" w:eastAsia="仿宋_GB2312"/>
                <w:color w:val="auto"/>
                <w:sz w:val="13"/>
                <w:szCs w:val="13"/>
                <w:highlight w:val="none"/>
                <w:lang w:val="en-US" w:eastAsia="zh-CN"/>
              </w:rPr>
            </w:pPr>
            <w:r>
              <w:rPr>
                <w:rFonts w:hint="eastAsia" w:ascii="仿宋_GB2312" w:hAnsi="宋体" w:eastAsia="仿宋_GB2312"/>
                <w:color w:val="auto"/>
                <w:kern w:val="0"/>
                <w:sz w:val="13"/>
                <w:szCs w:val="13"/>
                <w:highlight w:val="none"/>
              </w:rPr>
              <w:t>瞒报、谎报、迟报或漏报事故</w:t>
            </w:r>
            <w:r>
              <w:rPr>
                <w:rFonts w:hint="eastAsia" w:ascii="仿宋_GB2312" w:hAnsi="宋体" w:eastAsia="仿宋_GB2312"/>
                <w:color w:val="auto"/>
                <w:kern w:val="0"/>
                <w:sz w:val="13"/>
                <w:szCs w:val="13"/>
                <w:highlight w:val="none"/>
                <w:lang w:eastAsia="zh-CN"/>
              </w:rPr>
              <w:t>，</w:t>
            </w:r>
            <w:r>
              <w:rPr>
                <w:rFonts w:hint="eastAsia" w:ascii="仿宋_GB2312" w:hAnsi="宋体" w:eastAsia="仿宋_GB2312"/>
                <w:color w:val="auto"/>
                <w:kern w:val="0"/>
                <w:sz w:val="13"/>
                <w:szCs w:val="13"/>
                <w:highlight w:val="none"/>
                <w:lang w:val="en-US" w:eastAsia="zh-CN"/>
              </w:rPr>
              <w:t>延长暂扣时限超过120日的；</w:t>
            </w:r>
          </w:p>
          <w:p w14:paraId="53ABAA9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default" w:ascii="仿宋_GB2312" w:hAnsi="宋体" w:eastAsia="仿宋_GB2312"/>
                <w:color w:val="auto"/>
                <w:sz w:val="13"/>
                <w:szCs w:val="13"/>
                <w:highlight w:val="none"/>
                <w:lang w:val="en-US" w:eastAsia="zh-CN"/>
              </w:rPr>
            </w:pPr>
            <w:r>
              <w:rPr>
                <w:rFonts w:hint="eastAsia" w:ascii="仿宋_GB2312" w:hAnsi="宋体" w:eastAsia="仿宋_GB2312"/>
                <w:color w:val="auto"/>
                <w:kern w:val="0"/>
                <w:sz w:val="13"/>
                <w:szCs w:val="13"/>
                <w:highlight w:val="none"/>
              </w:rPr>
              <w:t>因违法发包、转包、违法分包、挂靠等违法行为导致发生重大生产安全事故的</w:t>
            </w:r>
            <w:r>
              <w:rPr>
                <w:rFonts w:hint="eastAsia" w:ascii="仿宋_GB2312" w:hAnsi="宋体" w:eastAsia="仿宋_GB2312"/>
                <w:color w:val="auto"/>
                <w:kern w:val="0"/>
                <w:sz w:val="13"/>
                <w:szCs w:val="13"/>
                <w:highlight w:val="none"/>
                <w:lang w:val="en-US" w:eastAsia="zh-CN"/>
              </w:rPr>
              <w:t>或造成特别严重社会影响的。</w:t>
            </w:r>
          </w:p>
        </w:tc>
        <w:tc>
          <w:tcPr>
            <w:tcW w:w="3058" w:type="dxa"/>
            <w:tcBorders>
              <w:tl2br w:val="nil"/>
              <w:tr2bl w:val="nil"/>
            </w:tcBorders>
            <w:vAlign w:val="center"/>
          </w:tcPr>
          <w:p w14:paraId="2C742E19">
            <w:pPr>
              <w:keepNext w:val="0"/>
              <w:keepLines w:val="0"/>
              <w:widowControl/>
              <w:suppressLineNumbers w:val="0"/>
              <w:jc w:val="left"/>
              <w:textAlignment w:val="center"/>
              <w:rPr>
                <w:rFonts w:ascii="仿宋_GB2312" w:hAnsi="宋体" w:eastAsia="仿宋_GB2312"/>
                <w:color w:val="auto"/>
                <w:sz w:val="13"/>
                <w:szCs w:val="13"/>
                <w:highlight w:val="none"/>
              </w:rPr>
            </w:pPr>
            <w:r>
              <w:rPr>
                <w:rFonts w:hint="eastAsia" w:ascii="仿宋_GB2312" w:hAnsi="宋体" w:eastAsia="仿宋_GB2312" w:cs="仿宋_GB2312"/>
                <w:i w:val="0"/>
                <w:iCs w:val="0"/>
                <w:color w:val="auto"/>
                <w:kern w:val="0"/>
                <w:sz w:val="13"/>
                <w:szCs w:val="13"/>
                <w:highlight w:val="none"/>
                <w:u w:val="none"/>
                <w:lang w:val="en-US" w:eastAsia="zh-CN" w:bidi="ar"/>
              </w:rPr>
              <w:t>吊销安全生产许可证。</w:t>
            </w:r>
          </w:p>
        </w:tc>
      </w:tr>
      <w:tr w14:paraId="60C32BD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0" w:hRule="atLeast"/>
          <w:jc w:val="center"/>
        </w:trPr>
        <w:tc>
          <w:tcPr>
            <w:tcW w:w="443" w:type="dxa"/>
            <w:gridSpan w:val="2"/>
            <w:vMerge w:val="restart"/>
            <w:tcBorders>
              <w:tl2br w:val="nil"/>
              <w:tr2bl w:val="nil"/>
            </w:tcBorders>
            <w:vAlign w:val="center"/>
          </w:tcPr>
          <w:p w14:paraId="521C9151">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仿宋_GB2312"/>
                <w:i w:val="0"/>
                <w:color w:val="auto"/>
                <w:kern w:val="0"/>
                <w:sz w:val="13"/>
                <w:szCs w:val="13"/>
                <w:highlight w:val="none"/>
                <w:u w:val="none"/>
                <w:lang w:val="en-US" w:eastAsia="zh-CN" w:bidi="ar"/>
              </w:rPr>
            </w:pPr>
            <w:r>
              <w:rPr>
                <w:rFonts w:hint="eastAsia" w:ascii="仿宋_GB2312" w:hAnsi="宋体" w:eastAsia="仿宋_GB2312" w:cs="仿宋_GB2312"/>
                <w:i w:val="0"/>
                <w:color w:val="auto"/>
                <w:kern w:val="0"/>
                <w:sz w:val="13"/>
                <w:szCs w:val="13"/>
                <w:highlight w:val="none"/>
                <w:u w:val="none"/>
                <w:lang w:val="en-US" w:eastAsia="zh-CN" w:bidi="ar"/>
              </w:rPr>
              <w:t>163</w:t>
            </w:r>
          </w:p>
        </w:tc>
        <w:tc>
          <w:tcPr>
            <w:tcW w:w="1550" w:type="dxa"/>
            <w:vMerge w:val="restart"/>
            <w:tcBorders>
              <w:tl2br w:val="nil"/>
              <w:tr2bl w:val="nil"/>
            </w:tcBorders>
            <w:vAlign w:val="center"/>
          </w:tcPr>
          <w:p w14:paraId="3995865B">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hint="eastAsia" w:ascii="仿宋_GB2312" w:hAnsi="宋体" w:eastAsia="仿宋_GB2312"/>
                <w:color w:val="auto"/>
                <w:kern w:val="0"/>
                <w:sz w:val="13"/>
                <w:szCs w:val="13"/>
                <w:highlight w:val="none"/>
              </w:rPr>
            </w:pPr>
            <w:r>
              <w:rPr>
                <w:rFonts w:hint="eastAsia" w:ascii="仿宋_GB2312" w:eastAsia="仿宋_GB2312"/>
                <w:color w:val="auto"/>
                <w:sz w:val="13"/>
                <w:szCs w:val="13"/>
                <w:highlight w:val="none"/>
              </w:rPr>
              <w:t>建筑施工企业主要负责人、项目负责人、专职安全生产管理人员</w:t>
            </w:r>
            <w:r>
              <w:rPr>
                <w:rFonts w:hint="eastAsia" w:ascii="仿宋_GB2312" w:hAnsi="宋体" w:eastAsia="仿宋_GB2312"/>
                <w:color w:val="auto"/>
                <w:kern w:val="0"/>
                <w:sz w:val="13"/>
                <w:szCs w:val="13"/>
                <w:highlight w:val="none"/>
              </w:rPr>
              <w:t>对发生生产安全</w:t>
            </w:r>
            <w:r>
              <w:rPr>
                <w:rFonts w:hint="eastAsia" w:ascii="仿宋_GB2312" w:eastAsia="仿宋_GB2312"/>
                <w:color w:val="auto"/>
                <w:sz w:val="13"/>
                <w:szCs w:val="13"/>
                <w:highlight w:val="none"/>
              </w:rPr>
              <w:t>事故负有责任的</w:t>
            </w:r>
          </w:p>
        </w:tc>
        <w:tc>
          <w:tcPr>
            <w:tcW w:w="4820" w:type="dxa"/>
            <w:vMerge w:val="restart"/>
            <w:tcBorders>
              <w:tl2br w:val="nil"/>
              <w:tr2bl w:val="nil"/>
            </w:tcBorders>
            <w:vAlign w:val="center"/>
          </w:tcPr>
          <w:p w14:paraId="2D742C3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《生产安全事故报告和调查处理条例》</w:t>
            </w:r>
          </w:p>
          <w:p w14:paraId="0BCD50B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0" w:firstLineChars="2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第四十条</w:t>
            </w:r>
            <w:r>
              <w:rPr>
                <w:rFonts w:hint="eastAsia" w:ascii="仿宋_GB2312" w:hAnsi="宋体" w:eastAsia="仿宋_GB2312"/>
                <w:color w:val="auto"/>
                <w:kern w:val="0"/>
                <w:sz w:val="13"/>
                <w:szCs w:val="13"/>
                <w:highlight w:val="none"/>
                <w:lang w:val="en-US" w:eastAsia="zh-CN"/>
              </w:rPr>
              <w:t xml:space="preserve"> </w:t>
            </w:r>
            <w:r>
              <w:rPr>
                <w:rFonts w:hint="eastAsia" w:ascii="仿宋_GB2312" w:hAnsi="宋体" w:eastAsia="仿宋_GB2312"/>
                <w:color w:val="auto"/>
                <w:kern w:val="0"/>
                <w:sz w:val="13"/>
                <w:szCs w:val="13"/>
                <w:highlight w:val="none"/>
              </w:rPr>
              <w:t>事故发生单位对事故发生负有责任的，由有关部门依法暂扣或者吊销其有关证照；对事故发生单位负有事故责任的有关人员，依法暂停或者撤销其与安全生产有关的执业资格、岗位证书；事故发生单位主要负责人受到刑事处罚或者撤职处分的，自刑罚执行完毕或者受处分之日起，5年内不得担任任何生产经营单位的主要负责人。</w:t>
            </w:r>
          </w:p>
          <w:p w14:paraId="3CC1604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《建设工程安全生产管理条例》</w:t>
            </w:r>
          </w:p>
          <w:p w14:paraId="2F911B9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0" w:firstLineChars="200"/>
              <w:jc w:val="left"/>
              <w:textAlignment w:val="center"/>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第五十八条</w:t>
            </w:r>
            <w:r>
              <w:rPr>
                <w:rFonts w:hint="eastAsia" w:ascii="仿宋_GB2312" w:hAnsi="宋体" w:eastAsia="仿宋_GB2312"/>
                <w:color w:val="auto"/>
                <w:kern w:val="0"/>
                <w:sz w:val="13"/>
                <w:szCs w:val="13"/>
                <w:highlight w:val="none"/>
                <w:lang w:val="en-US" w:eastAsia="zh-CN"/>
              </w:rPr>
              <w:t xml:space="preserve"> </w:t>
            </w:r>
            <w:r>
              <w:rPr>
                <w:rFonts w:hint="eastAsia" w:ascii="仿宋_GB2312" w:hAnsi="宋体" w:eastAsia="仿宋_GB2312"/>
                <w:color w:val="auto"/>
                <w:kern w:val="0"/>
                <w:sz w:val="13"/>
                <w:szCs w:val="13"/>
                <w:highlight w:val="none"/>
              </w:rPr>
              <w:t>注册执业人员未执行法律、法规和工程建设强制性标准的，责令停止执业3个月以上1年以下；情节严重的，吊销执业资格证书，5年内不予注册；造成重大安全事故的，终身不予注册；构成犯罪的，依照刑法有关规定追究刑事责任。</w:t>
            </w:r>
          </w:p>
        </w:tc>
        <w:tc>
          <w:tcPr>
            <w:tcW w:w="823" w:type="dxa"/>
            <w:tcBorders>
              <w:tl2br w:val="nil"/>
              <w:tr2bl w:val="nil"/>
            </w:tcBorders>
            <w:shd w:val="clear" w:color="auto" w:fill="auto"/>
            <w:vAlign w:val="center"/>
          </w:tcPr>
          <w:p w14:paraId="32B0B236">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center"/>
              <w:rPr>
                <w:rFonts w:hint="eastAsia" w:ascii="仿宋_GB2312" w:eastAsia="仿宋_GB2312" w:hAnsiTheme="minorHAnsi" w:cstheme="minorBidi"/>
                <w:color w:val="auto"/>
                <w:kern w:val="2"/>
                <w:sz w:val="13"/>
                <w:szCs w:val="13"/>
                <w:highlight w:val="none"/>
                <w:lang w:val="en-US" w:eastAsia="zh-CN" w:bidi="ar-SA"/>
              </w:rPr>
            </w:pPr>
            <w:r>
              <w:rPr>
                <w:rFonts w:hint="eastAsia" w:ascii="仿宋_GB2312" w:eastAsia="仿宋_GB2312"/>
                <w:color w:val="auto"/>
                <w:sz w:val="13"/>
                <w:szCs w:val="13"/>
                <w:highlight w:val="none"/>
                <w:lang w:eastAsia="zh-CN"/>
              </w:rPr>
              <w:t>从轻情节</w:t>
            </w:r>
          </w:p>
        </w:tc>
        <w:tc>
          <w:tcPr>
            <w:tcW w:w="3437" w:type="dxa"/>
            <w:gridSpan w:val="2"/>
            <w:tcBorders>
              <w:tl2br w:val="nil"/>
              <w:tr2bl w:val="nil"/>
            </w:tcBorders>
            <w:shd w:val="clear" w:color="auto" w:fill="auto"/>
            <w:vAlign w:val="center"/>
          </w:tcPr>
          <w:p w14:paraId="52D2DE28">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eastAsia="仿宋_GB2312" w:hAnsiTheme="minorHAnsi" w:cstheme="minorBidi"/>
                <w:color w:val="auto"/>
                <w:kern w:val="2"/>
                <w:sz w:val="13"/>
                <w:szCs w:val="13"/>
                <w:highlight w:val="none"/>
                <w:lang w:val="en-US" w:eastAsia="zh-CN" w:bidi="ar-SA"/>
              </w:rPr>
            </w:pPr>
            <w:r>
              <w:rPr>
                <w:rFonts w:hint="eastAsia" w:ascii="仿宋_GB2312" w:eastAsia="仿宋_GB2312"/>
                <w:color w:val="auto"/>
                <w:sz w:val="13"/>
                <w:szCs w:val="13"/>
                <w:highlight w:val="none"/>
              </w:rPr>
              <w:t>发生一般生产安全事故的。</w:t>
            </w:r>
          </w:p>
        </w:tc>
        <w:tc>
          <w:tcPr>
            <w:tcW w:w="3058" w:type="dxa"/>
            <w:tcBorders>
              <w:tl2br w:val="nil"/>
              <w:tr2bl w:val="nil"/>
            </w:tcBorders>
            <w:shd w:val="clear" w:color="auto" w:fill="auto"/>
            <w:vAlign w:val="center"/>
          </w:tcPr>
          <w:p w14:paraId="76BAAF0F">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eastAsia="仿宋_GB2312" w:hAnsiTheme="minorHAnsi" w:cstheme="minorBidi"/>
                <w:color w:val="auto"/>
                <w:kern w:val="2"/>
                <w:sz w:val="13"/>
                <w:szCs w:val="13"/>
                <w:highlight w:val="none"/>
                <w:lang w:val="en-US" w:eastAsia="zh-CN" w:bidi="ar-SA"/>
              </w:rPr>
            </w:pPr>
            <w:r>
              <w:rPr>
                <w:rFonts w:hint="eastAsia" w:ascii="仿宋_GB2312" w:eastAsia="仿宋_GB2312"/>
                <w:color w:val="auto"/>
                <w:sz w:val="13"/>
                <w:szCs w:val="13"/>
                <w:highlight w:val="none"/>
              </w:rPr>
              <w:t>暂扣安全生产考核合格证书180</w:t>
            </w:r>
            <w:r>
              <w:rPr>
                <w:rFonts w:hint="eastAsia" w:ascii="仿宋_GB2312" w:eastAsia="仿宋_GB2312"/>
                <w:color w:val="auto"/>
                <w:sz w:val="13"/>
                <w:szCs w:val="13"/>
                <w:highlight w:val="none"/>
                <w:lang w:val="en-US" w:eastAsia="zh-CN"/>
              </w:rPr>
              <w:t>日</w:t>
            </w:r>
            <w:r>
              <w:rPr>
                <w:rFonts w:hint="eastAsia" w:ascii="仿宋_GB2312" w:eastAsia="仿宋_GB2312"/>
                <w:color w:val="auto"/>
                <w:sz w:val="13"/>
                <w:szCs w:val="13"/>
                <w:highlight w:val="none"/>
              </w:rPr>
              <w:t>-270</w:t>
            </w:r>
            <w:r>
              <w:rPr>
                <w:rFonts w:hint="eastAsia" w:ascii="仿宋_GB2312" w:eastAsia="仿宋_GB2312"/>
                <w:color w:val="auto"/>
                <w:sz w:val="13"/>
                <w:szCs w:val="13"/>
                <w:highlight w:val="none"/>
                <w:lang w:val="en-US" w:eastAsia="zh-CN"/>
              </w:rPr>
              <w:t>日</w:t>
            </w:r>
            <w:r>
              <w:rPr>
                <w:rFonts w:hint="eastAsia" w:ascii="仿宋_GB2312" w:eastAsia="仿宋_GB2312"/>
                <w:color w:val="auto"/>
                <w:sz w:val="13"/>
                <w:szCs w:val="13"/>
                <w:highlight w:val="none"/>
              </w:rPr>
              <w:t>。</w:t>
            </w:r>
          </w:p>
        </w:tc>
      </w:tr>
      <w:tr w14:paraId="248FD42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0" w:hRule="atLeast"/>
          <w:jc w:val="center"/>
        </w:trPr>
        <w:tc>
          <w:tcPr>
            <w:tcW w:w="443" w:type="dxa"/>
            <w:gridSpan w:val="2"/>
            <w:vMerge w:val="continue"/>
            <w:tcBorders>
              <w:tl2br w:val="nil"/>
              <w:tr2bl w:val="nil"/>
            </w:tcBorders>
            <w:vAlign w:val="center"/>
          </w:tcPr>
          <w:p w14:paraId="7523C21F">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仿宋_GB2312"/>
                <w:i w:val="0"/>
                <w:color w:val="auto"/>
                <w:kern w:val="0"/>
                <w:sz w:val="13"/>
                <w:szCs w:val="13"/>
                <w:highlight w:val="none"/>
                <w:u w:val="none"/>
                <w:lang w:val="en-US" w:eastAsia="zh-CN" w:bidi="ar"/>
              </w:rPr>
            </w:pPr>
          </w:p>
        </w:tc>
        <w:tc>
          <w:tcPr>
            <w:tcW w:w="1550" w:type="dxa"/>
            <w:vMerge w:val="continue"/>
            <w:tcBorders>
              <w:tl2br w:val="nil"/>
              <w:tr2bl w:val="nil"/>
            </w:tcBorders>
            <w:vAlign w:val="center"/>
          </w:tcPr>
          <w:p w14:paraId="6ECF055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7704E72E">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hint="eastAsia" w:ascii="仿宋_GB2312" w:hAnsi="宋体" w:eastAsia="仿宋_GB2312"/>
                <w:color w:val="auto"/>
                <w:kern w:val="0"/>
                <w:sz w:val="13"/>
                <w:szCs w:val="13"/>
                <w:highlight w:val="none"/>
              </w:rPr>
            </w:pPr>
          </w:p>
        </w:tc>
        <w:tc>
          <w:tcPr>
            <w:tcW w:w="823" w:type="dxa"/>
            <w:tcBorders>
              <w:tl2br w:val="nil"/>
              <w:tr2bl w:val="nil"/>
            </w:tcBorders>
            <w:shd w:val="clear" w:color="auto" w:fill="auto"/>
            <w:vAlign w:val="center"/>
          </w:tcPr>
          <w:p w14:paraId="12E5F40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rPr>
                <w:rFonts w:hint="eastAsia" w:ascii="仿宋_GB2312" w:hAnsi="宋体" w:eastAsia="仿宋_GB2312" w:cstheme="minorBidi"/>
                <w:color w:val="auto"/>
                <w:kern w:val="2"/>
                <w:sz w:val="13"/>
                <w:szCs w:val="13"/>
                <w:highlight w:val="none"/>
                <w:lang w:val="en-US" w:eastAsia="zh-CN" w:bidi="ar-SA"/>
              </w:rPr>
            </w:pPr>
            <w:r>
              <w:rPr>
                <w:rFonts w:hint="eastAsia" w:ascii="仿宋_GB2312" w:eastAsia="仿宋_GB2312"/>
                <w:color w:val="auto"/>
                <w:sz w:val="13"/>
                <w:szCs w:val="13"/>
                <w:highlight w:val="none"/>
                <w:lang w:eastAsia="zh-CN"/>
              </w:rPr>
              <w:t>一般情节</w:t>
            </w:r>
          </w:p>
        </w:tc>
        <w:tc>
          <w:tcPr>
            <w:tcW w:w="3437" w:type="dxa"/>
            <w:gridSpan w:val="2"/>
            <w:tcBorders>
              <w:tl2br w:val="nil"/>
              <w:tr2bl w:val="nil"/>
            </w:tcBorders>
            <w:shd w:val="clear" w:color="auto" w:fill="auto"/>
            <w:vAlign w:val="center"/>
          </w:tcPr>
          <w:p w14:paraId="1FC5A1C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stheme="minorBidi"/>
                <w:color w:val="auto"/>
                <w:kern w:val="2"/>
                <w:sz w:val="13"/>
                <w:szCs w:val="13"/>
                <w:highlight w:val="none"/>
                <w:lang w:val="en-US" w:eastAsia="zh-CN" w:bidi="ar-SA"/>
              </w:rPr>
            </w:pPr>
            <w:r>
              <w:rPr>
                <w:rFonts w:hint="eastAsia" w:ascii="仿宋_GB2312" w:eastAsia="仿宋_GB2312"/>
                <w:color w:val="auto"/>
                <w:sz w:val="13"/>
                <w:szCs w:val="13"/>
                <w:highlight w:val="none"/>
              </w:rPr>
              <w:t>连续12个月内在同一区域发生两起一般生产安全事故的。</w:t>
            </w:r>
          </w:p>
        </w:tc>
        <w:tc>
          <w:tcPr>
            <w:tcW w:w="3058" w:type="dxa"/>
            <w:tcBorders>
              <w:tl2br w:val="nil"/>
              <w:tr2bl w:val="nil"/>
            </w:tcBorders>
            <w:shd w:val="clear" w:color="auto" w:fill="auto"/>
            <w:vAlign w:val="center"/>
          </w:tcPr>
          <w:p w14:paraId="7C07EFE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stheme="minorBidi"/>
                <w:color w:val="auto"/>
                <w:kern w:val="2"/>
                <w:sz w:val="13"/>
                <w:szCs w:val="13"/>
                <w:highlight w:val="none"/>
                <w:lang w:val="en-US" w:eastAsia="zh-CN" w:bidi="ar-SA"/>
              </w:rPr>
            </w:pPr>
            <w:r>
              <w:rPr>
                <w:rFonts w:hint="eastAsia" w:ascii="仿宋_GB2312" w:hAnsi="宋体" w:eastAsia="仿宋_GB2312"/>
                <w:color w:val="auto"/>
                <w:sz w:val="13"/>
                <w:szCs w:val="13"/>
                <w:highlight w:val="none"/>
              </w:rPr>
              <w:t>暂扣安全生产考核合格证书270</w:t>
            </w:r>
            <w:r>
              <w:rPr>
                <w:rFonts w:hint="eastAsia" w:ascii="仿宋_GB2312" w:hAnsi="宋体" w:eastAsia="仿宋_GB2312"/>
                <w:color w:val="auto"/>
                <w:sz w:val="13"/>
                <w:szCs w:val="13"/>
                <w:highlight w:val="none"/>
                <w:lang w:val="en-US" w:eastAsia="zh-CN"/>
              </w:rPr>
              <w:t>日</w:t>
            </w:r>
            <w:r>
              <w:rPr>
                <w:rFonts w:hint="eastAsia" w:ascii="仿宋_GB2312" w:hAnsi="宋体" w:eastAsia="仿宋_GB2312"/>
                <w:color w:val="auto"/>
                <w:sz w:val="13"/>
                <w:szCs w:val="13"/>
                <w:highlight w:val="none"/>
              </w:rPr>
              <w:t>-360</w:t>
            </w:r>
            <w:r>
              <w:rPr>
                <w:rFonts w:hint="eastAsia" w:ascii="仿宋_GB2312" w:hAnsi="宋体" w:eastAsia="仿宋_GB2312"/>
                <w:color w:val="auto"/>
                <w:sz w:val="13"/>
                <w:szCs w:val="13"/>
                <w:highlight w:val="none"/>
                <w:lang w:val="en-US" w:eastAsia="zh-CN"/>
              </w:rPr>
              <w:t>日</w:t>
            </w:r>
            <w:r>
              <w:rPr>
                <w:rFonts w:hint="eastAsia" w:ascii="仿宋_GB2312" w:hAnsi="宋体" w:eastAsia="仿宋_GB2312"/>
                <w:color w:val="auto"/>
                <w:sz w:val="13"/>
                <w:szCs w:val="13"/>
                <w:highlight w:val="none"/>
              </w:rPr>
              <w:t>。</w:t>
            </w:r>
          </w:p>
        </w:tc>
      </w:tr>
      <w:tr w14:paraId="1BCE2F5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0" w:hRule="atLeast"/>
          <w:jc w:val="center"/>
        </w:trPr>
        <w:tc>
          <w:tcPr>
            <w:tcW w:w="443" w:type="dxa"/>
            <w:gridSpan w:val="2"/>
            <w:vMerge w:val="continue"/>
            <w:tcBorders>
              <w:tl2br w:val="nil"/>
              <w:tr2bl w:val="nil"/>
            </w:tcBorders>
            <w:vAlign w:val="center"/>
          </w:tcPr>
          <w:p w14:paraId="2B76279B">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仿宋_GB2312"/>
                <w:i w:val="0"/>
                <w:color w:val="auto"/>
                <w:kern w:val="0"/>
                <w:sz w:val="13"/>
                <w:szCs w:val="13"/>
                <w:highlight w:val="none"/>
                <w:u w:val="none"/>
                <w:lang w:val="en-US" w:eastAsia="zh-CN" w:bidi="ar"/>
              </w:rPr>
            </w:pPr>
          </w:p>
        </w:tc>
        <w:tc>
          <w:tcPr>
            <w:tcW w:w="1550" w:type="dxa"/>
            <w:vMerge w:val="continue"/>
            <w:tcBorders>
              <w:tl2br w:val="nil"/>
              <w:tr2bl w:val="nil"/>
            </w:tcBorders>
            <w:vAlign w:val="center"/>
          </w:tcPr>
          <w:p w14:paraId="005AE5F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760B046F">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hint="eastAsia" w:ascii="仿宋_GB2312" w:hAnsi="宋体" w:eastAsia="仿宋_GB2312"/>
                <w:color w:val="auto"/>
                <w:kern w:val="0"/>
                <w:sz w:val="13"/>
                <w:szCs w:val="13"/>
                <w:highlight w:val="none"/>
              </w:rPr>
            </w:pPr>
          </w:p>
        </w:tc>
        <w:tc>
          <w:tcPr>
            <w:tcW w:w="823" w:type="dxa"/>
            <w:tcBorders>
              <w:tl2br w:val="nil"/>
              <w:tr2bl w:val="nil"/>
            </w:tcBorders>
            <w:shd w:val="clear" w:color="auto" w:fill="auto"/>
            <w:vAlign w:val="center"/>
          </w:tcPr>
          <w:p w14:paraId="115F6AA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rPr>
                <w:rFonts w:hint="eastAsia" w:ascii="仿宋_GB2312" w:hAnsi="宋体" w:eastAsia="仿宋_GB2312" w:cstheme="minorBidi"/>
                <w:color w:val="auto"/>
                <w:kern w:val="2"/>
                <w:sz w:val="13"/>
                <w:szCs w:val="13"/>
                <w:highlight w:val="none"/>
                <w:lang w:val="en-US" w:eastAsia="zh-CN" w:bidi="ar-SA"/>
              </w:rPr>
            </w:pPr>
            <w:r>
              <w:rPr>
                <w:rFonts w:hint="eastAsia" w:ascii="仿宋_GB2312" w:eastAsia="仿宋_GB2312"/>
                <w:color w:val="auto"/>
                <w:sz w:val="13"/>
                <w:szCs w:val="13"/>
                <w:highlight w:val="none"/>
                <w:lang w:eastAsia="zh-CN"/>
              </w:rPr>
              <w:t>从重情节</w:t>
            </w:r>
          </w:p>
        </w:tc>
        <w:tc>
          <w:tcPr>
            <w:tcW w:w="3437" w:type="dxa"/>
            <w:gridSpan w:val="2"/>
            <w:tcBorders>
              <w:tl2br w:val="nil"/>
              <w:tr2bl w:val="nil"/>
            </w:tcBorders>
            <w:shd w:val="clear" w:color="auto" w:fill="auto"/>
            <w:vAlign w:val="center"/>
          </w:tcPr>
          <w:p w14:paraId="1E47617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left"/>
              <w:rPr>
                <w:rFonts w:hint="eastAsia" w:ascii="仿宋_GB2312" w:hAnsi="宋体" w:eastAsia="仿宋_GB2312" w:cstheme="minorBidi"/>
                <w:color w:val="auto"/>
                <w:kern w:val="2"/>
                <w:sz w:val="13"/>
                <w:szCs w:val="13"/>
                <w:highlight w:val="none"/>
                <w:lang w:val="en-US" w:eastAsia="zh-CN" w:bidi="ar-SA"/>
              </w:rPr>
            </w:pPr>
            <w:r>
              <w:rPr>
                <w:rFonts w:hint="eastAsia" w:ascii="仿宋_GB2312" w:eastAsia="仿宋_GB2312"/>
                <w:color w:val="auto"/>
                <w:sz w:val="13"/>
                <w:szCs w:val="13"/>
                <w:highlight w:val="none"/>
              </w:rPr>
              <w:t>（1）发生较大生产安全事故的。</w:t>
            </w:r>
          </w:p>
        </w:tc>
        <w:tc>
          <w:tcPr>
            <w:tcW w:w="3058" w:type="dxa"/>
            <w:tcBorders>
              <w:tl2br w:val="nil"/>
              <w:tr2bl w:val="nil"/>
            </w:tcBorders>
            <w:shd w:val="clear" w:color="auto" w:fill="auto"/>
            <w:vAlign w:val="center"/>
          </w:tcPr>
          <w:p w14:paraId="11B4A4B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stheme="minorBidi"/>
                <w:color w:val="auto"/>
                <w:kern w:val="2"/>
                <w:sz w:val="13"/>
                <w:szCs w:val="13"/>
                <w:highlight w:val="none"/>
                <w:lang w:val="en-US" w:eastAsia="zh-CN" w:bidi="ar-SA"/>
              </w:rPr>
            </w:pPr>
            <w:r>
              <w:rPr>
                <w:rFonts w:hint="eastAsia" w:ascii="仿宋_GB2312" w:eastAsia="仿宋_GB2312"/>
                <w:color w:val="auto"/>
                <w:sz w:val="13"/>
                <w:szCs w:val="13"/>
                <w:highlight w:val="none"/>
              </w:rPr>
              <w:t>撤销安全生产考核合格证书；吊销执业资格证书，5年内不予注册。</w:t>
            </w:r>
          </w:p>
        </w:tc>
      </w:tr>
      <w:tr w14:paraId="4387215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0" w:hRule="atLeast"/>
          <w:jc w:val="center"/>
        </w:trPr>
        <w:tc>
          <w:tcPr>
            <w:tcW w:w="443" w:type="dxa"/>
            <w:gridSpan w:val="2"/>
            <w:vMerge w:val="continue"/>
            <w:tcBorders>
              <w:tl2br w:val="nil"/>
              <w:tr2bl w:val="nil"/>
            </w:tcBorders>
            <w:vAlign w:val="center"/>
          </w:tcPr>
          <w:p w14:paraId="78020483">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仿宋_GB2312"/>
                <w:i w:val="0"/>
                <w:color w:val="auto"/>
                <w:kern w:val="0"/>
                <w:sz w:val="13"/>
                <w:szCs w:val="13"/>
                <w:highlight w:val="none"/>
                <w:u w:val="none"/>
                <w:lang w:val="en-US" w:eastAsia="zh-CN" w:bidi="ar"/>
              </w:rPr>
            </w:pPr>
          </w:p>
        </w:tc>
        <w:tc>
          <w:tcPr>
            <w:tcW w:w="1550" w:type="dxa"/>
            <w:vMerge w:val="continue"/>
            <w:tcBorders>
              <w:tl2br w:val="nil"/>
              <w:tr2bl w:val="nil"/>
            </w:tcBorders>
            <w:vAlign w:val="center"/>
          </w:tcPr>
          <w:p w14:paraId="6783F99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45F96E0E">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hint="eastAsia" w:ascii="仿宋_GB2312" w:hAnsi="宋体" w:eastAsia="仿宋_GB2312"/>
                <w:color w:val="auto"/>
                <w:kern w:val="0"/>
                <w:sz w:val="13"/>
                <w:szCs w:val="13"/>
                <w:highlight w:val="none"/>
              </w:rPr>
            </w:pPr>
          </w:p>
        </w:tc>
        <w:tc>
          <w:tcPr>
            <w:tcW w:w="823" w:type="dxa"/>
            <w:tcBorders>
              <w:tl2br w:val="nil"/>
              <w:tr2bl w:val="nil"/>
            </w:tcBorders>
            <w:vAlign w:val="center"/>
          </w:tcPr>
          <w:p w14:paraId="45D6E2B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p>
        </w:tc>
        <w:tc>
          <w:tcPr>
            <w:tcW w:w="3437" w:type="dxa"/>
            <w:gridSpan w:val="2"/>
            <w:tcBorders>
              <w:tl2br w:val="nil"/>
              <w:tr2bl w:val="nil"/>
            </w:tcBorders>
            <w:shd w:val="clear" w:color="auto" w:fill="auto"/>
            <w:vAlign w:val="center"/>
          </w:tcPr>
          <w:p w14:paraId="60BAE9C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left"/>
              <w:rPr>
                <w:rFonts w:hint="eastAsia" w:ascii="仿宋_GB2312" w:hAnsi="宋体" w:eastAsia="仿宋_GB2312" w:cstheme="minorBidi"/>
                <w:color w:val="auto"/>
                <w:kern w:val="2"/>
                <w:sz w:val="13"/>
                <w:szCs w:val="13"/>
                <w:highlight w:val="none"/>
                <w:lang w:val="en-US" w:eastAsia="zh-CN" w:bidi="ar-SA"/>
              </w:rPr>
            </w:pPr>
            <w:r>
              <w:rPr>
                <w:rFonts w:hint="eastAsia" w:ascii="仿宋_GB2312" w:eastAsia="仿宋_GB2312"/>
                <w:color w:val="auto"/>
                <w:sz w:val="13"/>
                <w:szCs w:val="13"/>
                <w:highlight w:val="none"/>
              </w:rPr>
              <w:t>（2）发生重大生产安全事故的</w:t>
            </w:r>
            <w:r>
              <w:rPr>
                <w:rFonts w:hint="eastAsia" w:ascii="仿宋_GB2312" w:eastAsia="仿宋_GB2312"/>
                <w:color w:val="auto"/>
                <w:sz w:val="13"/>
                <w:szCs w:val="13"/>
                <w:highlight w:val="none"/>
                <w:lang w:val="en-US" w:eastAsia="zh-CN"/>
              </w:rPr>
              <w:t>。</w:t>
            </w:r>
          </w:p>
        </w:tc>
        <w:tc>
          <w:tcPr>
            <w:tcW w:w="3058" w:type="dxa"/>
            <w:tcBorders>
              <w:tl2br w:val="nil"/>
              <w:tr2bl w:val="nil"/>
            </w:tcBorders>
            <w:shd w:val="clear" w:color="auto" w:fill="auto"/>
            <w:vAlign w:val="center"/>
          </w:tcPr>
          <w:p w14:paraId="534AD8F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stheme="minorBidi"/>
                <w:color w:val="auto"/>
                <w:kern w:val="2"/>
                <w:sz w:val="13"/>
                <w:szCs w:val="13"/>
                <w:highlight w:val="none"/>
                <w:lang w:val="en-US" w:eastAsia="zh-CN" w:bidi="ar-SA"/>
              </w:rPr>
            </w:pPr>
            <w:r>
              <w:rPr>
                <w:rFonts w:hint="eastAsia" w:ascii="仿宋_GB2312" w:eastAsia="仿宋_GB2312"/>
                <w:color w:val="auto"/>
                <w:sz w:val="13"/>
                <w:szCs w:val="13"/>
                <w:highlight w:val="none"/>
              </w:rPr>
              <w:t>撤销安全生产考核合格证书；吊销执业资格证书，终身不予注册。</w:t>
            </w:r>
          </w:p>
        </w:tc>
      </w:tr>
      <w:tr w14:paraId="1E8E8C9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0" w:hRule="atLeast"/>
          <w:jc w:val="center"/>
        </w:trPr>
        <w:tc>
          <w:tcPr>
            <w:tcW w:w="443" w:type="dxa"/>
            <w:gridSpan w:val="2"/>
            <w:vMerge w:val="continue"/>
            <w:tcBorders>
              <w:tl2br w:val="nil"/>
              <w:tr2bl w:val="nil"/>
            </w:tcBorders>
            <w:vAlign w:val="center"/>
          </w:tcPr>
          <w:p w14:paraId="792EDC00">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仿宋_GB2312"/>
                <w:i w:val="0"/>
                <w:color w:val="auto"/>
                <w:kern w:val="0"/>
                <w:sz w:val="13"/>
                <w:szCs w:val="13"/>
                <w:highlight w:val="none"/>
                <w:u w:val="none"/>
                <w:lang w:val="en-US" w:eastAsia="zh-CN" w:bidi="ar"/>
              </w:rPr>
            </w:pPr>
          </w:p>
        </w:tc>
        <w:tc>
          <w:tcPr>
            <w:tcW w:w="1550" w:type="dxa"/>
            <w:vMerge w:val="continue"/>
            <w:tcBorders>
              <w:tl2br w:val="nil"/>
              <w:tr2bl w:val="nil"/>
            </w:tcBorders>
            <w:vAlign w:val="center"/>
          </w:tcPr>
          <w:p w14:paraId="424CDF8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7C95DF1C">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hint="eastAsia" w:ascii="仿宋_GB2312" w:hAnsi="宋体" w:eastAsia="仿宋_GB2312"/>
                <w:color w:val="auto"/>
                <w:kern w:val="0"/>
                <w:sz w:val="13"/>
                <w:szCs w:val="13"/>
                <w:highlight w:val="none"/>
              </w:rPr>
            </w:pPr>
          </w:p>
        </w:tc>
        <w:tc>
          <w:tcPr>
            <w:tcW w:w="823" w:type="dxa"/>
            <w:tcBorders>
              <w:tl2br w:val="nil"/>
              <w:tr2bl w:val="nil"/>
            </w:tcBorders>
            <w:vAlign w:val="center"/>
          </w:tcPr>
          <w:p w14:paraId="6EC90D9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p>
        </w:tc>
        <w:tc>
          <w:tcPr>
            <w:tcW w:w="3437" w:type="dxa"/>
            <w:gridSpan w:val="2"/>
            <w:tcBorders>
              <w:tl2br w:val="nil"/>
              <w:tr2bl w:val="nil"/>
            </w:tcBorders>
            <w:shd w:val="clear" w:color="auto" w:fill="auto"/>
            <w:vAlign w:val="center"/>
          </w:tcPr>
          <w:p w14:paraId="70BAA86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left"/>
              <w:rPr>
                <w:rFonts w:hint="eastAsia" w:ascii="仿宋_GB2312" w:hAnsi="宋体" w:eastAsia="仿宋_GB2312" w:cstheme="minorBidi"/>
                <w:color w:val="auto"/>
                <w:kern w:val="2"/>
                <w:sz w:val="13"/>
                <w:szCs w:val="13"/>
                <w:highlight w:val="none"/>
                <w:lang w:val="en-US" w:eastAsia="zh-CN" w:bidi="ar-SA"/>
              </w:rPr>
            </w:pPr>
            <w:r>
              <w:rPr>
                <w:rFonts w:hint="eastAsia" w:ascii="仿宋_GB2312" w:eastAsia="仿宋_GB2312"/>
                <w:color w:val="auto"/>
                <w:sz w:val="13"/>
                <w:szCs w:val="13"/>
                <w:highlight w:val="none"/>
              </w:rPr>
              <w:t>（3）发生特别重大生产安全事故或者在证书暂扣期间拒不整改的</w:t>
            </w:r>
            <w:r>
              <w:rPr>
                <w:rFonts w:hint="eastAsia" w:ascii="仿宋_GB2312" w:eastAsia="仿宋_GB2312"/>
                <w:color w:val="auto"/>
                <w:sz w:val="13"/>
                <w:szCs w:val="13"/>
                <w:highlight w:val="none"/>
                <w:lang w:eastAsia="zh-CN"/>
              </w:rPr>
              <w:t>，</w:t>
            </w:r>
            <w:r>
              <w:rPr>
                <w:rFonts w:hint="eastAsia" w:ascii="仿宋_GB2312" w:eastAsia="仿宋_GB2312"/>
                <w:color w:val="auto"/>
                <w:sz w:val="13"/>
                <w:szCs w:val="13"/>
                <w:highlight w:val="none"/>
                <w:lang w:val="en-US" w:eastAsia="zh-CN"/>
              </w:rPr>
              <w:t>或造成特别严重社会影响的。</w:t>
            </w:r>
          </w:p>
        </w:tc>
        <w:tc>
          <w:tcPr>
            <w:tcW w:w="3058" w:type="dxa"/>
            <w:tcBorders>
              <w:tl2br w:val="nil"/>
              <w:tr2bl w:val="nil"/>
            </w:tcBorders>
            <w:shd w:val="clear" w:color="auto" w:fill="auto"/>
            <w:vAlign w:val="center"/>
          </w:tcPr>
          <w:p w14:paraId="73B19B3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stheme="minorBidi"/>
                <w:color w:val="auto"/>
                <w:kern w:val="2"/>
                <w:sz w:val="13"/>
                <w:szCs w:val="13"/>
                <w:highlight w:val="none"/>
                <w:lang w:val="en-US" w:eastAsia="zh-CN" w:bidi="ar-SA"/>
              </w:rPr>
            </w:pPr>
            <w:r>
              <w:rPr>
                <w:rFonts w:hint="eastAsia" w:ascii="仿宋_GB2312" w:eastAsia="仿宋_GB2312"/>
                <w:color w:val="auto"/>
                <w:sz w:val="13"/>
                <w:szCs w:val="13"/>
                <w:highlight w:val="none"/>
              </w:rPr>
              <w:t>撤销安全生产考核合格证书；吊销执业资格证书，终身不予注册。</w:t>
            </w:r>
          </w:p>
        </w:tc>
      </w:tr>
      <w:tr w14:paraId="14889F5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0" w:hRule="atLeast"/>
          <w:jc w:val="center"/>
        </w:trPr>
        <w:tc>
          <w:tcPr>
            <w:tcW w:w="443" w:type="dxa"/>
            <w:gridSpan w:val="2"/>
            <w:vMerge w:val="restart"/>
            <w:tcBorders>
              <w:tl2br w:val="nil"/>
              <w:tr2bl w:val="nil"/>
            </w:tcBorders>
            <w:vAlign w:val="center"/>
          </w:tcPr>
          <w:p w14:paraId="645D0A55">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Times New Roman"/>
                <w:color w:val="auto"/>
                <w:kern w:val="0"/>
                <w:sz w:val="13"/>
                <w:szCs w:val="13"/>
                <w:highlight w:val="none"/>
                <w:lang w:val="en-US"/>
              </w:rPr>
            </w:pPr>
            <w:r>
              <w:rPr>
                <w:rFonts w:hint="default" w:ascii="仿宋_GB2312" w:hAnsi="宋体" w:eastAsia="仿宋_GB2312" w:cs="仿宋_GB2312"/>
                <w:i w:val="0"/>
                <w:color w:val="auto"/>
                <w:kern w:val="0"/>
                <w:sz w:val="13"/>
                <w:szCs w:val="13"/>
                <w:highlight w:val="none"/>
                <w:u w:val="none"/>
                <w:lang w:val="en-US" w:eastAsia="zh-CN" w:bidi="ar"/>
              </w:rPr>
              <w:t>1</w:t>
            </w:r>
            <w:r>
              <w:rPr>
                <w:rFonts w:hint="eastAsia" w:ascii="仿宋_GB2312" w:hAnsi="宋体" w:eastAsia="仿宋_GB2312" w:cs="仿宋_GB2312"/>
                <w:i w:val="0"/>
                <w:color w:val="auto"/>
                <w:kern w:val="0"/>
                <w:sz w:val="13"/>
                <w:szCs w:val="13"/>
                <w:highlight w:val="none"/>
                <w:u w:val="none"/>
                <w:lang w:val="en-US" w:eastAsia="zh-CN" w:bidi="ar"/>
              </w:rPr>
              <w:t>64</w:t>
            </w:r>
          </w:p>
        </w:tc>
        <w:tc>
          <w:tcPr>
            <w:tcW w:w="1550" w:type="dxa"/>
            <w:vMerge w:val="restart"/>
            <w:tcBorders>
              <w:tl2br w:val="nil"/>
              <w:tr2bl w:val="nil"/>
            </w:tcBorders>
            <w:vAlign w:val="center"/>
          </w:tcPr>
          <w:p w14:paraId="15D4CF2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企业未取得安全生产许可证擅自从事建筑施工活动的</w:t>
            </w:r>
          </w:p>
        </w:tc>
        <w:tc>
          <w:tcPr>
            <w:tcW w:w="4820" w:type="dxa"/>
            <w:vMerge w:val="restart"/>
            <w:tcBorders>
              <w:tl2br w:val="nil"/>
              <w:tr2bl w:val="nil"/>
            </w:tcBorders>
            <w:vAlign w:val="center"/>
          </w:tcPr>
          <w:p w14:paraId="6CF15A42">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《安全生产许可证条例》</w:t>
            </w:r>
          </w:p>
          <w:p w14:paraId="5F998AAA">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第十九条违反本条例规定，未取得安全生产许可证擅自进行生产的，责令停止生产，没收违法所得，并处10万元以上50万元以下的罚款；造成重大事故或者其他严重后果，构成犯罪的，依法追究刑事责任。</w:t>
            </w:r>
          </w:p>
        </w:tc>
        <w:tc>
          <w:tcPr>
            <w:tcW w:w="823" w:type="dxa"/>
            <w:tcBorders>
              <w:tl2br w:val="nil"/>
              <w:tr2bl w:val="nil"/>
            </w:tcBorders>
            <w:vAlign w:val="center"/>
          </w:tcPr>
          <w:p w14:paraId="47FE4EE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vAlign w:val="center"/>
          </w:tcPr>
          <w:p w14:paraId="3BE37DC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初次违法，危害后果较轻的，主动消除或减轻违法行为危害后果的。</w:t>
            </w:r>
          </w:p>
        </w:tc>
        <w:tc>
          <w:tcPr>
            <w:tcW w:w="3058" w:type="dxa"/>
            <w:tcBorders>
              <w:tl2br w:val="nil"/>
              <w:tr2bl w:val="nil"/>
            </w:tcBorders>
            <w:vAlign w:val="center"/>
          </w:tcPr>
          <w:p w14:paraId="7423904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责令停止生产，没收违法所得；处10万元以上15万元以下的罚款。</w:t>
            </w:r>
          </w:p>
        </w:tc>
      </w:tr>
      <w:tr w14:paraId="0FEA240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0" w:hRule="atLeast"/>
          <w:jc w:val="center"/>
        </w:trPr>
        <w:tc>
          <w:tcPr>
            <w:tcW w:w="443" w:type="dxa"/>
            <w:gridSpan w:val="2"/>
            <w:vMerge w:val="continue"/>
            <w:tcBorders>
              <w:tl2br w:val="nil"/>
              <w:tr2bl w:val="nil"/>
            </w:tcBorders>
            <w:vAlign w:val="center"/>
          </w:tcPr>
          <w:p w14:paraId="0643347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color w:val="auto"/>
                <w:kern w:val="0"/>
                <w:sz w:val="13"/>
                <w:szCs w:val="13"/>
                <w:highlight w:val="none"/>
              </w:rPr>
            </w:pPr>
          </w:p>
        </w:tc>
        <w:tc>
          <w:tcPr>
            <w:tcW w:w="1550" w:type="dxa"/>
            <w:vMerge w:val="continue"/>
            <w:tcBorders>
              <w:tl2br w:val="nil"/>
              <w:tr2bl w:val="nil"/>
            </w:tcBorders>
            <w:vAlign w:val="center"/>
          </w:tcPr>
          <w:p w14:paraId="29CE8EF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tcPr>
          <w:p w14:paraId="200E82E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tcBorders>
              <w:tl2br w:val="nil"/>
              <w:tr2bl w:val="nil"/>
            </w:tcBorders>
            <w:vAlign w:val="center"/>
          </w:tcPr>
          <w:p w14:paraId="512A8DA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一般情节</w:t>
            </w:r>
          </w:p>
        </w:tc>
        <w:tc>
          <w:tcPr>
            <w:tcW w:w="3437" w:type="dxa"/>
            <w:gridSpan w:val="2"/>
            <w:tcBorders>
              <w:tl2br w:val="nil"/>
              <w:tr2bl w:val="nil"/>
            </w:tcBorders>
            <w:vAlign w:val="center"/>
          </w:tcPr>
          <w:p w14:paraId="5116130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不具有从轻、</w:t>
            </w:r>
            <w:r>
              <w:rPr>
                <w:rFonts w:hint="eastAsia" w:ascii="仿宋_GB2312" w:hAnsi="宋体" w:eastAsia="仿宋_GB2312"/>
                <w:color w:val="auto"/>
                <w:kern w:val="0"/>
                <w:sz w:val="13"/>
                <w:szCs w:val="13"/>
                <w:highlight w:val="none"/>
                <w:lang w:eastAsia="zh-CN"/>
              </w:rPr>
              <w:t>从重情节</w:t>
            </w:r>
            <w:r>
              <w:rPr>
                <w:rFonts w:hint="eastAsia" w:ascii="仿宋_GB2312" w:hAnsi="宋体" w:eastAsia="仿宋_GB2312"/>
                <w:color w:val="auto"/>
                <w:kern w:val="0"/>
                <w:sz w:val="13"/>
                <w:szCs w:val="13"/>
                <w:highlight w:val="none"/>
              </w:rPr>
              <w:t>的。</w:t>
            </w:r>
          </w:p>
        </w:tc>
        <w:tc>
          <w:tcPr>
            <w:tcW w:w="3058" w:type="dxa"/>
            <w:tcBorders>
              <w:tl2br w:val="nil"/>
              <w:tr2bl w:val="nil"/>
            </w:tcBorders>
            <w:vAlign w:val="center"/>
          </w:tcPr>
          <w:p w14:paraId="32A72C4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责令停止生产，没收违法所得；处15万元以上40万元以下的罚款。</w:t>
            </w:r>
          </w:p>
        </w:tc>
      </w:tr>
      <w:tr w14:paraId="6B51747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8" w:hRule="atLeast"/>
          <w:jc w:val="center"/>
        </w:trPr>
        <w:tc>
          <w:tcPr>
            <w:tcW w:w="443" w:type="dxa"/>
            <w:gridSpan w:val="2"/>
            <w:vMerge w:val="continue"/>
            <w:tcBorders>
              <w:tl2br w:val="nil"/>
              <w:tr2bl w:val="nil"/>
            </w:tcBorders>
            <w:vAlign w:val="center"/>
          </w:tcPr>
          <w:p w14:paraId="25E2C3E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color w:val="auto"/>
                <w:kern w:val="0"/>
                <w:sz w:val="13"/>
                <w:szCs w:val="13"/>
                <w:highlight w:val="none"/>
              </w:rPr>
            </w:pPr>
          </w:p>
        </w:tc>
        <w:tc>
          <w:tcPr>
            <w:tcW w:w="1550" w:type="dxa"/>
            <w:vMerge w:val="continue"/>
            <w:tcBorders>
              <w:tl2br w:val="nil"/>
              <w:tr2bl w:val="nil"/>
            </w:tcBorders>
            <w:vAlign w:val="center"/>
          </w:tcPr>
          <w:p w14:paraId="77912E1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vAlign w:val="center"/>
          </w:tcPr>
          <w:p w14:paraId="1FCBC44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tcBorders>
              <w:tl2br w:val="nil"/>
              <w:tr2bl w:val="nil"/>
            </w:tcBorders>
            <w:vAlign w:val="center"/>
          </w:tcPr>
          <w:p w14:paraId="06FE12E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从重情节</w:t>
            </w:r>
          </w:p>
        </w:tc>
        <w:tc>
          <w:tcPr>
            <w:tcW w:w="3437" w:type="dxa"/>
            <w:gridSpan w:val="2"/>
            <w:tcBorders>
              <w:tl2br w:val="nil"/>
              <w:tr2bl w:val="nil"/>
            </w:tcBorders>
            <w:vAlign w:val="center"/>
          </w:tcPr>
          <w:p w14:paraId="73B9FFB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（1）多次实施同类违法行为的；</w:t>
            </w:r>
          </w:p>
          <w:p w14:paraId="035F032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（2）造成质量安全事故或其他严重后果的。</w:t>
            </w:r>
          </w:p>
        </w:tc>
        <w:tc>
          <w:tcPr>
            <w:tcW w:w="3058" w:type="dxa"/>
            <w:tcBorders>
              <w:tl2br w:val="nil"/>
              <w:tr2bl w:val="nil"/>
            </w:tcBorders>
            <w:vAlign w:val="center"/>
          </w:tcPr>
          <w:p w14:paraId="5DFC949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责令停止生产，没收违法所得；处40万元以上50万元以下的罚款。</w:t>
            </w:r>
          </w:p>
        </w:tc>
      </w:tr>
      <w:tr w14:paraId="001F9F9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0" w:hRule="atLeast"/>
          <w:jc w:val="center"/>
        </w:trPr>
        <w:tc>
          <w:tcPr>
            <w:tcW w:w="443" w:type="dxa"/>
            <w:gridSpan w:val="2"/>
            <w:vMerge w:val="restart"/>
            <w:tcBorders>
              <w:tl2br w:val="nil"/>
              <w:tr2bl w:val="nil"/>
            </w:tcBorders>
            <w:vAlign w:val="center"/>
          </w:tcPr>
          <w:p w14:paraId="3F013B37">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Times New Roman"/>
                <w:color w:val="auto"/>
                <w:kern w:val="0"/>
                <w:sz w:val="13"/>
                <w:szCs w:val="13"/>
                <w:highlight w:val="none"/>
                <w:lang w:val="en-US"/>
              </w:rPr>
            </w:pPr>
            <w:r>
              <w:rPr>
                <w:rFonts w:hint="default" w:ascii="仿宋_GB2312" w:hAnsi="宋体" w:eastAsia="仿宋_GB2312" w:cs="仿宋_GB2312"/>
                <w:i w:val="0"/>
                <w:color w:val="auto"/>
                <w:kern w:val="0"/>
                <w:sz w:val="13"/>
                <w:szCs w:val="13"/>
                <w:highlight w:val="none"/>
                <w:u w:val="none"/>
                <w:lang w:val="en-US" w:eastAsia="zh-CN" w:bidi="ar"/>
              </w:rPr>
              <w:t>1</w:t>
            </w:r>
            <w:r>
              <w:rPr>
                <w:rFonts w:hint="eastAsia" w:ascii="仿宋_GB2312" w:hAnsi="宋体" w:eastAsia="仿宋_GB2312" w:cs="仿宋_GB2312"/>
                <w:i w:val="0"/>
                <w:color w:val="auto"/>
                <w:kern w:val="0"/>
                <w:sz w:val="13"/>
                <w:szCs w:val="13"/>
                <w:highlight w:val="none"/>
                <w:u w:val="none"/>
                <w:lang w:val="en-US" w:eastAsia="zh-CN" w:bidi="ar"/>
              </w:rPr>
              <w:t>65</w:t>
            </w:r>
          </w:p>
        </w:tc>
        <w:tc>
          <w:tcPr>
            <w:tcW w:w="1550" w:type="dxa"/>
            <w:vMerge w:val="restart"/>
            <w:tcBorders>
              <w:tl2br w:val="nil"/>
              <w:tr2bl w:val="nil"/>
            </w:tcBorders>
            <w:vAlign w:val="center"/>
          </w:tcPr>
          <w:p w14:paraId="0C21DC70">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企业安全生产许可证有效期满未办理延期手续，继续进行生产的</w:t>
            </w:r>
          </w:p>
        </w:tc>
        <w:tc>
          <w:tcPr>
            <w:tcW w:w="4820" w:type="dxa"/>
            <w:vMerge w:val="restart"/>
            <w:tcBorders>
              <w:tl2br w:val="nil"/>
              <w:tr2bl w:val="nil"/>
            </w:tcBorders>
            <w:vAlign w:val="center"/>
          </w:tcPr>
          <w:p w14:paraId="7CE6F898">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《安全生产许可证条例》</w:t>
            </w:r>
          </w:p>
          <w:p w14:paraId="392EA5A6">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hint="eastAsia" w:ascii="仿宋_GB2312" w:hAnsi="宋体" w:eastAsia="仿宋_GB2312"/>
                <w:color w:val="auto"/>
                <w:kern w:val="0"/>
                <w:sz w:val="13"/>
                <w:szCs w:val="13"/>
                <w:highlight w:val="none"/>
                <w:lang w:val="en-US" w:eastAsia="zh-CN"/>
              </w:rPr>
            </w:pPr>
            <w:r>
              <w:rPr>
                <w:rFonts w:hint="eastAsia" w:ascii="仿宋_GB2312" w:hAnsi="宋体" w:eastAsia="仿宋_GB2312"/>
                <w:color w:val="auto"/>
                <w:kern w:val="0"/>
                <w:sz w:val="13"/>
                <w:szCs w:val="13"/>
                <w:highlight w:val="none"/>
              </w:rPr>
              <w:t>第二十条违反本条例规定，安全生产许可证有效期满未办理延期手续，继续进行生产的，责令停止生产，限期补办延期手续，没收违法所得，并处5万元以上10万元以下的罚款；逾期仍不办理延期手续，继续进行生产的，依照本条例第十九条</w:t>
            </w:r>
            <w:r>
              <w:rPr>
                <w:rFonts w:hint="eastAsia" w:ascii="仿宋_GB2312" w:hAnsi="宋体" w:eastAsia="仿宋_GB2312"/>
                <w:color w:val="auto"/>
                <w:kern w:val="0"/>
                <w:sz w:val="13"/>
                <w:szCs w:val="13"/>
                <w:highlight w:val="none"/>
                <w:lang w:val="en-US" w:eastAsia="zh-CN"/>
              </w:rPr>
              <w:t>的规定处罚</w:t>
            </w:r>
          </w:p>
          <w:p w14:paraId="0FCC122A">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lang w:val="en-US" w:eastAsia="zh-CN"/>
              </w:rPr>
              <w:t>第十九条</w:t>
            </w:r>
            <w:r>
              <w:rPr>
                <w:rFonts w:hint="eastAsia" w:ascii="仿宋_GB2312" w:hAnsi="宋体" w:eastAsia="仿宋_GB2312"/>
                <w:color w:val="auto"/>
                <w:kern w:val="0"/>
                <w:sz w:val="13"/>
                <w:szCs w:val="13"/>
                <w:highlight w:val="none"/>
              </w:rPr>
              <w:t>未取得安全生产许可证擅自进行生产的，责令停止生产，没收违法所得，并处</w:t>
            </w:r>
            <w:r>
              <w:rPr>
                <w:rFonts w:ascii="仿宋_GB2312" w:hAnsi="宋体" w:eastAsia="仿宋_GB2312"/>
                <w:color w:val="auto"/>
                <w:kern w:val="0"/>
                <w:sz w:val="13"/>
                <w:szCs w:val="13"/>
                <w:highlight w:val="none"/>
              </w:rPr>
              <w:t>10</w:t>
            </w:r>
            <w:r>
              <w:rPr>
                <w:rFonts w:hint="eastAsia" w:ascii="仿宋_GB2312" w:hAnsi="宋体" w:eastAsia="仿宋_GB2312"/>
                <w:color w:val="auto"/>
                <w:kern w:val="0"/>
                <w:sz w:val="13"/>
                <w:szCs w:val="13"/>
                <w:highlight w:val="none"/>
              </w:rPr>
              <w:t>万元以上</w:t>
            </w:r>
            <w:r>
              <w:rPr>
                <w:rFonts w:ascii="仿宋_GB2312" w:hAnsi="宋体" w:eastAsia="仿宋_GB2312"/>
                <w:color w:val="auto"/>
                <w:kern w:val="0"/>
                <w:sz w:val="13"/>
                <w:szCs w:val="13"/>
                <w:highlight w:val="none"/>
              </w:rPr>
              <w:t>50</w:t>
            </w:r>
            <w:r>
              <w:rPr>
                <w:rFonts w:hint="eastAsia" w:ascii="仿宋_GB2312" w:hAnsi="宋体" w:eastAsia="仿宋_GB2312"/>
                <w:color w:val="auto"/>
                <w:kern w:val="0"/>
                <w:sz w:val="13"/>
                <w:szCs w:val="13"/>
                <w:highlight w:val="none"/>
              </w:rPr>
              <w:t>万元以下的罚款；造成重大事故或者其他严重后果，构成犯罪的，依法追究刑事责任。</w:t>
            </w:r>
          </w:p>
        </w:tc>
        <w:tc>
          <w:tcPr>
            <w:tcW w:w="823" w:type="dxa"/>
            <w:tcBorders>
              <w:tl2br w:val="nil"/>
              <w:tr2bl w:val="nil"/>
            </w:tcBorders>
            <w:vAlign w:val="center"/>
          </w:tcPr>
          <w:p w14:paraId="2563CD8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vAlign w:val="center"/>
          </w:tcPr>
          <w:p w14:paraId="4BA6EF4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限期内完成补办手续的，未造成危害后果或后果轻微的。</w:t>
            </w:r>
          </w:p>
        </w:tc>
        <w:tc>
          <w:tcPr>
            <w:tcW w:w="3058" w:type="dxa"/>
            <w:tcBorders>
              <w:tl2br w:val="nil"/>
              <w:tr2bl w:val="nil"/>
            </w:tcBorders>
            <w:vAlign w:val="center"/>
          </w:tcPr>
          <w:p w14:paraId="438E9B8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责令停止生产，限期补办延期手续，没收违法所得；处5万元以上10万元以下的罚款。</w:t>
            </w:r>
          </w:p>
        </w:tc>
      </w:tr>
      <w:tr w14:paraId="5853500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79" w:hRule="atLeast"/>
          <w:jc w:val="center"/>
        </w:trPr>
        <w:tc>
          <w:tcPr>
            <w:tcW w:w="443" w:type="dxa"/>
            <w:gridSpan w:val="2"/>
            <w:vMerge w:val="continue"/>
            <w:tcBorders>
              <w:tl2br w:val="nil"/>
              <w:tr2bl w:val="nil"/>
            </w:tcBorders>
            <w:vAlign w:val="center"/>
          </w:tcPr>
          <w:p w14:paraId="0B771A4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color w:val="auto"/>
                <w:kern w:val="0"/>
                <w:sz w:val="13"/>
                <w:szCs w:val="13"/>
                <w:highlight w:val="none"/>
              </w:rPr>
            </w:pPr>
          </w:p>
        </w:tc>
        <w:tc>
          <w:tcPr>
            <w:tcW w:w="1550" w:type="dxa"/>
            <w:vMerge w:val="continue"/>
            <w:tcBorders>
              <w:tl2br w:val="nil"/>
              <w:tr2bl w:val="nil"/>
            </w:tcBorders>
            <w:vAlign w:val="center"/>
          </w:tcPr>
          <w:p w14:paraId="5C4932A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vAlign w:val="center"/>
          </w:tcPr>
          <w:p w14:paraId="1E6D389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tcBorders>
              <w:tl2br w:val="nil"/>
              <w:tr2bl w:val="nil"/>
            </w:tcBorders>
            <w:vAlign w:val="center"/>
          </w:tcPr>
          <w:p w14:paraId="1087EB2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一般情节</w:t>
            </w:r>
          </w:p>
        </w:tc>
        <w:tc>
          <w:tcPr>
            <w:tcW w:w="3437" w:type="dxa"/>
            <w:gridSpan w:val="2"/>
            <w:tcBorders>
              <w:tl2br w:val="nil"/>
              <w:tr2bl w:val="nil"/>
            </w:tcBorders>
            <w:vAlign w:val="center"/>
          </w:tcPr>
          <w:p w14:paraId="52244BE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逾期未办理延期手续，未造成严重后果或安全生产事故的。</w:t>
            </w:r>
          </w:p>
        </w:tc>
        <w:tc>
          <w:tcPr>
            <w:tcW w:w="3058" w:type="dxa"/>
            <w:tcBorders>
              <w:tl2br w:val="nil"/>
              <w:tr2bl w:val="nil"/>
            </w:tcBorders>
            <w:vAlign w:val="center"/>
          </w:tcPr>
          <w:p w14:paraId="658E89E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责令停止生产，没收违法所得；处10万元以上30万元以下的罚款。</w:t>
            </w:r>
          </w:p>
        </w:tc>
      </w:tr>
      <w:tr w14:paraId="0FF6004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400" w:hRule="atLeast"/>
          <w:jc w:val="center"/>
        </w:trPr>
        <w:tc>
          <w:tcPr>
            <w:tcW w:w="443" w:type="dxa"/>
            <w:gridSpan w:val="2"/>
            <w:vMerge w:val="continue"/>
            <w:tcBorders>
              <w:tl2br w:val="nil"/>
              <w:tr2bl w:val="nil"/>
            </w:tcBorders>
            <w:vAlign w:val="center"/>
          </w:tcPr>
          <w:p w14:paraId="735F5B1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color w:val="auto"/>
                <w:kern w:val="0"/>
                <w:sz w:val="13"/>
                <w:szCs w:val="13"/>
                <w:highlight w:val="none"/>
              </w:rPr>
            </w:pPr>
          </w:p>
        </w:tc>
        <w:tc>
          <w:tcPr>
            <w:tcW w:w="1550" w:type="dxa"/>
            <w:vMerge w:val="continue"/>
            <w:tcBorders>
              <w:tl2br w:val="nil"/>
              <w:tr2bl w:val="nil"/>
            </w:tcBorders>
            <w:vAlign w:val="center"/>
          </w:tcPr>
          <w:p w14:paraId="67ACBC0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vAlign w:val="center"/>
          </w:tcPr>
          <w:p w14:paraId="5197284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tcBorders>
              <w:tl2br w:val="nil"/>
              <w:tr2bl w:val="nil"/>
            </w:tcBorders>
            <w:vAlign w:val="center"/>
          </w:tcPr>
          <w:p w14:paraId="5142A8C7">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从重情节</w:t>
            </w:r>
          </w:p>
        </w:tc>
        <w:tc>
          <w:tcPr>
            <w:tcW w:w="3437" w:type="dxa"/>
            <w:gridSpan w:val="2"/>
            <w:tcBorders>
              <w:tl2br w:val="nil"/>
              <w:tr2bl w:val="nil"/>
            </w:tcBorders>
            <w:vAlign w:val="center"/>
          </w:tcPr>
          <w:p w14:paraId="49A7B02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逾期未办理延期手续，且多次实施同类违法行为的；</w:t>
            </w:r>
            <w:r>
              <w:rPr>
                <w:rFonts w:hint="eastAsia" w:ascii="仿宋_GB2312" w:hAnsi="宋体" w:eastAsia="仿宋_GB2312"/>
                <w:color w:val="auto"/>
                <w:kern w:val="0"/>
                <w:sz w:val="13"/>
                <w:szCs w:val="13"/>
                <w:highlight w:val="none"/>
                <w:lang w:val="en-US" w:eastAsia="zh-CN"/>
              </w:rPr>
              <w:t>或</w:t>
            </w:r>
            <w:r>
              <w:rPr>
                <w:rFonts w:hint="eastAsia" w:ascii="仿宋_GB2312" w:hAnsi="宋体" w:eastAsia="仿宋_GB2312"/>
                <w:color w:val="auto"/>
                <w:kern w:val="0"/>
                <w:sz w:val="13"/>
                <w:szCs w:val="13"/>
                <w:highlight w:val="none"/>
              </w:rPr>
              <w:t>造成质量安全事故或其他严重后果的。</w:t>
            </w:r>
          </w:p>
        </w:tc>
        <w:tc>
          <w:tcPr>
            <w:tcW w:w="3058" w:type="dxa"/>
            <w:tcBorders>
              <w:tl2br w:val="nil"/>
              <w:tr2bl w:val="nil"/>
            </w:tcBorders>
            <w:vAlign w:val="center"/>
          </w:tcPr>
          <w:p w14:paraId="637F5B7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责令停止生产，没收违法所得；处30万元以上50万元以下的罚款。</w:t>
            </w:r>
          </w:p>
        </w:tc>
      </w:tr>
      <w:tr w14:paraId="3232816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0" w:hRule="atLeast"/>
          <w:jc w:val="center"/>
        </w:trPr>
        <w:tc>
          <w:tcPr>
            <w:tcW w:w="443" w:type="dxa"/>
            <w:gridSpan w:val="2"/>
            <w:vMerge w:val="restart"/>
            <w:tcBorders>
              <w:tl2br w:val="nil"/>
              <w:tr2bl w:val="nil"/>
            </w:tcBorders>
            <w:vAlign w:val="center"/>
          </w:tcPr>
          <w:p w14:paraId="1385B2F9">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Times New Roman"/>
                <w:color w:val="auto"/>
                <w:kern w:val="0"/>
                <w:sz w:val="13"/>
                <w:szCs w:val="13"/>
                <w:highlight w:val="none"/>
                <w:lang w:val="en-US"/>
              </w:rPr>
            </w:pPr>
            <w:r>
              <w:rPr>
                <w:rFonts w:hint="default" w:ascii="仿宋_GB2312" w:hAnsi="宋体" w:eastAsia="仿宋_GB2312" w:cs="仿宋_GB2312"/>
                <w:i w:val="0"/>
                <w:color w:val="auto"/>
                <w:kern w:val="0"/>
                <w:sz w:val="13"/>
                <w:szCs w:val="13"/>
                <w:highlight w:val="none"/>
                <w:u w:val="none"/>
                <w:lang w:val="en-US" w:eastAsia="zh-CN" w:bidi="ar"/>
              </w:rPr>
              <w:t>1</w:t>
            </w:r>
            <w:r>
              <w:rPr>
                <w:rFonts w:hint="eastAsia" w:ascii="仿宋_GB2312" w:hAnsi="宋体" w:eastAsia="仿宋_GB2312" w:cs="仿宋_GB2312"/>
                <w:i w:val="0"/>
                <w:color w:val="auto"/>
                <w:kern w:val="0"/>
                <w:sz w:val="13"/>
                <w:szCs w:val="13"/>
                <w:highlight w:val="none"/>
                <w:u w:val="none"/>
                <w:lang w:val="en-US" w:eastAsia="zh-CN" w:bidi="ar"/>
              </w:rPr>
              <w:t>66</w:t>
            </w:r>
          </w:p>
        </w:tc>
        <w:tc>
          <w:tcPr>
            <w:tcW w:w="1550" w:type="dxa"/>
            <w:vMerge w:val="restart"/>
            <w:tcBorders>
              <w:tl2br w:val="nil"/>
              <w:tr2bl w:val="nil"/>
            </w:tcBorders>
            <w:vAlign w:val="center"/>
          </w:tcPr>
          <w:p w14:paraId="34E1418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企业</w:t>
            </w:r>
            <w:r>
              <w:rPr>
                <w:rFonts w:hint="eastAsia" w:ascii="仿宋_GB2312" w:eastAsia="仿宋_GB2312"/>
                <w:bCs/>
                <w:color w:val="auto"/>
                <w:sz w:val="13"/>
                <w:szCs w:val="13"/>
                <w:highlight w:val="none"/>
              </w:rPr>
              <w:t>转让安全生产许可证的</w:t>
            </w:r>
          </w:p>
        </w:tc>
        <w:tc>
          <w:tcPr>
            <w:tcW w:w="4820" w:type="dxa"/>
            <w:vMerge w:val="restart"/>
            <w:tcBorders>
              <w:tl2br w:val="nil"/>
              <w:tr2bl w:val="nil"/>
            </w:tcBorders>
            <w:vAlign w:val="center"/>
          </w:tcPr>
          <w:p w14:paraId="55A1E572">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《安全生产许可证条例》</w:t>
            </w:r>
          </w:p>
          <w:p w14:paraId="3FF85E3F">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第二十一条</w:t>
            </w:r>
            <w:r>
              <w:rPr>
                <w:rFonts w:ascii="仿宋_GB2312" w:hAnsi="宋体" w:eastAsia="仿宋_GB2312"/>
                <w:color w:val="auto"/>
                <w:kern w:val="0"/>
                <w:sz w:val="13"/>
                <w:szCs w:val="13"/>
                <w:highlight w:val="none"/>
              </w:rPr>
              <w:t>第一款</w:t>
            </w:r>
            <w:r>
              <w:rPr>
                <w:rFonts w:hint="eastAsia" w:ascii="仿宋_GB2312" w:hAnsi="宋体" w:eastAsia="仿宋_GB2312"/>
                <w:color w:val="auto"/>
                <w:kern w:val="0"/>
                <w:sz w:val="13"/>
                <w:szCs w:val="13"/>
                <w:highlight w:val="none"/>
              </w:rPr>
              <w:t>违反本条例规定，转让安全生产许可证的，没收违法所得，处</w:t>
            </w:r>
            <w:r>
              <w:rPr>
                <w:rFonts w:ascii="仿宋_GB2312" w:hAnsi="宋体" w:eastAsia="仿宋_GB2312"/>
                <w:color w:val="auto"/>
                <w:kern w:val="0"/>
                <w:sz w:val="13"/>
                <w:szCs w:val="13"/>
                <w:highlight w:val="none"/>
              </w:rPr>
              <w:t>10</w:t>
            </w:r>
            <w:r>
              <w:rPr>
                <w:rFonts w:hint="eastAsia" w:ascii="仿宋_GB2312" w:hAnsi="宋体" w:eastAsia="仿宋_GB2312"/>
                <w:color w:val="auto"/>
                <w:kern w:val="0"/>
                <w:sz w:val="13"/>
                <w:szCs w:val="13"/>
                <w:highlight w:val="none"/>
              </w:rPr>
              <w:t>万元以上</w:t>
            </w:r>
            <w:r>
              <w:rPr>
                <w:rFonts w:ascii="仿宋_GB2312" w:hAnsi="宋体" w:eastAsia="仿宋_GB2312"/>
                <w:color w:val="auto"/>
                <w:kern w:val="0"/>
                <w:sz w:val="13"/>
                <w:szCs w:val="13"/>
                <w:highlight w:val="none"/>
              </w:rPr>
              <w:t>50</w:t>
            </w:r>
            <w:r>
              <w:rPr>
                <w:rFonts w:hint="eastAsia" w:ascii="仿宋_GB2312" w:hAnsi="宋体" w:eastAsia="仿宋_GB2312"/>
                <w:color w:val="auto"/>
                <w:kern w:val="0"/>
                <w:sz w:val="13"/>
                <w:szCs w:val="13"/>
                <w:highlight w:val="none"/>
              </w:rPr>
              <w:t>万元以下的罚款，并吊销其安全生产许可证；构成犯罪的，依法追究刑事责任；接受转让的，依照本条例第十九条的规定处罚。</w:t>
            </w:r>
          </w:p>
        </w:tc>
        <w:tc>
          <w:tcPr>
            <w:tcW w:w="823" w:type="dxa"/>
            <w:tcBorders>
              <w:tl2br w:val="nil"/>
              <w:tr2bl w:val="nil"/>
            </w:tcBorders>
            <w:vAlign w:val="center"/>
          </w:tcPr>
          <w:p w14:paraId="75AC4CA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vAlign w:val="center"/>
          </w:tcPr>
          <w:p w14:paraId="04350DB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初次违法，危害后果较轻的，主动消除或减轻违法行为危害后果的。</w:t>
            </w:r>
          </w:p>
        </w:tc>
        <w:tc>
          <w:tcPr>
            <w:tcW w:w="3058" w:type="dxa"/>
            <w:tcBorders>
              <w:tl2br w:val="nil"/>
              <w:tr2bl w:val="nil"/>
            </w:tcBorders>
            <w:vAlign w:val="center"/>
          </w:tcPr>
          <w:p w14:paraId="63B675C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没收违法所得；处</w:t>
            </w:r>
            <w:r>
              <w:rPr>
                <w:rFonts w:ascii="仿宋_GB2312" w:hAnsi="宋体" w:eastAsia="仿宋_GB2312"/>
                <w:color w:val="auto"/>
                <w:kern w:val="0"/>
                <w:sz w:val="13"/>
                <w:szCs w:val="13"/>
                <w:highlight w:val="none"/>
              </w:rPr>
              <w:t>10</w:t>
            </w:r>
            <w:r>
              <w:rPr>
                <w:rFonts w:hint="eastAsia" w:ascii="仿宋_GB2312" w:hAnsi="宋体" w:eastAsia="仿宋_GB2312"/>
                <w:color w:val="auto"/>
                <w:kern w:val="0"/>
                <w:sz w:val="13"/>
                <w:szCs w:val="13"/>
                <w:highlight w:val="none"/>
              </w:rPr>
              <w:t>万元以上15万元以下的罚款；并吊销其安全生产许可证。</w:t>
            </w:r>
          </w:p>
        </w:tc>
      </w:tr>
      <w:tr w14:paraId="47F2821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0" w:hRule="atLeast"/>
          <w:jc w:val="center"/>
        </w:trPr>
        <w:tc>
          <w:tcPr>
            <w:tcW w:w="443" w:type="dxa"/>
            <w:gridSpan w:val="2"/>
            <w:vMerge w:val="continue"/>
            <w:tcBorders>
              <w:tl2br w:val="nil"/>
              <w:tr2bl w:val="nil"/>
            </w:tcBorders>
            <w:vAlign w:val="center"/>
          </w:tcPr>
          <w:p w14:paraId="556D443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color w:val="auto"/>
                <w:kern w:val="0"/>
                <w:sz w:val="13"/>
                <w:szCs w:val="13"/>
                <w:highlight w:val="none"/>
              </w:rPr>
            </w:pPr>
          </w:p>
        </w:tc>
        <w:tc>
          <w:tcPr>
            <w:tcW w:w="1550" w:type="dxa"/>
            <w:vMerge w:val="continue"/>
            <w:tcBorders>
              <w:tl2br w:val="nil"/>
              <w:tr2bl w:val="nil"/>
            </w:tcBorders>
            <w:vAlign w:val="center"/>
          </w:tcPr>
          <w:p w14:paraId="0208352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vAlign w:val="center"/>
          </w:tcPr>
          <w:p w14:paraId="336F10F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tcBorders>
              <w:tl2br w:val="nil"/>
              <w:tr2bl w:val="nil"/>
            </w:tcBorders>
            <w:vAlign w:val="center"/>
          </w:tcPr>
          <w:p w14:paraId="5C0878B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一般情节</w:t>
            </w:r>
          </w:p>
        </w:tc>
        <w:tc>
          <w:tcPr>
            <w:tcW w:w="3437" w:type="dxa"/>
            <w:gridSpan w:val="2"/>
            <w:tcBorders>
              <w:tl2br w:val="nil"/>
              <w:tr2bl w:val="nil"/>
            </w:tcBorders>
            <w:vAlign w:val="center"/>
          </w:tcPr>
          <w:p w14:paraId="6B721E8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不具有从轻、</w:t>
            </w:r>
            <w:r>
              <w:rPr>
                <w:rFonts w:hint="eastAsia" w:ascii="仿宋_GB2312" w:hAnsi="宋体" w:eastAsia="仿宋_GB2312"/>
                <w:color w:val="auto"/>
                <w:kern w:val="0"/>
                <w:sz w:val="13"/>
                <w:szCs w:val="13"/>
                <w:highlight w:val="none"/>
                <w:lang w:eastAsia="zh-CN"/>
              </w:rPr>
              <w:t>从重情节</w:t>
            </w:r>
            <w:r>
              <w:rPr>
                <w:rFonts w:hint="eastAsia" w:ascii="仿宋_GB2312" w:hAnsi="宋体" w:eastAsia="仿宋_GB2312"/>
                <w:color w:val="auto"/>
                <w:kern w:val="0"/>
                <w:sz w:val="13"/>
                <w:szCs w:val="13"/>
                <w:highlight w:val="none"/>
              </w:rPr>
              <w:t>的。</w:t>
            </w:r>
          </w:p>
        </w:tc>
        <w:tc>
          <w:tcPr>
            <w:tcW w:w="3058" w:type="dxa"/>
            <w:tcBorders>
              <w:tl2br w:val="nil"/>
              <w:tr2bl w:val="nil"/>
            </w:tcBorders>
            <w:vAlign w:val="center"/>
          </w:tcPr>
          <w:p w14:paraId="396A20D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没收违法所得；处15万元以上4</w:t>
            </w:r>
            <w:r>
              <w:rPr>
                <w:rFonts w:ascii="仿宋_GB2312" w:hAnsi="宋体" w:eastAsia="仿宋_GB2312"/>
                <w:color w:val="auto"/>
                <w:kern w:val="0"/>
                <w:sz w:val="13"/>
                <w:szCs w:val="13"/>
                <w:highlight w:val="none"/>
              </w:rPr>
              <w:t>0</w:t>
            </w:r>
            <w:r>
              <w:rPr>
                <w:rFonts w:hint="eastAsia" w:ascii="仿宋_GB2312" w:hAnsi="宋体" w:eastAsia="仿宋_GB2312"/>
                <w:color w:val="auto"/>
                <w:kern w:val="0"/>
                <w:sz w:val="13"/>
                <w:szCs w:val="13"/>
                <w:highlight w:val="none"/>
              </w:rPr>
              <w:t>万元以下的罚款；并吊销其安全生产许可证。</w:t>
            </w:r>
          </w:p>
        </w:tc>
      </w:tr>
      <w:tr w14:paraId="5AA2479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8" w:hRule="atLeast"/>
          <w:jc w:val="center"/>
        </w:trPr>
        <w:tc>
          <w:tcPr>
            <w:tcW w:w="443" w:type="dxa"/>
            <w:gridSpan w:val="2"/>
            <w:vMerge w:val="continue"/>
            <w:tcBorders>
              <w:tl2br w:val="nil"/>
              <w:tr2bl w:val="nil"/>
            </w:tcBorders>
            <w:vAlign w:val="center"/>
          </w:tcPr>
          <w:p w14:paraId="1DFBCB1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color w:val="auto"/>
                <w:kern w:val="0"/>
                <w:sz w:val="13"/>
                <w:szCs w:val="13"/>
                <w:highlight w:val="none"/>
              </w:rPr>
            </w:pPr>
          </w:p>
        </w:tc>
        <w:tc>
          <w:tcPr>
            <w:tcW w:w="1550" w:type="dxa"/>
            <w:vMerge w:val="continue"/>
            <w:tcBorders>
              <w:tl2br w:val="nil"/>
              <w:tr2bl w:val="nil"/>
            </w:tcBorders>
            <w:vAlign w:val="center"/>
          </w:tcPr>
          <w:p w14:paraId="007B53A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vAlign w:val="center"/>
          </w:tcPr>
          <w:p w14:paraId="1FB2507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tcBorders>
              <w:tl2br w:val="nil"/>
              <w:tr2bl w:val="nil"/>
            </w:tcBorders>
            <w:vAlign w:val="center"/>
          </w:tcPr>
          <w:p w14:paraId="6F332A9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从重情节</w:t>
            </w:r>
          </w:p>
        </w:tc>
        <w:tc>
          <w:tcPr>
            <w:tcW w:w="3437" w:type="dxa"/>
            <w:gridSpan w:val="2"/>
            <w:tcBorders>
              <w:tl2br w:val="nil"/>
              <w:tr2bl w:val="nil"/>
            </w:tcBorders>
            <w:vAlign w:val="center"/>
          </w:tcPr>
          <w:p w14:paraId="75DC741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（1）多次实施同类违法行为的；</w:t>
            </w:r>
          </w:p>
          <w:p w14:paraId="3DDB400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（2）造成质量安全事故或其他严重后果的。</w:t>
            </w:r>
          </w:p>
        </w:tc>
        <w:tc>
          <w:tcPr>
            <w:tcW w:w="3058" w:type="dxa"/>
            <w:tcBorders>
              <w:tl2br w:val="nil"/>
              <w:tr2bl w:val="nil"/>
            </w:tcBorders>
            <w:vAlign w:val="center"/>
          </w:tcPr>
          <w:p w14:paraId="4839981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没收违法所得；处4</w:t>
            </w:r>
            <w:r>
              <w:rPr>
                <w:rFonts w:ascii="仿宋_GB2312" w:hAnsi="宋体" w:eastAsia="仿宋_GB2312"/>
                <w:color w:val="auto"/>
                <w:kern w:val="0"/>
                <w:sz w:val="13"/>
                <w:szCs w:val="13"/>
                <w:highlight w:val="none"/>
              </w:rPr>
              <w:t>0</w:t>
            </w:r>
            <w:r>
              <w:rPr>
                <w:rFonts w:hint="eastAsia" w:ascii="仿宋_GB2312" w:hAnsi="宋体" w:eastAsia="仿宋_GB2312"/>
                <w:color w:val="auto"/>
                <w:kern w:val="0"/>
                <w:sz w:val="13"/>
                <w:szCs w:val="13"/>
                <w:highlight w:val="none"/>
              </w:rPr>
              <w:t>万元以上</w:t>
            </w:r>
            <w:r>
              <w:rPr>
                <w:rFonts w:ascii="仿宋_GB2312" w:hAnsi="宋体" w:eastAsia="仿宋_GB2312"/>
                <w:color w:val="auto"/>
                <w:kern w:val="0"/>
                <w:sz w:val="13"/>
                <w:szCs w:val="13"/>
                <w:highlight w:val="none"/>
              </w:rPr>
              <w:t>50</w:t>
            </w:r>
            <w:r>
              <w:rPr>
                <w:rFonts w:hint="eastAsia" w:ascii="仿宋_GB2312" w:hAnsi="宋体" w:eastAsia="仿宋_GB2312"/>
                <w:color w:val="auto"/>
                <w:kern w:val="0"/>
                <w:sz w:val="13"/>
                <w:szCs w:val="13"/>
                <w:highlight w:val="none"/>
              </w:rPr>
              <w:t>万元以下的罚款；并吊销其安全生产许可证。</w:t>
            </w:r>
          </w:p>
        </w:tc>
      </w:tr>
      <w:tr w14:paraId="2F1F70A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0" w:hRule="atLeast"/>
          <w:jc w:val="center"/>
        </w:trPr>
        <w:tc>
          <w:tcPr>
            <w:tcW w:w="443" w:type="dxa"/>
            <w:gridSpan w:val="2"/>
            <w:vMerge w:val="restart"/>
            <w:tcBorders>
              <w:tl2br w:val="nil"/>
              <w:tr2bl w:val="nil"/>
            </w:tcBorders>
            <w:vAlign w:val="center"/>
          </w:tcPr>
          <w:p w14:paraId="1F10F06A">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Times New Roman"/>
                <w:color w:val="auto"/>
                <w:kern w:val="0"/>
                <w:sz w:val="13"/>
                <w:szCs w:val="13"/>
                <w:highlight w:val="none"/>
                <w:lang w:val="en-US"/>
              </w:rPr>
            </w:pPr>
            <w:r>
              <w:rPr>
                <w:rFonts w:hint="default" w:ascii="仿宋_GB2312" w:hAnsi="宋体" w:eastAsia="仿宋_GB2312" w:cs="仿宋_GB2312"/>
                <w:i w:val="0"/>
                <w:color w:val="auto"/>
                <w:kern w:val="0"/>
                <w:sz w:val="13"/>
                <w:szCs w:val="13"/>
                <w:highlight w:val="none"/>
                <w:u w:val="none"/>
                <w:lang w:val="en-US" w:eastAsia="zh-CN" w:bidi="ar"/>
              </w:rPr>
              <w:t>1</w:t>
            </w:r>
            <w:r>
              <w:rPr>
                <w:rFonts w:hint="eastAsia" w:ascii="仿宋_GB2312" w:hAnsi="宋体" w:eastAsia="仿宋_GB2312" w:cs="仿宋_GB2312"/>
                <w:i w:val="0"/>
                <w:color w:val="auto"/>
                <w:kern w:val="0"/>
                <w:sz w:val="13"/>
                <w:szCs w:val="13"/>
                <w:highlight w:val="none"/>
                <w:u w:val="none"/>
                <w:lang w:val="en-US" w:eastAsia="zh-CN" w:bidi="ar"/>
              </w:rPr>
              <w:t>67</w:t>
            </w:r>
          </w:p>
        </w:tc>
        <w:tc>
          <w:tcPr>
            <w:tcW w:w="1550" w:type="dxa"/>
            <w:vMerge w:val="restart"/>
            <w:tcBorders>
              <w:tl2br w:val="nil"/>
              <w:tr2bl w:val="nil"/>
            </w:tcBorders>
            <w:vAlign w:val="center"/>
          </w:tcPr>
          <w:p w14:paraId="5C01ED7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企业</w:t>
            </w:r>
            <w:r>
              <w:rPr>
                <w:rFonts w:hint="eastAsia" w:ascii="仿宋_GB2312" w:eastAsia="仿宋_GB2312"/>
                <w:bCs/>
                <w:color w:val="auto"/>
                <w:sz w:val="13"/>
                <w:szCs w:val="13"/>
                <w:highlight w:val="none"/>
              </w:rPr>
              <w:t>冒用安全生产许可证或者使用伪造的安全生产许可证的</w:t>
            </w:r>
          </w:p>
        </w:tc>
        <w:tc>
          <w:tcPr>
            <w:tcW w:w="4820" w:type="dxa"/>
            <w:vMerge w:val="restart"/>
            <w:tcBorders>
              <w:tl2br w:val="nil"/>
              <w:tr2bl w:val="nil"/>
            </w:tcBorders>
            <w:vAlign w:val="center"/>
          </w:tcPr>
          <w:p w14:paraId="154E35C8">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《安全生产许可证条例》</w:t>
            </w:r>
          </w:p>
          <w:p w14:paraId="5B41D053">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第二十一条</w:t>
            </w:r>
            <w:r>
              <w:rPr>
                <w:rFonts w:ascii="仿宋_GB2312" w:hAnsi="宋体" w:eastAsia="仿宋_GB2312"/>
                <w:color w:val="auto"/>
                <w:kern w:val="0"/>
                <w:sz w:val="13"/>
                <w:szCs w:val="13"/>
                <w:highlight w:val="none"/>
              </w:rPr>
              <w:t>第二款</w:t>
            </w:r>
            <w:r>
              <w:rPr>
                <w:rFonts w:hint="eastAsia" w:ascii="仿宋_GB2312" w:hAnsi="宋体" w:eastAsia="仿宋_GB2312"/>
                <w:color w:val="auto"/>
                <w:kern w:val="0"/>
                <w:sz w:val="13"/>
                <w:szCs w:val="13"/>
                <w:highlight w:val="none"/>
              </w:rPr>
              <w:t>冒用安全生产许可证或者使用伪造的安全生产许可证的，依照本条例第十九条规定处罚。</w:t>
            </w:r>
          </w:p>
          <w:p w14:paraId="16428116">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第十九条违反本条例规定，未取得安全生产许可证擅自进行生产的，责令停止生产，没收违法所得，并处10万元以上50万元以下的罚款；造成重大事故或者其他严重后果，构成犯罪的，依法追究刑事责任。</w:t>
            </w:r>
          </w:p>
        </w:tc>
        <w:tc>
          <w:tcPr>
            <w:tcW w:w="823" w:type="dxa"/>
            <w:tcBorders>
              <w:tl2br w:val="nil"/>
              <w:tr2bl w:val="nil"/>
            </w:tcBorders>
            <w:vAlign w:val="center"/>
          </w:tcPr>
          <w:p w14:paraId="400D8DD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vAlign w:val="center"/>
          </w:tcPr>
          <w:p w14:paraId="133A28A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初次违法，危害后果较轻的，主动消除或减轻违法行为危害后果的。</w:t>
            </w:r>
          </w:p>
        </w:tc>
        <w:tc>
          <w:tcPr>
            <w:tcW w:w="3058" w:type="dxa"/>
            <w:tcBorders>
              <w:tl2br w:val="nil"/>
              <w:tr2bl w:val="nil"/>
            </w:tcBorders>
            <w:vAlign w:val="center"/>
          </w:tcPr>
          <w:p w14:paraId="3BE0BD0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责令停止生产，没收违法所得；处10万元以上15万元以下的罚款。</w:t>
            </w:r>
          </w:p>
        </w:tc>
      </w:tr>
      <w:tr w14:paraId="4D42BC2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0" w:hRule="atLeast"/>
          <w:jc w:val="center"/>
        </w:trPr>
        <w:tc>
          <w:tcPr>
            <w:tcW w:w="443" w:type="dxa"/>
            <w:gridSpan w:val="2"/>
            <w:vMerge w:val="continue"/>
            <w:tcBorders>
              <w:tl2br w:val="nil"/>
              <w:tr2bl w:val="nil"/>
            </w:tcBorders>
            <w:vAlign w:val="center"/>
          </w:tcPr>
          <w:p w14:paraId="34E0E77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color w:val="auto"/>
                <w:kern w:val="0"/>
                <w:sz w:val="13"/>
                <w:szCs w:val="13"/>
                <w:highlight w:val="none"/>
              </w:rPr>
            </w:pPr>
          </w:p>
        </w:tc>
        <w:tc>
          <w:tcPr>
            <w:tcW w:w="1550" w:type="dxa"/>
            <w:vMerge w:val="continue"/>
            <w:tcBorders>
              <w:tl2br w:val="nil"/>
              <w:tr2bl w:val="nil"/>
            </w:tcBorders>
            <w:vAlign w:val="center"/>
          </w:tcPr>
          <w:p w14:paraId="4949397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vAlign w:val="center"/>
          </w:tcPr>
          <w:p w14:paraId="3D5E9B0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tcBorders>
              <w:tl2br w:val="nil"/>
              <w:tr2bl w:val="nil"/>
            </w:tcBorders>
            <w:vAlign w:val="center"/>
          </w:tcPr>
          <w:p w14:paraId="0AA0D6E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一般情节</w:t>
            </w:r>
          </w:p>
        </w:tc>
        <w:tc>
          <w:tcPr>
            <w:tcW w:w="3437" w:type="dxa"/>
            <w:gridSpan w:val="2"/>
            <w:tcBorders>
              <w:tl2br w:val="nil"/>
              <w:tr2bl w:val="nil"/>
            </w:tcBorders>
            <w:vAlign w:val="center"/>
          </w:tcPr>
          <w:p w14:paraId="5691BA0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不具有从轻、</w:t>
            </w:r>
            <w:r>
              <w:rPr>
                <w:rFonts w:hint="eastAsia" w:ascii="仿宋_GB2312" w:hAnsi="宋体" w:eastAsia="仿宋_GB2312"/>
                <w:color w:val="auto"/>
                <w:kern w:val="0"/>
                <w:sz w:val="13"/>
                <w:szCs w:val="13"/>
                <w:highlight w:val="none"/>
                <w:lang w:eastAsia="zh-CN"/>
              </w:rPr>
              <w:t>从重情节</w:t>
            </w:r>
            <w:r>
              <w:rPr>
                <w:rFonts w:hint="eastAsia" w:ascii="仿宋_GB2312" w:hAnsi="宋体" w:eastAsia="仿宋_GB2312"/>
                <w:color w:val="auto"/>
                <w:kern w:val="0"/>
                <w:sz w:val="13"/>
                <w:szCs w:val="13"/>
                <w:highlight w:val="none"/>
              </w:rPr>
              <w:t>的。</w:t>
            </w:r>
          </w:p>
        </w:tc>
        <w:tc>
          <w:tcPr>
            <w:tcW w:w="3058" w:type="dxa"/>
            <w:tcBorders>
              <w:tl2br w:val="nil"/>
              <w:tr2bl w:val="nil"/>
            </w:tcBorders>
            <w:vAlign w:val="center"/>
          </w:tcPr>
          <w:p w14:paraId="761A61B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责令停止生产，没收违法所得；处15万元以上40万元以下的罚款。</w:t>
            </w:r>
          </w:p>
        </w:tc>
      </w:tr>
      <w:tr w14:paraId="7C0BD27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10" w:hRule="atLeast"/>
          <w:jc w:val="center"/>
        </w:trPr>
        <w:tc>
          <w:tcPr>
            <w:tcW w:w="443" w:type="dxa"/>
            <w:gridSpan w:val="2"/>
            <w:vMerge w:val="continue"/>
            <w:tcBorders>
              <w:tl2br w:val="nil"/>
              <w:tr2bl w:val="nil"/>
            </w:tcBorders>
            <w:vAlign w:val="center"/>
          </w:tcPr>
          <w:p w14:paraId="3DA42B4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color w:val="auto"/>
                <w:kern w:val="0"/>
                <w:sz w:val="13"/>
                <w:szCs w:val="13"/>
                <w:highlight w:val="none"/>
              </w:rPr>
            </w:pPr>
          </w:p>
        </w:tc>
        <w:tc>
          <w:tcPr>
            <w:tcW w:w="1550" w:type="dxa"/>
            <w:vMerge w:val="continue"/>
            <w:tcBorders>
              <w:tl2br w:val="nil"/>
              <w:tr2bl w:val="nil"/>
            </w:tcBorders>
            <w:vAlign w:val="center"/>
          </w:tcPr>
          <w:p w14:paraId="389A8EA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vAlign w:val="center"/>
          </w:tcPr>
          <w:p w14:paraId="364A9FF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tcBorders>
              <w:tl2br w:val="nil"/>
              <w:tr2bl w:val="nil"/>
            </w:tcBorders>
            <w:vAlign w:val="center"/>
          </w:tcPr>
          <w:p w14:paraId="65A9844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从重情节</w:t>
            </w:r>
          </w:p>
        </w:tc>
        <w:tc>
          <w:tcPr>
            <w:tcW w:w="3437" w:type="dxa"/>
            <w:gridSpan w:val="2"/>
            <w:tcBorders>
              <w:tl2br w:val="nil"/>
              <w:tr2bl w:val="nil"/>
            </w:tcBorders>
            <w:vAlign w:val="center"/>
          </w:tcPr>
          <w:p w14:paraId="30324F6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（1）多次实施同类违法行为的；</w:t>
            </w:r>
          </w:p>
          <w:p w14:paraId="212ACCE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（2）造成质量安全事故或其他严重后果的。</w:t>
            </w:r>
          </w:p>
        </w:tc>
        <w:tc>
          <w:tcPr>
            <w:tcW w:w="3058" w:type="dxa"/>
            <w:tcBorders>
              <w:tl2br w:val="nil"/>
              <w:tr2bl w:val="nil"/>
            </w:tcBorders>
            <w:vAlign w:val="center"/>
          </w:tcPr>
          <w:p w14:paraId="625022F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责令停止生产，没收违法所得；处40万元以上50万元以下的罚款。</w:t>
            </w:r>
          </w:p>
        </w:tc>
      </w:tr>
      <w:tr w14:paraId="78949B4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530" w:hRule="atLeast"/>
          <w:jc w:val="center"/>
        </w:trPr>
        <w:tc>
          <w:tcPr>
            <w:tcW w:w="443" w:type="dxa"/>
            <w:gridSpan w:val="2"/>
            <w:vMerge w:val="restart"/>
            <w:tcBorders>
              <w:tl2br w:val="nil"/>
              <w:tr2bl w:val="nil"/>
            </w:tcBorders>
            <w:vAlign w:val="center"/>
          </w:tcPr>
          <w:p w14:paraId="6AB0AF42">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Times New Roman"/>
                <w:color w:val="auto"/>
                <w:kern w:val="0"/>
                <w:sz w:val="13"/>
                <w:szCs w:val="13"/>
                <w:highlight w:val="none"/>
                <w:lang w:val="en-US"/>
              </w:rPr>
            </w:pPr>
            <w:r>
              <w:rPr>
                <w:rFonts w:hint="default" w:ascii="仿宋_GB2312" w:hAnsi="宋体" w:eastAsia="仿宋_GB2312" w:cs="仿宋_GB2312"/>
                <w:i w:val="0"/>
                <w:color w:val="auto"/>
                <w:kern w:val="0"/>
                <w:sz w:val="13"/>
                <w:szCs w:val="13"/>
                <w:highlight w:val="none"/>
                <w:u w:val="none"/>
                <w:lang w:val="en-US" w:eastAsia="zh-CN" w:bidi="ar"/>
              </w:rPr>
              <w:t>1</w:t>
            </w:r>
            <w:r>
              <w:rPr>
                <w:rFonts w:hint="eastAsia" w:ascii="仿宋_GB2312" w:hAnsi="宋体" w:eastAsia="仿宋_GB2312" w:cs="仿宋_GB2312"/>
                <w:i w:val="0"/>
                <w:color w:val="auto"/>
                <w:kern w:val="0"/>
                <w:sz w:val="13"/>
                <w:szCs w:val="13"/>
                <w:highlight w:val="none"/>
                <w:u w:val="none"/>
                <w:lang w:val="en-US" w:eastAsia="zh-CN" w:bidi="ar"/>
              </w:rPr>
              <w:t>68</w:t>
            </w:r>
          </w:p>
        </w:tc>
        <w:tc>
          <w:tcPr>
            <w:tcW w:w="1550" w:type="dxa"/>
            <w:vMerge w:val="restart"/>
            <w:tcBorders>
              <w:tl2br w:val="nil"/>
              <w:tr2bl w:val="nil"/>
            </w:tcBorders>
            <w:vAlign w:val="center"/>
          </w:tcPr>
          <w:p w14:paraId="720998AA">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default" w:ascii="仿宋_GB2312" w:hAnsi="宋体" w:eastAsia="仿宋_GB2312"/>
                <w:color w:val="auto"/>
                <w:kern w:val="0"/>
                <w:sz w:val="13"/>
                <w:szCs w:val="13"/>
                <w:highlight w:val="none"/>
                <w:lang w:val="en-US" w:eastAsia="zh-CN"/>
              </w:rPr>
            </w:pPr>
            <w:r>
              <w:rPr>
                <w:rFonts w:hint="eastAsia" w:ascii="仿宋_GB2312" w:hAnsi="宋体" w:eastAsia="仿宋_GB2312"/>
                <w:color w:val="auto"/>
                <w:kern w:val="0"/>
                <w:sz w:val="13"/>
                <w:szCs w:val="13"/>
                <w:highlight w:val="none"/>
              </w:rPr>
              <w:t>建筑施工企业安全生产许可证有效期满未办理延期手续，继续</w:t>
            </w:r>
            <w:r>
              <w:rPr>
                <w:rFonts w:hint="eastAsia" w:ascii="仿宋_GB2312" w:hAnsi="宋体" w:eastAsia="仿宋_GB2312"/>
                <w:color w:val="auto"/>
                <w:kern w:val="0"/>
                <w:sz w:val="13"/>
                <w:szCs w:val="13"/>
                <w:highlight w:val="none"/>
                <w:lang w:val="en-US" w:eastAsia="zh-CN"/>
              </w:rPr>
              <w:t>从事建筑施工活动的</w:t>
            </w:r>
          </w:p>
        </w:tc>
        <w:tc>
          <w:tcPr>
            <w:tcW w:w="4820" w:type="dxa"/>
            <w:vMerge w:val="restart"/>
            <w:tcBorders>
              <w:tl2br w:val="nil"/>
              <w:tr2bl w:val="nil"/>
            </w:tcBorders>
            <w:vAlign w:val="center"/>
          </w:tcPr>
          <w:p w14:paraId="7BB516CA">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《建筑施工企业安全生产许可证管理规定》</w:t>
            </w:r>
          </w:p>
          <w:p w14:paraId="109899A4">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第二十五条违反本规定，安全生产许可证有效期满未办理延期手续，继续从事建筑施工活动的，责令其在建项目停止施工，限期补办延期手续，没收违法所得，并处5万元以上10万元以下的罚款；逾期仍不办理延期手续，继续从事建筑施工活动的，依照本规定第二十四条的规定处罚。</w:t>
            </w:r>
          </w:p>
          <w:p w14:paraId="1687BADB">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第二十四条违反本规定，建筑施工企业未取得安全生产许可证擅自从事建筑施工活动的，责令其在建项目停止施工，没收违法所得，并处10万元以上50万元以下的罚款；造成重大安全事故或者其他严重后果，构成犯罪的，依法追究刑事责任。</w:t>
            </w:r>
          </w:p>
        </w:tc>
        <w:tc>
          <w:tcPr>
            <w:tcW w:w="823" w:type="dxa"/>
            <w:tcBorders>
              <w:tl2br w:val="nil"/>
              <w:tr2bl w:val="nil"/>
            </w:tcBorders>
            <w:vAlign w:val="center"/>
          </w:tcPr>
          <w:p w14:paraId="188DF0A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vAlign w:val="center"/>
          </w:tcPr>
          <w:p w14:paraId="2B975B8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限期内完成补办手续的，未造成危害后果或后果轻微的。</w:t>
            </w:r>
          </w:p>
        </w:tc>
        <w:tc>
          <w:tcPr>
            <w:tcW w:w="3058" w:type="dxa"/>
            <w:tcBorders>
              <w:tl2br w:val="nil"/>
              <w:tr2bl w:val="nil"/>
            </w:tcBorders>
            <w:vAlign w:val="center"/>
          </w:tcPr>
          <w:p w14:paraId="29B8DFF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责令其在建项目停止施工，限期补办延期手续，没收违法所得；处5万元以上10万元以下的罚款。</w:t>
            </w:r>
          </w:p>
        </w:tc>
      </w:tr>
      <w:tr w14:paraId="2EDC8FA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82" w:hRule="atLeast"/>
          <w:jc w:val="center"/>
        </w:trPr>
        <w:tc>
          <w:tcPr>
            <w:tcW w:w="443" w:type="dxa"/>
            <w:gridSpan w:val="2"/>
            <w:vMerge w:val="continue"/>
            <w:tcBorders>
              <w:tl2br w:val="nil"/>
              <w:tr2bl w:val="nil"/>
            </w:tcBorders>
            <w:vAlign w:val="center"/>
          </w:tcPr>
          <w:p w14:paraId="0BC5D51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color w:val="auto"/>
                <w:kern w:val="0"/>
                <w:sz w:val="13"/>
                <w:szCs w:val="13"/>
                <w:highlight w:val="none"/>
              </w:rPr>
            </w:pPr>
          </w:p>
        </w:tc>
        <w:tc>
          <w:tcPr>
            <w:tcW w:w="1550" w:type="dxa"/>
            <w:vMerge w:val="continue"/>
            <w:tcBorders>
              <w:tl2br w:val="nil"/>
              <w:tr2bl w:val="nil"/>
            </w:tcBorders>
            <w:vAlign w:val="center"/>
          </w:tcPr>
          <w:p w14:paraId="26FB538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vAlign w:val="center"/>
          </w:tcPr>
          <w:p w14:paraId="01F975A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tcBorders>
              <w:tl2br w:val="nil"/>
              <w:tr2bl w:val="nil"/>
            </w:tcBorders>
            <w:vAlign w:val="center"/>
          </w:tcPr>
          <w:p w14:paraId="407E1F5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一般情节</w:t>
            </w:r>
          </w:p>
        </w:tc>
        <w:tc>
          <w:tcPr>
            <w:tcW w:w="3437" w:type="dxa"/>
            <w:gridSpan w:val="2"/>
            <w:tcBorders>
              <w:tl2br w:val="nil"/>
              <w:tr2bl w:val="nil"/>
            </w:tcBorders>
            <w:vAlign w:val="center"/>
          </w:tcPr>
          <w:p w14:paraId="420F289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逾期未办理延期手续，未造成严重后果或安全生产事故的。</w:t>
            </w:r>
          </w:p>
        </w:tc>
        <w:tc>
          <w:tcPr>
            <w:tcW w:w="3058" w:type="dxa"/>
            <w:tcBorders>
              <w:tl2br w:val="nil"/>
              <w:tr2bl w:val="nil"/>
            </w:tcBorders>
            <w:vAlign w:val="center"/>
          </w:tcPr>
          <w:p w14:paraId="6BB4D9A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责令其在建项目停止施工，没收违法所得，并处10万元以上30万元以下的罚款。</w:t>
            </w:r>
          </w:p>
        </w:tc>
      </w:tr>
      <w:tr w14:paraId="1552BCC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8" w:hRule="atLeast"/>
          <w:jc w:val="center"/>
        </w:trPr>
        <w:tc>
          <w:tcPr>
            <w:tcW w:w="443" w:type="dxa"/>
            <w:gridSpan w:val="2"/>
            <w:vMerge w:val="continue"/>
            <w:tcBorders>
              <w:tl2br w:val="nil"/>
              <w:tr2bl w:val="nil"/>
            </w:tcBorders>
            <w:vAlign w:val="center"/>
          </w:tcPr>
          <w:p w14:paraId="43E347E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color w:val="auto"/>
                <w:kern w:val="0"/>
                <w:sz w:val="13"/>
                <w:szCs w:val="13"/>
                <w:highlight w:val="none"/>
              </w:rPr>
            </w:pPr>
          </w:p>
        </w:tc>
        <w:tc>
          <w:tcPr>
            <w:tcW w:w="1550" w:type="dxa"/>
            <w:vMerge w:val="continue"/>
            <w:tcBorders>
              <w:tl2br w:val="nil"/>
              <w:tr2bl w:val="nil"/>
            </w:tcBorders>
            <w:vAlign w:val="center"/>
          </w:tcPr>
          <w:p w14:paraId="08E3C55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vAlign w:val="center"/>
          </w:tcPr>
          <w:p w14:paraId="5C92861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tcBorders>
              <w:tl2br w:val="nil"/>
              <w:tr2bl w:val="nil"/>
            </w:tcBorders>
            <w:vAlign w:val="center"/>
          </w:tcPr>
          <w:p w14:paraId="12F5E1B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从重情节</w:t>
            </w:r>
          </w:p>
        </w:tc>
        <w:tc>
          <w:tcPr>
            <w:tcW w:w="3437" w:type="dxa"/>
            <w:gridSpan w:val="2"/>
            <w:tcBorders>
              <w:tl2br w:val="nil"/>
              <w:tr2bl w:val="nil"/>
            </w:tcBorders>
            <w:vAlign w:val="center"/>
          </w:tcPr>
          <w:p w14:paraId="23DACD3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逾期未办理延期手续，且多次实施同类违法行为的；造成质量安全事故或其他严重后果的。</w:t>
            </w:r>
          </w:p>
        </w:tc>
        <w:tc>
          <w:tcPr>
            <w:tcW w:w="3058" w:type="dxa"/>
            <w:tcBorders>
              <w:tl2br w:val="nil"/>
              <w:tr2bl w:val="nil"/>
            </w:tcBorders>
            <w:vAlign w:val="center"/>
          </w:tcPr>
          <w:p w14:paraId="791B412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责令其在建项目停止施工，没收违法所得，并处30万元以上50万元以下的罚款。</w:t>
            </w:r>
          </w:p>
        </w:tc>
      </w:tr>
      <w:tr w14:paraId="52F2447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0" w:hRule="atLeast"/>
          <w:jc w:val="center"/>
        </w:trPr>
        <w:tc>
          <w:tcPr>
            <w:tcW w:w="443" w:type="dxa"/>
            <w:gridSpan w:val="2"/>
            <w:vMerge w:val="restart"/>
            <w:tcBorders>
              <w:tl2br w:val="nil"/>
              <w:tr2bl w:val="nil"/>
            </w:tcBorders>
            <w:vAlign w:val="center"/>
          </w:tcPr>
          <w:p w14:paraId="5BA5CE04">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Times New Roman"/>
                <w:color w:val="auto"/>
                <w:kern w:val="0"/>
                <w:sz w:val="13"/>
                <w:szCs w:val="13"/>
                <w:highlight w:val="none"/>
                <w:lang w:val="en-US"/>
              </w:rPr>
            </w:pPr>
            <w:r>
              <w:rPr>
                <w:rFonts w:hint="default" w:ascii="仿宋_GB2312" w:hAnsi="宋体" w:eastAsia="仿宋_GB2312" w:cs="仿宋_GB2312"/>
                <w:i w:val="0"/>
                <w:color w:val="auto"/>
                <w:kern w:val="0"/>
                <w:sz w:val="13"/>
                <w:szCs w:val="13"/>
                <w:highlight w:val="none"/>
                <w:u w:val="none"/>
                <w:lang w:val="en-US" w:eastAsia="zh-CN" w:bidi="ar"/>
              </w:rPr>
              <w:t>1</w:t>
            </w:r>
            <w:r>
              <w:rPr>
                <w:rFonts w:hint="eastAsia" w:ascii="仿宋_GB2312" w:hAnsi="宋体" w:eastAsia="仿宋_GB2312" w:cs="仿宋_GB2312"/>
                <w:i w:val="0"/>
                <w:color w:val="auto"/>
                <w:kern w:val="0"/>
                <w:sz w:val="13"/>
                <w:szCs w:val="13"/>
                <w:highlight w:val="none"/>
                <w:u w:val="none"/>
                <w:lang w:val="en-US" w:eastAsia="zh-CN" w:bidi="ar"/>
              </w:rPr>
              <w:t>69</w:t>
            </w:r>
          </w:p>
        </w:tc>
        <w:tc>
          <w:tcPr>
            <w:tcW w:w="1550" w:type="dxa"/>
            <w:vMerge w:val="restart"/>
            <w:tcBorders>
              <w:tl2br w:val="nil"/>
              <w:tr2bl w:val="nil"/>
            </w:tcBorders>
            <w:vAlign w:val="center"/>
          </w:tcPr>
          <w:p w14:paraId="09C94B97">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建筑施工企业转让安全生产许可证</w:t>
            </w:r>
          </w:p>
        </w:tc>
        <w:tc>
          <w:tcPr>
            <w:tcW w:w="4820" w:type="dxa"/>
            <w:vMerge w:val="restart"/>
            <w:tcBorders>
              <w:tl2br w:val="nil"/>
              <w:tr2bl w:val="nil"/>
            </w:tcBorders>
            <w:vAlign w:val="center"/>
          </w:tcPr>
          <w:p w14:paraId="37BC189B">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《建筑施工企业安全生产许可证管理规定》</w:t>
            </w:r>
          </w:p>
          <w:p w14:paraId="378DA94B">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第二十六条</w:t>
            </w:r>
            <w:r>
              <w:rPr>
                <w:rFonts w:ascii="仿宋_GB2312" w:hAnsi="宋体" w:eastAsia="仿宋_GB2312"/>
                <w:color w:val="auto"/>
                <w:kern w:val="0"/>
                <w:sz w:val="13"/>
                <w:szCs w:val="13"/>
                <w:highlight w:val="none"/>
              </w:rPr>
              <w:t>第一款</w:t>
            </w:r>
            <w:r>
              <w:rPr>
                <w:rFonts w:hint="eastAsia" w:ascii="仿宋_GB2312" w:hAnsi="宋体" w:eastAsia="仿宋_GB2312"/>
                <w:color w:val="auto"/>
                <w:kern w:val="0"/>
                <w:sz w:val="13"/>
                <w:szCs w:val="13"/>
                <w:highlight w:val="none"/>
              </w:rPr>
              <w:t>违反本规定，建筑施工企业转让安全生产许可证的，没收违法所得，处10万元以上50万元以下的罚款，并吊销安全生产许可证；构成犯罪的，依法追究刑事责任；接受转让的，依照本规定第二十四条的规定处罚。</w:t>
            </w:r>
          </w:p>
          <w:p w14:paraId="7739F7C5">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第二十四条违反本规定，建筑施工企业未取得安全生产许可证擅自从事建筑施工活动的，责令其在建项目停止施工，没收违法所得，并处10万元以上50万元以下的罚款；造成重大安全事故或者其他严重后果，构成犯罪的，依法追究刑事责任。</w:t>
            </w:r>
          </w:p>
        </w:tc>
        <w:tc>
          <w:tcPr>
            <w:tcW w:w="823" w:type="dxa"/>
            <w:tcBorders>
              <w:tl2br w:val="nil"/>
              <w:tr2bl w:val="nil"/>
            </w:tcBorders>
            <w:vAlign w:val="center"/>
          </w:tcPr>
          <w:p w14:paraId="72DF3D8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vAlign w:val="center"/>
          </w:tcPr>
          <w:p w14:paraId="4BD98E6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初次违法，危害后果较轻的，主动消除或减轻违法行为危害后果的。</w:t>
            </w:r>
          </w:p>
        </w:tc>
        <w:tc>
          <w:tcPr>
            <w:tcW w:w="3058" w:type="dxa"/>
            <w:tcBorders>
              <w:tl2br w:val="nil"/>
              <w:tr2bl w:val="nil"/>
            </w:tcBorders>
            <w:vAlign w:val="center"/>
          </w:tcPr>
          <w:p w14:paraId="75A1152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没收违法所得；处</w:t>
            </w:r>
            <w:r>
              <w:rPr>
                <w:rFonts w:ascii="仿宋_GB2312" w:hAnsi="宋体" w:eastAsia="仿宋_GB2312"/>
                <w:color w:val="auto"/>
                <w:kern w:val="0"/>
                <w:sz w:val="13"/>
                <w:szCs w:val="13"/>
                <w:highlight w:val="none"/>
              </w:rPr>
              <w:t>10</w:t>
            </w:r>
            <w:r>
              <w:rPr>
                <w:rFonts w:hint="eastAsia" w:ascii="仿宋_GB2312" w:hAnsi="宋体" w:eastAsia="仿宋_GB2312"/>
                <w:color w:val="auto"/>
                <w:kern w:val="0"/>
                <w:sz w:val="13"/>
                <w:szCs w:val="13"/>
                <w:highlight w:val="none"/>
              </w:rPr>
              <w:t>万元以上</w:t>
            </w:r>
            <w:r>
              <w:rPr>
                <w:rFonts w:hint="eastAsia" w:ascii="仿宋_GB2312" w:hAnsi="宋体" w:eastAsia="仿宋_GB2312"/>
                <w:color w:val="auto"/>
                <w:kern w:val="0"/>
                <w:sz w:val="13"/>
                <w:szCs w:val="13"/>
                <w:highlight w:val="none"/>
                <w:lang w:val="en-US" w:eastAsia="zh-CN"/>
              </w:rPr>
              <w:t>20</w:t>
            </w:r>
            <w:r>
              <w:rPr>
                <w:rFonts w:hint="eastAsia" w:ascii="仿宋_GB2312" w:hAnsi="宋体" w:eastAsia="仿宋_GB2312"/>
                <w:color w:val="auto"/>
                <w:kern w:val="0"/>
                <w:sz w:val="13"/>
                <w:szCs w:val="13"/>
                <w:highlight w:val="none"/>
              </w:rPr>
              <w:t>万元以下的罚款；并吊销其安全生产许可证。</w:t>
            </w:r>
          </w:p>
        </w:tc>
      </w:tr>
      <w:tr w14:paraId="3E6DF83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0" w:hRule="atLeast"/>
          <w:jc w:val="center"/>
        </w:trPr>
        <w:tc>
          <w:tcPr>
            <w:tcW w:w="443" w:type="dxa"/>
            <w:gridSpan w:val="2"/>
            <w:vMerge w:val="continue"/>
            <w:tcBorders>
              <w:tl2br w:val="nil"/>
              <w:tr2bl w:val="nil"/>
            </w:tcBorders>
            <w:vAlign w:val="center"/>
          </w:tcPr>
          <w:p w14:paraId="4A499B2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color w:val="auto"/>
                <w:kern w:val="0"/>
                <w:sz w:val="13"/>
                <w:szCs w:val="13"/>
                <w:highlight w:val="none"/>
              </w:rPr>
            </w:pPr>
          </w:p>
        </w:tc>
        <w:tc>
          <w:tcPr>
            <w:tcW w:w="1550" w:type="dxa"/>
            <w:vMerge w:val="continue"/>
            <w:tcBorders>
              <w:tl2br w:val="nil"/>
              <w:tr2bl w:val="nil"/>
            </w:tcBorders>
            <w:vAlign w:val="center"/>
          </w:tcPr>
          <w:p w14:paraId="0E710E8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vAlign w:val="center"/>
          </w:tcPr>
          <w:p w14:paraId="3DA0C6B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tcBorders>
              <w:tl2br w:val="nil"/>
              <w:tr2bl w:val="nil"/>
            </w:tcBorders>
            <w:vAlign w:val="center"/>
          </w:tcPr>
          <w:p w14:paraId="5EF0517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一般情节</w:t>
            </w:r>
          </w:p>
        </w:tc>
        <w:tc>
          <w:tcPr>
            <w:tcW w:w="3437" w:type="dxa"/>
            <w:gridSpan w:val="2"/>
            <w:tcBorders>
              <w:tl2br w:val="nil"/>
              <w:tr2bl w:val="nil"/>
            </w:tcBorders>
            <w:vAlign w:val="center"/>
          </w:tcPr>
          <w:p w14:paraId="3D7B7B5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不具有从轻、</w:t>
            </w:r>
            <w:r>
              <w:rPr>
                <w:rFonts w:hint="eastAsia" w:ascii="仿宋_GB2312" w:hAnsi="宋体" w:eastAsia="仿宋_GB2312"/>
                <w:color w:val="auto"/>
                <w:kern w:val="0"/>
                <w:sz w:val="13"/>
                <w:szCs w:val="13"/>
                <w:highlight w:val="none"/>
                <w:lang w:eastAsia="zh-CN"/>
              </w:rPr>
              <w:t>从重情节</w:t>
            </w:r>
            <w:r>
              <w:rPr>
                <w:rFonts w:hint="eastAsia" w:ascii="仿宋_GB2312" w:hAnsi="宋体" w:eastAsia="仿宋_GB2312"/>
                <w:color w:val="auto"/>
                <w:kern w:val="0"/>
                <w:sz w:val="13"/>
                <w:szCs w:val="13"/>
                <w:highlight w:val="none"/>
              </w:rPr>
              <w:t>的。</w:t>
            </w:r>
          </w:p>
        </w:tc>
        <w:tc>
          <w:tcPr>
            <w:tcW w:w="3058" w:type="dxa"/>
            <w:tcBorders>
              <w:tl2br w:val="nil"/>
              <w:tr2bl w:val="nil"/>
            </w:tcBorders>
            <w:vAlign w:val="center"/>
          </w:tcPr>
          <w:p w14:paraId="2B5F0E4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没收违法所得；处</w:t>
            </w:r>
            <w:r>
              <w:rPr>
                <w:rFonts w:hint="eastAsia" w:ascii="仿宋_GB2312" w:hAnsi="宋体" w:eastAsia="仿宋_GB2312"/>
                <w:color w:val="auto"/>
                <w:kern w:val="0"/>
                <w:sz w:val="13"/>
                <w:szCs w:val="13"/>
                <w:highlight w:val="none"/>
                <w:lang w:val="en-US" w:eastAsia="zh-CN"/>
              </w:rPr>
              <w:t>20</w:t>
            </w:r>
            <w:r>
              <w:rPr>
                <w:rFonts w:hint="eastAsia" w:ascii="仿宋_GB2312" w:hAnsi="宋体" w:eastAsia="仿宋_GB2312"/>
                <w:color w:val="auto"/>
                <w:kern w:val="0"/>
                <w:sz w:val="13"/>
                <w:szCs w:val="13"/>
                <w:highlight w:val="none"/>
              </w:rPr>
              <w:t>万元以上</w:t>
            </w:r>
            <w:r>
              <w:rPr>
                <w:rFonts w:hint="eastAsia" w:ascii="仿宋_GB2312" w:hAnsi="宋体" w:eastAsia="仿宋_GB2312"/>
                <w:color w:val="auto"/>
                <w:kern w:val="0"/>
                <w:sz w:val="13"/>
                <w:szCs w:val="13"/>
                <w:highlight w:val="none"/>
                <w:lang w:val="en-US" w:eastAsia="zh-CN"/>
              </w:rPr>
              <w:t>35</w:t>
            </w:r>
            <w:r>
              <w:rPr>
                <w:rFonts w:hint="eastAsia" w:ascii="仿宋_GB2312" w:hAnsi="宋体" w:eastAsia="仿宋_GB2312"/>
                <w:color w:val="auto"/>
                <w:kern w:val="0"/>
                <w:sz w:val="13"/>
                <w:szCs w:val="13"/>
                <w:highlight w:val="none"/>
              </w:rPr>
              <w:t>万元以下的罚款；并吊销其安全生产许可证。</w:t>
            </w:r>
          </w:p>
        </w:tc>
      </w:tr>
      <w:tr w14:paraId="3C8483F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466" w:hRule="atLeast"/>
          <w:jc w:val="center"/>
        </w:trPr>
        <w:tc>
          <w:tcPr>
            <w:tcW w:w="443" w:type="dxa"/>
            <w:gridSpan w:val="2"/>
            <w:vMerge w:val="continue"/>
            <w:tcBorders>
              <w:tl2br w:val="nil"/>
              <w:tr2bl w:val="nil"/>
            </w:tcBorders>
            <w:vAlign w:val="center"/>
          </w:tcPr>
          <w:p w14:paraId="21F2228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color w:val="auto"/>
                <w:kern w:val="0"/>
                <w:sz w:val="13"/>
                <w:szCs w:val="13"/>
                <w:highlight w:val="none"/>
              </w:rPr>
            </w:pPr>
          </w:p>
        </w:tc>
        <w:tc>
          <w:tcPr>
            <w:tcW w:w="1550" w:type="dxa"/>
            <w:vMerge w:val="continue"/>
            <w:tcBorders>
              <w:tl2br w:val="nil"/>
              <w:tr2bl w:val="nil"/>
            </w:tcBorders>
            <w:vAlign w:val="center"/>
          </w:tcPr>
          <w:p w14:paraId="5669ACF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vAlign w:val="center"/>
          </w:tcPr>
          <w:p w14:paraId="6C8F951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tcBorders>
              <w:tl2br w:val="nil"/>
              <w:tr2bl w:val="nil"/>
            </w:tcBorders>
            <w:vAlign w:val="center"/>
          </w:tcPr>
          <w:p w14:paraId="214EAB7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从重情节</w:t>
            </w:r>
          </w:p>
        </w:tc>
        <w:tc>
          <w:tcPr>
            <w:tcW w:w="3437" w:type="dxa"/>
            <w:gridSpan w:val="2"/>
            <w:tcBorders>
              <w:tl2br w:val="nil"/>
              <w:tr2bl w:val="nil"/>
            </w:tcBorders>
            <w:vAlign w:val="center"/>
          </w:tcPr>
          <w:p w14:paraId="179541A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（1）多次实施同类违法行为的；</w:t>
            </w:r>
          </w:p>
          <w:p w14:paraId="6B233E9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（2）造成质量安全事故或其他严重后果的。</w:t>
            </w:r>
          </w:p>
        </w:tc>
        <w:tc>
          <w:tcPr>
            <w:tcW w:w="3058" w:type="dxa"/>
            <w:tcBorders>
              <w:tl2br w:val="nil"/>
              <w:tr2bl w:val="nil"/>
            </w:tcBorders>
            <w:vAlign w:val="center"/>
          </w:tcPr>
          <w:p w14:paraId="783290A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没收违法所得；处</w:t>
            </w:r>
            <w:r>
              <w:rPr>
                <w:rFonts w:hint="eastAsia" w:ascii="仿宋_GB2312" w:hAnsi="宋体" w:eastAsia="仿宋_GB2312"/>
                <w:color w:val="auto"/>
                <w:kern w:val="0"/>
                <w:sz w:val="13"/>
                <w:szCs w:val="13"/>
                <w:highlight w:val="none"/>
                <w:lang w:val="en-US" w:eastAsia="zh-CN"/>
              </w:rPr>
              <w:t>35</w:t>
            </w:r>
            <w:r>
              <w:rPr>
                <w:rFonts w:hint="eastAsia" w:ascii="仿宋_GB2312" w:hAnsi="宋体" w:eastAsia="仿宋_GB2312"/>
                <w:color w:val="auto"/>
                <w:kern w:val="0"/>
                <w:sz w:val="13"/>
                <w:szCs w:val="13"/>
                <w:highlight w:val="none"/>
              </w:rPr>
              <w:t>万元以上</w:t>
            </w:r>
            <w:r>
              <w:rPr>
                <w:rFonts w:ascii="仿宋_GB2312" w:hAnsi="宋体" w:eastAsia="仿宋_GB2312"/>
                <w:color w:val="auto"/>
                <w:kern w:val="0"/>
                <w:sz w:val="13"/>
                <w:szCs w:val="13"/>
                <w:highlight w:val="none"/>
              </w:rPr>
              <w:t>50</w:t>
            </w:r>
            <w:r>
              <w:rPr>
                <w:rFonts w:hint="eastAsia" w:ascii="仿宋_GB2312" w:hAnsi="宋体" w:eastAsia="仿宋_GB2312"/>
                <w:color w:val="auto"/>
                <w:kern w:val="0"/>
                <w:sz w:val="13"/>
                <w:szCs w:val="13"/>
                <w:highlight w:val="none"/>
              </w:rPr>
              <w:t>万元以下的罚款；并吊销其安全生产许可证。</w:t>
            </w:r>
          </w:p>
        </w:tc>
      </w:tr>
      <w:tr w14:paraId="2AE7E78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0" w:hRule="atLeast"/>
          <w:jc w:val="center"/>
        </w:trPr>
        <w:tc>
          <w:tcPr>
            <w:tcW w:w="443" w:type="dxa"/>
            <w:gridSpan w:val="2"/>
            <w:vMerge w:val="restart"/>
            <w:tcBorders>
              <w:tl2br w:val="nil"/>
              <w:tr2bl w:val="nil"/>
            </w:tcBorders>
            <w:vAlign w:val="center"/>
          </w:tcPr>
          <w:p w14:paraId="297FAB78">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Times New Roman"/>
                <w:color w:val="auto"/>
                <w:kern w:val="0"/>
                <w:sz w:val="13"/>
                <w:szCs w:val="13"/>
                <w:highlight w:val="none"/>
                <w:lang w:val="en-US"/>
              </w:rPr>
            </w:pPr>
            <w:r>
              <w:rPr>
                <w:rFonts w:hint="default" w:ascii="仿宋_GB2312" w:hAnsi="宋体" w:eastAsia="仿宋_GB2312" w:cs="仿宋_GB2312"/>
                <w:i w:val="0"/>
                <w:color w:val="auto"/>
                <w:kern w:val="0"/>
                <w:sz w:val="13"/>
                <w:szCs w:val="13"/>
                <w:highlight w:val="none"/>
                <w:u w:val="none"/>
                <w:lang w:val="en-US" w:eastAsia="zh-CN" w:bidi="ar"/>
              </w:rPr>
              <w:t>1</w:t>
            </w:r>
            <w:r>
              <w:rPr>
                <w:rFonts w:hint="eastAsia" w:ascii="仿宋_GB2312" w:hAnsi="宋体" w:eastAsia="仿宋_GB2312" w:cs="仿宋_GB2312"/>
                <w:i w:val="0"/>
                <w:color w:val="auto"/>
                <w:kern w:val="0"/>
                <w:sz w:val="13"/>
                <w:szCs w:val="13"/>
                <w:highlight w:val="none"/>
                <w:u w:val="none"/>
                <w:lang w:val="en-US" w:eastAsia="zh-CN" w:bidi="ar"/>
              </w:rPr>
              <w:t>70</w:t>
            </w:r>
          </w:p>
        </w:tc>
        <w:tc>
          <w:tcPr>
            <w:tcW w:w="1550" w:type="dxa"/>
            <w:vMerge w:val="restart"/>
            <w:tcBorders>
              <w:tl2br w:val="nil"/>
              <w:tr2bl w:val="nil"/>
            </w:tcBorders>
            <w:vAlign w:val="center"/>
          </w:tcPr>
          <w:p w14:paraId="2A995BDB">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建筑施工企业接受转让安全生产许可证</w:t>
            </w:r>
          </w:p>
        </w:tc>
        <w:tc>
          <w:tcPr>
            <w:tcW w:w="4820" w:type="dxa"/>
            <w:vMerge w:val="restart"/>
            <w:tcBorders>
              <w:tl2br w:val="nil"/>
              <w:tr2bl w:val="nil"/>
            </w:tcBorders>
            <w:vAlign w:val="center"/>
          </w:tcPr>
          <w:p w14:paraId="229D9D17">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《建筑施工企业安全生产许可证管理规定》</w:t>
            </w:r>
          </w:p>
          <w:p w14:paraId="75F03441">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第二十六条</w:t>
            </w:r>
            <w:r>
              <w:rPr>
                <w:rFonts w:ascii="仿宋_GB2312" w:hAnsi="宋体" w:eastAsia="仿宋_GB2312"/>
                <w:color w:val="auto"/>
                <w:kern w:val="0"/>
                <w:sz w:val="13"/>
                <w:szCs w:val="13"/>
                <w:highlight w:val="none"/>
              </w:rPr>
              <w:t>第一款</w:t>
            </w:r>
            <w:r>
              <w:rPr>
                <w:rFonts w:hint="eastAsia" w:ascii="仿宋_GB2312" w:hAnsi="宋体" w:eastAsia="仿宋_GB2312"/>
                <w:color w:val="auto"/>
                <w:kern w:val="0"/>
                <w:sz w:val="13"/>
                <w:szCs w:val="13"/>
                <w:highlight w:val="none"/>
              </w:rPr>
              <w:t>违反本规定，建筑施工企业转让安全生产许可证的，没收违法所得，处10万元以上50万元以下的罚款，并吊销安全生产许可证；构成犯罪的，依法追究刑事责任；接受转让的，依照本规定第二十四条的规定处罚。</w:t>
            </w:r>
          </w:p>
          <w:p w14:paraId="271AE40D">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第二十四条违反本规定，建筑施工企业未取得安全生产许可证擅自从事建筑施工活动的，责令其在建项目停止施工，没收违法所得，并处10万元以上50万元以下的罚款；造成重大安全事故或者其他严重后果，构成犯罪的，依法追究刑事责任。</w:t>
            </w:r>
          </w:p>
        </w:tc>
        <w:tc>
          <w:tcPr>
            <w:tcW w:w="823" w:type="dxa"/>
            <w:tcBorders>
              <w:tl2br w:val="nil"/>
              <w:tr2bl w:val="nil"/>
            </w:tcBorders>
            <w:vAlign w:val="center"/>
          </w:tcPr>
          <w:p w14:paraId="5E3681E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vAlign w:val="center"/>
          </w:tcPr>
          <w:p w14:paraId="6CC5757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初次违法，危害后果较轻的，主动消除或减轻违法行为危害后果的。</w:t>
            </w:r>
          </w:p>
        </w:tc>
        <w:tc>
          <w:tcPr>
            <w:tcW w:w="3058" w:type="dxa"/>
            <w:tcBorders>
              <w:tl2br w:val="nil"/>
              <w:tr2bl w:val="nil"/>
            </w:tcBorders>
            <w:vAlign w:val="center"/>
          </w:tcPr>
          <w:p w14:paraId="66CD4BF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lang w:val="en-US" w:eastAsia="zh-CN"/>
              </w:rPr>
              <w:t>责令其在建项目停止施工，没收违法所得；处10万元以上20万元以下的罚款，并吊销其安全生产许可证。</w:t>
            </w:r>
          </w:p>
        </w:tc>
      </w:tr>
      <w:tr w14:paraId="43B1BBC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0" w:hRule="atLeast"/>
          <w:jc w:val="center"/>
        </w:trPr>
        <w:tc>
          <w:tcPr>
            <w:tcW w:w="443" w:type="dxa"/>
            <w:gridSpan w:val="2"/>
            <w:vMerge w:val="continue"/>
            <w:tcBorders>
              <w:tl2br w:val="nil"/>
              <w:tr2bl w:val="nil"/>
            </w:tcBorders>
            <w:vAlign w:val="center"/>
          </w:tcPr>
          <w:p w14:paraId="2002EC8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color w:val="auto"/>
                <w:kern w:val="0"/>
                <w:sz w:val="13"/>
                <w:szCs w:val="13"/>
                <w:highlight w:val="none"/>
              </w:rPr>
            </w:pPr>
          </w:p>
        </w:tc>
        <w:tc>
          <w:tcPr>
            <w:tcW w:w="1550" w:type="dxa"/>
            <w:vMerge w:val="continue"/>
            <w:tcBorders>
              <w:tl2br w:val="nil"/>
              <w:tr2bl w:val="nil"/>
            </w:tcBorders>
            <w:vAlign w:val="center"/>
          </w:tcPr>
          <w:p w14:paraId="49BE627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vAlign w:val="center"/>
          </w:tcPr>
          <w:p w14:paraId="5DE7409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tcBorders>
              <w:tl2br w:val="nil"/>
              <w:tr2bl w:val="nil"/>
            </w:tcBorders>
            <w:vAlign w:val="center"/>
          </w:tcPr>
          <w:p w14:paraId="751B0E7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一般情节</w:t>
            </w:r>
          </w:p>
        </w:tc>
        <w:tc>
          <w:tcPr>
            <w:tcW w:w="3437" w:type="dxa"/>
            <w:gridSpan w:val="2"/>
            <w:tcBorders>
              <w:tl2br w:val="nil"/>
              <w:tr2bl w:val="nil"/>
            </w:tcBorders>
            <w:vAlign w:val="center"/>
          </w:tcPr>
          <w:p w14:paraId="54D745B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不具有从轻、</w:t>
            </w:r>
            <w:r>
              <w:rPr>
                <w:rFonts w:hint="eastAsia" w:ascii="仿宋_GB2312" w:hAnsi="宋体" w:eastAsia="仿宋_GB2312"/>
                <w:color w:val="auto"/>
                <w:kern w:val="0"/>
                <w:sz w:val="13"/>
                <w:szCs w:val="13"/>
                <w:highlight w:val="none"/>
                <w:lang w:eastAsia="zh-CN"/>
              </w:rPr>
              <w:t>从重情节</w:t>
            </w:r>
            <w:r>
              <w:rPr>
                <w:rFonts w:hint="eastAsia" w:ascii="仿宋_GB2312" w:hAnsi="宋体" w:eastAsia="仿宋_GB2312"/>
                <w:color w:val="auto"/>
                <w:kern w:val="0"/>
                <w:sz w:val="13"/>
                <w:szCs w:val="13"/>
                <w:highlight w:val="none"/>
              </w:rPr>
              <w:t>的。</w:t>
            </w:r>
          </w:p>
        </w:tc>
        <w:tc>
          <w:tcPr>
            <w:tcW w:w="3058" w:type="dxa"/>
            <w:tcBorders>
              <w:tl2br w:val="nil"/>
              <w:tr2bl w:val="nil"/>
            </w:tcBorders>
            <w:vAlign w:val="center"/>
          </w:tcPr>
          <w:p w14:paraId="5045460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lang w:val="en-US" w:eastAsia="zh-CN"/>
              </w:rPr>
              <w:t>责令其在建项目停止施工，没收违法所得；处20万元以上35万元以下的罚款，并吊销其安全生产许可证。</w:t>
            </w:r>
          </w:p>
        </w:tc>
      </w:tr>
      <w:tr w14:paraId="67D3EA6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16" w:hRule="atLeast"/>
          <w:jc w:val="center"/>
        </w:trPr>
        <w:tc>
          <w:tcPr>
            <w:tcW w:w="443" w:type="dxa"/>
            <w:gridSpan w:val="2"/>
            <w:vMerge w:val="continue"/>
            <w:tcBorders>
              <w:tl2br w:val="nil"/>
              <w:tr2bl w:val="nil"/>
            </w:tcBorders>
            <w:vAlign w:val="center"/>
          </w:tcPr>
          <w:p w14:paraId="52CBD09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color w:val="auto"/>
                <w:kern w:val="0"/>
                <w:sz w:val="13"/>
                <w:szCs w:val="13"/>
                <w:highlight w:val="none"/>
              </w:rPr>
            </w:pPr>
          </w:p>
        </w:tc>
        <w:tc>
          <w:tcPr>
            <w:tcW w:w="1550" w:type="dxa"/>
            <w:vMerge w:val="continue"/>
            <w:tcBorders>
              <w:tl2br w:val="nil"/>
              <w:tr2bl w:val="nil"/>
            </w:tcBorders>
            <w:vAlign w:val="center"/>
          </w:tcPr>
          <w:p w14:paraId="5E3F0B9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vAlign w:val="center"/>
          </w:tcPr>
          <w:p w14:paraId="2970412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tcBorders>
              <w:tl2br w:val="nil"/>
              <w:tr2bl w:val="nil"/>
            </w:tcBorders>
            <w:vAlign w:val="center"/>
          </w:tcPr>
          <w:p w14:paraId="4721D1F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从重情节</w:t>
            </w:r>
          </w:p>
        </w:tc>
        <w:tc>
          <w:tcPr>
            <w:tcW w:w="3437" w:type="dxa"/>
            <w:gridSpan w:val="2"/>
            <w:tcBorders>
              <w:tl2br w:val="nil"/>
              <w:tr2bl w:val="nil"/>
            </w:tcBorders>
            <w:vAlign w:val="center"/>
          </w:tcPr>
          <w:p w14:paraId="5A1AA97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（1）多次实施同类违法行为的；</w:t>
            </w:r>
          </w:p>
          <w:p w14:paraId="0C1DE2D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（2）造成质量安全事故或其他严重后果的。</w:t>
            </w:r>
          </w:p>
          <w:p w14:paraId="165D210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p>
        </w:tc>
        <w:tc>
          <w:tcPr>
            <w:tcW w:w="3058" w:type="dxa"/>
            <w:tcBorders>
              <w:tl2br w:val="nil"/>
              <w:tr2bl w:val="nil"/>
            </w:tcBorders>
            <w:vAlign w:val="center"/>
          </w:tcPr>
          <w:p w14:paraId="0243297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lang w:val="en-US" w:eastAsia="zh-CN"/>
              </w:rPr>
              <w:t>责令其在建项目停止施工，没收违法所得；处35万元以上50万元以下的罚款，并吊销其安全生产许可证。</w:t>
            </w:r>
          </w:p>
        </w:tc>
      </w:tr>
      <w:tr w14:paraId="432ED19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0" w:hRule="atLeast"/>
          <w:jc w:val="center"/>
        </w:trPr>
        <w:tc>
          <w:tcPr>
            <w:tcW w:w="443" w:type="dxa"/>
            <w:gridSpan w:val="2"/>
            <w:vMerge w:val="restart"/>
            <w:tcBorders>
              <w:tl2br w:val="nil"/>
              <w:tr2bl w:val="nil"/>
            </w:tcBorders>
            <w:vAlign w:val="center"/>
          </w:tcPr>
          <w:p w14:paraId="37404066">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Times New Roman"/>
                <w:color w:val="auto"/>
                <w:kern w:val="0"/>
                <w:sz w:val="13"/>
                <w:szCs w:val="13"/>
                <w:highlight w:val="none"/>
                <w:lang w:val="en-US"/>
              </w:rPr>
            </w:pPr>
            <w:r>
              <w:rPr>
                <w:rFonts w:hint="default" w:ascii="仿宋_GB2312" w:hAnsi="宋体" w:eastAsia="仿宋_GB2312" w:cs="仿宋_GB2312"/>
                <w:i w:val="0"/>
                <w:color w:val="auto"/>
                <w:kern w:val="0"/>
                <w:sz w:val="13"/>
                <w:szCs w:val="13"/>
                <w:highlight w:val="none"/>
                <w:u w:val="none"/>
                <w:lang w:val="en-US" w:eastAsia="zh-CN" w:bidi="ar"/>
              </w:rPr>
              <w:t>1</w:t>
            </w:r>
            <w:r>
              <w:rPr>
                <w:rFonts w:hint="eastAsia" w:ascii="仿宋_GB2312" w:hAnsi="宋体" w:eastAsia="仿宋_GB2312" w:cs="仿宋_GB2312"/>
                <w:i w:val="0"/>
                <w:color w:val="auto"/>
                <w:kern w:val="0"/>
                <w:sz w:val="13"/>
                <w:szCs w:val="13"/>
                <w:highlight w:val="none"/>
                <w:u w:val="none"/>
                <w:lang w:val="en-US" w:eastAsia="zh-CN" w:bidi="ar"/>
              </w:rPr>
              <w:t>71</w:t>
            </w:r>
          </w:p>
        </w:tc>
        <w:tc>
          <w:tcPr>
            <w:tcW w:w="1550" w:type="dxa"/>
            <w:vMerge w:val="restart"/>
            <w:tcBorders>
              <w:tl2br w:val="nil"/>
              <w:tr2bl w:val="nil"/>
            </w:tcBorders>
            <w:vAlign w:val="center"/>
          </w:tcPr>
          <w:p w14:paraId="53B98B57">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建筑施工企业冒用安全生产许可证或者使用伪造的安全生产许可证</w:t>
            </w:r>
          </w:p>
        </w:tc>
        <w:tc>
          <w:tcPr>
            <w:tcW w:w="4820" w:type="dxa"/>
            <w:vMerge w:val="restart"/>
            <w:tcBorders>
              <w:tl2br w:val="nil"/>
              <w:tr2bl w:val="nil"/>
            </w:tcBorders>
            <w:vAlign w:val="center"/>
          </w:tcPr>
          <w:p w14:paraId="55F7144D">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《建筑施工企业安全生产许可证管理规定》</w:t>
            </w:r>
          </w:p>
          <w:p w14:paraId="052428C7">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第二十六条</w:t>
            </w:r>
            <w:r>
              <w:rPr>
                <w:rFonts w:ascii="仿宋_GB2312" w:hAnsi="宋体" w:eastAsia="仿宋_GB2312"/>
                <w:color w:val="auto"/>
                <w:kern w:val="0"/>
                <w:sz w:val="13"/>
                <w:szCs w:val="13"/>
                <w:highlight w:val="none"/>
              </w:rPr>
              <w:t>第二款</w:t>
            </w:r>
            <w:r>
              <w:rPr>
                <w:rFonts w:hint="eastAsia" w:ascii="仿宋_GB2312" w:hAnsi="宋体" w:eastAsia="仿宋_GB2312"/>
                <w:color w:val="auto"/>
                <w:kern w:val="0"/>
                <w:sz w:val="13"/>
                <w:szCs w:val="13"/>
                <w:highlight w:val="none"/>
              </w:rPr>
              <w:t>冒用安全生产许可证或者使用伪造的安全生产许可证的，依照本规定第二十四条的规定处罚。</w:t>
            </w:r>
          </w:p>
          <w:p w14:paraId="673C8593">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第二十四条违反本规定，建筑施工企业未取得安全生产许可证擅自从事建筑施工活动的，责令其在建项目停止施工，没收违法所得，并处10万元以上50万元以下的罚款；造成重大安全事故或者其他严重后果，构成犯罪的，依法追究刑事责任。</w:t>
            </w:r>
          </w:p>
        </w:tc>
        <w:tc>
          <w:tcPr>
            <w:tcW w:w="823" w:type="dxa"/>
            <w:tcBorders>
              <w:tl2br w:val="nil"/>
              <w:tr2bl w:val="nil"/>
            </w:tcBorders>
            <w:vAlign w:val="center"/>
          </w:tcPr>
          <w:p w14:paraId="714D850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vAlign w:val="center"/>
          </w:tcPr>
          <w:p w14:paraId="6AB8233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初次违法，危害后果较轻的，主动消除或减轻违法行为危害后果的。</w:t>
            </w:r>
          </w:p>
        </w:tc>
        <w:tc>
          <w:tcPr>
            <w:tcW w:w="3058" w:type="dxa"/>
            <w:tcBorders>
              <w:tl2br w:val="nil"/>
              <w:tr2bl w:val="nil"/>
            </w:tcBorders>
            <w:vAlign w:val="center"/>
          </w:tcPr>
          <w:p w14:paraId="23AD3FE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责令其在建项目停止施工，没收违法所得；处10万元以上15万元以下的罚款。</w:t>
            </w:r>
          </w:p>
        </w:tc>
      </w:tr>
      <w:tr w14:paraId="495DE00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0" w:hRule="atLeast"/>
          <w:jc w:val="center"/>
        </w:trPr>
        <w:tc>
          <w:tcPr>
            <w:tcW w:w="443" w:type="dxa"/>
            <w:gridSpan w:val="2"/>
            <w:vMerge w:val="continue"/>
            <w:tcBorders>
              <w:tl2br w:val="nil"/>
              <w:tr2bl w:val="nil"/>
            </w:tcBorders>
            <w:vAlign w:val="center"/>
          </w:tcPr>
          <w:p w14:paraId="7881D26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color w:val="auto"/>
                <w:kern w:val="0"/>
                <w:sz w:val="13"/>
                <w:szCs w:val="13"/>
                <w:highlight w:val="none"/>
              </w:rPr>
            </w:pPr>
          </w:p>
        </w:tc>
        <w:tc>
          <w:tcPr>
            <w:tcW w:w="1550" w:type="dxa"/>
            <w:vMerge w:val="continue"/>
            <w:tcBorders>
              <w:tl2br w:val="nil"/>
              <w:tr2bl w:val="nil"/>
            </w:tcBorders>
            <w:vAlign w:val="center"/>
          </w:tcPr>
          <w:p w14:paraId="05B8EC5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vAlign w:val="center"/>
          </w:tcPr>
          <w:p w14:paraId="583C4AB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tcBorders>
              <w:tl2br w:val="nil"/>
              <w:tr2bl w:val="nil"/>
            </w:tcBorders>
            <w:vAlign w:val="center"/>
          </w:tcPr>
          <w:p w14:paraId="2BE8436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一般情节</w:t>
            </w:r>
          </w:p>
        </w:tc>
        <w:tc>
          <w:tcPr>
            <w:tcW w:w="3437" w:type="dxa"/>
            <w:gridSpan w:val="2"/>
            <w:tcBorders>
              <w:tl2br w:val="nil"/>
              <w:tr2bl w:val="nil"/>
            </w:tcBorders>
            <w:vAlign w:val="center"/>
          </w:tcPr>
          <w:p w14:paraId="60145CA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不具有从轻、</w:t>
            </w:r>
            <w:r>
              <w:rPr>
                <w:rFonts w:hint="eastAsia" w:ascii="仿宋_GB2312" w:hAnsi="宋体" w:eastAsia="仿宋_GB2312"/>
                <w:color w:val="auto"/>
                <w:kern w:val="0"/>
                <w:sz w:val="13"/>
                <w:szCs w:val="13"/>
                <w:highlight w:val="none"/>
                <w:lang w:eastAsia="zh-CN"/>
              </w:rPr>
              <w:t>从重情节</w:t>
            </w:r>
            <w:r>
              <w:rPr>
                <w:rFonts w:hint="eastAsia" w:ascii="仿宋_GB2312" w:hAnsi="宋体" w:eastAsia="仿宋_GB2312"/>
                <w:color w:val="auto"/>
                <w:kern w:val="0"/>
                <w:sz w:val="13"/>
                <w:szCs w:val="13"/>
                <w:highlight w:val="none"/>
              </w:rPr>
              <w:t>的。</w:t>
            </w:r>
          </w:p>
        </w:tc>
        <w:tc>
          <w:tcPr>
            <w:tcW w:w="3058" w:type="dxa"/>
            <w:tcBorders>
              <w:tl2br w:val="nil"/>
              <w:tr2bl w:val="nil"/>
            </w:tcBorders>
            <w:vAlign w:val="center"/>
          </w:tcPr>
          <w:p w14:paraId="138E04A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责令其在建项目停止施工，没收违法所得；处15万元以上40万元以下的罚款。</w:t>
            </w:r>
          </w:p>
        </w:tc>
      </w:tr>
      <w:tr w14:paraId="0EF5DDE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10" w:hRule="atLeast"/>
          <w:jc w:val="center"/>
        </w:trPr>
        <w:tc>
          <w:tcPr>
            <w:tcW w:w="443" w:type="dxa"/>
            <w:gridSpan w:val="2"/>
            <w:vMerge w:val="continue"/>
            <w:tcBorders>
              <w:tl2br w:val="nil"/>
              <w:tr2bl w:val="nil"/>
            </w:tcBorders>
            <w:vAlign w:val="center"/>
          </w:tcPr>
          <w:p w14:paraId="56EEC62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color w:val="auto"/>
                <w:kern w:val="0"/>
                <w:sz w:val="13"/>
                <w:szCs w:val="13"/>
                <w:highlight w:val="none"/>
              </w:rPr>
            </w:pPr>
          </w:p>
        </w:tc>
        <w:tc>
          <w:tcPr>
            <w:tcW w:w="1550" w:type="dxa"/>
            <w:vMerge w:val="continue"/>
            <w:tcBorders>
              <w:tl2br w:val="nil"/>
              <w:tr2bl w:val="nil"/>
            </w:tcBorders>
            <w:vAlign w:val="center"/>
          </w:tcPr>
          <w:p w14:paraId="203A965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vAlign w:val="center"/>
          </w:tcPr>
          <w:p w14:paraId="740AA1C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tcBorders>
              <w:tl2br w:val="nil"/>
              <w:tr2bl w:val="nil"/>
            </w:tcBorders>
            <w:vAlign w:val="center"/>
          </w:tcPr>
          <w:p w14:paraId="6AE215A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从重情节</w:t>
            </w:r>
          </w:p>
        </w:tc>
        <w:tc>
          <w:tcPr>
            <w:tcW w:w="3437" w:type="dxa"/>
            <w:gridSpan w:val="2"/>
            <w:tcBorders>
              <w:tl2br w:val="nil"/>
              <w:tr2bl w:val="nil"/>
            </w:tcBorders>
            <w:vAlign w:val="center"/>
          </w:tcPr>
          <w:p w14:paraId="08BF223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（1）多次实施同类违法行为的；</w:t>
            </w:r>
          </w:p>
          <w:p w14:paraId="07E8ADB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（2）造成质量安全事故或其他严重后果的。</w:t>
            </w:r>
          </w:p>
        </w:tc>
        <w:tc>
          <w:tcPr>
            <w:tcW w:w="3058" w:type="dxa"/>
            <w:tcBorders>
              <w:tl2br w:val="nil"/>
              <w:tr2bl w:val="nil"/>
            </w:tcBorders>
            <w:vAlign w:val="center"/>
          </w:tcPr>
          <w:p w14:paraId="6BE67D2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责令其在建项目停止施工，没收违法所得；处40万元以上50万元以下的罚款。</w:t>
            </w:r>
          </w:p>
        </w:tc>
      </w:tr>
      <w:tr w14:paraId="6C8B3F6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0" w:hRule="atLeast"/>
          <w:jc w:val="center"/>
        </w:trPr>
        <w:tc>
          <w:tcPr>
            <w:tcW w:w="443" w:type="dxa"/>
            <w:gridSpan w:val="2"/>
            <w:vMerge w:val="restart"/>
            <w:tcBorders>
              <w:tl2br w:val="nil"/>
              <w:tr2bl w:val="nil"/>
            </w:tcBorders>
            <w:vAlign w:val="center"/>
          </w:tcPr>
          <w:p w14:paraId="7D229D53">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Times New Roman"/>
                <w:color w:val="auto"/>
                <w:kern w:val="0"/>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172</w:t>
            </w:r>
          </w:p>
        </w:tc>
        <w:tc>
          <w:tcPr>
            <w:tcW w:w="1550" w:type="dxa"/>
            <w:vMerge w:val="restart"/>
            <w:tcBorders>
              <w:tl2br w:val="nil"/>
              <w:tr2bl w:val="nil"/>
            </w:tcBorders>
            <w:vAlign w:val="center"/>
          </w:tcPr>
          <w:p w14:paraId="5DFE9548">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出租单位、自购建筑起重机械的使用单位未按照规定办理备案的</w:t>
            </w:r>
          </w:p>
        </w:tc>
        <w:tc>
          <w:tcPr>
            <w:tcW w:w="4820" w:type="dxa"/>
            <w:vMerge w:val="restart"/>
            <w:tcBorders>
              <w:tl2br w:val="nil"/>
              <w:tr2bl w:val="nil"/>
            </w:tcBorders>
            <w:vAlign w:val="center"/>
          </w:tcPr>
          <w:p w14:paraId="5FD2D717">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《建筑起重机械安全监督管理规定》</w:t>
            </w:r>
          </w:p>
          <w:p w14:paraId="4B1E5D4E">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第二十八条（</w:t>
            </w:r>
            <w:r>
              <w:rPr>
                <w:rFonts w:ascii="仿宋_GB2312" w:hAnsi="宋体" w:eastAsia="仿宋_GB2312"/>
                <w:color w:val="auto"/>
                <w:kern w:val="0"/>
                <w:sz w:val="13"/>
                <w:szCs w:val="13"/>
                <w:highlight w:val="none"/>
              </w:rPr>
              <w:t>一</w:t>
            </w:r>
            <w:r>
              <w:rPr>
                <w:rFonts w:hint="eastAsia" w:ascii="仿宋_GB2312" w:hAnsi="宋体" w:eastAsia="仿宋_GB2312"/>
                <w:color w:val="auto"/>
                <w:kern w:val="0"/>
                <w:sz w:val="13"/>
                <w:szCs w:val="13"/>
                <w:highlight w:val="none"/>
              </w:rPr>
              <w:t>）</w:t>
            </w:r>
            <w:r>
              <w:rPr>
                <w:rFonts w:ascii="仿宋_GB2312" w:hAnsi="宋体" w:eastAsia="仿宋_GB2312"/>
                <w:color w:val="auto"/>
                <w:kern w:val="0"/>
                <w:sz w:val="13"/>
                <w:szCs w:val="13"/>
                <w:highlight w:val="none"/>
              </w:rPr>
              <w:t>项</w:t>
            </w:r>
            <w:r>
              <w:rPr>
                <w:rFonts w:hint="eastAsia" w:ascii="仿宋_GB2312" w:hAnsi="宋体" w:eastAsia="仿宋_GB2312"/>
                <w:color w:val="auto"/>
                <w:kern w:val="0"/>
                <w:sz w:val="13"/>
                <w:szCs w:val="13"/>
                <w:highlight w:val="none"/>
              </w:rPr>
              <w:t>违反本规定，出租单位、自购建筑起重机械的使用单位，有下列行为之一的，由县级以上地方人民政府建设主管部门责令限期改正，予以警告，并处以5000元以上1万元以下罚款：</w:t>
            </w:r>
          </w:p>
          <w:p w14:paraId="1C3C7CC8">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（一）未按照规定办理备案的；</w:t>
            </w:r>
          </w:p>
        </w:tc>
        <w:tc>
          <w:tcPr>
            <w:tcW w:w="823" w:type="dxa"/>
            <w:tcBorders>
              <w:tl2br w:val="nil"/>
              <w:tr2bl w:val="nil"/>
            </w:tcBorders>
            <w:vAlign w:val="center"/>
          </w:tcPr>
          <w:p w14:paraId="042A1A6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vAlign w:val="center"/>
          </w:tcPr>
          <w:p w14:paraId="01657CC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1台建筑起重机械未按照规定办理备案的。</w:t>
            </w:r>
          </w:p>
        </w:tc>
        <w:tc>
          <w:tcPr>
            <w:tcW w:w="3058" w:type="dxa"/>
            <w:tcBorders>
              <w:tl2br w:val="nil"/>
              <w:tr2bl w:val="nil"/>
            </w:tcBorders>
            <w:vAlign w:val="center"/>
          </w:tcPr>
          <w:p w14:paraId="3F8DB54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责令限期改正，予以警告，处5000元以上6500元以下罚款。</w:t>
            </w:r>
          </w:p>
        </w:tc>
      </w:tr>
      <w:tr w14:paraId="09FD1DF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0" w:hRule="atLeast"/>
          <w:jc w:val="center"/>
        </w:trPr>
        <w:tc>
          <w:tcPr>
            <w:tcW w:w="443" w:type="dxa"/>
            <w:gridSpan w:val="2"/>
            <w:vMerge w:val="continue"/>
            <w:tcBorders>
              <w:tl2br w:val="nil"/>
              <w:tr2bl w:val="nil"/>
            </w:tcBorders>
            <w:vAlign w:val="center"/>
          </w:tcPr>
          <w:p w14:paraId="77DD55B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color w:val="auto"/>
                <w:kern w:val="0"/>
                <w:sz w:val="13"/>
                <w:szCs w:val="13"/>
                <w:highlight w:val="none"/>
              </w:rPr>
            </w:pPr>
          </w:p>
        </w:tc>
        <w:tc>
          <w:tcPr>
            <w:tcW w:w="1550" w:type="dxa"/>
            <w:vMerge w:val="continue"/>
            <w:tcBorders>
              <w:tl2br w:val="nil"/>
              <w:tr2bl w:val="nil"/>
            </w:tcBorders>
            <w:vAlign w:val="center"/>
          </w:tcPr>
          <w:p w14:paraId="181C7B9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vAlign w:val="center"/>
          </w:tcPr>
          <w:p w14:paraId="5B45D14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tcBorders>
              <w:tl2br w:val="nil"/>
              <w:tr2bl w:val="nil"/>
            </w:tcBorders>
            <w:vAlign w:val="center"/>
          </w:tcPr>
          <w:p w14:paraId="736B5BC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一般情节</w:t>
            </w:r>
          </w:p>
        </w:tc>
        <w:tc>
          <w:tcPr>
            <w:tcW w:w="3437" w:type="dxa"/>
            <w:gridSpan w:val="2"/>
            <w:tcBorders>
              <w:tl2br w:val="nil"/>
              <w:tr2bl w:val="nil"/>
            </w:tcBorders>
            <w:vAlign w:val="center"/>
          </w:tcPr>
          <w:p w14:paraId="3C40975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2台建筑起重机械未按照规定办理备案的。</w:t>
            </w:r>
          </w:p>
        </w:tc>
        <w:tc>
          <w:tcPr>
            <w:tcW w:w="3058" w:type="dxa"/>
            <w:tcBorders>
              <w:tl2br w:val="nil"/>
              <w:tr2bl w:val="nil"/>
            </w:tcBorders>
            <w:vAlign w:val="center"/>
          </w:tcPr>
          <w:p w14:paraId="461CEE8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责令限期改正，予以警告，处6500元以上1万元以下罚款。</w:t>
            </w:r>
          </w:p>
        </w:tc>
      </w:tr>
      <w:tr w14:paraId="219D1F7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0" w:hRule="atLeast"/>
          <w:jc w:val="center"/>
        </w:trPr>
        <w:tc>
          <w:tcPr>
            <w:tcW w:w="443" w:type="dxa"/>
            <w:gridSpan w:val="2"/>
            <w:vMerge w:val="continue"/>
            <w:tcBorders>
              <w:tl2br w:val="nil"/>
              <w:tr2bl w:val="nil"/>
            </w:tcBorders>
            <w:vAlign w:val="center"/>
          </w:tcPr>
          <w:p w14:paraId="3F842B2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color w:val="auto"/>
                <w:kern w:val="0"/>
                <w:sz w:val="13"/>
                <w:szCs w:val="13"/>
                <w:highlight w:val="none"/>
              </w:rPr>
            </w:pPr>
          </w:p>
        </w:tc>
        <w:tc>
          <w:tcPr>
            <w:tcW w:w="1550" w:type="dxa"/>
            <w:vMerge w:val="continue"/>
            <w:tcBorders>
              <w:tl2br w:val="nil"/>
              <w:tr2bl w:val="nil"/>
            </w:tcBorders>
            <w:vAlign w:val="center"/>
          </w:tcPr>
          <w:p w14:paraId="47582FE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vAlign w:val="center"/>
          </w:tcPr>
          <w:p w14:paraId="5264B07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tcBorders>
              <w:tl2br w:val="nil"/>
              <w:tr2bl w:val="nil"/>
            </w:tcBorders>
            <w:vAlign w:val="center"/>
          </w:tcPr>
          <w:p w14:paraId="16F4315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从重情节</w:t>
            </w:r>
          </w:p>
        </w:tc>
        <w:tc>
          <w:tcPr>
            <w:tcW w:w="3437" w:type="dxa"/>
            <w:gridSpan w:val="2"/>
            <w:tcBorders>
              <w:tl2br w:val="nil"/>
              <w:tr2bl w:val="nil"/>
            </w:tcBorders>
            <w:vAlign w:val="center"/>
          </w:tcPr>
          <w:p w14:paraId="4732720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3台以上建筑起重机械未按照规定办理备案或造成一定后果影响的。</w:t>
            </w:r>
          </w:p>
        </w:tc>
        <w:tc>
          <w:tcPr>
            <w:tcW w:w="3058" w:type="dxa"/>
            <w:tcBorders>
              <w:tl2br w:val="nil"/>
              <w:tr2bl w:val="nil"/>
            </w:tcBorders>
            <w:vAlign w:val="center"/>
          </w:tcPr>
          <w:p w14:paraId="1F00A2C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责令限期改正，予以警告，处1万元罚款。</w:t>
            </w:r>
          </w:p>
        </w:tc>
      </w:tr>
      <w:tr w14:paraId="41DB8F0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0" w:hRule="atLeast"/>
          <w:jc w:val="center"/>
        </w:trPr>
        <w:tc>
          <w:tcPr>
            <w:tcW w:w="443" w:type="dxa"/>
            <w:gridSpan w:val="2"/>
            <w:vMerge w:val="restart"/>
            <w:tcBorders>
              <w:tl2br w:val="nil"/>
              <w:tr2bl w:val="nil"/>
            </w:tcBorders>
            <w:vAlign w:val="center"/>
          </w:tcPr>
          <w:p w14:paraId="334F2B02">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Times New Roman"/>
                <w:color w:val="auto"/>
                <w:kern w:val="0"/>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173</w:t>
            </w:r>
          </w:p>
        </w:tc>
        <w:tc>
          <w:tcPr>
            <w:tcW w:w="1550" w:type="dxa"/>
            <w:vMerge w:val="restart"/>
            <w:tcBorders>
              <w:tl2br w:val="nil"/>
              <w:tr2bl w:val="nil"/>
            </w:tcBorders>
            <w:vAlign w:val="center"/>
          </w:tcPr>
          <w:p w14:paraId="2D8C5AE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出租单位、自购建筑起重机械的使用单位未按照规定办理注销手续的</w:t>
            </w:r>
          </w:p>
        </w:tc>
        <w:tc>
          <w:tcPr>
            <w:tcW w:w="4820" w:type="dxa"/>
            <w:vMerge w:val="restart"/>
            <w:tcBorders>
              <w:tl2br w:val="nil"/>
              <w:tr2bl w:val="nil"/>
            </w:tcBorders>
            <w:vAlign w:val="center"/>
          </w:tcPr>
          <w:p w14:paraId="71647CDE">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《建筑起重机械安全监督管理规定》</w:t>
            </w:r>
          </w:p>
          <w:p w14:paraId="31FDB4AB">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第二十八条（</w:t>
            </w:r>
            <w:r>
              <w:rPr>
                <w:rFonts w:ascii="仿宋_GB2312" w:hAnsi="宋体" w:eastAsia="仿宋_GB2312"/>
                <w:color w:val="auto"/>
                <w:kern w:val="0"/>
                <w:sz w:val="13"/>
                <w:szCs w:val="13"/>
                <w:highlight w:val="none"/>
              </w:rPr>
              <w:t>二</w:t>
            </w:r>
            <w:r>
              <w:rPr>
                <w:rFonts w:hint="eastAsia" w:ascii="仿宋_GB2312" w:hAnsi="宋体" w:eastAsia="仿宋_GB2312"/>
                <w:color w:val="auto"/>
                <w:kern w:val="0"/>
                <w:sz w:val="13"/>
                <w:szCs w:val="13"/>
                <w:highlight w:val="none"/>
              </w:rPr>
              <w:t>）</w:t>
            </w:r>
            <w:r>
              <w:rPr>
                <w:rFonts w:ascii="仿宋_GB2312" w:hAnsi="宋体" w:eastAsia="仿宋_GB2312"/>
                <w:color w:val="auto"/>
                <w:kern w:val="0"/>
                <w:sz w:val="13"/>
                <w:szCs w:val="13"/>
                <w:highlight w:val="none"/>
              </w:rPr>
              <w:t>项</w:t>
            </w:r>
            <w:r>
              <w:rPr>
                <w:rFonts w:hint="eastAsia" w:ascii="仿宋_GB2312" w:hAnsi="宋体" w:eastAsia="仿宋_GB2312"/>
                <w:color w:val="auto"/>
                <w:kern w:val="0"/>
                <w:sz w:val="13"/>
                <w:szCs w:val="13"/>
                <w:highlight w:val="none"/>
              </w:rPr>
              <w:t>违反本规定，出租单位、自购建筑起重机械的使用单位，有下列行为之一的，由县级以上地方人民政府建设主管部门责令限期改正，予以警告，并处以5000元以上1万元以下罚款：</w:t>
            </w:r>
          </w:p>
          <w:p w14:paraId="56FDE6A9">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（二）未按照规定办理注销手续的；</w:t>
            </w:r>
          </w:p>
        </w:tc>
        <w:tc>
          <w:tcPr>
            <w:tcW w:w="823" w:type="dxa"/>
            <w:tcBorders>
              <w:tl2br w:val="nil"/>
              <w:tr2bl w:val="nil"/>
            </w:tcBorders>
            <w:vAlign w:val="center"/>
          </w:tcPr>
          <w:p w14:paraId="0E9622B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vAlign w:val="center"/>
          </w:tcPr>
          <w:p w14:paraId="2A9834E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1台建筑起重机械未按照规定办理注销手续的。</w:t>
            </w:r>
          </w:p>
        </w:tc>
        <w:tc>
          <w:tcPr>
            <w:tcW w:w="3058" w:type="dxa"/>
            <w:tcBorders>
              <w:tl2br w:val="nil"/>
              <w:tr2bl w:val="nil"/>
            </w:tcBorders>
            <w:vAlign w:val="center"/>
          </w:tcPr>
          <w:p w14:paraId="2C836ED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责令限期改正，予以警告，处5000元以上6500元以下罚款。</w:t>
            </w:r>
          </w:p>
        </w:tc>
      </w:tr>
      <w:tr w14:paraId="3DFEE48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0" w:hRule="atLeast"/>
          <w:jc w:val="center"/>
        </w:trPr>
        <w:tc>
          <w:tcPr>
            <w:tcW w:w="443" w:type="dxa"/>
            <w:gridSpan w:val="2"/>
            <w:vMerge w:val="continue"/>
            <w:tcBorders>
              <w:tl2br w:val="nil"/>
              <w:tr2bl w:val="nil"/>
            </w:tcBorders>
            <w:vAlign w:val="center"/>
          </w:tcPr>
          <w:p w14:paraId="548AD00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color w:val="auto"/>
                <w:kern w:val="0"/>
                <w:sz w:val="13"/>
                <w:szCs w:val="13"/>
                <w:highlight w:val="none"/>
              </w:rPr>
            </w:pPr>
          </w:p>
        </w:tc>
        <w:tc>
          <w:tcPr>
            <w:tcW w:w="1550" w:type="dxa"/>
            <w:vMerge w:val="continue"/>
            <w:tcBorders>
              <w:tl2br w:val="nil"/>
              <w:tr2bl w:val="nil"/>
            </w:tcBorders>
            <w:vAlign w:val="center"/>
          </w:tcPr>
          <w:p w14:paraId="4D1CD4E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vAlign w:val="center"/>
          </w:tcPr>
          <w:p w14:paraId="757A63E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tcBorders>
              <w:tl2br w:val="nil"/>
              <w:tr2bl w:val="nil"/>
            </w:tcBorders>
            <w:vAlign w:val="center"/>
          </w:tcPr>
          <w:p w14:paraId="6DEA64B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一般情节</w:t>
            </w:r>
          </w:p>
        </w:tc>
        <w:tc>
          <w:tcPr>
            <w:tcW w:w="3437" w:type="dxa"/>
            <w:gridSpan w:val="2"/>
            <w:tcBorders>
              <w:tl2br w:val="nil"/>
              <w:tr2bl w:val="nil"/>
            </w:tcBorders>
            <w:vAlign w:val="center"/>
          </w:tcPr>
          <w:p w14:paraId="7B81971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2台建筑起重机械未按照规定办理注销手续的。</w:t>
            </w:r>
          </w:p>
        </w:tc>
        <w:tc>
          <w:tcPr>
            <w:tcW w:w="3058" w:type="dxa"/>
            <w:tcBorders>
              <w:tl2br w:val="nil"/>
              <w:tr2bl w:val="nil"/>
            </w:tcBorders>
            <w:vAlign w:val="center"/>
          </w:tcPr>
          <w:p w14:paraId="1798B28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责令限期改正，予以警告，处6500元以上1万元以下罚款。</w:t>
            </w:r>
          </w:p>
        </w:tc>
      </w:tr>
      <w:tr w14:paraId="473F5F0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0" w:hRule="atLeast"/>
          <w:jc w:val="center"/>
        </w:trPr>
        <w:tc>
          <w:tcPr>
            <w:tcW w:w="443" w:type="dxa"/>
            <w:gridSpan w:val="2"/>
            <w:vMerge w:val="continue"/>
            <w:tcBorders>
              <w:tl2br w:val="nil"/>
              <w:tr2bl w:val="nil"/>
            </w:tcBorders>
            <w:vAlign w:val="center"/>
          </w:tcPr>
          <w:p w14:paraId="1008634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color w:val="auto"/>
                <w:kern w:val="0"/>
                <w:sz w:val="13"/>
                <w:szCs w:val="13"/>
                <w:highlight w:val="none"/>
              </w:rPr>
            </w:pPr>
          </w:p>
        </w:tc>
        <w:tc>
          <w:tcPr>
            <w:tcW w:w="1550" w:type="dxa"/>
            <w:vMerge w:val="continue"/>
            <w:tcBorders>
              <w:tl2br w:val="nil"/>
              <w:tr2bl w:val="nil"/>
            </w:tcBorders>
            <w:vAlign w:val="center"/>
          </w:tcPr>
          <w:p w14:paraId="2AE60D5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vAlign w:val="center"/>
          </w:tcPr>
          <w:p w14:paraId="1F1811E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tcBorders>
              <w:tl2br w:val="nil"/>
              <w:tr2bl w:val="nil"/>
            </w:tcBorders>
            <w:vAlign w:val="center"/>
          </w:tcPr>
          <w:p w14:paraId="63084C5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从重情节</w:t>
            </w:r>
          </w:p>
        </w:tc>
        <w:tc>
          <w:tcPr>
            <w:tcW w:w="3437" w:type="dxa"/>
            <w:gridSpan w:val="2"/>
            <w:tcBorders>
              <w:tl2br w:val="nil"/>
              <w:tr2bl w:val="nil"/>
            </w:tcBorders>
            <w:vAlign w:val="center"/>
          </w:tcPr>
          <w:p w14:paraId="55715B5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3台以上建筑起重机械未按照规定办理注销手续或造成一定后果影响的。</w:t>
            </w:r>
          </w:p>
        </w:tc>
        <w:tc>
          <w:tcPr>
            <w:tcW w:w="3058" w:type="dxa"/>
            <w:tcBorders>
              <w:tl2br w:val="nil"/>
              <w:tr2bl w:val="nil"/>
            </w:tcBorders>
            <w:vAlign w:val="center"/>
          </w:tcPr>
          <w:p w14:paraId="7D7A209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责令限期改正，予以警告，处1万元罚款。</w:t>
            </w:r>
          </w:p>
        </w:tc>
      </w:tr>
      <w:tr w14:paraId="5B4FDB7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0" w:hRule="atLeast"/>
          <w:jc w:val="center"/>
        </w:trPr>
        <w:tc>
          <w:tcPr>
            <w:tcW w:w="443" w:type="dxa"/>
            <w:gridSpan w:val="2"/>
            <w:vMerge w:val="restart"/>
            <w:tcBorders>
              <w:tl2br w:val="nil"/>
              <w:tr2bl w:val="nil"/>
            </w:tcBorders>
            <w:vAlign w:val="center"/>
          </w:tcPr>
          <w:p w14:paraId="655E0751">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Times New Roman"/>
                <w:color w:val="auto"/>
                <w:kern w:val="0"/>
                <w:sz w:val="13"/>
                <w:szCs w:val="13"/>
                <w:highlight w:val="none"/>
                <w:lang w:val="en-US"/>
              </w:rPr>
            </w:pPr>
            <w:r>
              <w:rPr>
                <w:rFonts w:hint="default" w:ascii="仿宋_GB2312" w:hAnsi="宋体" w:eastAsia="仿宋_GB2312" w:cs="仿宋_GB2312"/>
                <w:i w:val="0"/>
                <w:color w:val="auto"/>
                <w:kern w:val="0"/>
                <w:sz w:val="13"/>
                <w:szCs w:val="13"/>
                <w:highlight w:val="none"/>
                <w:u w:val="none"/>
                <w:lang w:val="en-US" w:eastAsia="zh-CN" w:bidi="ar"/>
              </w:rPr>
              <w:t>1</w:t>
            </w:r>
            <w:r>
              <w:rPr>
                <w:rFonts w:hint="eastAsia" w:ascii="仿宋_GB2312" w:hAnsi="宋体" w:eastAsia="仿宋_GB2312" w:cs="仿宋_GB2312"/>
                <w:i w:val="0"/>
                <w:color w:val="auto"/>
                <w:kern w:val="0"/>
                <w:sz w:val="13"/>
                <w:szCs w:val="13"/>
                <w:highlight w:val="none"/>
                <w:u w:val="none"/>
                <w:lang w:val="en-US" w:eastAsia="zh-CN" w:bidi="ar"/>
              </w:rPr>
              <w:t>74</w:t>
            </w:r>
          </w:p>
        </w:tc>
        <w:tc>
          <w:tcPr>
            <w:tcW w:w="1550" w:type="dxa"/>
            <w:vMerge w:val="restart"/>
            <w:tcBorders>
              <w:tl2br w:val="nil"/>
              <w:tr2bl w:val="nil"/>
            </w:tcBorders>
            <w:vAlign w:val="center"/>
          </w:tcPr>
          <w:p w14:paraId="0DA4E3D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出租单位、自购建筑起重机械的使用单位未按照规定建立建筑起重机械安全技术档案的</w:t>
            </w:r>
          </w:p>
        </w:tc>
        <w:tc>
          <w:tcPr>
            <w:tcW w:w="4820" w:type="dxa"/>
            <w:vMerge w:val="restart"/>
            <w:tcBorders>
              <w:tl2br w:val="nil"/>
              <w:tr2bl w:val="nil"/>
            </w:tcBorders>
            <w:vAlign w:val="center"/>
          </w:tcPr>
          <w:p w14:paraId="7917507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《建筑起重机械安全监督管理规定》</w:t>
            </w:r>
          </w:p>
          <w:p w14:paraId="7BB8CF7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第二十八条（三）项违反本规定，出租单位、自购建筑起重机械的使用单位，有下列行为之一的，由县级以上地方人民政府建设主管部门责令限期改正，予以警告，并处以5000元以上1万元以下罚款：</w:t>
            </w:r>
          </w:p>
          <w:p w14:paraId="094E4E2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（三）未按照规定建立建筑起重机械安全技术档案的。</w:t>
            </w:r>
          </w:p>
        </w:tc>
        <w:tc>
          <w:tcPr>
            <w:tcW w:w="823" w:type="dxa"/>
            <w:tcBorders>
              <w:tl2br w:val="nil"/>
              <w:tr2bl w:val="nil"/>
            </w:tcBorders>
            <w:vAlign w:val="center"/>
          </w:tcPr>
          <w:p w14:paraId="77C42E9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vAlign w:val="center"/>
          </w:tcPr>
          <w:p w14:paraId="0B028E2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单位有1台建筑起重机械未按照规定建立建筑起重机械安全技术档案的。</w:t>
            </w:r>
          </w:p>
        </w:tc>
        <w:tc>
          <w:tcPr>
            <w:tcW w:w="3058" w:type="dxa"/>
            <w:tcBorders>
              <w:tl2br w:val="nil"/>
              <w:tr2bl w:val="nil"/>
            </w:tcBorders>
            <w:vAlign w:val="center"/>
          </w:tcPr>
          <w:p w14:paraId="40D3E57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责令限期改正，予以警告，处5000元以上6500元以下罚款。</w:t>
            </w:r>
          </w:p>
        </w:tc>
      </w:tr>
      <w:tr w14:paraId="5136343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0" w:hRule="atLeast"/>
          <w:jc w:val="center"/>
        </w:trPr>
        <w:tc>
          <w:tcPr>
            <w:tcW w:w="443" w:type="dxa"/>
            <w:gridSpan w:val="2"/>
            <w:vMerge w:val="continue"/>
            <w:tcBorders>
              <w:tl2br w:val="nil"/>
              <w:tr2bl w:val="nil"/>
            </w:tcBorders>
            <w:vAlign w:val="center"/>
          </w:tcPr>
          <w:p w14:paraId="2377A3C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color w:val="auto"/>
                <w:kern w:val="0"/>
                <w:sz w:val="13"/>
                <w:szCs w:val="13"/>
                <w:highlight w:val="none"/>
              </w:rPr>
            </w:pPr>
          </w:p>
        </w:tc>
        <w:tc>
          <w:tcPr>
            <w:tcW w:w="1550" w:type="dxa"/>
            <w:vMerge w:val="continue"/>
            <w:tcBorders>
              <w:tl2br w:val="nil"/>
              <w:tr2bl w:val="nil"/>
            </w:tcBorders>
            <w:vAlign w:val="center"/>
          </w:tcPr>
          <w:p w14:paraId="5D5E08F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1CD4D0A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823" w:type="dxa"/>
            <w:tcBorders>
              <w:tl2br w:val="nil"/>
              <w:tr2bl w:val="nil"/>
            </w:tcBorders>
            <w:vAlign w:val="center"/>
          </w:tcPr>
          <w:p w14:paraId="219008A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一般情节</w:t>
            </w:r>
          </w:p>
        </w:tc>
        <w:tc>
          <w:tcPr>
            <w:tcW w:w="3437" w:type="dxa"/>
            <w:gridSpan w:val="2"/>
            <w:tcBorders>
              <w:tl2br w:val="nil"/>
              <w:tr2bl w:val="nil"/>
            </w:tcBorders>
            <w:vAlign w:val="center"/>
          </w:tcPr>
          <w:p w14:paraId="629D2EA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单位有2台建筑起重机械未按照规定建立建筑起重机械安全技术档案的。</w:t>
            </w:r>
          </w:p>
        </w:tc>
        <w:tc>
          <w:tcPr>
            <w:tcW w:w="3058" w:type="dxa"/>
            <w:tcBorders>
              <w:tl2br w:val="nil"/>
              <w:tr2bl w:val="nil"/>
            </w:tcBorders>
            <w:vAlign w:val="center"/>
          </w:tcPr>
          <w:p w14:paraId="015D03B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责令限期改正，予以警告，处6500元以上1万元以下罚款。</w:t>
            </w:r>
          </w:p>
        </w:tc>
      </w:tr>
      <w:tr w14:paraId="6DBE3FB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8" w:hRule="atLeast"/>
          <w:jc w:val="center"/>
        </w:trPr>
        <w:tc>
          <w:tcPr>
            <w:tcW w:w="443" w:type="dxa"/>
            <w:gridSpan w:val="2"/>
            <w:vMerge w:val="continue"/>
            <w:tcBorders>
              <w:tl2br w:val="nil"/>
              <w:tr2bl w:val="nil"/>
            </w:tcBorders>
            <w:vAlign w:val="center"/>
          </w:tcPr>
          <w:p w14:paraId="02B9342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color w:val="auto"/>
                <w:kern w:val="0"/>
                <w:sz w:val="13"/>
                <w:szCs w:val="13"/>
                <w:highlight w:val="none"/>
              </w:rPr>
            </w:pPr>
          </w:p>
        </w:tc>
        <w:tc>
          <w:tcPr>
            <w:tcW w:w="1550" w:type="dxa"/>
            <w:vMerge w:val="continue"/>
            <w:tcBorders>
              <w:tl2br w:val="nil"/>
              <w:tr2bl w:val="nil"/>
            </w:tcBorders>
            <w:vAlign w:val="center"/>
          </w:tcPr>
          <w:p w14:paraId="2FF8658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53E21A1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823" w:type="dxa"/>
            <w:tcBorders>
              <w:tl2br w:val="nil"/>
              <w:tr2bl w:val="nil"/>
            </w:tcBorders>
            <w:vAlign w:val="center"/>
          </w:tcPr>
          <w:p w14:paraId="17A0D13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从重情节</w:t>
            </w:r>
          </w:p>
        </w:tc>
        <w:tc>
          <w:tcPr>
            <w:tcW w:w="3437" w:type="dxa"/>
            <w:gridSpan w:val="2"/>
            <w:tcBorders>
              <w:tl2br w:val="nil"/>
              <w:tr2bl w:val="nil"/>
            </w:tcBorders>
            <w:vAlign w:val="center"/>
          </w:tcPr>
          <w:p w14:paraId="05D4C92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单位有3台以上建筑起重机械未按照规定建立建筑起重机械安全技术档案或造成一定后果影响的。</w:t>
            </w:r>
          </w:p>
        </w:tc>
        <w:tc>
          <w:tcPr>
            <w:tcW w:w="3058" w:type="dxa"/>
            <w:tcBorders>
              <w:tl2br w:val="nil"/>
              <w:tr2bl w:val="nil"/>
            </w:tcBorders>
            <w:vAlign w:val="center"/>
          </w:tcPr>
          <w:p w14:paraId="639BFF2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责令限期改正，予以警告，处1万元罚款。</w:t>
            </w:r>
          </w:p>
        </w:tc>
      </w:tr>
      <w:tr w14:paraId="4ED9275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8" w:hRule="atLeast"/>
          <w:jc w:val="center"/>
        </w:trPr>
        <w:tc>
          <w:tcPr>
            <w:tcW w:w="443" w:type="dxa"/>
            <w:gridSpan w:val="2"/>
            <w:vMerge w:val="restart"/>
            <w:tcBorders>
              <w:tl2br w:val="nil"/>
              <w:tr2bl w:val="nil"/>
            </w:tcBorders>
            <w:vAlign w:val="center"/>
          </w:tcPr>
          <w:p w14:paraId="6FDE6D09">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Times New Roman"/>
                <w:color w:val="auto"/>
                <w:kern w:val="0"/>
                <w:sz w:val="13"/>
                <w:szCs w:val="13"/>
                <w:highlight w:val="none"/>
                <w:lang w:val="en-US"/>
              </w:rPr>
            </w:pPr>
            <w:r>
              <w:rPr>
                <w:rFonts w:hint="default" w:ascii="仿宋_GB2312" w:hAnsi="宋体" w:eastAsia="仿宋_GB2312" w:cs="仿宋_GB2312"/>
                <w:i w:val="0"/>
                <w:color w:val="auto"/>
                <w:kern w:val="0"/>
                <w:sz w:val="13"/>
                <w:szCs w:val="13"/>
                <w:highlight w:val="none"/>
                <w:u w:val="none"/>
                <w:lang w:val="en-US" w:eastAsia="zh-CN" w:bidi="ar"/>
              </w:rPr>
              <w:t>1</w:t>
            </w:r>
            <w:r>
              <w:rPr>
                <w:rFonts w:hint="eastAsia" w:ascii="仿宋_GB2312" w:hAnsi="宋体" w:eastAsia="仿宋_GB2312" w:cs="仿宋_GB2312"/>
                <w:i w:val="0"/>
                <w:color w:val="auto"/>
                <w:kern w:val="0"/>
                <w:sz w:val="13"/>
                <w:szCs w:val="13"/>
                <w:highlight w:val="none"/>
                <w:u w:val="none"/>
                <w:lang w:val="en-US" w:eastAsia="zh-CN" w:bidi="ar"/>
              </w:rPr>
              <w:t>75</w:t>
            </w:r>
          </w:p>
        </w:tc>
        <w:tc>
          <w:tcPr>
            <w:tcW w:w="1550" w:type="dxa"/>
            <w:vMerge w:val="restart"/>
            <w:tcBorders>
              <w:tl2br w:val="nil"/>
              <w:tr2bl w:val="nil"/>
            </w:tcBorders>
            <w:vAlign w:val="center"/>
          </w:tcPr>
          <w:p w14:paraId="6512B56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安装单位未按照安全技术标准及安装使用说明书等检查建筑起重机械及现场施工条件的</w:t>
            </w:r>
          </w:p>
        </w:tc>
        <w:tc>
          <w:tcPr>
            <w:tcW w:w="4820" w:type="dxa"/>
            <w:vMerge w:val="restart"/>
            <w:tcBorders>
              <w:tl2br w:val="nil"/>
              <w:tr2bl w:val="nil"/>
            </w:tcBorders>
            <w:vAlign w:val="center"/>
          </w:tcPr>
          <w:p w14:paraId="3E39F59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r>
              <w:rPr>
                <w:rFonts w:ascii="仿宋_GB2312" w:hAnsi="宋体" w:eastAsia="仿宋_GB2312"/>
                <w:color w:val="auto"/>
                <w:kern w:val="0"/>
                <w:sz w:val="13"/>
                <w:szCs w:val="13"/>
                <w:highlight w:val="none"/>
              </w:rPr>
              <w:t>《建筑起重机械安全监督管理规定》</w:t>
            </w:r>
          </w:p>
          <w:p w14:paraId="5B2CCF8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第二十九条（</w:t>
            </w:r>
            <w:r>
              <w:rPr>
                <w:rFonts w:ascii="仿宋_GB2312" w:hAnsi="宋体" w:eastAsia="仿宋_GB2312"/>
                <w:color w:val="auto"/>
                <w:kern w:val="0"/>
                <w:sz w:val="13"/>
                <w:szCs w:val="13"/>
                <w:highlight w:val="none"/>
              </w:rPr>
              <w:t>一</w:t>
            </w:r>
            <w:r>
              <w:rPr>
                <w:rFonts w:hint="eastAsia" w:ascii="仿宋_GB2312" w:hAnsi="宋体" w:eastAsia="仿宋_GB2312"/>
                <w:color w:val="auto"/>
                <w:kern w:val="0"/>
                <w:sz w:val="13"/>
                <w:szCs w:val="13"/>
                <w:highlight w:val="none"/>
              </w:rPr>
              <w:t>）</w:t>
            </w:r>
            <w:r>
              <w:rPr>
                <w:rFonts w:ascii="仿宋_GB2312" w:hAnsi="宋体" w:eastAsia="仿宋_GB2312"/>
                <w:color w:val="auto"/>
                <w:kern w:val="0"/>
                <w:sz w:val="13"/>
                <w:szCs w:val="13"/>
                <w:highlight w:val="none"/>
              </w:rPr>
              <w:t>项</w:t>
            </w:r>
            <w:r>
              <w:rPr>
                <w:rFonts w:hint="eastAsia" w:ascii="仿宋_GB2312" w:hAnsi="宋体" w:eastAsia="仿宋_GB2312"/>
                <w:color w:val="auto"/>
                <w:kern w:val="0"/>
                <w:sz w:val="13"/>
                <w:szCs w:val="13"/>
                <w:highlight w:val="none"/>
              </w:rPr>
              <w:t>违反本规定，安装单位有下列行为之一的，由县级以上地方人民政府建设主管部门责令限期改正，予以警告，并处以5</w:t>
            </w:r>
            <w:r>
              <w:rPr>
                <w:rFonts w:ascii="仿宋_GB2312" w:hAnsi="宋体" w:eastAsia="仿宋_GB2312"/>
                <w:color w:val="auto"/>
                <w:kern w:val="0"/>
                <w:sz w:val="13"/>
                <w:szCs w:val="13"/>
                <w:highlight w:val="none"/>
              </w:rPr>
              <w:t>000</w:t>
            </w:r>
            <w:r>
              <w:rPr>
                <w:rFonts w:hint="eastAsia" w:ascii="仿宋_GB2312" w:hAnsi="宋体" w:eastAsia="仿宋_GB2312"/>
                <w:color w:val="auto"/>
                <w:kern w:val="0"/>
                <w:sz w:val="13"/>
                <w:szCs w:val="13"/>
                <w:highlight w:val="none"/>
              </w:rPr>
              <w:t>元以上3万元以下罚款：</w:t>
            </w:r>
          </w:p>
          <w:p w14:paraId="61EE751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（一）未履行第十二条第（二）、（四）、（五）项安全职责的；</w:t>
            </w:r>
          </w:p>
          <w:p w14:paraId="413CAA6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第十二条（</w:t>
            </w:r>
            <w:r>
              <w:rPr>
                <w:rFonts w:ascii="仿宋_GB2312" w:hAnsi="宋体" w:eastAsia="仿宋_GB2312"/>
                <w:color w:val="auto"/>
                <w:kern w:val="0"/>
                <w:sz w:val="13"/>
                <w:szCs w:val="13"/>
                <w:highlight w:val="none"/>
              </w:rPr>
              <w:t>二</w:t>
            </w:r>
            <w:r>
              <w:rPr>
                <w:rFonts w:hint="eastAsia" w:ascii="仿宋_GB2312" w:hAnsi="宋体" w:eastAsia="仿宋_GB2312"/>
                <w:color w:val="auto"/>
                <w:kern w:val="0"/>
                <w:sz w:val="13"/>
                <w:szCs w:val="13"/>
                <w:highlight w:val="none"/>
              </w:rPr>
              <w:t>）</w:t>
            </w:r>
            <w:r>
              <w:rPr>
                <w:rFonts w:ascii="仿宋_GB2312" w:hAnsi="宋体" w:eastAsia="仿宋_GB2312"/>
                <w:color w:val="auto"/>
                <w:kern w:val="0"/>
                <w:sz w:val="13"/>
                <w:szCs w:val="13"/>
                <w:highlight w:val="none"/>
              </w:rPr>
              <w:t>项</w:t>
            </w:r>
            <w:r>
              <w:rPr>
                <w:rFonts w:hint="eastAsia" w:ascii="仿宋_GB2312" w:hAnsi="宋体" w:eastAsia="仿宋_GB2312"/>
                <w:color w:val="auto"/>
                <w:kern w:val="0"/>
                <w:sz w:val="13"/>
                <w:szCs w:val="13"/>
                <w:highlight w:val="none"/>
              </w:rPr>
              <w:t>　安装单位应当履行下列安全职责：</w:t>
            </w:r>
          </w:p>
          <w:p w14:paraId="6B5F776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（二）按照安全技术标准及安装使用说明书等检查建筑起重机械及现场施工条件；</w:t>
            </w:r>
          </w:p>
        </w:tc>
        <w:tc>
          <w:tcPr>
            <w:tcW w:w="823" w:type="dxa"/>
            <w:tcBorders>
              <w:tl2br w:val="nil"/>
              <w:tr2bl w:val="nil"/>
            </w:tcBorders>
            <w:vAlign w:val="center"/>
          </w:tcPr>
          <w:p w14:paraId="029995B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vAlign w:val="center"/>
          </w:tcPr>
          <w:p w14:paraId="3AFC177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安装单位有1台建筑起重机械及现场施工条件未按照安全技术标准及安装使用说明书等检查的。</w:t>
            </w:r>
          </w:p>
        </w:tc>
        <w:tc>
          <w:tcPr>
            <w:tcW w:w="3058" w:type="dxa"/>
            <w:tcBorders>
              <w:tl2br w:val="nil"/>
              <w:tr2bl w:val="nil"/>
            </w:tcBorders>
            <w:vAlign w:val="center"/>
          </w:tcPr>
          <w:p w14:paraId="0FF7AFE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责令限期改正，予以警告，处5000元以上1万元以下的罚款。</w:t>
            </w:r>
          </w:p>
        </w:tc>
      </w:tr>
      <w:tr w14:paraId="7711CB5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58" w:hRule="atLeast"/>
          <w:jc w:val="center"/>
        </w:trPr>
        <w:tc>
          <w:tcPr>
            <w:tcW w:w="443" w:type="dxa"/>
            <w:gridSpan w:val="2"/>
            <w:vMerge w:val="continue"/>
            <w:tcBorders>
              <w:tl2br w:val="nil"/>
              <w:tr2bl w:val="nil"/>
            </w:tcBorders>
            <w:vAlign w:val="center"/>
          </w:tcPr>
          <w:p w14:paraId="6207542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color w:val="auto"/>
                <w:kern w:val="0"/>
                <w:sz w:val="13"/>
                <w:szCs w:val="13"/>
                <w:highlight w:val="none"/>
              </w:rPr>
            </w:pPr>
          </w:p>
        </w:tc>
        <w:tc>
          <w:tcPr>
            <w:tcW w:w="1550" w:type="dxa"/>
            <w:vMerge w:val="continue"/>
            <w:tcBorders>
              <w:tl2br w:val="nil"/>
              <w:tr2bl w:val="nil"/>
            </w:tcBorders>
            <w:vAlign w:val="center"/>
          </w:tcPr>
          <w:p w14:paraId="62A7369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281EAB4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823" w:type="dxa"/>
            <w:tcBorders>
              <w:tl2br w:val="nil"/>
              <w:tr2bl w:val="nil"/>
            </w:tcBorders>
            <w:vAlign w:val="center"/>
          </w:tcPr>
          <w:p w14:paraId="60DF784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一般情节</w:t>
            </w:r>
          </w:p>
        </w:tc>
        <w:tc>
          <w:tcPr>
            <w:tcW w:w="3437" w:type="dxa"/>
            <w:gridSpan w:val="2"/>
            <w:tcBorders>
              <w:tl2br w:val="nil"/>
              <w:tr2bl w:val="nil"/>
            </w:tcBorders>
            <w:vAlign w:val="center"/>
          </w:tcPr>
          <w:p w14:paraId="7DB13DE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安装单位有2台建筑起重机械及现场施工条件未按照安全技术标准及安装使用说明书等检查的。</w:t>
            </w:r>
          </w:p>
        </w:tc>
        <w:tc>
          <w:tcPr>
            <w:tcW w:w="3058" w:type="dxa"/>
            <w:tcBorders>
              <w:tl2br w:val="nil"/>
              <w:tr2bl w:val="nil"/>
            </w:tcBorders>
            <w:vAlign w:val="center"/>
          </w:tcPr>
          <w:p w14:paraId="7682B20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责令限期改正，予以警告，处1万元以上2万元以下的罚款。</w:t>
            </w:r>
          </w:p>
        </w:tc>
      </w:tr>
      <w:tr w14:paraId="67F2CEB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8" w:hRule="atLeast"/>
          <w:jc w:val="center"/>
        </w:trPr>
        <w:tc>
          <w:tcPr>
            <w:tcW w:w="443" w:type="dxa"/>
            <w:gridSpan w:val="2"/>
            <w:vMerge w:val="continue"/>
            <w:tcBorders>
              <w:tl2br w:val="nil"/>
              <w:tr2bl w:val="nil"/>
            </w:tcBorders>
            <w:vAlign w:val="center"/>
          </w:tcPr>
          <w:p w14:paraId="7940DE0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color w:val="auto"/>
                <w:kern w:val="0"/>
                <w:sz w:val="13"/>
                <w:szCs w:val="13"/>
                <w:highlight w:val="none"/>
              </w:rPr>
            </w:pPr>
          </w:p>
        </w:tc>
        <w:tc>
          <w:tcPr>
            <w:tcW w:w="1550" w:type="dxa"/>
            <w:vMerge w:val="continue"/>
            <w:tcBorders>
              <w:tl2br w:val="nil"/>
              <w:tr2bl w:val="nil"/>
            </w:tcBorders>
            <w:vAlign w:val="center"/>
          </w:tcPr>
          <w:p w14:paraId="420EE3F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333BD19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823" w:type="dxa"/>
            <w:tcBorders>
              <w:tl2br w:val="nil"/>
              <w:tr2bl w:val="nil"/>
            </w:tcBorders>
            <w:vAlign w:val="center"/>
          </w:tcPr>
          <w:p w14:paraId="0DD8731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从重情节</w:t>
            </w:r>
          </w:p>
        </w:tc>
        <w:tc>
          <w:tcPr>
            <w:tcW w:w="3437" w:type="dxa"/>
            <w:gridSpan w:val="2"/>
            <w:tcBorders>
              <w:tl2br w:val="nil"/>
              <w:tr2bl w:val="nil"/>
            </w:tcBorders>
            <w:vAlign w:val="center"/>
          </w:tcPr>
          <w:p w14:paraId="6E13755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安装单位有3台以上建筑起重机械及现场施工条件未按照安全技术标准及安装使用说明书等检查或造成一定后果影响的。</w:t>
            </w:r>
          </w:p>
        </w:tc>
        <w:tc>
          <w:tcPr>
            <w:tcW w:w="3058" w:type="dxa"/>
            <w:tcBorders>
              <w:tl2br w:val="nil"/>
              <w:tr2bl w:val="nil"/>
            </w:tcBorders>
            <w:vAlign w:val="center"/>
          </w:tcPr>
          <w:p w14:paraId="691FF53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责令限期改正，予以警告，处2万元以上3万元以下的罚款。</w:t>
            </w:r>
          </w:p>
        </w:tc>
      </w:tr>
      <w:tr w14:paraId="23B1856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8" w:hRule="atLeast"/>
          <w:jc w:val="center"/>
        </w:trPr>
        <w:tc>
          <w:tcPr>
            <w:tcW w:w="443" w:type="dxa"/>
            <w:gridSpan w:val="2"/>
            <w:vMerge w:val="restart"/>
            <w:tcBorders>
              <w:tl2br w:val="nil"/>
              <w:tr2bl w:val="nil"/>
            </w:tcBorders>
            <w:vAlign w:val="center"/>
          </w:tcPr>
          <w:p w14:paraId="7CB1D7BC">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Times New Roman"/>
                <w:color w:val="auto"/>
                <w:kern w:val="0"/>
                <w:sz w:val="13"/>
                <w:szCs w:val="13"/>
                <w:highlight w:val="none"/>
                <w:lang w:val="en-US"/>
              </w:rPr>
            </w:pPr>
            <w:r>
              <w:rPr>
                <w:rFonts w:hint="default" w:ascii="仿宋_GB2312" w:hAnsi="宋体" w:eastAsia="仿宋_GB2312" w:cs="仿宋_GB2312"/>
                <w:i w:val="0"/>
                <w:color w:val="auto"/>
                <w:kern w:val="0"/>
                <w:sz w:val="13"/>
                <w:szCs w:val="13"/>
                <w:highlight w:val="none"/>
                <w:u w:val="none"/>
                <w:lang w:val="en-US" w:eastAsia="zh-CN" w:bidi="ar"/>
              </w:rPr>
              <w:t>1</w:t>
            </w:r>
            <w:r>
              <w:rPr>
                <w:rFonts w:hint="eastAsia" w:ascii="仿宋_GB2312" w:hAnsi="宋体" w:eastAsia="仿宋_GB2312" w:cs="仿宋_GB2312"/>
                <w:i w:val="0"/>
                <w:color w:val="auto"/>
                <w:kern w:val="0"/>
                <w:sz w:val="13"/>
                <w:szCs w:val="13"/>
                <w:highlight w:val="none"/>
                <w:u w:val="none"/>
                <w:lang w:val="en-US" w:eastAsia="zh-CN" w:bidi="ar"/>
              </w:rPr>
              <w:t>76</w:t>
            </w:r>
          </w:p>
        </w:tc>
        <w:tc>
          <w:tcPr>
            <w:tcW w:w="1550" w:type="dxa"/>
            <w:vMerge w:val="restart"/>
            <w:tcBorders>
              <w:tl2br w:val="nil"/>
              <w:tr2bl w:val="nil"/>
            </w:tcBorders>
            <w:vAlign w:val="center"/>
          </w:tcPr>
          <w:p w14:paraId="11951734">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安装单位未制定建筑起重机械安装、拆卸工程生产安全事故应急救援预案的</w:t>
            </w:r>
          </w:p>
        </w:tc>
        <w:tc>
          <w:tcPr>
            <w:tcW w:w="4820" w:type="dxa"/>
            <w:vMerge w:val="restart"/>
            <w:tcBorders>
              <w:tl2br w:val="nil"/>
              <w:tr2bl w:val="nil"/>
            </w:tcBorders>
            <w:vAlign w:val="center"/>
          </w:tcPr>
          <w:p w14:paraId="2EE7E02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r>
              <w:rPr>
                <w:rFonts w:ascii="仿宋_GB2312" w:hAnsi="宋体" w:eastAsia="仿宋_GB2312"/>
                <w:color w:val="auto"/>
                <w:kern w:val="0"/>
                <w:sz w:val="13"/>
                <w:szCs w:val="13"/>
                <w:highlight w:val="none"/>
              </w:rPr>
              <w:t>《建筑起重机械安全监督管理规定》</w:t>
            </w:r>
          </w:p>
          <w:p w14:paraId="63BA134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第二十九条（</w:t>
            </w:r>
            <w:r>
              <w:rPr>
                <w:rFonts w:ascii="仿宋_GB2312" w:hAnsi="宋体" w:eastAsia="仿宋_GB2312"/>
                <w:color w:val="auto"/>
                <w:kern w:val="0"/>
                <w:sz w:val="13"/>
                <w:szCs w:val="13"/>
                <w:highlight w:val="none"/>
              </w:rPr>
              <w:t>一</w:t>
            </w:r>
            <w:r>
              <w:rPr>
                <w:rFonts w:hint="eastAsia" w:ascii="仿宋_GB2312" w:hAnsi="宋体" w:eastAsia="仿宋_GB2312"/>
                <w:color w:val="auto"/>
                <w:kern w:val="0"/>
                <w:sz w:val="13"/>
                <w:szCs w:val="13"/>
                <w:highlight w:val="none"/>
              </w:rPr>
              <w:t>）</w:t>
            </w:r>
            <w:r>
              <w:rPr>
                <w:rFonts w:ascii="仿宋_GB2312" w:hAnsi="宋体" w:eastAsia="仿宋_GB2312"/>
                <w:color w:val="auto"/>
                <w:kern w:val="0"/>
                <w:sz w:val="13"/>
                <w:szCs w:val="13"/>
                <w:highlight w:val="none"/>
              </w:rPr>
              <w:t>项</w:t>
            </w:r>
            <w:r>
              <w:rPr>
                <w:rFonts w:hint="eastAsia" w:ascii="仿宋_GB2312" w:hAnsi="宋体" w:eastAsia="仿宋_GB2312"/>
                <w:color w:val="auto"/>
                <w:kern w:val="0"/>
                <w:sz w:val="13"/>
                <w:szCs w:val="13"/>
                <w:highlight w:val="none"/>
              </w:rPr>
              <w:t>违反本规定，安装单位有下列行为之一的，由县级以上地方人民政府建设主管部门责令限期改正，予以警告，并处以5</w:t>
            </w:r>
            <w:r>
              <w:rPr>
                <w:rFonts w:ascii="仿宋_GB2312" w:hAnsi="宋体" w:eastAsia="仿宋_GB2312"/>
                <w:color w:val="auto"/>
                <w:kern w:val="0"/>
                <w:sz w:val="13"/>
                <w:szCs w:val="13"/>
                <w:highlight w:val="none"/>
              </w:rPr>
              <w:t>000</w:t>
            </w:r>
            <w:r>
              <w:rPr>
                <w:rFonts w:hint="eastAsia" w:ascii="仿宋_GB2312" w:hAnsi="宋体" w:eastAsia="仿宋_GB2312"/>
                <w:color w:val="auto"/>
                <w:kern w:val="0"/>
                <w:sz w:val="13"/>
                <w:szCs w:val="13"/>
                <w:highlight w:val="none"/>
              </w:rPr>
              <w:t>元以上3万元以下罚款：</w:t>
            </w:r>
          </w:p>
          <w:p w14:paraId="3B9A3C0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（一）未履行第十二条第（二）、（四）、（五）项安全职责的；</w:t>
            </w:r>
          </w:p>
          <w:p w14:paraId="6A178EA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第十二条（</w:t>
            </w:r>
            <w:r>
              <w:rPr>
                <w:rFonts w:ascii="仿宋_GB2312" w:hAnsi="宋体" w:eastAsia="仿宋_GB2312"/>
                <w:color w:val="auto"/>
                <w:kern w:val="0"/>
                <w:sz w:val="13"/>
                <w:szCs w:val="13"/>
                <w:highlight w:val="none"/>
              </w:rPr>
              <w:t>四</w:t>
            </w:r>
            <w:r>
              <w:rPr>
                <w:rFonts w:hint="eastAsia" w:ascii="仿宋_GB2312" w:hAnsi="宋体" w:eastAsia="仿宋_GB2312"/>
                <w:color w:val="auto"/>
                <w:kern w:val="0"/>
                <w:sz w:val="13"/>
                <w:szCs w:val="13"/>
                <w:highlight w:val="none"/>
              </w:rPr>
              <w:t>）</w:t>
            </w:r>
            <w:r>
              <w:rPr>
                <w:rFonts w:ascii="仿宋_GB2312" w:hAnsi="宋体" w:eastAsia="仿宋_GB2312"/>
                <w:color w:val="auto"/>
                <w:kern w:val="0"/>
                <w:sz w:val="13"/>
                <w:szCs w:val="13"/>
                <w:highlight w:val="none"/>
              </w:rPr>
              <w:t>项</w:t>
            </w:r>
            <w:r>
              <w:rPr>
                <w:rFonts w:hint="eastAsia" w:ascii="仿宋_GB2312" w:hAnsi="宋体" w:eastAsia="仿宋_GB2312"/>
                <w:color w:val="auto"/>
                <w:kern w:val="0"/>
                <w:sz w:val="13"/>
                <w:szCs w:val="13"/>
                <w:highlight w:val="none"/>
              </w:rPr>
              <w:t>安装单位应当履行下列安全职责：</w:t>
            </w:r>
          </w:p>
          <w:p w14:paraId="0039491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（四）制定建筑起重机械安装、拆卸工程生产安全事故应急救援预案；</w:t>
            </w:r>
          </w:p>
        </w:tc>
        <w:tc>
          <w:tcPr>
            <w:tcW w:w="823" w:type="dxa"/>
            <w:tcBorders>
              <w:tl2br w:val="nil"/>
              <w:tr2bl w:val="nil"/>
            </w:tcBorders>
            <w:vAlign w:val="center"/>
          </w:tcPr>
          <w:p w14:paraId="119E277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vAlign w:val="center"/>
          </w:tcPr>
          <w:p w14:paraId="02B0FEB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安装单位有1台建筑起重机械的安装、拆卸未制定生产安全事故应急救援预案的。</w:t>
            </w:r>
          </w:p>
        </w:tc>
        <w:tc>
          <w:tcPr>
            <w:tcW w:w="3058" w:type="dxa"/>
            <w:tcBorders>
              <w:tl2br w:val="nil"/>
              <w:tr2bl w:val="nil"/>
            </w:tcBorders>
            <w:vAlign w:val="center"/>
          </w:tcPr>
          <w:p w14:paraId="1958F98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责令限期改正，予以警告，处5000元以上1万元以下的罚款。</w:t>
            </w:r>
          </w:p>
        </w:tc>
      </w:tr>
      <w:tr w14:paraId="62AC067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8" w:hRule="atLeast"/>
          <w:jc w:val="center"/>
        </w:trPr>
        <w:tc>
          <w:tcPr>
            <w:tcW w:w="443" w:type="dxa"/>
            <w:gridSpan w:val="2"/>
            <w:vMerge w:val="continue"/>
            <w:tcBorders>
              <w:tl2br w:val="nil"/>
              <w:tr2bl w:val="nil"/>
            </w:tcBorders>
            <w:vAlign w:val="center"/>
          </w:tcPr>
          <w:p w14:paraId="044D92A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color w:val="auto"/>
                <w:kern w:val="0"/>
                <w:sz w:val="13"/>
                <w:szCs w:val="13"/>
                <w:highlight w:val="none"/>
              </w:rPr>
            </w:pPr>
          </w:p>
        </w:tc>
        <w:tc>
          <w:tcPr>
            <w:tcW w:w="1550" w:type="dxa"/>
            <w:vMerge w:val="continue"/>
            <w:tcBorders>
              <w:tl2br w:val="nil"/>
              <w:tr2bl w:val="nil"/>
            </w:tcBorders>
            <w:vAlign w:val="center"/>
          </w:tcPr>
          <w:p w14:paraId="76A0EEA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2288879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823" w:type="dxa"/>
            <w:tcBorders>
              <w:tl2br w:val="nil"/>
              <w:tr2bl w:val="nil"/>
            </w:tcBorders>
            <w:vAlign w:val="center"/>
          </w:tcPr>
          <w:p w14:paraId="2B1A2D4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一般情节</w:t>
            </w:r>
          </w:p>
        </w:tc>
        <w:tc>
          <w:tcPr>
            <w:tcW w:w="3437" w:type="dxa"/>
            <w:gridSpan w:val="2"/>
            <w:tcBorders>
              <w:tl2br w:val="nil"/>
              <w:tr2bl w:val="nil"/>
            </w:tcBorders>
            <w:vAlign w:val="center"/>
          </w:tcPr>
          <w:p w14:paraId="45EF6D2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安装单位有2台建筑起重机械的安装、拆卸未制定生产安全事故应急救援预案的。</w:t>
            </w:r>
          </w:p>
        </w:tc>
        <w:tc>
          <w:tcPr>
            <w:tcW w:w="3058" w:type="dxa"/>
            <w:tcBorders>
              <w:tl2br w:val="nil"/>
              <w:tr2bl w:val="nil"/>
            </w:tcBorders>
            <w:vAlign w:val="center"/>
          </w:tcPr>
          <w:p w14:paraId="21BCB16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责令限期改正，予以警告，处1万元以上2万元以下的罚款。</w:t>
            </w:r>
          </w:p>
        </w:tc>
      </w:tr>
      <w:tr w14:paraId="23827B1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8" w:hRule="atLeast"/>
          <w:jc w:val="center"/>
        </w:trPr>
        <w:tc>
          <w:tcPr>
            <w:tcW w:w="443" w:type="dxa"/>
            <w:gridSpan w:val="2"/>
            <w:vMerge w:val="continue"/>
            <w:tcBorders>
              <w:tl2br w:val="nil"/>
              <w:tr2bl w:val="nil"/>
            </w:tcBorders>
            <w:vAlign w:val="center"/>
          </w:tcPr>
          <w:p w14:paraId="3E856BB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color w:val="auto"/>
                <w:kern w:val="0"/>
                <w:sz w:val="13"/>
                <w:szCs w:val="13"/>
                <w:highlight w:val="none"/>
              </w:rPr>
            </w:pPr>
          </w:p>
        </w:tc>
        <w:tc>
          <w:tcPr>
            <w:tcW w:w="1550" w:type="dxa"/>
            <w:vMerge w:val="continue"/>
            <w:tcBorders>
              <w:tl2br w:val="nil"/>
              <w:tr2bl w:val="nil"/>
            </w:tcBorders>
            <w:vAlign w:val="center"/>
          </w:tcPr>
          <w:p w14:paraId="38C7636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36FEF19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823" w:type="dxa"/>
            <w:tcBorders>
              <w:tl2br w:val="nil"/>
              <w:tr2bl w:val="nil"/>
            </w:tcBorders>
            <w:vAlign w:val="center"/>
          </w:tcPr>
          <w:p w14:paraId="4B2E7BC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从重情节</w:t>
            </w:r>
          </w:p>
        </w:tc>
        <w:tc>
          <w:tcPr>
            <w:tcW w:w="3437" w:type="dxa"/>
            <w:gridSpan w:val="2"/>
            <w:tcBorders>
              <w:tl2br w:val="nil"/>
              <w:tr2bl w:val="nil"/>
            </w:tcBorders>
            <w:vAlign w:val="center"/>
          </w:tcPr>
          <w:p w14:paraId="1A1595F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安装单位有3台以上建筑起重机械的安装、拆卸未制定生产安全事故应急救援预案或造成一定后果影响的。</w:t>
            </w:r>
          </w:p>
        </w:tc>
        <w:tc>
          <w:tcPr>
            <w:tcW w:w="3058" w:type="dxa"/>
            <w:tcBorders>
              <w:tl2br w:val="nil"/>
              <w:tr2bl w:val="nil"/>
            </w:tcBorders>
            <w:vAlign w:val="center"/>
          </w:tcPr>
          <w:p w14:paraId="2BA3970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责令限期改正，予以警告，处2万元以上3万元以下的罚款。</w:t>
            </w:r>
          </w:p>
        </w:tc>
      </w:tr>
      <w:tr w14:paraId="628D80F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94" w:hRule="atLeast"/>
          <w:jc w:val="center"/>
        </w:trPr>
        <w:tc>
          <w:tcPr>
            <w:tcW w:w="443" w:type="dxa"/>
            <w:gridSpan w:val="2"/>
            <w:vMerge w:val="restart"/>
            <w:tcBorders>
              <w:tl2br w:val="nil"/>
              <w:tr2bl w:val="nil"/>
            </w:tcBorders>
            <w:vAlign w:val="center"/>
          </w:tcPr>
          <w:p w14:paraId="3C500C75">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Times New Roman"/>
                <w:color w:val="auto"/>
                <w:kern w:val="0"/>
                <w:sz w:val="13"/>
                <w:szCs w:val="13"/>
                <w:highlight w:val="none"/>
                <w:lang w:val="en-US"/>
              </w:rPr>
            </w:pPr>
            <w:r>
              <w:rPr>
                <w:rFonts w:hint="default" w:ascii="仿宋_GB2312" w:hAnsi="宋体" w:eastAsia="仿宋_GB2312" w:cs="仿宋_GB2312"/>
                <w:i w:val="0"/>
                <w:color w:val="auto"/>
                <w:kern w:val="0"/>
                <w:sz w:val="13"/>
                <w:szCs w:val="13"/>
                <w:highlight w:val="none"/>
                <w:u w:val="none"/>
                <w:lang w:val="en-US" w:eastAsia="zh-CN" w:bidi="ar"/>
              </w:rPr>
              <w:t>1</w:t>
            </w:r>
            <w:r>
              <w:rPr>
                <w:rFonts w:hint="eastAsia" w:ascii="仿宋_GB2312" w:hAnsi="宋体" w:eastAsia="仿宋_GB2312" w:cs="仿宋_GB2312"/>
                <w:i w:val="0"/>
                <w:color w:val="auto"/>
                <w:kern w:val="0"/>
                <w:sz w:val="13"/>
                <w:szCs w:val="13"/>
                <w:highlight w:val="none"/>
                <w:u w:val="none"/>
                <w:lang w:val="en-US" w:eastAsia="zh-CN" w:bidi="ar"/>
              </w:rPr>
              <w:t>77</w:t>
            </w:r>
          </w:p>
        </w:tc>
        <w:tc>
          <w:tcPr>
            <w:tcW w:w="1550" w:type="dxa"/>
            <w:vMerge w:val="restart"/>
            <w:tcBorders>
              <w:tl2br w:val="nil"/>
              <w:tr2bl w:val="nil"/>
            </w:tcBorders>
            <w:vAlign w:val="center"/>
          </w:tcPr>
          <w:p w14:paraId="118F371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安装单位未将建筑起重机械安装、拆卸工程专项施工方案，安装、拆卸人员名单，安装、拆卸时间等材料报施工总承包单位和监理单位审核，未告知工程所在地县级以上地方人民政府建设主管部门的</w:t>
            </w:r>
          </w:p>
        </w:tc>
        <w:tc>
          <w:tcPr>
            <w:tcW w:w="4820" w:type="dxa"/>
            <w:vMerge w:val="restart"/>
            <w:tcBorders>
              <w:tl2br w:val="nil"/>
              <w:tr2bl w:val="nil"/>
            </w:tcBorders>
            <w:vAlign w:val="center"/>
          </w:tcPr>
          <w:p w14:paraId="3649149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r>
              <w:rPr>
                <w:rFonts w:ascii="仿宋_GB2312" w:hAnsi="宋体" w:eastAsia="仿宋_GB2312"/>
                <w:color w:val="auto"/>
                <w:kern w:val="0"/>
                <w:sz w:val="13"/>
                <w:szCs w:val="13"/>
                <w:highlight w:val="none"/>
              </w:rPr>
              <w:t>《建筑起重机械安全监督管理规定》</w:t>
            </w:r>
          </w:p>
          <w:p w14:paraId="2D562DD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第二十九条（</w:t>
            </w:r>
            <w:r>
              <w:rPr>
                <w:rFonts w:ascii="仿宋_GB2312" w:hAnsi="宋体" w:eastAsia="仿宋_GB2312"/>
                <w:color w:val="auto"/>
                <w:kern w:val="0"/>
                <w:sz w:val="13"/>
                <w:szCs w:val="13"/>
                <w:highlight w:val="none"/>
              </w:rPr>
              <w:t>一</w:t>
            </w:r>
            <w:r>
              <w:rPr>
                <w:rFonts w:hint="eastAsia" w:ascii="仿宋_GB2312" w:hAnsi="宋体" w:eastAsia="仿宋_GB2312"/>
                <w:color w:val="auto"/>
                <w:kern w:val="0"/>
                <w:sz w:val="13"/>
                <w:szCs w:val="13"/>
                <w:highlight w:val="none"/>
              </w:rPr>
              <w:t>）</w:t>
            </w:r>
            <w:r>
              <w:rPr>
                <w:rFonts w:ascii="仿宋_GB2312" w:hAnsi="宋体" w:eastAsia="仿宋_GB2312"/>
                <w:color w:val="auto"/>
                <w:kern w:val="0"/>
                <w:sz w:val="13"/>
                <w:szCs w:val="13"/>
                <w:highlight w:val="none"/>
              </w:rPr>
              <w:t>项</w:t>
            </w:r>
            <w:r>
              <w:rPr>
                <w:rFonts w:hint="eastAsia" w:ascii="仿宋_GB2312" w:hAnsi="宋体" w:eastAsia="仿宋_GB2312"/>
                <w:color w:val="auto"/>
                <w:kern w:val="0"/>
                <w:sz w:val="13"/>
                <w:szCs w:val="13"/>
                <w:highlight w:val="none"/>
              </w:rPr>
              <w:t>违反本规定，安装单位有下列行为之一的，由县级以上地方人民政府建设主管部门责令限期改正，予以警告，并处以5</w:t>
            </w:r>
            <w:r>
              <w:rPr>
                <w:rFonts w:ascii="仿宋_GB2312" w:hAnsi="宋体" w:eastAsia="仿宋_GB2312"/>
                <w:color w:val="auto"/>
                <w:kern w:val="0"/>
                <w:sz w:val="13"/>
                <w:szCs w:val="13"/>
                <w:highlight w:val="none"/>
              </w:rPr>
              <w:t>000</w:t>
            </w:r>
            <w:r>
              <w:rPr>
                <w:rFonts w:hint="eastAsia" w:ascii="仿宋_GB2312" w:hAnsi="宋体" w:eastAsia="仿宋_GB2312"/>
                <w:color w:val="auto"/>
                <w:kern w:val="0"/>
                <w:sz w:val="13"/>
                <w:szCs w:val="13"/>
                <w:highlight w:val="none"/>
              </w:rPr>
              <w:t>元以上3万元以下罚款：</w:t>
            </w:r>
          </w:p>
          <w:p w14:paraId="32F4BB7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（一）未履行第十二条第（二）、（四）、（五）项安全职责的；</w:t>
            </w:r>
          </w:p>
          <w:p w14:paraId="2A13914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第十二条</w:t>
            </w:r>
            <w:r>
              <w:rPr>
                <w:rFonts w:hint="eastAsia" w:ascii="仿宋_GB2312" w:hAnsi="宋体" w:eastAsia="仿宋_GB2312"/>
                <w:color w:val="auto"/>
                <w:kern w:val="0"/>
                <w:sz w:val="13"/>
                <w:szCs w:val="13"/>
                <w:highlight w:val="none"/>
                <w:lang w:eastAsia="zh-CN"/>
              </w:rPr>
              <w:t>（</w:t>
            </w:r>
            <w:r>
              <w:rPr>
                <w:rFonts w:hint="eastAsia" w:ascii="仿宋_GB2312" w:hAnsi="宋体" w:eastAsia="仿宋_GB2312"/>
                <w:color w:val="auto"/>
                <w:kern w:val="0"/>
                <w:sz w:val="13"/>
                <w:szCs w:val="13"/>
                <w:highlight w:val="none"/>
                <w:lang w:val="en-US" w:eastAsia="zh-CN"/>
              </w:rPr>
              <w:t>五</w:t>
            </w:r>
            <w:r>
              <w:rPr>
                <w:rFonts w:hint="eastAsia" w:ascii="仿宋_GB2312" w:hAnsi="宋体" w:eastAsia="仿宋_GB2312"/>
                <w:color w:val="auto"/>
                <w:kern w:val="0"/>
                <w:sz w:val="13"/>
                <w:szCs w:val="13"/>
                <w:highlight w:val="none"/>
                <w:lang w:eastAsia="zh-CN"/>
              </w:rPr>
              <w:t>）</w:t>
            </w:r>
            <w:r>
              <w:rPr>
                <w:rFonts w:hint="eastAsia" w:ascii="仿宋_GB2312" w:hAnsi="宋体" w:eastAsia="仿宋_GB2312"/>
                <w:color w:val="auto"/>
                <w:kern w:val="0"/>
                <w:sz w:val="13"/>
                <w:szCs w:val="13"/>
                <w:highlight w:val="none"/>
                <w:lang w:val="en-US" w:eastAsia="zh-CN"/>
              </w:rPr>
              <w:t>项</w:t>
            </w:r>
            <w:r>
              <w:rPr>
                <w:rFonts w:hint="eastAsia" w:ascii="仿宋_GB2312" w:hAnsi="宋体" w:eastAsia="仿宋_GB2312"/>
                <w:color w:val="auto"/>
                <w:kern w:val="0"/>
                <w:sz w:val="13"/>
                <w:szCs w:val="13"/>
                <w:highlight w:val="none"/>
              </w:rPr>
              <w:t>安装单位应当履行下列安全职责：</w:t>
            </w:r>
          </w:p>
          <w:p w14:paraId="2ADDC99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（五）将建筑起重机械安装、拆卸工程专项施工方案，安装、拆卸人员名单，安装、拆卸时间等材料报施工总承包单位和监理单位审核后，告知工程所在地县级以上地方人民政府建设主管部门。</w:t>
            </w:r>
          </w:p>
        </w:tc>
        <w:tc>
          <w:tcPr>
            <w:tcW w:w="823" w:type="dxa"/>
            <w:tcBorders>
              <w:tl2br w:val="nil"/>
              <w:tr2bl w:val="nil"/>
            </w:tcBorders>
            <w:vAlign w:val="center"/>
          </w:tcPr>
          <w:p w14:paraId="7E2990C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vAlign w:val="center"/>
          </w:tcPr>
          <w:p w14:paraId="2A76ABF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未将1台建筑起重机械安装、拆卸工程专项施工方案，安装、拆卸人员名单，安装、拆卸时间等材料报施工总承包单位和监理单位审核后，告知工程所在地县级以上地方人民政府建设主管部门的。</w:t>
            </w:r>
          </w:p>
        </w:tc>
        <w:tc>
          <w:tcPr>
            <w:tcW w:w="3058" w:type="dxa"/>
            <w:tcBorders>
              <w:tl2br w:val="nil"/>
              <w:tr2bl w:val="nil"/>
            </w:tcBorders>
            <w:vAlign w:val="center"/>
          </w:tcPr>
          <w:p w14:paraId="5E11262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责令限期改正，予以警告，处5千元以上1万元以下的罚款。</w:t>
            </w:r>
          </w:p>
        </w:tc>
      </w:tr>
      <w:tr w14:paraId="5ABE304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94" w:hRule="atLeast"/>
          <w:jc w:val="center"/>
        </w:trPr>
        <w:tc>
          <w:tcPr>
            <w:tcW w:w="443" w:type="dxa"/>
            <w:gridSpan w:val="2"/>
            <w:vMerge w:val="continue"/>
            <w:tcBorders>
              <w:tl2br w:val="nil"/>
              <w:tr2bl w:val="nil"/>
            </w:tcBorders>
            <w:vAlign w:val="center"/>
          </w:tcPr>
          <w:p w14:paraId="27C6FE8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color w:val="auto"/>
                <w:kern w:val="0"/>
                <w:sz w:val="13"/>
                <w:szCs w:val="13"/>
                <w:highlight w:val="none"/>
              </w:rPr>
            </w:pPr>
          </w:p>
        </w:tc>
        <w:tc>
          <w:tcPr>
            <w:tcW w:w="1550" w:type="dxa"/>
            <w:vMerge w:val="continue"/>
            <w:tcBorders>
              <w:tl2br w:val="nil"/>
              <w:tr2bl w:val="nil"/>
            </w:tcBorders>
            <w:vAlign w:val="center"/>
          </w:tcPr>
          <w:p w14:paraId="2D7BEBB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666DBF8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823" w:type="dxa"/>
            <w:tcBorders>
              <w:tl2br w:val="nil"/>
              <w:tr2bl w:val="nil"/>
            </w:tcBorders>
            <w:vAlign w:val="center"/>
          </w:tcPr>
          <w:p w14:paraId="0095542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一般情节</w:t>
            </w:r>
          </w:p>
        </w:tc>
        <w:tc>
          <w:tcPr>
            <w:tcW w:w="3437" w:type="dxa"/>
            <w:gridSpan w:val="2"/>
            <w:tcBorders>
              <w:tl2br w:val="nil"/>
              <w:tr2bl w:val="nil"/>
            </w:tcBorders>
            <w:vAlign w:val="center"/>
          </w:tcPr>
          <w:p w14:paraId="27C93BD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未将2台建筑起重机械安装、拆卸工程专项施工方案，安装、拆卸人员名单，安装、拆卸时间等材料报施工总承包单位和监理单位审核后，告知工程所在地县级以上地方人民政府建设主管部门的。</w:t>
            </w:r>
          </w:p>
        </w:tc>
        <w:tc>
          <w:tcPr>
            <w:tcW w:w="3058" w:type="dxa"/>
            <w:tcBorders>
              <w:tl2br w:val="nil"/>
              <w:tr2bl w:val="nil"/>
            </w:tcBorders>
            <w:vAlign w:val="center"/>
          </w:tcPr>
          <w:p w14:paraId="5320A3B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责令限期改正，予以警告，处1万元以上2万元以下的罚款。</w:t>
            </w:r>
          </w:p>
        </w:tc>
      </w:tr>
      <w:tr w14:paraId="279C44A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472" w:hRule="atLeast"/>
          <w:jc w:val="center"/>
        </w:trPr>
        <w:tc>
          <w:tcPr>
            <w:tcW w:w="443" w:type="dxa"/>
            <w:gridSpan w:val="2"/>
            <w:vMerge w:val="continue"/>
            <w:tcBorders>
              <w:tl2br w:val="nil"/>
              <w:tr2bl w:val="nil"/>
            </w:tcBorders>
            <w:vAlign w:val="center"/>
          </w:tcPr>
          <w:p w14:paraId="7999DF2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color w:val="auto"/>
                <w:kern w:val="0"/>
                <w:sz w:val="13"/>
                <w:szCs w:val="13"/>
                <w:highlight w:val="none"/>
              </w:rPr>
            </w:pPr>
          </w:p>
        </w:tc>
        <w:tc>
          <w:tcPr>
            <w:tcW w:w="1550" w:type="dxa"/>
            <w:vMerge w:val="continue"/>
            <w:tcBorders>
              <w:tl2br w:val="nil"/>
              <w:tr2bl w:val="nil"/>
            </w:tcBorders>
            <w:vAlign w:val="center"/>
          </w:tcPr>
          <w:p w14:paraId="0F10D15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769E57D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823" w:type="dxa"/>
            <w:tcBorders>
              <w:tl2br w:val="nil"/>
              <w:tr2bl w:val="nil"/>
            </w:tcBorders>
            <w:vAlign w:val="center"/>
          </w:tcPr>
          <w:p w14:paraId="7DED196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从重情节</w:t>
            </w:r>
          </w:p>
        </w:tc>
        <w:tc>
          <w:tcPr>
            <w:tcW w:w="3437" w:type="dxa"/>
            <w:gridSpan w:val="2"/>
            <w:tcBorders>
              <w:tl2br w:val="nil"/>
              <w:tr2bl w:val="nil"/>
            </w:tcBorders>
            <w:vAlign w:val="center"/>
          </w:tcPr>
          <w:p w14:paraId="0366EE4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未将3台以上建筑起重机械安装、拆卸工程专项施工方案，安装、拆卸人员名单，安装、拆卸时间等材料报施工总承包单位和监理单位审核后，告知工程所在地县级以上地方人民政府建设主管部门或造成一定后果影响的。</w:t>
            </w:r>
          </w:p>
        </w:tc>
        <w:tc>
          <w:tcPr>
            <w:tcW w:w="3058" w:type="dxa"/>
            <w:tcBorders>
              <w:tl2br w:val="nil"/>
              <w:tr2bl w:val="nil"/>
            </w:tcBorders>
            <w:vAlign w:val="center"/>
          </w:tcPr>
          <w:p w14:paraId="36C48E7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责令限期改正，予以警告，处2万元以上3万元以下的罚款。</w:t>
            </w:r>
          </w:p>
        </w:tc>
      </w:tr>
      <w:tr w14:paraId="3652C76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0" w:hRule="atLeast"/>
          <w:jc w:val="center"/>
        </w:trPr>
        <w:tc>
          <w:tcPr>
            <w:tcW w:w="443" w:type="dxa"/>
            <w:gridSpan w:val="2"/>
            <w:vMerge w:val="restart"/>
            <w:tcBorders>
              <w:tl2br w:val="nil"/>
              <w:tr2bl w:val="nil"/>
            </w:tcBorders>
            <w:vAlign w:val="center"/>
          </w:tcPr>
          <w:p w14:paraId="52D4C69B">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Times New Roman"/>
                <w:color w:val="auto"/>
                <w:kern w:val="0"/>
                <w:sz w:val="13"/>
                <w:szCs w:val="13"/>
                <w:highlight w:val="none"/>
                <w:lang w:val="en-US"/>
              </w:rPr>
            </w:pPr>
            <w:r>
              <w:rPr>
                <w:rFonts w:hint="default" w:ascii="仿宋_GB2312" w:hAnsi="宋体" w:eastAsia="仿宋_GB2312" w:cs="仿宋_GB2312"/>
                <w:i w:val="0"/>
                <w:color w:val="auto"/>
                <w:kern w:val="0"/>
                <w:sz w:val="13"/>
                <w:szCs w:val="13"/>
                <w:highlight w:val="none"/>
                <w:u w:val="none"/>
                <w:lang w:val="en-US" w:eastAsia="zh-CN" w:bidi="ar"/>
              </w:rPr>
              <w:t>1</w:t>
            </w:r>
            <w:r>
              <w:rPr>
                <w:rFonts w:hint="eastAsia" w:ascii="仿宋_GB2312" w:hAnsi="宋体" w:eastAsia="仿宋_GB2312" w:cs="仿宋_GB2312"/>
                <w:i w:val="0"/>
                <w:color w:val="auto"/>
                <w:kern w:val="0"/>
                <w:sz w:val="13"/>
                <w:szCs w:val="13"/>
                <w:highlight w:val="none"/>
                <w:u w:val="none"/>
                <w:lang w:val="en-US" w:eastAsia="zh-CN" w:bidi="ar"/>
              </w:rPr>
              <w:t>78</w:t>
            </w:r>
          </w:p>
        </w:tc>
        <w:tc>
          <w:tcPr>
            <w:tcW w:w="1550" w:type="dxa"/>
            <w:vMerge w:val="restart"/>
            <w:tcBorders>
              <w:tl2br w:val="nil"/>
              <w:tr2bl w:val="nil"/>
            </w:tcBorders>
            <w:vAlign w:val="center"/>
          </w:tcPr>
          <w:p w14:paraId="58A2211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安装单位未按照规定建立建筑起重机械安装、拆卸工程档案的</w:t>
            </w:r>
          </w:p>
        </w:tc>
        <w:tc>
          <w:tcPr>
            <w:tcW w:w="4820" w:type="dxa"/>
            <w:vMerge w:val="restart"/>
            <w:tcBorders>
              <w:tl2br w:val="nil"/>
              <w:tr2bl w:val="nil"/>
            </w:tcBorders>
            <w:vAlign w:val="center"/>
          </w:tcPr>
          <w:p w14:paraId="4B71D39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r>
              <w:rPr>
                <w:rFonts w:ascii="仿宋_GB2312" w:hAnsi="宋体" w:eastAsia="仿宋_GB2312"/>
                <w:color w:val="auto"/>
                <w:kern w:val="0"/>
                <w:sz w:val="13"/>
                <w:szCs w:val="13"/>
                <w:highlight w:val="none"/>
              </w:rPr>
              <w:t>《建筑起重机械安全监督管理规定》</w:t>
            </w:r>
          </w:p>
          <w:p w14:paraId="71C1E86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第二十九条（</w:t>
            </w:r>
            <w:r>
              <w:rPr>
                <w:rFonts w:ascii="仿宋_GB2312" w:hAnsi="宋体" w:eastAsia="仿宋_GB2312"/>
                <w:color w:val="auto"/>
                <w:kern w:val="0"/>
                <w:sz w:val="13"/>
                <w:szCs w:val="13"/>
                <w:highlight w:val="none"/>
              </w:rPr>
              <w:t>二</w:t>
            </w:r>
            <w:r>
              <w:rPr>
                <w:rFonts w:hint="eastAsia" w:ascii="仿宋_GB2312" w:hAnsi="宋体" w:eastAsia="仿宋_GB2312"/>
                <w:color w:val="auto"/>
                <w:kern w:val="0"/>
                <w:sz w:val="13"/>
                <w:szCs w:val="13"/>
                <w:highlight w:val="none"/>
              </w:rPr>
              <w:t>）</w:t>
            </w:r>
            <w:r>
              <w:rPr>
                <w:rFonts w:ascii="仿宋_GB2312" w:hAnsi="宋体" w:eastAsia="仿宋_GB2312"/>
                <w:color w:val="auto"/>
                <w:kern w:val="0"/>
                <w:sz w:val="13"/>
                <w:szCs w:val="13"/>
                <w:highlight w:val="none"/>
              </w:rPr>
              <w:t>项</w:t>
            </w:r>
            <w:r>
              <w:rPr>
                <w:rFonts w:hint="eastAsia" w:ascii="仿宋_GB2312" w:hAnsi="宋体" w:eastAsia="仿宋_GB2312"/>
                <w:color w:val="auto"/>
                <w:kern w:val="0"/>
                <w:sz w:val="13"/>
                <w:szCs w:val="13"/>
                <w:highlight w:val="none"/>
              </w:rPr>
              <w:t>违反本规定，安装单位有下列行为之一的，由县级以上地方人民政府建设主管部门责令限期改正，予以警告，并处以5</w:t>
            </w:r>
            <w:r>
              <w:rPr>
                <w:rFonts w:ascii="仿宋_GB2312" w:hAnsi="宋体" w:eastAsia="仿宋_GB2312"/>
                <w:color w:val="auto"/>
                <w:kern w:val="0"/>
                <w:sz w:val="13"/>
                <w:szCs w:val="13"/>
                <w:highlight w:val="none"/>
              </w:rPr>
              <w:t>000</w:t>
            </w:r>
            <w:r>
              <w:rPr>
                <w:rFonts w:hint="eastAsia" w:ascii="仿宋_GB2312" w:hAnsi="宋体" w:eastAsia="仿宋_GB2312"/>
                <w:color w:val="auto"/>
                <w:kern w:val="0"/>
                <w:sz w:val="13"/>
                <w:szCs w:val="13"/>
                <w:highlight w:val="none"/>
              </w:rPr>
              <w:t>元以上3万元以下罚款：</w:t>
            </w:r>
          </w:p>
          <w:p w14:paraId="3568341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（二）未按照规定建立建筑起重机械安装、拆卸工程档案的；</w:t>
            </w:r>
          </w:p>
        </w:tc>
        <w:tc>
          <w:tcPr>
            <w:tcW w:w="823" w:type="dxa"/>
            <w:tcBorders>
              <w:tl2br w:val="nil"/>
              <w:tr2bl w:val="nil"/>
            </w:tcBorders>
            <w:vAlign w:val="center"/>
          </w:tcPr>
          <w:p w14:paraId="1A7E06E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vAlign w:val="center"/>
          </w:tcPr>
          <w:p w14:paraId="4A89C31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未按照规定建立1台建筑起重机械安装、拆卸工程档案的。</w:t>
            </w:r>
          </w:p>
        </w:tc>
        <w:tc>
          <w:tcPr>
            <w:tcW w:w="3058" w:type="dxa"/>
            <w:tcBorders>
              <w:tl2br w:val="nil"/>
              <w:tr2bl w:val="nil"/>
            </w:tcBorders>
            <w:vAlign w:val="center"/>
          </w:tcPr>
          <w:p w14:paraId="1478EF6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责令限期改正，予以警告，处5千元以上1万元以下的罚款。</w:t>
            </w:r>
          </w:p>
        </w:tc>
      </w:tr>
      <w:tr w14:paraId="11D7D43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0" w:hRule="atLeast"/>
          <w:jc w:val="center"/>
        </w:trPr>
        <w:tc>
          <w:tcPr>
            <w:tcW w:w="443" w:type="dxa"/>
            <w:gridSpan w:val="2"/>
            <w:vMerge w:val="continue"/>
            <w:tcBorders>
              <w:tl2br w:val="nil"/>
              <w:tr2bl w:val="nil"/>
            </w:tcBorders>
            <w:vAlign w:val="center"/>
          </w:tcPr>
          <w:p w14:paraId="40DD695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color w:val="auto"/>
                <w:kern w:val="0"/>
                <w:sz w:val="13"/>
                <w:szCs w:val="13"/>
                <w:highlight w:val="none"/>
              </w:rPr>
            </w:pPr>
          </w:p>
        </w:tc>
        <w:tc>
          <w:tcPr>
            <w:tcW w:w="1550" w:type="dxa"/>
            <w:vMerge w:val="continue"/>
            <w:tcBorders>
              <w:tl2br w:val="nil"/>
              <w:tr2bl w:val="nil"/>
            </w:tcBorders>
            <w:vAlign w:val="center"/>
          </w:tcPr>
          <w:p w14:paraId="2C97A62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12BB9B1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823" w:type="dxa"/>
            <w:tcBorders>
              <w:tl2br w:val="nil"/>
              <w:tr2bl w:val="nil"/>
            </w:tcBorders>
            <w:vAlign w:val="center"/>
          </w:tcPr>
          <w:p w14:paraId="2D217F8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一般情节</w:t>
            </w:r>
          </w:p>
        </w:tc>
        <w:tc>
          <w:tcPr>
            <w:tcW w:w="3437" w:type="dxa"/>
            <w:gridSpan w:val="2"/>
            <w:tcBorders>
              <w:tl2br w:val="nil"/>
              <w:tr2bl w:val="nil"/>
            </w:tcBorders>
            <w:vAlign w:val="center"/>
          </w:tcPr>
          <w:p w14:paraId="6E2863D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未按照规定建立2台建筑起重机械安装、拆卸工程档案的。</w:t>
            </w:r>
          </w:p>
        </w:tc>
        <w:tc>
          <w:tcPr>
            <w:tcW w:w="3058" w:type="dxa"/>
            <w:tcBorders>
              <w:tl2br w:val="nil"/>
              <w:tr2bl w:val="nil"/>
            </w:tcBorders>
            <w:vAlign w:val="center"/>
          </w:tcPr>
          <w:p w14:paraId="64DCD8C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责令限期改正，予以警告，处1万元以上2万元以下的罚款。</w:t>
            </w:r>
          </w:p>
        </w:tc>
      </w:tr>
      <w:tr w14:paraId="38E02C6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8" w:hRule="atLeast"/>
          <w:jc w:val="center"/>
        </w:trPr>
        <w:tc>
          <w:tcPr>
            <w:tcW w:w="443" w:type="dxa"/>
            <w:gridSpan w:val="2"/>
            <w:vMerge w:val="continue"/>
            <w:tcBorders>
              <w:tl2br w:val="nil"/>
              <w:tr2bl w:val="nil"/>
            </w:tcBorders>
            <w:vAlign w:val="center"/>
          </w:tcPr>
          <w:p w14:paraId="15DB31D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color w:val="auto"/>
                <w:kern w:val="0"/>
                <w:sz w:val="13"/>
                <w:szCs w:val="13"/>
                <w:highlight w:val="none"/>
              </w:rPr>
            </w:pPr>
          </w:p>
        </w:tc>
        <w:tc>
          <w:tcPr>
            <w:tcW w:w="1550" w:type="dxa"/>
            <w:vMerge w:val="continue"/>
            <w:tcBorders>
              <w:tl2br w:val="nil"/>
              <w:tr2bl w:val="nil"/>
            </w:tcBorders>
            <w:vAlign w:val="center"/>
          </w:tcPr>
          <w:p w14:paraId="256A408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084FC62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823" w:type="dxa"/>
            <w:tcBorders>
              <w:tl2br w:val="nil"/>
              <w:tr2bl w:val="nil"/>
            </w:tcBorders>
            <w:vAlign w:val="center"/>
          </w:tcPr>
          <w:p w14:paraId="0C78431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从重情节</w:t>
            </w:r>
          </w:p>
        </w:tc>
        <w:tc>
          <w:tcPr>
            <w:tcW w:w="3437" w:type="dxa"/>
            <w:gridSpan w:val="2"/>
            <w:tcBorders>
              <w:tl2br w:val="nil"/>
              <w:tr2bl w:val="nil"/>
            </w:tcBorders>
            <w:vAlign w:val="center"/>
          </w:tcPr>
          <w:p w14:paraId="5B930F4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未按照规定建立3台以上建筑起重机械安装、拆卸工程档案或造成一定后果影响的。</w:t>
            </w:r>
          </w:p>
        </w:tc>
        <w:tc>
          <w:tcPr>
            <w:tcW w:w="3058" w:type="dxa"/>
            <w:tcBorders>
              <w:tl2br w:val="nil"/>
              <w:tr2bl w:val="nil"/>
            </w:tcBorders>
            <w:vAlign w:val="center"/>
          </w:tcPr>
          <w:p w14:paraId="0FD6D6F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责令限期改正，予以警告，处2万元以上3万元以下的罚款。</w:t>
            </w:r>
          </w:p>
        </w:tc>
      </w:tr>
      <w:tr w14:paraId="0BEF441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8" w:hRule="atLeast"/>
          <w:jc w:val="center"/>
        </w:trPr>
        <w:tc>
          <w:tcPr>
            <w:tcW w:w="443" w:type="dxa"/>
            <w:gridSpan w:val="2"/>
            <w:vMerge w:val="restart"/>
            <w:tcBorders>
              <w:tl2br w:val="nil"/>
              <w:tr2bl w:val="nil"/>
            </w:tcBorders>
            <w:vAlign w:val="center"/>
          </w:tcPr>
          <w:p w14:paraId="1A0A2134">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Times New Roman"/>
                <w:color w:val="auto"/>
                <w:kern w:val="0"/>
                <w:sz w:val="13"/>
                <w:szCs w:val="13"/>
                <w:highlight w:val="none"/>
                <w:lang w:val="en-US"/>
              </w:rPr>
            </w:pPr>
            <w:r>
              <w:rPr>
                <w:rFonts w:hint="default" w:ascii="仿宋_GB2312" w:hAnsi="宋体" w:eastAsia="仿宋_GB2312" w:cs="仿宋_GB2312"/>
                <w:i w:val="0"/>
                <w:color w:val="auto"/>
                <w:kern w:val="0"/>
                <w:sz w:val="13"/>
                <w:szCs w:val="13"/>
                <w:highlight w:val="none"/>
                <w:u w:val="none"/>
                <w:lang w:val="en-US" w:eastAsia="zh-CN" w:bidi="ar"/>
              </w:rPr>
              <w:t>1</w:t>
            </w:r>
            <w:r>
              <w:rPr>
                <w:rFonts w:hint="eastAsia" w:ascii="仿宋_GB2312" w:hAnsi="宋体" w:eastAsia="仿宋_GB2312" w:cs="仿宋_GB2312"/>
                <w:i w:val="0"/>
                <w:color w:val="auto"/>
                <w:kern w:val="0"/>
                <w:sz w:val="13"/>
                <w:szCs w:val="13"/>
                <w:highlight w:val="none"/>
                <w:u w:val="none"/>
                <w:lang w:val="en-US" w:eastAsia="zh-CN" w:bidi="ar"/>
              </w:rPr>
              <w:t>79</w:t>
            </w:r>
          </w:p>
        </w:tc>
        <w:tc>
          <w:tcPr>
            <w:tcW w:w="1550" w:type="dxa"/>
            <w:vMerge w:val="restart"/>
            <w:tcBorders>
              <w:tl2br w:val="nil"/>
              <w:tr2bl w:val="nil"/>
            </w:tcBorders>
            <w:vAlign w:val="center"/>
          </w:tcPr>
          <w:p w14:paraId="24B812E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安装单位未按照建筑起重机械安装、拆卸工程专项施工方案及安全操作规程组织安装、拆卸作业的</w:t>
            </w:r>
          </w:p>
        </w:tc>
        <w:tc>
          <w:tcPr>
            <w:tcW w:w="4820" w:type="dxa"/>
            <w:vMerge w:val="restart"/>
            <w:tcBorders>
              <w:tl2br w:val="nil"/>
              <w:tr2bl w:val="nil"/>
            </w:tcBorders>
            <w:vAlign w:val="center"/>
          </w:tcPr>
          <w:p w14:paraId="47E3535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r>
              <w:rPr>
                <w:rFonts w:ascii="仿宋_GB2312" w:hAnsi="宋体" w:eastAsia="仿宋_GB2312"/>
                <w:color w:val="auto"/>
                <w:kern w:val="0"/>
                <w:sz w:val="13"/>
                <w:szCs w:val="13"/>
                <w:highlight w:val="none"/>
              </w:rPr>
              <w:t>《建筑起重机械安全监督管理规定》</w:t>
            </w:r>
          </w:p>
          <w:p w14:paraId="7BA61F8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第二十九条（</w:t>
            </w:r>
            <w:r>
              <w:rPr>
                <w:rFonts w:ascii="仿宋_GB2312" w:hAnsi="宋体" w:eastAsia="仿宋_GB2312"/>
                <w:color w:val="auto"/>
                <w:kern w:val="0"/>
                <w:sz w:val="13"/>
                <w:szCs w:val="13"/>
                <w:highlight w:val="none"/>
              </w:rPr>
              <w:t>三</w:t>
            </w:r>
            <w:r>
              <w:rPr>
                <w:rFonts w:hint="eastAsia" w:ascii="仿宋_GB2312" w:hAnsi="宋体" w:eastAsia="仿宋_GB2312"/>
                <w:color w:val="auto"/>
                <w:kern w:val="0"/>
                <w:sz w:val="13"/>
                <w:szCs w:val="13"/>
                <w:highlight w:val="none"/>
              </w:rPr>
              <w:t>）</w:t>
            </w:r>
            <w:r>
              <w:rPr>
                <w:rFonts w:ascii="仿宋_GB2312" w:hAnsi="宋体" w:eastAsia="仿宋_GB2312"/>
                <w:color w:val="auto"/>
                <w:kern w:val="0"/>
                <w:sz w:val="13"/>
                <w:szCs w:val="13"/>
                <w:highlight w:val="none"/>
              </w:rPr>
              <w:t>项</w:t>
            </w:r>
            <w:r>
              <w:rPr>
                <w:rFonts w:hint="eastAsia" w:ascii="仿宋_GB2312" w:hAnsi="宋体" w:eastAsia="仿宋_GB2312"/>
                <w:color w:val="auto"/>
                <w:kern w:val="0"/>
                <w:sz w:val="13"/>
                <w:szCs w:val="13"/>
                <w:highlight w:val="none"/>
              </w:rPr>
              <w:t>违反本规定，安装单位有下列行为之一的，由县级以上地方人民政府建设主管部门责令限期改正，予以警告，并处以5</w:t>
            </w:r>
            <w:r>
              <w:rPr>
                <w:rFonts w:ascii="仿宋_GB2312" w:hAnsi="宋体" w:eastAsia="仿宋_GB2312"/>
                <w:color w:val="auto"/>
                <w:kern w:val="0"/>
                <w:sz w:val="13"/>
                <w:szCs w:val="13"/>
                <w:highlight w:val="none"/>
              </w:rPr>
              <w:t>000</w:t>
            </w:r>
            <w:r>
              <w:rPr>
                <w:rFonts w:hint="eastAsia" w:ascii="仿宋_GB2312" w:hAnsi="宋体" w:eastAsia="仿宋_GB2312"/>
                <w:color w:val="auto"/>
                <w:kern w:val="0"/>
                <w:sz w:val="13"/>
                <w:szCs w:val="13"/>
                <w:highlight w:val="none"/>
              </w:rPr>
              <w:t>元以上3万元以下罚款：</w:t>
            </w:r>
          </w:p>
          <w:p w14:paraId="6987364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（三）未按照建筑起重机械安装、拆卸工程专项施工方案及安全操作规程组织安装、拆卸作业的。</w:t>
            </w:r>
          </w:p>
        </w:tc>
        <w:tc>
          <w:tcPr>
            <w:tcW w:w="823" w:type="dxa"/>
            <w:tcBorders>
              <w:tl2br w:val="nil"/>
              <w:tr2bl w:val="nil"/>
            </w:tcBorders>
            <w:vAlign w:val="center"/>
          </w:tcPr>
          <w:p w14:paraId="77663EC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vAlign w:val="center"/>
          </w:tcPr>
          <w:p w14:paraId="2C10587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有1台建筑起重机械未按照建筑起重机械安装、拆卸工程专项施工方案及安全操作规程组织安装、拆卸作业的。</w:t>
            </w:r>
          </w:p>
        </w:tc>
        <w:tc>
          <w:tcPr>
            <w:tcW w:w="3058" w:type="dxa"/>
            <w:tcBorders>
              <w:tl2br w:val="nil"/>
              <w:tr2bl w:val="nil"/>
            </w:tcBorders>
            <w:vAlign w:val="center"/>
          </w:tcPr>
          <w:p w14:paraId="0304C27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责令限期改正，予以警告，处5千元以上1万元以下的罚款。</w:t>
            </w:r>
          </w:p>
        </w:tc>
      </w:tr>
      <w:tr w14:paraId="5561A01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8" w:hRule="atLeast"/>
          <w:jc w:val="center"/>
        </w:trPr>
        <w:tc>
          <w:tcPr>
            <w:tcW w:w="443" w:type="dxa"/>
            <w:gridSpan w:val="2"/>
            <w:vMerge w:val="continue"/>
            <w:tcBorders>
              <w:tl2br w:val="nil"/>
              <w:tr2bl w:val="nil"/>
            </w:tcBorders>
            <w:vAlign w:val="center"/>
          </w:tcPr>
          <w:p w14:paraId="19D0D7B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color w:val="auto"/>
                <w:kern w:val="0"/>
                <w:sz w:val="13"/>
                <w:szCs w:val="13"/>
                <w:highlight w:val="none"/>
              </w:rPr>
            </w:pPr>
          </w:p>
        </w:tc>
        <w:tc>
          <w:tcPr>
            <w:tcW w:w="1550" w:type="dxa"/>
            <w:vMerge w:val="continue"/>
            <w:tcBorders>
              <w:tl2br w:val="nil"/>
              <w:tr2bl w:val="nil"/>
            </w:tcBorders>
            <w:vAlign w:val="center"/>
          </w:tcPr>
          <w:p w14:paraId="76F3715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1BB2D50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823" w:type="dxa"/>
            <w:tcBorders>
              <w:tl2br w:val="nil"/>
              <w:tr2bl w:val="nil"/>
            </w:tcBorders>
            <w:vAlign w:val="center"/>
          </w:tcPr>
          <w:p w14:paraId="5971ECC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一般情节</w:t>
            </w:r>
          </w:p>
        </w:tc>
        <w:tc>
          <w:tcPr>
            <w:tcW w:w="3437" w:type="dxa"/>
            <w:gridSpan w:val="2"/>
            <w:tcBorders>
              <w:tl2br w:val="nil"/>
              <w:tr2bl w:val="nil"/>
            </w:tcBorders>
            <w:vAlign w:val="center"/>
          </w:tcPr>
          <w:p w14:paraId="68FF6A4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有2台建筑起重机械未按照建筑起重机械安装、拆卸工程专项施工方案及安全操作规程组织安装、拆卸作业的。</w:t>
            </w:r>
          </w:p>
        </w:tc>
        <w:tc>
          <w:tcPr>
            <w:tcW w:w="3058" w:type="dxa"/>
            <w:tcBorders>
              <w:tl2br w:val="nil"/>
              <w:tr2bl w:val="nil"/>
            </w:tcBorders>
            <w:vAlign w:val="center"/>
          </w:tcPr>
          <w:p w14:paraId="55EF3F7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责令限期改正，予以警告，处1万元以上2万元以下的罚款。</w:t>
            </w:r>
          </w:p>
        </w:tc>
      </w:tr>
      <w:tr w14:paraId="3F67A3D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16" w:hRule="atLeast"/>
          <w:jc w:val="center"/>
        </w:trPr>
        <w:tc>
          <w:tcPr>
            <w:tcW w:w="443" w:type="dxa"/>
            <w:gridSpan w:val="2"/>
            <w:vMerge w:val="continue"/>
            <w:tcBorders>
              <w:tl2br w:val="nil"/>
              <w:tr2bl w:val="nil"/>
            </w:tcBorders>
            <w:vAlign w:val="center"/>
          </w:tcPr>
          <w:p w14:paraId="462930A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color w:val="auto"/>
                <w:kern w:val="0"/>
                <w:sz w:val="13"/>
                <w:szCs w:val="13"/>
                <w:highlight w:val="none"/>
              </w:rPr>
            </w:pPr>
          </w:p>
        </w:tc>
        <w:tc>
          <w:tcPr>
            <w:tcW w:w="1550" w:type="dxa"/>
            <w:vMerge w:val="continue"/>
            <w:tcBorders>
              <w:tl2br w:val="nil"/>
              <w:tr2bl w:val="nil"/>
            </w:tcBorders>
            <w:vAlign w:val="center"/>
          </w:tcPr>
          <w:p w14:paraId="1E7A41E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35E959B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823" w:type="dxa"/>
            <w:tcBorders>
              <w:tl2br w:val="nil"/>
              <w:tr2bl w:val="nil"/>
            </w:tcBorders>
            <w:vAlign w:val="center"/>
          </w:tcPr>
          <w:p w14:paraId="4460B20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从重情节</w:t>
            </w:r>
          </w:p>
        </w:tc>
        <w:tc>
          <w:tcPr>
            <w:tcW w:w="3437" w:type="dxa"/>
            <w:gridSpan w:val="2"/>
            <w:tcBorders>
              <w:tl2br w:val="nil"/>
              <w:tr2bl w:val="nil"/>
            </w:tcBorders>
            <w:vAlign w:val="center"/>
          </w:tcPr>
          <w:p w14:paraId="6308595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有3台以上建筑起重机械未按照建筑起重机械安装、拆卸工程专项施工方案及安全操作规程组织安装、拆卸作业或造成一定后果影响的。</w:t>
            </w:r>
          </w:p>
        </w:tc>
        <w:tc>
          <w:tcPr>
            <w:tcW w:w="3058" w:type="dxa"/>
            <w:tcBorders>
              <w:tl2br w:val="nil"/>
              <w:tr2bl w:val="nil"/>
            </w:tcBorders>
            <w:vAlign w:val="center"/>
          </w:tcPr>
          <w:p w14:paraId="449E541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p>
          <w:p w14:paraId="145F5F9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责令限期改正，予以警告，处2万元以上3万元以下的罚款。</w:t>
            </w:r>
          </w:p>
        </w:tc>
      </w:tr>
      <w:tr w14:paraId="4A05B4D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80" w:hRule="atLeast"/>
          <w:jc w:val="center"/>
        </w:trPr>
        <w:tc>
          <w:tcPr>
            <w:tcW w:w="443" w:type="dxa"/>
            <w:gridSpan w:val="2"/>
            <w:vMerge w:val="restart"/>
            <w:tcBorders>
              <w:tl2br w:val="nil"/>
              <w:tr2bl w:val="nil"/>
            </w:tcBorders>
            <w:vAlign w:val="center"/>
          </w:tcPr>
          <w:p w14:paraId="2CE20086">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Times New Roman"/>
                <w:color w:val="auto"/>
                <w:kern w:val="0"/>
                <w:sz w:val="13"/>
                <w:szCs w:val="13"/>
                <w:highlight w:val="none"/>
                <w:lang w:val="en-US"/>
              </w:rPr>
            </w:pPr>
            <w:r>
              <w:rPr>
                <w:rFonts w:hint="default" w:ascii="仿宋_GB2312" w:hAnsi="宋体" w:eastAsia="仿宋_GB2312" w:cs="仿宋_GB2312"/>
                <w:i w:val="0"/>
                <w:color w:val="auto"/>
                <w:kern w:val="0"/>
                <w:sz w:val="13"/>
                <w:szCs w:val="13"/>
                <w:highlight w:val="none"/>
                <w:u w:val="none"/>
                <w:lang w:val="en-US" w:eastAsia="zh-CN" w:bidi="ar"/>
              </w:rPr>
              <w:t>1</w:t>
            </w:r>
            <w:r>
              <w:rPr>
                <w:rFonts w:hint="eastAsia" w:ascii="仿宋_GB2312" w:hAnsi="宋体" w:eastAsia="仿宋_GB2312" w:cs="仿宋_GB2312"/>
                <w:i w:val="0"/>
                <w:color w:val="auto"/>
                <w:kern w:val="0"/>
                <w:sz w:val="13"/>
                <w:szCs w:val="13"/>
                <w:highlight w:val="none"/>
                <w:u w:val="none"/>
                <w:lang w:val="en-US" w:eastAsia="zh-CN" w:bidi="ar"/>
              </w:rPr>
              <w:t>80</w:t>
            </w:r>
          </w:p>
        </w:tc>
        <w:tc>
          <w:tcPr>
            <w:tcW w:w="1550" w:type="dxa"/>
            <w:vMerge w:val="restart"/>
            <w:tcBorders>
              <w:tl2br w:val="nil"/>
              <w:tr2bl w:val="nil"/>
            </w:tcBorders>
            <w:vAlign w:val="center"/>
          </w:tcPr>
          <w:p w14:paraId="3AAE2554">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使用单位未根据不同施工阶段、周围环境以及季节、气候的变化，对建筑起重机械采取相应的安全防护措施的</w:t>
            </w:r>
          </w:p>
        </w:tc>
        <w:tc>
          <w:tcPr>
            <w:tcW w:w="4820" w:type="dxa"/>
            <w:vMerge w:val="restart"/>
            <w:tcBorders>
              <w:tl2br w:val="nil"/>
              <w:tr2bl w:val="nil"/>
            </w:tcBorders>
            <w:vAlign w:val="center"/>
          </w:tcPr>
          <w:p w14:paraId="07A9B828">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r>
              <w:rPr>
                <w:rFonts w:ascii="仿宋_GB2312" w:hAnsi="宋体" w:eastAsia="仿宋_GB2312"/>
                <w:color w:val="auto"/>
                <w:kern w:val="0"/>
                <w:sz w:val="13"/>
                <w:szCs w:val="13"/>
                <w:highlight w:val="none"/>
              </w:rPr>
              <w:t>《建筑起重机械安全监督管理规定》</w:t>
            </w:r>
          </w:p>
          <w:p w14:paraId="3D029198">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第三十条（</w:t>
            </w:r>
            <w:r>
              <w:rPr>
                <w:rFonts w:ascii="仿宋_GB2312" w:hAnsi="宋体" w:eastAsia="仿宋_GB2312"/>
                <w:color w:val="auto"/>
                <w:kern w:val="0"/>
                <w:sz w:val="13"/>
                <w:szCs w:val="13"/>
                <w:highlight w:val="none"/>
              </w:rPr>
              <w:t>一</w:t>
            </w:r>
            <w:r>
              <w:rPr>
                <w:rFonts w:hint="eastAsia" w:ascii="仿宋_GB2312" w:hAnsi="宋体" w:eastAsia="仿宋_GB2312"/>
                <w:color w:val="auto"/>
                <w:kern w:val="0"/>
                <w:sz w:val="13"/>
                <w:szCs w:val="13"/>
                <w:highlight w:val="none"/>
              </w:rPr>
              <w:t>）</w:t>
            </w:r>
            <w:r>
              <w:rPr>
                <w:rFonts w:ascii="仿宋_GB2312" w:hAnsi="宋体" w:eastAsia="仿宋_GB2312"/>
                <w:color w:val="auto"/>
                <w:kern w:val="0"/>
                <w:sz w:val="13"/>
                <w:szCs w:val="13"/>
                <w:highlight w:val="none"/>
              </w:rPr>
              <w:t>项</w:t>
            </w:r>
            <w:r>
              <w:rPr>
                <w:rFonts w:hint="eastAsia" w:ascii="仿宋_GB2312" w:hAnsi="宋体" w:eastAsia="仿宋_GB2312"/>
                <w:color w:val="auto"/>
                <w:kern w:val="0"/>
                <w:sz w:val="13"/>
                <w:szCs w:val="13"/>
                <w:highlight w:val="none"/>
              </w:rPr>
              <w:t>违反本规定，使用单位有下列行为之一的，由县级以上地方人民政府建设主管部门责令限期改正，予以警告，并处以5</w:t>
            </w:r>
            <w:r>
              <w:rPr>
                <w:rFonts w:ascii="仿宋_GB2312" w:hAnsi="宋体" w:eastAsia="仿宋_GB2312"/>
                <w:color w:val="auto"/>
                <w:kern w:val="0"/>
                <w:sz w:val="13"/>
                <w:szCs w:val="13"/>
                <w:highlight w:val="none"/>
              </w:rPr>
              <w:t>000</w:t>
            </w:r>
            <w:r>
              <w:rPr>
                <w:rFonts w:hint="eastAsia" w:ascii="仿宋_GB2312" w:hAnsi="宋体" w:eastAsia="仿宋_GB2312"/>
                <w:color w:val="auto"/>
                <w:kern w:val="0"/>
                <w:sz w:val="13"/>
                <w:szCs w:val="13"/>
                <w:highlight w:val="none"/>
              </w:rPr>
              <w:t>元以上3万元以下罚款：</w:t>
            </w:r>
          </w:p>
          <w:p w14:paraId="34AD0C81">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（一）未履行第十八条第（一）、（二）、（四）、（六）项安全职责的；</w:t>
            </w:r>
          </w:p>
          <w:p w14:paraId="6FE12833">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第十八条（</w:t>
            </w:r>
            <w:r>
              <w:rPr>
                <w:rFonts w:ascii="仿宋_GB2312" w:hAnsi="宋体" w:eastAsia="仿宋_GB2312"/>
                <w:color w:val="auto"/>
                <w:kern w:val="0"/>
                <w:sz w:val="13"/>
                <w:szCs w:val="13"/>
                <w:highlight w:val="none"/>
              </w:rPr>
              <w:t>一</w:t>
            </w:r>
            <w:r>
              <w:rPr>
                <w:rFonts w:hint="eastAsia" w:ascii="仿宋_GB2312" w:hAnsi="宋体" w:eastAsia="仿宋_GB2312"/>
                <w:color w:val="auto"/>
                <w:kern w:val="0"/>
                <w:sz w:val="13"/>
                <w:szCs w:val="13"/>
                <w:highlight w:val="none"/>
              </w:rPr>
              <w:t>）</w:t>
            </w:r>
            <w:r>
              <w:rPr>
                <w:rFonts w:ascii="仿宋_GB2312" w:hAnsi="宋体" w:eastAsia="仿宋_GB2312"/>
                <w:color w:val="auto"/>
                <w:kern w:val="0"/>
                <w:sz w:val="13"/>
                <w:szCs w:val="13"/>
                <w:highlight w:val="none"/>
              </w:rPr>
              <w:t>项</w:t>
            </w:r>
            <w:r>
              <w:rPr>
                <w:rFonts w:hint="eastAsia" w:ascii="仿宋_GB2312" w:hAnsi="宋体" w:eastAsia="仿宋_GB2312"/>
                <w:color w:val="auto"/>
                <w:kern w:val="0"/>
                <w:sz w:val="13"/>
                <w:szCs w:val="13"/>
                <w:highlight w:val="none"/>
              </w:rPr>
              <w:t>使用单位应当履行下列安全职责：</w:t>
            </w:r>
          </w:p>
          <w:p w14:paraId="6A093F83">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（一）根据不同施工阶段、周围环境以及季节、气候的变化，对建筑起重机械采取相应的安全防护措施；</w:t>
            </w:r>
          </w:p>
        </w:tc>
        <w:tc>
          <w:tcPr>
            <w:tcW w:w="823" w:type="dxa"/>
            <w:tcBorders>
              <w:tl2br w:val="nil"/>
              <w:tr2bl w:val="nil"/>
            </w:tcBorders>
            <w:vAlign w:val="center"/>
          </w:tcPr>
          <w:p w14:paraId="46DE055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vAlign w:val="center"/>
          </w:tcPr>
          <w:p w14:paraId="0299ED7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未采取相应的安全防护措施的建筑起重机械数量1台的。</w:t>
            </w:r>
          </w:p>
        </w:tc>
        <w:tc>
          <w:tcPr>
            <w:tcW w:w="3058" w:type="dxa"/>
            <w:tcBorders>
              <w:tl2br w:val="nil"/>
              <w:tr2bl w:val="nil"/>
            </w:tcBorders>
            <w:vAlign w:val="center"/>
          </w:tcPr>
          <w:p w14:paraId="6833D38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责令限期改正，予以警告，处5千元以上1万元以下的罚款。</w:t>
            </w:r>
          </w:p>
        </w:tc>
      </w:tr>
      <w:tr w14:paraId="028D5B4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0" w:hRule="atLeast"/>
          <w:jc w:val="center"/>
        </w:trPr>
        <w:tc>
          <w:tcPr>
            <w:tcW w:w="443" w:type="dxa"/>
            <w:gridSpan w:val="2"/>
            <w:vMerge w:val="continue"/>
            <w:tcBorders>
              <w:tl2br w:val="nil"/>
              <w:tr2bl w:val="nil"/>
            </w:tcBorders>
            <w:vAlign w:val="center"/>
          </w:tcPr>
          <w:p w14:paraId="7FE389B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color w:val="auto"/>
                <w:kern w:val="0"/>
                <w:sz w:val="13"/>
                <w:szCs w:val="13"/>
                <w:highlight w:val="none"/>
              </w:rPr>
            </w:pPr>
          </w:p>
        </w:tc>
        <w:tc>
          <w:tcPr>
            <w:tcW w:w="1550" w:type="dxa"/>
            <w:vMerge w:val="continue"/>
            <w:tcBorders>
              <w:tl2br w:val="nil"/>
              <w:tr2bl w:val="nil"/>
            </w:tcBorders>
            <w:vAlign w:val="center"/>
          </w:tcPr>
          <w:p w14:paraId="74CF259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4927A69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823" w:type="dxa"/>
            <w:tcBorders>
              <w:tl2br w:val="nil"/>
              <w:tr2bl w:val="nil"/>
            </w:tcBorders>
            <w:vAlign w:val="center"/>
          </w:tcPr>
          <w:p w14:paraId="5D1BBED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一般情节</w:t>
            </w:r>
          </w:p>
        </w:tc>
        <w:tc>
          <w:tcPr>
            <w:tcW w:w="3437" w:type="dxa"/>
            <w:gridSpan w:val="2"/>
            <w:tcBorders>
              <w:tl2br w:val="nil"/>
              <w:tr2bl w:val="nil"/>
            </w:tcBorders>
            <w:vAlign w:val="center"/>
          </w:tcPr>
          <w:p w14:paraId="40D1B37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未采取相应的安全防护措施的建筑起重机械数量2台的。</w:t>
            </w:r>
          </w:p>
        </w:tc>
        <w:tc>
          <w:tcPr>
            <w:tcW w:w="3058" w:type="dxa"/>
            <w:tcBorders>
              <w:tl2br w:val="nil"/>
              <w:tr2bl w:val="nil"/>
            </w:tcBorders>
            <w:vAlign w:val="center"/>
          </w:tcPr>
          <w:p w14:paraId="05EFF5C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责令限期改正，予以警告，处1万元以上2万元以下的罚款。</w:t>
            </w:r>
          </w:p>
        </w:tc>
      </w:tr>
      <w:tr w14:paraId="40231B2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640" w:hRule="atLeast"/>
          <w:jc w:val="center"/>
        </w:trPr>
        <w:tc>
          <w:tcPr>
            <w:tcW w:w="443" w:type="dxa"/>
            <w:gridSpan w:val="2"/>
            <w:vMerge w:val="continue"/>
            <w:tcBorders>
              <w:tl2br w:val="nil"/>
              <w:tr2bl w:val="nil"/>
            </w:tcBorders>
            <w:vAlign w:val="center"/>
          </w:tcPr>
          <w:p w14:paraId="30AC4A5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color w:val="auto"/>
                <w:kern w:val="0"/>
                <w:sz w:val="13"/>
                <w:szCs w:val="13"/>
                <w:highlight w:val="none"/>
              </w:rPr>
            </w:pPr>
          </w:p>
        </w:tc>
        <w:tc>
          <w:tcPr>
            <w:tcW w:w="1550" w:type="dxa"/>
            <w:vMerge w:val="continue"/>
            <w:tcBorders>
              <w:tl2br w:val="nil"/>
              <w:tr2bl w:val="nil"/>
            </w:tcBorders>
            <w:vAlign w:val="center"/>
          </w:tcPr>
          <w:p w14:paraId="25BE2A0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2D3953F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823" w:type="dxa"/>
            <w:tcBorders>
              <w:tl2br w:val="nil"/>
              <w:tr2bl w:val="nil"/>
            </w:tcBorders>
            <w:vAlign w:val="center"/>
          </w:tcPr>
          <w:p w14:paraId="6760EAB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从重情节</w:t>
            </w:r>
          </w:p>
        </w:tc>
        <w:tc>
          <w:tcPr>
            <w:tcW w:w="3437" w:type="dxa"/>
            <w:gridSpan w:val="2"/>
            <w:tcBorders>
              <w:tl2br w:val="nil"/>
              <w:tr2bl w:val="nil"/>
            </w:tcBorders>
            <w:vAlign w:val="center"/>
          </w:tcPr>
          <w:p w14:paraId="7B6D4D3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未采取相应的安全防护措施的建筑起重机械数量3台以上的；或造成一定后果影响的。</w:t>
            </w:r>
          </w:p>
        </w:tc>
        <w:tc>
          <w:tcPr>
            <w:tcW w:w="3058" w:type="dxa"/>
            <w:tcBorders>
              <w:tl2br w:val="nil"/>
              <w:tr2bl w:val="nil"/>
            </w:tcBorders>
            <w:vAlign w:val="center"/>
          </w:tcPr>
          <w:p w14:paraId="5BCFB0F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责令限期改正，予以警告，处2万元以上3万元以下的罚款。</w:t>
            </w:r>
          </w:p>
        </w:tc>
      </w:tr>
      <w:tr w14:paraId="2BAEE6F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0" w:hRule="atLeast"/>
          <w:jc w:val="center"/>
        </w:trPr>
        <w:tc>
          <w:tcPr>
            <w:tcW w:w="443" w:type="dxa"/>
            <w:gridSpan w:val="2"/>
            <w:vMerge w:val="restart"/>
            <w:tcBorders>
              <w:tl2br w:val="nil"/>
              <w:tr2bl w:val="nil"/>
            </w:tcBorders>
            <w:vAlign w:val="center"/>
          </w:tcPr>
          <w:p w14:paraId="28B78732">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Times New Roman"/>
                <w:color w:val="auto"/>
                <w:kern w:val="0"/>
                <w:sz w:val="13"/>
                <w:szCs w:val="13"/>
                <w:highlight w:val="none"/>
                <w:lang w:val="en-US"/>
              </w:rPr>
            </w:pPr>
            <w:r>
              <w:rPr>
                <w:rFonts w:hint="default" w:ascii="仿宋_GB2312" w:hAnsi="宋体" w:eastAsia="仿宋_GB2312" w:cs="仿宋_GB2312"/>
                <w:i w:val="0"/>
                <w:color w:val="auto"/>
                <w:kern w:val="0"/>
                <w:sz w:val="13"/>
                <w:szCs w:val="13"/>
                <w:highlight w:val="none"/>
                <w:u w:val="none"/>
                <w:lang w:val="en-US" w:eastAsia="zh-CN" w:bidi="ar"/>
              </w:rPr>
              <w:t>1</w:t>
            </w:r>
            <w:r>
              <w:rPr>
                <w:rFonts w:hint="eastAsia" w:ascii="仿宋_GB2312" w:hAnsi="宋体" w:eastAsia="仿宋_GB2312" w:cs="仿宋_GB2312"/>
                <w:i w:val="0"/>
                <w:color w:val="auto"/>
                <w:kern w:val="0"/>
                <w:sz w:val="13"/>
                <w:szCs w:val="13"/>
                <w:highlight w:val="none"/>
                <w:u w:val="none"/>
                <w:lang w:val="en-US" w:eastAsia="zh-CN" w:bidi="ar"/>
              </w:rPr>
              <w:t>81</w:t>
            </w:r>
          </w:p>
        </w:tc>
        <w:tc>
          <w:tcPr>
            <w:tcW w:w="1550" w:type="dxa"/>
            <w:vMerge w:val="restart"/>
            <w:tcBorders>
              <w:tl2br w:val="nil"/>
              <w:tr2bl w:val="nil"/>
            </w:tcBorders>
            <w:vAlign w:val="center"/>
          </w:tcPr>
          <w:p w14:paraId="649B6A6D">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使用单位未制定建筑起重机械生产安全事故应急救援预案的</w:t>
            </w:r>
          </w:p>
        </w:tc>
        <w:tc>
          <w:tcPr>
            <w:tcW w:w="4820" w:type="dxa"/>
            <w:vMerge w:val="restart"/>
            <w:tcBorders>
              <w:tl2br w:val="nil"/>
              <w:tr2bl w:val="nil"/>
            </w:tcBorders>
            <w:vAlign w:val="center"/>
          </w:tcPr>
          <w:p w14:paraId="727BBDD3">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r>
              <w:rPr>
                <w:rFonts w:ascii="仿宋_GB2312" w:hAnsi="宋体" w:eastAsia="仿宋_GB2312"/>
                <w:color w:val="auto"/>
                <w:kern w:val="0"/>
                <w:sz w:val="13"/>
                <w:szCs w:val="13"/>
                <w:highlight w:val="none"/>
              </w:rPr>
              <w:t>《建筑起重机械安全监督管理规定》</w:t>
            </w:r>
          </w:p>
          <w:p w14:paraId="681F8740">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第三十条（</w:t>
            </w:r>
            <w:r>
              <w:rPr>
                <w:rFonts w:ascii="仿宋_GB2312" w:hAnsi="宋体" w:eastAsia="仿宋_GB2312"/>
                <w:color w:val="auto"/>
                <w:kern w:val="0"/>
                <w:sz w:val="13"/>
                <w:szCs w:val="13"/>
                <w:highlight w:val="none"/>
              </w:rPr>
              <w:t>一</w:t>
            </w:r>
            <w:r>
              <w:rPr>
                <w:rFonts w:hint="eastAsia" w:ascii="仿宋_GB2312" w:hAnsi="宋体" w:eastAsia="仿宋_GB2312"/>
                <w:color w:val="auto"/>
                <w:kern w:val="0"/>
                <w:sz w:val="13"/>
                <w:szCs w:val="13"/>
                <w:highlight w:val="none"/>
              </w:rPr>
              <w:t>）</w:t>
            </w:r>
            <w:r>
              <w:rPr>
                <w:rFonts w:ascii="仿宋_GB2312" w:hAnsi="宋体" w:eastAsia="仿宋_GB2312"/>
                <w:color w:val="auto"/>
                <w:kern w:val="0"/>
                <w:sz w:val="13"/>
                <w:szCs w:val="13"/>
                <w:highlight w:val="none"/>
              </w:rPr>
              <w:t>项</w:t>
            </w:r>
            <w:r>
              <w:rPr>
                <w:rFonts w:hint="eastAsia" w:ascii="仿宋_GB2312" w:hAnsi="宋体" w:eastAsia="仿宋_GB2312"/>
                <w:color w:val="auto"/>
                <w:kern w:val="0"/>
                <w:sz w:val="13"/>
                <w:szCs w:val="13"/>
                <w:highlight w:val="none"/>
              </w:rPr>
              <w:t>违反本规定，使用单位有下列行为之一的，由县级以上地方人民政府建设主管部门责令限期改正，予以警告，并处以5千元以上3万元以下罚款：</w:t>
            </w:r>
          </w:p>
          <w:p w14:paraId="73CAB5A8">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（一）未履行第十八条第（一）、（二）、（四）、（六）项安全职责的；</w:t>
            </w:r>
          </w:p>
          <w:p w14:paraId="1315889F">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第十八条（</w:t>
            </w:r>
            <w:r>
              <w:rPr>
                <w:rFonts w:ascii="仿宋_GB2312" w:hAnsi="宋体" w:eastAsia="仿宋_GB2312"/>
                <w:color w:val="auto"/>
                <w:kern w:val="0"/>
                <w:sz w:val="13"/>
                <w:szCs w:val="13"/>
                <w:highlight w:val="none"/>
              </w:rPr>
              <w:t>二</w:t>
            </w:r>
            <w:r>
              <w:rPr>
                <w:rFonts w:hint="eastAsia" w:ascii="仿宋_GB2312" w:hAnsi="宋体" w:eastAsia="仿宋_GB2312"/>
                <w:color w:val="auto"/>
                <w:kern w:val="0"/>
                <w:sz w:val="13"/>
                <w:szCs w:val="13"/>
                <w:highlight w:val="none"/>
              </w:rPr>
              <w:t>）</w:t>
            </w:r>
            <w:r>
              <w:rPr>
                <w:rFonts w:ascii="仿宋_GB2312" w:hAnsi="宋体" w:eastAsia="仿宋_GB2312"/>
                <w:color w:val="auto"/>
                <w:kern w:val="0"/>
                <w:sz w:val="13"/>
                <w:szCs w:val="13"/>
                <w:highlight w:val="none"/>
              </w:rPr>
              <w:t>项</w:t>
            </w:r>
            <w:r>
              <w:rPr>
                <w:rFonts w:hint="eastAsia" w:ascii="仿宋_GB2312" w:hAnsi="宋体" w:eastAsia="仿宋_GB2312"/>
                <w:color w:val="auto"/>
                <w:kern w:val="0"/>
                <w:sz w:val="13"/>
                <w:szCs w:val="13"/>
                <w:highlight w:val="none"/>
              </w:rPr>
              <w:t>单位应当履行下列安全职责：</w:t>
            </w:r>
          </w:p>
          <w:p w14:paraId="4F6187F5">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（二）制定建筑起重机械生产安全事故应急救援预案；</w:t>
            </w:r>
          </w:p>
        </w:tc>
        <w:tc>
          <w:tcPr>
            <w:tcW w:w="823" w:type="dxa"/>
            <w:tcBorders>
              <w:tl2br w:val="nil"/>
              <w:tr2bl w:val="nil"/>
            </w:tcBorders>
            <w:vAlign w:val="center"/>
          </w:tcPr>
          <w:p w14:paraId="7D81C24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vAlign w:val="center"/>
          </w:tcPr>
          <w:p w14:paraId="15E5B63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未制定生产安全事故应急救援预案的建筑起重机械数量1台的。</w:t>
            </w:r>
          </w:p>
        </w:tc>
        <w:tc>
          <w:tcPr>
            <w:tcW w:w="3058" w:type="dxa"/>
            <w:tcBorders>
              <w:tl2br w:val="nil"/>
              <w:tr2bl w:val="nil"/>
            </w:tcBorders>
            <w:vAlign w:val="center"/>
          </w:tcPr>
          <w:p w14:paraId="7314016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责令限期改正，予以警告，处5千元以上1万元以下的罚款。</w:t>
            </w:r>
          </w:p>
        </w:tc>
      </w:tr>
      <w:tr w14:paraId="118CC48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0" w:hRule="atLeast"/>
          <w:jc w:val="center"/>
        </w:trPr>
        <w:tc>
          <w:tcPr>
            <w:tcW w:w="443" w:type="dxa"/>
            <w:gridSpan w:val="2"/>
            <w:vMerge w:val="continue"/>
            <w:tcBorders>
              <w:tl2br w:val="nil"/>
              <w:tr2bl w:val="nil"/>
            </w:tcBorders>
            <w:vAlign w:val="center"/>
          </w:tcPr>
          <w:p w14:paraId="3303271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color w:val="auto"/>
                <w:kern w:val="0"/>
                <w:sz w:val="13"/>
                <w:szCs w:val="13"/>
                <w:highlight w:val="none"/>
              </w:rPr>
            </w:pPr>
          </w:p>
        </w:tc>
        <w:tc>
          <w:tcPr>
            <w:tcW w:w="1550" w:type="dxa"/>
            <w:vMerge w:val="continue"/>
            <w:tcBorders>
              <w:tl2br w:val="nil"/>
              <w:tr2bl w:val="nil"/>
            </w:tcBorders>
            <w:vAlign w:val="center"/>
          </w:tcPr>
          <w:p w14:paraId="78FE973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3EFED7A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823" w:type="dxa"/>
            <w:tcBorders>
              <w:tl2br w:val="nil"/>
              <w:tr2bl w:val="nil"/>
            </w:tcBorders>
            <w:vAlign w:val="center"/>
          </w:tcPr>
          <w:p w14:paraId="69EDF9E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一般情节</w:t>
            </w:r>
          </w:p>
        </w:tc>
        <w:tc>
          <w:tcPr>
            <w:tcW w:w="3437" w:type="dxa"/>
            <w:gridSpan w:val="2"/>
            <w:tcBorders>
              <w:tl2br w:val="nil"/>
              <w:tr2bl w:val="nil"/>
            </w:tcBorders>
            <w:vAlign w:val="center"/>
          </w:tcPr>
          <w:p w14:paraId="57A2DC8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未制定生产安全事故应急救援预案的建筑起重机械数量2台的。</w:t>
            </w:r>
          </w:p>
        </w:tc>
        <w:tc>
          <w:tcPr>
            <w:tcW w:w="3058" w:type="dxa"/>
            <w:tcBorders>
              <w:tl2br w:val="nil"/>
              <w:tr2bl w:val="nil"/>
            </w:tcBorders>
            <w:vAlign w:val="center"/>
          </w:tcPr>
          <w:p w14:paraId="217A4BA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责令限期改正，予以警告，处1万元以上2万元以下的罚款。</w:t>
            </w:r>
          </w:p>
        </w:tc>
      </w:tr>
      <w:tr w14:paraId="1875667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91" w:hRule="atLeast"/>
          <w:jc w:val="center"/>
        </w:trPr>
        <w:tc>
          <w:tcPr>
            <w:tcW w:w="443" w:type="dxa"/>
            <w:gridSpan w:val="2"/>
            <w:vMerge w:val="continue"/>
            <w:tcBorders>
              <w:tl2br w:val="nil"/>
              <w:tr2bl w:val="nil"/>
            </w:tcBorders>
            <w:vAlign w:val="center"/>
          </w:tcPr>
          <w:p w14:paraId="204A26B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color w:val="auto"/>
                <w:kern w:val="0"/>
                <w:sz w:val="13"/>
                <w:szCs w:val="13"/>
                <w:highlight w:val="none"/>
              </w:rPr>
            </w:pPr>
          </w:p>
        </w:tc>
        <w:tc>
          <w:tcPr>
            <w:tcW w:w="1550" w:type="dxa"/>
            <w:vMerge w:val="continue"/>
            <w:tcBorders>
              <w:tl2br w:val="nil"/>
              <w:tr2bl w:val="nil"/>
            </w:tcBorders>
            <w:vAlign w:val="center"/>
          </w:tcPr>
          <w:p w14:paraId="027E141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50DF04B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823" w:type="dxa"/>
            <w:tcBorders>
              <w:tl2br w:val="nil"/>
              <w:tr2bl w:val="nil"/>
            </w:tcBorders>
            <w:vAlign w:val="center"/>
          </w:tcPr>
          <w:p w14:paraId="09E0DD8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从重情节</w:t>
            </w:r>
          </w:p>
        </w:tc>
        <w:tc>
          <w:tcPr>
            <w:tcW w:w="3437" w:type="dxa"/>
            <w:gridSpan w:val="2"/>
            <w:tcBorders>
              <w:tl2br w:val="nil"/>
              <w:tr2bl w:val="nil"/>
            </w:tcBorders>
            <w:vAlign w:val="center"/>
          </w:tcPr>
          <w:p w14:paraId="323A803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未制定生产安全事故应急救援预案的建筑起重机械数量3台以上的；或造成一定后果影响的。</w:t>
            </w:r>
          </w:p>
        </w:tc>
        <w:tc>
          <w:tcPr>
            <w:tcW w:w="3058" w:type="dxa"/>
            <w:tcBorders>
              <w:tl2br w:val="nil"/>
              <w:tr2bl w:val="nil"/>
            </w:tcBorders>
            <w:vAlign w:val="center"/>
          </w:tcPr>
          <w:p w14:paraId="79711EC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责令限期改正，予以警告，处2万元以上3万元以下的罚款。</w:t>
            </w:r>
          </w:p>
        </w:tc>
      </w:tr>
      <w:tr w14:paraId="128E83B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0" w:hRule="atLeast"/>
          <w:jc w:val="center"/>
        </w:trPr>
        <w:tc>
          <w:tcPr>
            <w:tcW w:w="443" w:type="dxa"/>
            <w:gridSpan w:val="2"/>
            <w:vMerge w:val="restart"/>
            <w:tcBorders>
              <w:tl2br w:val="nil"/>
              <w:tr2bl w:val="nil"/>
            </w:tcBorders>
            <w:vAlign w:val="center"/>
          </w:tcPr>
          <w:p w14:paraId="0176B7D2">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Times New Roman"/>
                <w:color w:val="auto"/>
                <w:kern w:val="0"/>
                <w:sz w:val="13"/>
                <w:szCs w:val="13"/>
                <w:highlight w:val="none"/>
                <w:lang w:val="en-US"/>
              </w:rPr>
            </w:pPr>
            <w:r>
              <w:rPr>
                <w:rFonts w:hint="default" w:ascii="仿宋_GB2312" w:hAnsi="宋体" w:eastAsia="仿宋_GB2312" w:cs="仿宋_GB2312"/>
                <w:i w:val="0"/>
                <w:color w:val="auto"/>
                <w:kern w:val="0"/>
                <w:sz w:val="13"/>
                <w:szCs w:val="13"/>
                <w:highlight w:val="none"/>
                <w:u w:val="none"/>
                <w:lang w:val="en-US" w:eastAsia="zh-CN" w:bidi="ar"/>
              </w:rPr>
              <w:t>1</w:t>
            </w:r>
            <w:r>
              <w:rPr>
                <w:rFonts w:hint="eastAsia" w:ascii="仿宋_GB2312" w:hAnsi="宋体" w:eastAsia="仿宋_GB2312" w:cs="仿宋_GB2312"/>
                <w:i w:val="0"/>
                <w:color w:val="auto"/>
                <w:kern w:val="0"/>
                <w:sz w:val="13"/>
                <w:szCs w:val="13"/>
                <w:highlight w:val="none"/>
                <w:u w:val="none"/>
                <w:lang w:val="en-US" w:eastAsia="zh-CN" w:bidi="ar"/>
              </w:rPr>
              <w:t>82</w:t>
            </w:r>
          </w:p>
        </w:tc>
        <w:tc>
          <w:tcPr>
            <w:tcW w:w="1550" w:type="dxa"/>
            <w:vMerge w:val="restart"/>
            <w:tcBorders>
              <w:tl2br w:val="nil"/>
              <w:tr2bl w:val="nil"/>
            </w:tcBorders>
            <w:vAlign w:val="center"/>
          </w:tcPr>
          <w:p w14:paraId="10D3B5F5">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使用单位未设置相应的设备管理机构或者配备专职的设备管理人员的</w:t>
            </w:r>
          </w:p>
        </w:tc>
        <w:tc>
          <w:tcPr>
            <w:tcW w:w="4820" w:type="dxa"/>
            <w:vMerge w:val="restart"/>
            <w:tcBorders>
              <w:tl2br w:val="nil"/>
              <w:tr2bl w:val="nil"/>
            </w:tcBorders>
            <w:vAlign w:val="center"/>
          </w:tcPr>
          <w:p w14:paraId="6ADD2236">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r>
              <w:rPr>
                <w:rFonts w:ascii="仿宋_GB2312" w:hAnsi="宋体" w:eastAsia="仿宋_GB2312"/>
                <w:color w:val="auto"/>
                <w:kern w:val="0"/>
                <w:sz w:val="13"/>
                <w:szCs w:val="13"/>
                <w:highlight w:val="none"/>
              </w:rPr>
              <w:t>《建筑起重机械安全监督管理规定》</w:t>
            </w:r>
          </w:p>
          <w:p w14:paraId="7CCEFE21">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第三十条（</w:t>
            </w:r>
            <w:r>
              <w:rPr>
                <w:rFonts w:ascii="仿宋_GB2312" w:hAnsi="宋体" w:eastAsia="仿宋_GB2312"/>
                <w:color w:val="auto"/>
                <w:kern w:val="0"/>
                <w:sz w:val="13"/>
                <w:szCs w:val="13"/>
                <w:highlight w:val="none"/>
              </w:rPr>
              <w:t>一</w:t>
            </w:r>
            <w:r>
              <w:rPr>
                <w:rFonts w:hint="eastAsia" w:ascii="仿宋_GB2312" w:hAnsi="宋体" w:eastAsia="仿宋_GB2312"/>
                <w:color w:val="auto"/>
                <w:kern w:val="0"/>
                <w:sz w:val="13"/>
                <w:szCs w:val="13"/>
                <w:highlight w:val="none"/>
              </w:rPr>
              <w:t>）</w:t>
            </w:r>
            <w:r>
              <w:rPr>
                <w:rFonts w:ascii="仿宋_GB2312" w:hAnsi="宋体" w:eastAsia="仿宋_GB2312"/>
                <w:color w:val="auto"/>
                <w:kern w:val="0"/>
                <w:sz w:val="13"/>
                <w:szCs w:val="13"/>
                <w:highlight w:val="none"/>
              </w:rPr>
              <w:t>项</w:t>
            </w:r>
            <w:r>
              <w:rPr>
                <w:rFonts w:hint="eastAsia" w:ascii="仿宋_GB2312" w:hAnsi="宋体" w:eastAsia="仿宋_GB2312"/>
                <w:color w:val="auto"/>
                <w:kern w:val="0"/>
                <w:sz w:val="13"/>
                <w:szCs w:val="13"/>
                <w:highlight w:val="none"/>
              </w:rPr>
              <w:t>违反本规定，使用单位有下列行为之一的，由县级以上地方人民政府建设主管部门责令限期改正，予以警告，并处以5</w:t>
            </w:r>
            <w:r>
              <w:rPr>
                <w:rFonts w:ascii="仿宋_GB2312" w:hAnsi="宋体" w:eastAsia="仿宋_GB2312"/>
                <w:color w:val="auto"/>
                <w:kern w:val="0"/>
                <w:sz w:val="13"/>
                <w:szCs w:val="13"/>
                <w:highlight w:val="none"/>
              </w:rPr>
              <w:t>000</w:t>
            </w:r>
            <w:r>
              <w:rPr>
                <w:rFonts w:hint="eastAsia" w:ascii="仿宋_GB2312" w:hAnsi="宋体" w:eastAsia="仿宋_GB2312"/>
                <w:color w:val="auto"/>
                <w:kern w:val="0"/>
                <w:sz w:val="13"/>
                <w:szCs w:val="13"/>
                <w:highlight w:val="none"/>
              </w:rPr>
              <w:t>元以上3万元以下罚款：</w:t>
            </w:r>
          </w:p>
          <w:p w14:paraId="2664A8D1">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（一）未履行第十八条第（一）、（二）、（四）、（六）项安全职责的；</w:t>
            </w:r>
          </w:p>
          <w:p w14:paraId="7C50C9C2">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第十八条（</w:t>
            </w:r>
            <w:r>
              <w:rPr>
                <w:rFonts w:ascii="仿宋_GB2312" w:hAnsi="宋体" w:eastAsia="仿宋_GB2312"/>
                <w:color w:val="auto"/>
                <w:kern w:val="0"/>
                <w:sz w:val="13"/>
                <w:szCs w:val="13"/>
                <w:highlight w:val="none"/>
              </w:rPr>
              <w:t>四</w:t>
            </w:r>
            <w:r>
              <w:rPr>
                <w:rFonts w:hint="eastAsia" w:ascii="仿宋_GB2312" w:hAnsi="宋体" w:eastAsia="仿宋_GB2312"/>
                <w:color w:val="auto"/>
                <w:kern w:val="0"/>
                <w:sz w:val="13"/>
                <w:szCs w:val="13"/>
                <w:highlight w:val="none"/>
              </w:rPr>
              <w:t>）</w:t>
            </w:r>
            <w:r>
              <w:rPr>
                <w:rFonts w:ascii="仿宋_GB2312" w:hAnsi="宋体" w:eastAsia="仿宋_GB2312"/>
                <w:color w:val="auto"/>
                <w:kern w:val="0"/>
                <w:sz w:val="13"/>
                <w:szCs w:val="13"/>
                <w:highlight w:val="none"/>
              </w:rPr>
              <w:t>项</w:t>
            </w:r>
            <w:r>
              <w:rPr>
                <w:rFonts w:hint="eastAsia" w:ascii="仿宋_GB2312" w:hAnsi="宋体" w:eastAsia="仿宋_GB2312"/>
                <w:color w:val="auto"/>
                <w:kern w:val="0"/>
                <w:sz w:val="13"/>
                <w:szCs w:val="13"/>
                <w:highlight w:val="none"/>
              </w:rPr>
              <w:t>使用单位应当履行下列安全职责：</w:t>
            </w:r>
          </w:p>
          <w:p w14:paraId="0E08F93F">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（四）设置相应的设备管理机构或者配备专职的设备管理人员；</w:t>
            </w:r>
          </w:p>
        </w:tc>
        <w:tc>
          <w:tcPr>
            <w:tcW w:w="823" w:type="dxa"/>
            <w:tcBorders>
              <w:tl2br w:val="nil"/>
              <w:tr2bl w:val="nil"/>
            </w:tcBorders>
            <w:vAlign w:val="center"/>
          </w:tcPr>
          <w:p w14:paraId="0DD4340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vAlign w:val="center"/>
          </w:tcPr>
          <w:p w14:paraId="5405933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未设置相应的设备管理机构或者未配备专职的设备管理人员的。</w:t>
            </w:r>
          </w:p>
        </w:tc>
        <w:tc>
          <w:tcPr>
            <w:tcW w:w="3058" w:type="dxa"/>
            <w:tcBorders>
              <w:tl2br w:val="nil"/>
              <w:tr2bl w:val="nil"/>
            </w:tcBorders>
            <w:vAlign w:val="center"/>
          </w:tcPr>
          <w:p w14:paraId="4B6C757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责令限期改正，予以警告，处5千元以上1万元以下的罚款。</w:t>
            </w:r>
          </w:p>
        </w:tc>
      </w:tr>
      <w:tr w14:paraId="016F22B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0" w:hRule="atLeast"/>
          <w:jc w:val="center"/>
        </w:trPr>
        <w:tc>
          <w:tcPr>
            <w:tcW w:w="443" w:type="dxa"/>
            <w:gridSpan w:val="2"/>
            <w:vMerge w:val="continue"/>
            <w:tcBorders>
              <w:tl2br w:val="nil"/>
              <w:tr2bl w:val="nil"/>
            </w:tcBorders>
            <w:vAlign w:val="center"/>
          </w:tcPr>
          <w:p w14:paraId="2205772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color w:val="auto"/>
                <w:kern w:val="0"/>
                <w:sz w:val="13"/>
                <w:szCs w:val="13"/>
                <w:highlight w:val="none"/>
              </w:rPr>
            </w:pPr>
          </w:p>
        </w:tc>
        <w:tc>
          <w:tcPr>
            <w:tcW w:w="1550" w:type="dxa"/>
            <w:vMerge w:val="continue"/>
            <w:tcBorders>
              <w:tl2br w:val="nil"/>
              <w:tr2bl w:val="nil"/>
            </w:tcBorders>
            <w:vAlign w:val="center"/>
          </w:tcPr>
          <w:p w14:paraId="57EA7CE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13049EB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823" w:type="dxa"/>
            <w:tcBorders>
              <w:tl2br w:val="nil"/>
              <w:tr2bl w:val="nil"/>
            </w:tcBorders>
            <w:vAlign w:val="center"/>
          </w:tcPr>
          <w:p w14:paraId="35C320F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一般情节</w:t>
            </w:r>
          </w:p>
        </w:tc>
        <w:tc>
          <w:tcPr>
            <w:tcW w:w="3437" w:type="dxa"/>
            <w:gridSpan w:val="2"/>
            <w:tcBorders>
              <w:tl2br w:val="nil"/>
              <w:tr2bl w:val="nil"/>
            </w:tcBorders>
            <w:vAlign w:val="center"/>
          </w:tcPr>
          <w:p w14:paraId="2B79C65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未设置相应的设备管理机构和未配备专职的设备管理人员的。</w:t>
            </w:r>
          </w:p>
        </w:tc>
        <w:tc>
          <w:tcPr>
            <w:tcW w:w="3058" w:type="dxa"/>
            <w:tcBorders>
              <w:tl2br w:val="nil"/>
              <w:tr2bl w:val="nil"/>
            </w:tcBorders>
            <w:vAlign w:val="center"/>
          </w:tcPr>
          <w:p w14:paraId="290C2A3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责令限期改正，予以警告，处1万元以上2万元以下的罚款。</w:t>
            </w:r>
          </w:p>
        </w:tc>
      </w:tr>
      <w:tr w14:paraId="256352D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88" w:hRule="atLeast"/>
          <w:jc w:val="center"/>
        </w:trPr>
        <w:tc>
          <w:tcPr>
            <w:tcW w:w="443" w:type="dxa"/>
            <w:gridSpan w:val="2"/>
            <w:vMerge w:val="continue"/>
            <w:tcBorders>
              <w:tl2br w:val="nil"/>
              <w:tr2bl w:val="nil"/>
            </w:tcBorders>
            <w:vAlign w:val="center"/>
          </w:tcPr>
          <w:p w14:paraId="7B81C86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color w:val="auto"/>
                <w:kern w:val="0"/>
                <w:sz w:val="13"/>
                <w:szCs w:val="13"/>
                <w:highlight w:val="none"/>
              </w:rPr>
            </w:pPr>
          </w:p>
        </w:tc>
        <w:tc>
          <w:tcPr>
            <w:tcW w:w="1550" w:type="dxa"/>
            <w:vMerge w:val="continue"/>
            <w:tcBorders>
              <w:tl2br w:val="nil"/>
              <w:tr2bl w:val="nil"/>
            </w:tcBorders>
            <w:vAlign w:val="center"/>
          </w:tcPr>
          <w:p w14:paraId="58B8767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7AF2681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823" w:type="dxa"/>
            <w:tcBorders>
              <w:tl2br w:val="nil"/>
              <w:tr2bl w:val="nil"/>
            </w:tcBorders>
            <w:vAlign w:val="center"/>
          </w:tcPr>
          <w:p w14:paraId="171F338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从重情节</w:t>
            </w:r>
          </w:p>
        </w:tc>
        <w:tc>
          <w:tcPr>
            <w:tcW w:w="3437" w:type="dxa"/>
            <w:gridSpan w:val="2"/>
            <w:tcBorders>
              <w:tl2br w:val="nil"/>
              <w:tr2bl w:val="nil"/>
            </w:tcBorders>
            <w:vAlign w:val="center"/>
          </w:tcPr>
          <w:p w14:paraId="6CDD838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造成一定后果影响的。</w:t>
            </w:r>
          </w:p>
        </w:tc>
        <w:tc>
          <w:tcPr>
            <w:tcW w:w="3058" w:type="dxa"/>
            <w:tcBorders>
              <w:tl2br w:val="nil"/>
              <w:tr2bl w:val="nil"/>
            </w:tcBorders>
            <w:vAlign w:val="center"/>
          </w:tcPr>
          <w:p w14:paraId="751DB08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责令限期改正，予以警告，处2万元以上3万元以下的罚款。</w:t>
            </w:r>
          </w:p>
        </w:tc>
      </w:tr>
      <w:tr w14:paraId="6480AD9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8" w:hRule="atLeast"/>
          <w:jc w:val="center"/>
        </w:trPr>
        <w:tc>
          <w:tcPr>
            <w:tcW w:w="443" w:type="dxa"/>
            <w:gridSpan w:val="2"/>
            <w:vMerge w:val="restart"/>
            <w:tcBorders>
              <w:tl2br w:val="nil"/>
              <w:tr2bl w:val="nil"/>
            </w:tcBorders>
            <w:vAlign w:val="center"/>
          </w:tcPr>
          <w:p w14:paraId="32AB7C66">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Times New Roman"/>
                <w:color w:val="auto"/>
                <w:kern w:val="0"/>
                <w:sz w:val="13"/>
                <w:szCs w:val="13"/>
                <w:highlight w:val="none"/>
                <w:lang w:val="en-US"/>
              </w:rPr>
            </w:pPr>
            <w:r>
              <w:rPr>
                <w:rFonts w:hint="default" w:ascii="仿宋_GB2312" w:hAnsi="宋体" w:eastAsia="仿宋_GB2312" w:cs="仿宋_GB2312"/>
                <w:i w:val="0"/>
                <w:color w:val="auto"/>
                <w:kern w:val="0"/>
                <w:sz w:val="13"/>
                <w:szCs w:val="13"/>
                <w:highlight w:val="none"/>
                <w:u w:val="none"/>
                <w:lang w:val="en-US" w:eastAsia="zh-CN" w:bidi="ar"/>
              </w:rPr>
              <w:t>1</w:t>
            </w:r>
            <w:r>
              <w:rPr>
                <w:rFonts w:hint="eastAsia" w:ascii="仿宋_GB2312" w:hAnsi="宋体" w:eastAsia="仿宋_GB2312" w:cs="仿宋_GB2312"/>
                <w:i w:val="0"/>
                <w:color w:val="auto"/>
                <w:kern w:val="0"/>
                <w:sz w:val="13"/>
                <w:szCs w:val="13"/>
                <w:highlight w:val="none"/>
                <w:u w:val="none"/>
                <w:lang w:val="en-US" w:eastAsia="zh-CN" w:bidi="ar"/>
              </w:rPr>
              <w:t>83</w:t>
            </w:r>
          </w:p>
        </w:tc>
        <w:tc>
          <w:tcPr>
            <w:tcW w:w="1550" w:type="dxa"/>
            <w:vMerge w:val="restart"/>
            <w:tcBorders>
              <w:tl2br w:val="nil"/>
              <w:tr2bl w:val="nil"/>
            </w:tcBorders>
            <w:vAlign w:val="center"/>
          </w:tcPr>
          <w:p w14:paraId="496368B2">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olor w:val="auto"/>
                <w:kern w:val="0"/>
                <w:sz w:val="13"/>
                <w:szCs w:val="13"/>
                <w:highlight w:val="none"/>
              </w:rPr>
            </w:pPr>
          </w:p>
          <w:p w14:paraId="57F812A2">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使用单位在建筑起重机械出现故障或者发生异常情况时，未立即停止使用，或未消除故障和事故隐患，就重新投入使用的</w:t>
            </w:r>
          </w:p>
        </w:tc>
        <w:tc>
          <w:tcPr>
            <w:tcW w:w="4820" w:type="dxa"/>
            <w:vMerge w:val="restart"/>
            <w:tcBorders>
              <w:tl2br w:val="nil"/>
              <w:tr2bl w:val="nil"/>
            </w:tcBorders>
            <w:vAlign w:val="center"/>
          </w:tcPr>
          <w:p w14:paraId="0973871E">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p w14:paraId="6EC60CC7">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r>
              <w:rPr>
                <w:rFonts w:ascii="仿宋_GB2312" w:hAnsi="宋体" w:eastAsia="仿宋_GB2312"/>
                <w:color w:val="auto"/>
                <w:kern w:val="0"/>
                <w:sz w:val="13"/>
                <w:szCs w:val="13"/>
                <w:highlight w:val="none"/>
              </w:rPr>
              <w:t>《建筑起重机械安全监督管理规定》</w:t>
            </w:r>
          </w:p>
          <w:p w14:paraId="18C620C7">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第三十条（</w:t>
            </w:r>
            <w:r>
              <w:rPr>
                <w:rFonts w:ascii="仿宋_GB2312" w:hAnsi="宋体" w:eastAsia="仿宋_GB2312"/>
                <w:color w:val="auto"/>
                <w:kern w:val="0"/>
                <w:sz w:val="13"/>
                <w:szCs w:val="13"/>
                <w:highlight w:val="none"/>
              </w:rPr>
              <w:t>一</w:t>
            </w:r>
            <w:r>
              <w:rPr>
                <w:rFonts w:hint="eastAsia" w:ascii="仿宋_GB2312" w:hAnsi="宋体" w:eastAsia="仿宋_GB2312"/>
                <w:color w:val="auto"/>
                <w:kern w:val="0"/>
                <w:sz w:val="13"/>
                <w:szCs w:val="13"/>
                <w:highlight w:val="none"/>
              </w:rPr>
              <w:t>）</w:t>
            </w:r>
            <w:r>
              <w:rPr>
                <w:rFonts w:ascii="仿宋_GB2312" w:hAnsi="宋体" w:eastAsia="仿宋_GB2312"/>
                <w:color w:val="auto"/>
                <w:kern w:val="0"/>
                <w:sz w:val="13"/>
                <w:szCs w:val="13"/>
                <w:highlight w:val="none"/>
              </w:rPr>
              <w:t>项</w:t>
            </w:r>
            <w:r>
              <w:rPr>
                <w:rFonts w:hint="eastAsia" w:ascii="仿宋_GB2312" w:hAnsi="宋体" w:eastAsia="仿宋_GB2312"/>
                <w:color w:val="auto"/>
                <w:kern w:val="0"/>
                <w:sz w:val="13"/>
                <w:szCs w:val="13"/>
                <w:highlight w:val="none"/>
              </w:rPr>
              <w:t>违反本规定，使用单位有下列行为之一的，由县级以上地方人民政府建设主管部门责令限期改正，予以警告，并处以5</w:t>
            </w:r>
            <w:r>
              <w:rPr>
                <w:rFonts w:ascii="仿宋_GB2312" w:hAnsi="宋体" w:eastAsia="仿宋_GB2312"/>
                <w:color w:val="auto"/>
                <w:kern w:val="0"/>
                <w:sz w:val="13"/>
                <w:szCs w:val="13"/>
                <w:highlight w:val="none"/>
              </w:rPr>
              <w:t>000</w:t>
            </w:r>
            <w:r>
              <w:rPr>
                <w:rFonts w:hint="eastAsia" w:ascii="仿宋_GB2312" w:hAnsi="宋体" w:eastAsia="仿宋_GB2312"/>
                <w:color w:val="auto"/>
                <w:kern w:val="0"/>
                <w:sz w:val="13"/>
                <w:szCs w:val="13"/>
                <w:highlight w:val="none"/>
              </w:rPr>
              <w:t>元以上3万元以下罚款：</w:t>
            </w:r>
          </w:p>
          <w:p w14:paraId="25E4429B">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（一）未履行第十八条第（一）、（二）、（四）、（六）项安全职责的；</w:t>
            </w:r>
          </w:p>
          <w:p w14:paraId="40DA507B">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第十八条（</w:t>
            </w:r>
            <w:r>
              <w:rPr>
                <w:rFonts w:ascii="仿宋_GB2312" w:hAnsi="宋体" w:eastAsia="仿宋_GB2312"/>
                <w:color w:val="auto"/>
                <w:kern w:val="0"/>
                <w:sz w:val="13"/>
                <w:szCs w:val="13"/>
                <w:highlight w:val="none"/>
              </w:rPr>
              <w:t>六</w:t>
            </w:r>
            <w:r>
              <w:rPr>
                <w:rFonts w:hint="eastAsia" w:ascii="仿宋_GB2312" w:hAnsi="宋体" w:eastAsia="仿宋_GB2312"/>
                <w:color w:val="auto"/>
                <w:kern w:val="0"/>
                <w:sz w:val="13"/>
                <w:szCs w:val="13"/>
                <w:highlight w:val="none"/>
              </w:rPr>
              <w:t>）</w:t>
            </w:r>
            <w:r>
              <w:rPr>
                <w:rFonts w:ascii="仿宋_GB2312" w:hAnsi="宋体" w:eastAsia="仿宋_GB2312"/>
                <w:color w:val="auto"/>
                <w:kern w:val="0"/>
                <w:sz w:val="13"/>
                <w:szCs w:val="13"/>
                <w:highlight w:val="none"/>
              </w:rPr>
              <w:t>项</w:t>
            </w:r>
          </w:p>
          <w:p w14:paraId="1E5D3F5E">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使用单位应当履行下列安全职责：（六）建筑起重机械出现故障或者发生异常情况的，立即停止使用，消除故障和事故隐患后，方可重新投入使用。</w:t>
            </w:r>
          </w:p>
        </w:tc>
        <w:tc>
          <w:tcPr>
            <w:tcW w:w="823" w:type="dxa"/>
            <w:tcBorders>
              <w:tl2br w:val="nil"/>
              <w:tr2bl w:val="nil"/>
            </w:tcBorders>
            <w:vAlign w:val="center"/>
          </w:tcPr>
          <w:p w14:paraId="751A619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vAlign w:val="center"/>
          </w:tcPr>
          <w:p w14:paraId="63DACE3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建筑起重机械出现故障或者发生异常情况达1台，未立即停止使用，或未消除故障和事故隐患，就重新投入使用的。</w:t>
            </w:r>
          </w:p>
        </w:tc>
        <w:tc>
          <w:tcPr>
            <w:tcW w:w="3058" w:type="dxa"/>
            <w:tcBorders>
              <w:tl2br w:val="nil"/>
              <w:tr2bl w:val="nil"/>
            </w:tcBorders>
            <w:vAlign w:val="center"/>
          </w:tcPr>
          <w:p w14:paraId="3FA9172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责令限期改正，予以警告，处5千元以上1万元以下的罚款。</w:t>
            </w:r>
          </w:p>
        </w:tc>
      </w:tr>
      <w:tr w14:paraId="78B76B4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16" w:hRule="atLeast"/>
          <w:jc w:val="center"/>
        </w:trPr>
        <w:tc>
          <w:tcPr>
            <w:tcW w:w="443" w:type="dxa"/>
            <w:gridSpan w:val="2"/>
            <w:vMerge w:val="continue"/>
            <w:tcBorders>
              <w:tl2br w:val="nil"/>
              <w:tr2bl w:val="nil"/>
            </w:tcBorders>
            <w:vAlign w:val="center"/>
          </w:tcPr>
          <w:p w14:paraId="515318C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color w:val="auto"/>
                <w:kern w:val="0"/>
                <w:sz w:val="13"/>
                <w:szCs w:val="13"/>
                <w:highlight w:val="none"/>
              </w:rPr>
            </w:pPr>
          </w:p>
        </w:tc>
        <w:tc>
          <w:tcPr>
            <w:tcW w:w="1550" w:type="dxa"/>
            <w:vMerge w:val="continue"/>
            <w:tcBorders>
              <w:tl2br w:val="nil"/>
              <w:tr2bl w:val="nil"/>
            </w:tcBorders>
            <w:vAlign w:val="center"/>
          </w:tcPr>
          <w:p w14:paraId="459D06C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70CBF5A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olor w:val="auto"/>
                <w:kern w:val="0"/>
                <w:sz w:val="13"/>
                <w:szCs w:val="13"/>
                <w:highlight w:val="none"/>
              </w:rPr>
            </w:pPr>
          </w:p>
        </w:tc>
        <w:tc>
          <w:tcPr>
            <w:tcW w:w="823" w:type="dxa"/>
            <w:tcBorders>
              <w:tl2br w:val="nil"/>
              <w:tr2bl w:val="nil"/>
            </w:tcBorders>
            <w:vAlign w:val="center"/>
          </w:tcPr>
          <w:p w14:paraId="774B7C6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一般情节</w:t>
            </w:r>
          </w:p>
        </w:tc>
        <w:tc>
          <w:tcPr>
            <w:tcW w:w="3437" w:type="dxa"/>
            <w:gridSpan w:val="2"/>
            <w:tcBorders>
              <w:tl2br w:val="nil"/>
              <w:tr2bl w:val="nil"/>
            </w:tcBorders>
            <w:vAlign w:val="center"/>
          </w:tcPr>
          <w:p w14:paraId="03100EF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建筑起重机械出现故障或者发生异常情况达2台，未立即停止使用，或未消除故障和事故隐患，就重新投入使用的；或存在重大事故隐患的。</w:t>
            </w:r>
          </w:p>
        </w:tc>
        <w:tc>
          <w:tcPr>
            <w:tcW w:w="3058" w:type="dxa"/>
            <w:tcBorders>
              <w:tl2br w:val="nil"/>
              <w:tr2bl w:val="nil"/>
            </w:tcBorders>
            <w:vAlign w:val="center"/>
          </w:tcPr>
          <w:p w14:paraId="7D483BF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责令限期改正，予以警告，处1万元以上2万元以下的罚款。</w:t>
            </w:r>
          </w:p>
        </w:tc>
      </w:tr>
      <w:tr w14:paraId="5D5F511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16" w:hRule="atLeast"/>
          <w:jc w:val="center"/>
        </w:trPr>
        <w:tc>
          <w:tcPr>
            <w:tcW w:w="443" w:type="dxa"/>
            <w:gridSpan w:val="2"/>
            <w:vMerge w:val="continue"/>
            <w:tcBorders>
              <w:tl2br w:val="nil"/>
              <w:tr2bl w:val="nil"/>
            </w:tcBorders>
            <w:vAlign w:val="center"/>
          </w:tcPr>
          <w:p w14:paraId="5A2FA6A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color w:val="auto"/>
                <w:kern w:val="0"/>
                <w:sz w:val="13"/>
                <w:szCs w:val="13"/>
                <w:highlight w:val="none"/>
              </w:rPr>
            </w:pPr>
          </w:p>
        </w:tc>
        <w:tc>
          <w:tcPr>
            <w:tcW w:w="1550" w:type="dxa"/>
            <w:vMerge w:val="continue"/>
            <w:tcBorders>
              <w:tl2br w:val="nil"/>
              <w:tr2bl w:val="nil"/>
            </w:tcBorders>
            <w:vAlign w:val="center"/>
          </w:tcPr>
          <w:p w14:paraId="2D75D41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6894483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olor w:val="auto"/>
                <w:kern w:val="0"/>
                <w:sz w:val="13"/>
                <w:szCs w:val="13"/>
                <w:highlight w:val="none"/>
              </w:rPr>
            </w:pPr>
          </w:p>
        </w:tc>
        <w:tc>
          <w:tcPr>
            <w:tcW w:w="823" w:type="dxa"/>
            <w:tcBorders>
              <w:tl2br w:val="nil"/>
              <w:tr2bl w:val="nil"/>
            </w:tcBorders>
            <w:vAlign w:val="center"/>
          </w:tcPr>
          <w:p w14:paraId="0711A93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从重情节</w:t>
            </w:r>
          </w:p>
        </w:tc>
        <w:tc>
          <w:tcPr>
            <w:tcW w:w="3437" w:type="dxa"/>
            <w:gridSpan w:val="2"/>
            <w:tcBorders>
              <w:tl2br w:val="nil"/>
              <w:tr2bl w:val="nil"/>
            </w:tcBorders>
            <w:vAlign w:val="center"/>
          </w:tcPr>
          <w:p w14:paraId="2A3477C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建筑起重机械出现故障或者发生异常情况达3台以上，未立即停止使用，或未消除故障和事故隐患，就重新投入使用的；或造成一定后果影响的。</w:t>
            </w:r>
          </w:p>
        </w:tc>
        <w:tc>
          <w:tcPr>
            <w:tcW w:w="3058" w:type="dxa"/>
            <w:tcBorders>
              <w:tl2br w:val="nil"/>
              <w:tr2bl w:val="nil"/>
            </w:tcBorders>
            <w:vAlign w:val="center"/>
          </w:tcPr>
          <w:p w14:paraId="59ED6F6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责令限期改正，予以警告，处2万元以上3万元以下的罚款。</w:t>
            </w:r>
          </w:p>
        </w:tc>
      </w:tr>
      <w:tr w14:paraId="313ACDD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0" w:hRule="atLeast"/>
          <w:jc w:val="center"/>
        </w:trPr>
        <w:tc>
          <w:tcPr>
            <w:tcW w:w="443" w:type="dxa"/>
            <w:gridSpan w:val="2"/>
            <w:vMerge w:val="restart"/>
            <w:tcBorders>
              <w:tl2br w:val="nil"/>
              <w:tr2bl w:val="nil"/>
            </w:tcBorders>
            <w:vAlign w:val="center"/>
          </w:tcPr>
          <w:p w14:paraId="6D608B90">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Times New Roman"/>
                <w:color w:val="auto"/>
                <w:kern w:val="0"/>
                <w:sz w:val="13"/>
                <w:szCs w:val="13"/>
                <w:highlight w:val="none"/>
                <w:lang w:val="en-US"/>
              </w:rPr>
            </w:pPr>
            <w:r>
              <w:rPr>
                <w:rFonts w:hint="default" w:ascii="仿宋_GB2312" w:hAnsi="宋体" w:eastAsia="仿宋_GB2312" w:cs="仿宋_GB2312"/>
                <w:i w:val="0"/>
                <w:color w:val="auto"/>
                <w:kern w:val="0"/>
                <w:sz w:val="13"/>
                <w:szCs w:val="13"/>
                <w:highlight w:val="none"/>
                <w:u w:val="none"/>
                <w:lang w:val="en-US" w:eastAsia="zh-CN" w:bidi="ar"/>
              </w:rPr>
              <w:t>1</w:t>
            </w:r>
            <w:r>
              <w:rPr>
                <w:rFonts w:hint="eastAsia" w:ascii="仿宋_GB2312" w:hAnsi="宋体" w:eastAsia="仿宋_GB2312" w:cs="仿宋_GB2312"/>
                <w:i w:val="0"/>
                <w:color w:val="auto"/>
                <w:kern w:val="0"/>
                <w:sz w:val="13"/>
                <w:szCs w:val="13"/>
                <w:highlight w:val="none"/>
                <w:u w:val="none"/>
                <w:lang w:val="en-US" w:eastAsia="zh-CN" w:bidi="ar"/>
              </w:rPr>
              <w:t>84</w:t>
            </w:r>
          </w:p>
        </w:tc>
        <w:tc>
          <w:tcPr>
            <w:tcW w:w="1550" w:type="dxa"/>
            <w:vMerge w:val="restart"/>
            <w:tcBorders>
              <w:tl2br w:val="nil"/>
              <w:tr2bl w:val="nil"/>
            </w:tcBorders>
            <w:vAlign w:val="center"/>
          </w:tcPr>
          <w:p w14:paraId="2B151036">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使用单位未指定专职设备管理人员进行现场监督检查的</w:t>
            </w:r>
          </w:p>
        </w:tc>
        <w:tc>
          <w:tcPr>
            <w:tcW w:w="4820" w:type="dxa"/>
            <w:vMerge w:val="restart"/>
            <w:tcBorders>
              <w:tl2br w:val="nil"/>
              <w:tr2bl w:val="nil"/>
            </w:tcBorders>
            <w:vAlign w:val="center"/>
          </w:tcPr>
          <w:p w14:paraId="528A37E4">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r>
              <w:rPr>
                <w:rFonts w:ascii="仿宋_GB2312" w:hAnsi="宋体" w:eastAsia="仿宋_GB2312"/>
                <w:color w:val="auto"/>
                <w:kern w:val="0"/>
                <w:sz w:val="13"/>
                <w:szCs w:val="13"/>
                <w:highlight w:val="none"/>
              </w:rPr>
              <w:t>《建筑起重机械安全监督管理规定》</w:t>
            </w:r>
          </w:p>
          <w:p w14:paraId="4C60CCE0">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第三十条（</w:t>
            </w:r>
            <w:r>
              <w:rPr>
                <w:rFonts w:ascii="仿宋_GB2312" w:hAnsi="宋体" w:eastAsia="仿宋_GB2312"/>
                <w:color w:val="auto"/>
                <w:kern w:val="0"/>
                <w:sz w:val="13"/>
                <w:szCs w:val="13"/>
                <w:highlight w:val="none"/>
              </w:rPr>
              <w:t>二</w:t>
            </w:r>
            <w:r>
              <w:rPr>
                <w:rFonts w:hint="eastAsia" w:ascii="仿宋_GB2312" w:hAnsi="宋体" w:eastAsia="仿宋_GB2312"/>
                <w:color w:val="auto"/>
                <w:kern w:val="0"/>
                <w:sz w:val="13"/>
                <w:szCs w:val="13"/>
                <w:highlight w:val="none"/>
              </w:rPr>
              <w:t>）</w:t>
            </w:r>
            <w:r>
              <w:rPr>
                <w:rFonts w:ascii="仿宋_GB2312" w:hAnsi="宋体" w:eastAsia="仿宋_GB2312"/>
                <w:color w:val="auto"/>
                <w:kern w:val="0"/>
                <w:sz w:val="13"/>
                <w:szCs w:val="13"/>
                <w:highlight w:val="none"/>
              </w:rPr>
              <w:t>项</w:t>
            </w:r>
            <w:r>
              <w:rPr>
                <w:rFonts w:hint="eastAsia" w:ascii="仿宋_GB2312" w:hAnsi="宋体" w:eastAsia="仿宋_GB2312"/>
                <w:color w:val="auto"/>
                <w:kern w:val="0"/>
                <w:sz w:val="13"/>
                <w:szCs w:val="13"/>
                <w:highlight w:val="none"/>
              </w:rPr>
              <w:t>违反本规定，使用单位有下列行为之一的，由县级以上地方人民政府建设主管部门责令限期改正，予以警告，并处以5</w:t>
            </w:r>
            <w:r>
              <w:rPr>
                <w:rFonts w:ascii="仿宋_GB2312" w:hAnsi="宋体" w:eastAsia="仿宋_GB2312"/>
                <w:color w:val="auto"/>
                <w:kern w:val="0"/>
                <w:sz w:val="13"/>
                <w:szCs w:val="13"/>
                <w:highlight w:val="none"/>
              </w:rPr>
              <w:t>000</w:t>
            </w:r>
            <w:r>
              <w:rPr>
                <w:rFonts w:hint="eastAsia" w:ascii="仿宋_GB2312" w:hAnsi="宋体" w:eastAsia="仿宋_GB2312"/>
                <w:color w:val="auto"/>
                <w:kern w:val="0"/>
                <w:sz w:val="13"/>
                <w:szCs w:val="13"/>
                <w:highlight w:val="none"/>
              </w:rPr>
              <w:t>元以上3万元以下罚款：</w:t>
            </w:r>
          </w:p>
          <w:p w14:paraId="68B0B393">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（二）未指定专职设备管理人员进行现场监督检查的；</w:t>
            </w:r>
          </w:p>
        </w:tc>
        <w:tc>
          <w:tcPr>
            <w:tcW w:w="823" w:type="dxa"/>
            <w:tcBorders>
              <w:tl2br w:val="nil"/>
              <w:tr2bl w:val="nil"/>
            </w:tcBorders>
            <w:vAlign w:val="center"/>
          </w:tcPr>
          <w:p w14:paraId="22D807E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vAlign w:val="center"/>
          </w:tcPr>
          <w:p w14:paraId="69490BC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有1台</w:t>
            </w:r>
            <w:r>
              <w:rPr>
                <w:rFonts w:ascii="仿宋_GB2312" w:hAnsi="宋体" w:eastAsia="仿宋_GB2312"/>
                <w:color w:val="auto"/>
                <w:kern w:val="0"/>
                <w:sz w:val="13"/>
                <w:szCs w:val="13"/>
                <w:highlight w:val="none"/>
              </w:rPr>
              <w:t>建筑起重机械</w:t>
            </w:r>
            <w:r>
              <w:rPr>
                <w:rFonts w:hint="eastAsia" w:ascii="仿宋_GB2312" w:hAnsi="宋体" w:eastAsia="仿宋_GB2312"/>
                <w:color w:val="auto"/>
                <w:kern w:val="0"/>
                <w:sz w:val="13"/>
                <w:szCs w:val="13"/>
                <w:highlight w:val="none"/>
              </w:rPr>
              <w:t>未指定专职设备管理人员进行现场监督检查。</w:t>
            </w:r>
          </w:p>
        </w:tc>
        <w:tc>
          <w:tcPr>
            <w:tcW w:w="3058" w:type="dxa"/>
            <w:tcBorders>
              <w:tl2br w:val="nil"/>
              <w:tr2bl w:val="nil"/>
            </w:tcBorders>
            <w:vAlign w:val="center"/>
          </w:tcPr>
          <w:p w14:paraId="2743497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责令限期改正，予以警告，处5千元以上1万元以下的罚款。</w:t>
            </w:r>
          </w:p>
        </w:tc>
      </w:tr>
      <w:tr w14:paraId="59E974E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0" w:hRule="atLeast"/>
          <w:jc w:val="center"/>
        </w:trPr>
        <w:tc>
          <w:tcPr>
            <w:tcW w:w="443" w:type="dxa"/>
            <w:gridSpan w:val="2"/>
            <w:vMerge w:val="continue"/>
            <w:tcBorders>
              <w:tl2br w:val="nil"/>
              <w:tr2bl w:val="nil"/>
            </w:tcBorders>
            <w:vAlign w:val="center"/>
          </w:tcPr>
          <w:p w14:paraId="4240276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color w:val="auto"/>
                <w:kern w:val="0"/>
                <w:sz w:val="13"/>
                <w:szCs w:val="13"/>
                <w:highlight w:val="none"/>
              </w:rPr>
            </w:pPr>
          </w:p>
        </w:tc>
        <w:tc>
          <w:tcPr>
            <w:tcW w:w="1550" w:type="dxa"/>
            <w:vMerge w:val="continue"/>
            <w:tcBorders>
              <w:tl2br w:val="nil"/>
              <w:tr2bl w:val="nil"/>
            </w:tcBorders>
            <w:vAlign w:val="center"/>
          </w:tcPr>
          <w:p w14:paraId="7AEE4A0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6BFA19D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olor w:val="auto"/>
                <w:kern w:val="0"/>
                <w:sz w:val="13"/>
                <w:szCs w:val="13"/>
                <w:highlight w:val="none"/>
              </w:rPr>
            </w:pPr>
          </w:p>
        </w:tc>
        <w:tc>
          <w:tcPr>
            <w:tcW w:w="823" w:type="dxa"/>
            <w:tcBorders>
              <w:tl2br w:val="nil"/>
              <w:tr2bl w:val="nil"/>
            </w:tcBorders>
            <w:vAlign w:val="center"/>
          </w:tcPr>
          <w:p w14:paraId="7C2AE51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一般情节</w:t>
            </w:r>
          </w:p>
        </w:tc>
        <w:tc>
          <w:tcPr>
            <w:tcW w:w="3437" w:type="dxa"/>
            <w:gridSpan w:val="2"/>
            <w:tcBorders>
              <w:tl2br w:val="nil"/>
              <w:tr2bl w:val="nil"/>
            </w:tcBorders>
            <w:vAlign w:val="center"/>
          </w:tcPr>
          <w:p w14:paraId="0B52AE2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有2台以上</w:t>
            </w:r>
            <w:r>
              <w:rPr>
                <w:rFonts w:ascii="仿宋_GB2312" w:hAnsi="宋体" w:eastAsia="仿宋_GB2312"/>
                <w:color w:val="auto"/>
                <w:kern w:val="0"/>
                <w:sz w:val="13"/>
                <w:szCs w:val="13"/>
                <w:highlight w:val="none"/>
              </w:rPr>
              <w:t>建筑起重机械</w:t>
            </w:r>
            <w:r>
              <w:rPr>
                <w:rFonts w:hint="eastAsia" w:ascii="仿宋_GB2312" w:hAnsi="宋体" w:eastAsia="仿宋_GB2312"/>
                <w:color w:val="auto"/>
                <w:kern w:val="0"/>
                <w:sz w:val="13"/>
                <w:szCs w:val="13"/>
                <w:highlight w:val="none"/>
              </w:rPr>
              <w:t>未指定专职设备管理人员进行现场监督检查。</w:t>
            </w:r>
          </w:p>
        </w:tc>
        <w:tc>
          <w:tcPr>
            <w:tcW w:w="3058" w:type="dxa"/>
            <w:tcBorders>
              <w:tl2br w:val="nil"/>
              <w:tr2bl w:val="nil"/>
            </w:tcBorders>
            <w:vAlign w:val="center"/>
          </w:tcPr>
          <w:p w14:paraId="7BC868A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责令限期改正，予以警告，处1万元以上2万元以下的罚款。</w:t>
            </w:r>
          </w:p>
        </w:tc>
      </w:tr>
      <w:tr w14:paraId="750353F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58" w:hRule="atLeast"/>
          <w:jc w:val="center"/>
        </w:trPr>
        <w:tc>
          <w:tcPr>
            <w:tcW w:w="443" w:type="dxa"/>
            <w:gridSpan w:val="2"/>
            <w:vMerge w:val="continue"/>
            <w:tcBorders>
              <w:tl2br w:val="nil"/>
              <w:tr2bl w:val="nil"/>
            </w:tcBorders>
            <w:vAlign w:val="center"/>
          </w:tcPr>
          <w:p w14:paraId="1E6F34C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color w:val="auto"/>
                <w:kern w:val="0"/>
                <w:sz w:val="13"/>
                <w:szCs w:val="13"/>
                <w:highlight w:val="none"/>
              </w:rPr>
            </w:pPr>
          </w:p>
        </w:tc>
        <w:tc>
          <w:tcPr>
            <w:tcW w:w="1550" w:type="dxa"/>
            <w:vMerge w:val="continue"/>
            <w:tcBorders>
              <w:tl2br w:val="nil"/>
              <w:tr2bl w:val="nil"/>
            </w:tcBorders>
            <w:vAlign w:val="center"/>
          </w:tcPr>
          <w:p w14:paraId="04054BB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36BD17C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olor w:val="auto"/>
                <w:kern w:val="0"/>
                <w:sz w:val="13"/>
                <w:szCs w:val="13"/>
                <w:highlight w:val="none"/>
              </w:rPr>
            </w:pPr>
          </w:p>
        </w:tc>
        <w:tc>
          <w:tcPr>
            <w:tcW w:w="823" w:type="dxa"/>
            <w:tcBorders>
              <w:tl2br w:val="nil"/>
              <w:tr2bl w:val="nil"/>
            </w:tcBorders>
            <w:vAlign w:val="center"/>
          </w:tcPr>
          <w:p w14:paraId="4B52573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从重情节</w:t>
            </w:r>
          </w:p>
        </w:tc>
        <w:tc>
          <w:tcPr>
            <w:tcW w:w="3437" w:type="dxa"/>
            <w:gridSpan w:val="2"/>
            <w:tcBorders>
              <w:tl2br w:val="nil"/>
              <w:tr2bl w:val="nil"/>
            </w:tcBorders>
            <w:vAlign w:val="center"/>
          </w:tcPr>
          <w:p w14:paraId="1B2A836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有3台以上</w:t>
            </w:r>
            <w:r>
              <w:rPr>
                <w:rFonts w:ascii="仿宋_GB2312" w:hAnsi="宋体" w:eastAsia="仿宋_GB2312"/>
                <w:color w:val="auto"/>
                <w:kern w:val="0"/>
                <w:sz w:val="13"/>
                <w:szCs w:val="13"/>
                <w:highlight w:val="none"/>
              </w:rPr>
              <w:t>建筑起重机械</w:t>
            </w:r>
            <w:r>
              <w:rPr>
                <w:rFonts w:hint="eastAsia" w:ascii="仿宋_GB2312" w:hAnsi="宋体" w:eastAsia="仿宋_GB2312"/>
                <w:color w:val="auto"/>
                <w:kern w:val="0"/>
                <w:sz w:val="13"/>
                <w:szCs w:val="13"/>
                <w:highlight w:val="none"/>
              </w:rPr>
              <w:t>未指定专职设备管理人员进行现场监督检查或造成事故的。</w:t>
            </w:r>
          </w:p>
        </w:tc>
        <w:tc>
          <w:tcPr>
            <w:tcW w:w="3058" w:type="dxa"/>
            <w:tcBorders>
              <w:tl2br w:val="nil"/>
              <w:tr2bl w:val="nil"/>
            </w:tcBorders>
            <w:vAlign w:val="center"/>
          </w:tcPr>
          <w:p w14:paraId="1A7AE9C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责令限期改正，予以警告，处2万元以上3万元以下的罚款。</w:t>
            </w:r>
          </w:p>
        </w:tc>
      </w:tr>
      <w:tr w14:paraId="2EE2908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31" w:hRule="atLeast"/>
          <w:jc w:val="center"/>
        </w:trPr>
        <w:tc>
          <w:tcPr>
            <w:tcW w:w="443" w:type="dxa"/>
            <w:gridSpan w:val="2"/>
            <w:vMerge w:val="restart"/>
            <w:tcBorders>
              <w:tl2br w:val="nil"/>
              <w:tr2bl w:val="nil"/>
            </w:tcBorders>
            <w:vAlign w:val="center"/>
          </w:tcPr>
          <w:p w14:paraId="323EE88B">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Times New Roman"/>
                <w:color w:val="auto"/>
                <w:kern w:val="0"/>
                <w:sz w:val="13"/>
                <w:szCs w:val="13"/>
                <w:highlight w:val="none"/>
                <w:lang w:val="en-US"/>
              </w:rPr>
            </w:pPr>
            <w:r>
              <w:rPr>
                <w:rFonts w:hint="default" w:ascii="仿宋_GB2312" w:hAnsi="宋体" w:eastAsia="仿宋_GB2312" w:cs="仿宋_GB2312"/>
                <w:i w:val="0"/>
                <w:color w:val="auto"/>
                <w:kern w:val="0"/>
                <w:sz w:val="13"/>
                <w:szCs w:val="13"/>
                <w:highlight w:val="none"/>
                <w:u w:val="none"/>
                <w:lang w:val="en-US" w:eastAsia="zh-CN" w:bidi="ar"/>
              </w:rPr>
              <w:t>1</w:t>
            </w:r>
            <w:r>
              <w:rPr>
                <w:rFonts w:hint="eastAsia" w:ascii="仿宋_GB2312" w:hAnsi="宋体" w:eastAsia="仿宋_GB2312" w:cs="仿宋_GB2312"/>
                <w:i w:val="0"/>
                <w:color w:val="auto"/>
                <w:kern w:val="0"/>
                <w:sz w:val="13"/>
                <w:szCs w:val="13"/>
                <w:highlight w:val="none"/>
                <w:u w:val="none"/>
                <w:lang w:val="en-US" w:eastAsia="zh-CN" w:bidi="ar"/>
              </w:rPr>
              <w:t>85</w:t>
            </w:r>
          </w:p>
        </w:tc>
        <w:tc>
          <w:tcPr>
            <w:tcW w:w="1550" w:type="dxa"/>
            <w:vMerge w:val="restart"/>
            <w:tcBorders>
              <w:tl2br w:val="nil"/>
              <w:tr2bl w:val="nil"/>
            </w:tcBorders>
            <w:vAlign w:val="center"/>
          </w:tcPr>
          <w:p w14:paraId="56BBB3F4">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使用单位擅自在建筑起重机械上安装非原制造厂制造的标准节和附着装置的</w:t>
            </w:r>
          </w:p>
        </w:tc>
        <w:tc>
          <w:tcPr>
            <w:tcW w:w="4820" w:type="dxa"/>
            <w:vMerge w:val="restart"/>
            <w:tcBorders>
              <w:tl2br w:val="nil"/>
              <w:tr2bl w:val="nil"/>
            </w:tcBorders>
            <w:vAlign w:val="center"/>
          </w:tcPr>
          <w:p w14:paraId="0EE039D3">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r>
              <w:rPr>
                <w:rFonts w:ascii="仿宋_GB2312" w:hAnsi="宋体" w:eastAsia="仿宋_GB2312"/>
                <w:color w:val="auto"/>
                <w:kern w:val="0"/>
                <w:sz w:val="13"/>
                <w:szCs w:val="13"/>
                <w:highlight w:val="none"/>
              </w:rPr>
              <w:t>《建筑起重机械安全监督管理规定》</w:t>
            </w:r>
          </w:p>
          <w:p w14:paraId="682D165A">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第三十条（</w:t>
            </w:r>
            <w:r>
              <w:rPr>
                <w:rFonts w:ascii="仿宋_GB2312" w:hAnsi="宋体" w:eastAsia="仿宋_GB2312"/>
                <w:color w:val="auto"/>
                <w:kern w:val="0"/>
                <w:sz w:val="13"/>
                <w:szCs w:val="13"/>
                <w:highlight w:val="none"/>
              </w:rPr>
              <w:t>三</w:t>
            </w:r>
            <w:r>
              <w:rPr>
                <w:rFonts w:hint="eastAsia" w:ascii="仿宋_GB2312" w:hAnsi="宋体" w:eastAsia="仿宋_GB2312"/>
                <w:color w:val="auto"/>
                <w:kern w:val="0"/>
                <w:sz w:val="13"/>
                <w:szCs w:val="13"/>
                <w:highlight w:val="none"/>
              </w:rPr>
              <w:t>）</w:t>
            </w:r>
            <w:r>
              <w:rPr>
                <w:rFonts w:ascii="仿宋_GB2312" w:hAnsi="宋体" w:eastAsia="仿宋_GB2312"/>
                <w:color w:val="auto"/>
                <w:kern w:val="0"/>
                <w:sz w:val="13"/>
                <w:szCs w:val="13"/>
                <w:highlight w:val="none"/>
              </w:rPr>
              <w:t>项</w:t>
            </w:r>
            <w:r>
              <w:rPr>
                <w:rFonts w:hint="eastAsia" w:ascii="仿宋_GB2312" w:hAnsi="宋体" w:eastAsia="仿宋_GB2312"/>
                <w:color w:val="auto"/>
                <w:kern w:val="0"/>
                <w:sz w:val="13"/>
                <w:szCs w:val="13"/>
                <w:highlight w:val="none"/>
              </w:rPr>
              <w:t>违反本规定，使用单位有下列行为之一的，由县级以上地方人民政府建设主管部门责令限期改正，予以警告，并处以5</w:t>
            </w:r>
            <w:r>
              <w:rPr>
                <w:rFonts w:ascii="仿宋_GB2312" w:hAnsi="宋体" w:eastAsia="仿宋_GB2312"/>
                <w:color w:val="auto"/>
                <w:kern w:val="0"/>
                <w:sz w:val="13"/>
                <w:szCs w:val="13"/>
                <w:highlight w:val="none"/>
              </w:rPr>
              <w:t>000</w:t>
            </w:r>
            <w:r>
              <w:rPr>
                <w:rFonts w:hint="eastAsia" w:ascii="仿宋_GB2312" w:hAnsi="宋体" w:eastAsia="仿宋_GB2312"/>
                <w:color w:val="auto"/>
                <w:kern w:val="0"/>
                <w:sz w:val="13"/>
                <w:szCs w:val="13"/>
                <w:highlight w:val="none"/>
              </w:rPr>
              <w:t>元以上3万元以下罚款：（三）擅自在建筑起重机械上安装非原制造厂制造的标准节和附着装置的。</w:t>
            </w:r>
          </w:p>
        </w:tc>
        <w:tc>
          <w:tcPr>
            <w:tcW w:w="823" w:type="dxa"/>
            <w:tcBorders>
              <w:tl2br w:val="nil"/>
              <w:tr2bl w:val="nil"/>
            </w:tcBorders>
            <w:vAlign w:val="center"/>
          </w:tcPr>
          <w:p w14:paraId="598599D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vAlign w:val="center"/>
          </w:tcPr>
          <w:p w14:paraId="299C526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擅自在1台建筑起重机械上安装非原制造厂制造的标准节或附着装置的。</w:t>
            </w:r>
          </w:p>
        </w:tc>
        <w:tc>
          <w:tcPr>
            <w:tcW w:w="3058" w:type="dxa"/>
            <w:tcBorders>
              <w:tl2br w:val="nil"/>
              <w:tr2bl w:val="nil"/>
            </w:tcBorders>
            <w:vAlign w:val="center"/>
          </w:tcPr>
          <w:p w14:paraId="2C03CD2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责令限期改正，予以警告，处5千元以上1万元以下的罚款。</w:t>
            </w:r>
          </w:p>
        </w:tc>
      </w:tr>
      <w:tr w14:paraId="32E6606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22" w:hRule="atLeast"/>
          <w:jc w:val="center"/>
        </w:trPr>
        <w:tc>
          <w:tcPr>
            <w:tcW w:w="443" w:type="dxa"/>
            <w:gridSpan w:val="2"/>
            <w:vMerge w:val="continue"/>
            <w:tcBorders>
              <w:tl2br w:val="nil"/>
              <w:tr2bl w:val="nil"/>
            </w:tcBorders>
            <w:vAlign w:val="center"/>
          </w:tcPr>
          <w:p w14:paraId="6DA30F0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color w:val="auto"/>
                <w:kern w:val="0"/>
                <w:sz w:val="13"/>
                <w:szCs w:val="13"/>
                <w:highlight w:val="none"/>
              </w:rPr>
            </w:pPr>
          </w:p>
        </w:tc>
        <w:tc>
          <w:tcPr>
            <w:tcW w:w="1550" w:type="dxa"/>
            <w:vMerge w:val="continue"/>
            <w:tcBorders>
              <w:tl2br w:val="nil"/>
              <w:tr2bl w:val="nil"/>
            </w:tcBorders>
            <w:vAlign w:val="center"/>
          </w:tcPr>
          <w:p w14:paraId="083ECA0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vAlign w:val="center"/>
          </w:tcPr>
          <w:p w14:paraId="56B7C44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tcBorders>
              <w:tl2br w:val="nil"/>
              <w:tr2bl w:val="nil"/>
            </w:tcBorders>
            <w:vAlign w:val="center"/>
          </w:tcPr>
          <w:p w14:paraId="0EB9765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一般情节</w:t>
            </w:r>
          </w:p>
        </w:tc>
        <w:tc>
          <w:tcPr>
            <w:tcW w:w="3437" w:type="dxa"/>
            <w:gridSpan w:val="2"/>
            <w:tcBorders>
              <w:tl2br w:val="nil"/>
              <w:tr2bl w:val="nil"/>
            </w:tcBorders>
            <w:vAlign w:val="center"/>
          </w:tcPr>
          <w:p w14:paraId="296A740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擅自在2台建筑起重机械上安装非原制造厂制造的标准节或附着装置的。</w:t>
            </w:r>
          </w:p>
        </w:tc>
        <w:tc>
          <w:tcPr>
            <w:tcW w:w="3058" w:type="dxa"/>
            <w:tcBorders>
              <w:tl2br w:val="nil"/>
              <w:tr2bl w:val="nil"/>
            </w:tcBorders>
            <w:vAlign w:val="center"/>
          </w:tcPr>
          <w:p w14:paraId="51AA94A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责令限期改正，予以警告，处1万元以上2万元以下的罚款。</w:t>
            </w:r>
          </w:p>
        </w:tc>
      </w:tr>
      <w:tr w14:paraId="3066CE3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453" w:hRule="atLeast"/>
          <w:jc w:val="center"/>
        </w:trPr>
        <w:tc>
          <w:tcPr>
            <w:tcW w:w="443" w:type="dxa"/>
            <w:gridSpan w:val="2"/>
            <w:vMerge w:val="continue"/>
            <w:tcBorders>
              <w:tl2br w:val="nil"/>
              <w:tr2bl w:val="nil"/>
            </w:tcBorders>
            <w:vAlign w:val="center"/>
          </w:tcPr>
          <w:p w14:paraId="0EFA71E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color w:val="auto"/>
                <w:kern w:val="0"/>
                <w:sz w:val="13"/>
                <w:szCs w:val="13"/>
                <w:highlight w:val="none"/>
              </w:rPr>
            </w:pPr>
          </w:p>
        </w:tc>
        <w:tc>
          <w:tcPr>
            <w:tcW w:w="1550" w:type="dxa"/>
            <w:vMerge w:val="continue"/>
            <w:tcBorders>
              <w:tl2br w:val="nil"/>
              <w:tr2bl w:val="nil"/>
            </w:tcBorders>
            <w:vAlign w:val="center"/>
          </w:tcPr>
          <w:p w14:paraId="47876ED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vAlign w:val="center"/>
          </w:tcPr>
          <w:p w14:paraId="782E36B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tcBorders>
              <w:tl2br w:val="nil"/>
              <w:tr2bl w:val="nil"/>
            </w:tcBorders>
            <w:vAlign w:val="center"/>
          </w:tcPr>
          <w:p w14:paraId="6AE75C2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从重情节</w:t>
            </w:r>
          </w:p>
        </w:tc>
        <w:tc>
          <w:tcPr>
            <w:tcW w:w="3437" w:type="dxa"/>
            <w:gridSpan w:val="2"/>
            <w:tcBorders>
              <w:tl2br w:val="nil"/>
              <w:tr2bl w:val="nil"/>
            </w:tcBorders>
            <w:vAlign w:val="center"/>
          </w:tcPr>
          <w:p w14:paraId="650FCB2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擅自在3台以上建筑起重机械上安装非原制造厂制造的标准节或附着装置的；或造成一般以上安全事故的。</w:t>
            </w:r>
          </w:p>
        </w:tc>
        <w:tc>
          <w:tcPr>
            <w:tcW w:w="3058" w:type="dxa"/>
            <w:tcBorders>
              <w:tl2br w:val="nil"/>
              <w:tr2bl w:val="nil"/>
            </w:tcBorders>
            <w:vAlign w:val="center"/>
          </w:tcPr>
          <w:p w14:paraId="614053A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责令限期改正，予以警告，处2万元以上3万元以下的罚款。</w:t>
            </w:r>
          </w:p>
        </w:tc>
      </w:tr>
      <w:tr w14:paraId="1D6E4D5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8" w:hRule="atLeast"/>
          <w:jc w:val="center"/>
        </w:trPr>
        <w:tc>
          <w:tcPr>
            <w:tcW w:w="443" w:type="dxa"/>
            <w:gridSpan w:val="2"/>
            <w:vMerge w:val="restart"/>
            <w:tcBorders>
              <w:tl2br w:val="nil"/>
              <w:tr2bl w:val="nil"/>
            </w:tcBorders>
            <w:vAlign w:val="center"/>
          </w:tcPr>
          <w:p w14:paraId="22FDFFAC">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Times New Roman"/>
                <w:color w:val="auto"/>
                <w:kern w:val="0"/>
                <w:sz w:val="13"/>
                <w:szCs w:val="13"/>
                <w:highlight w:val="none"/>
                <w:lang w:val="en-US"/>
              </w:rPr>
            </w:pPr>
            <w:r>
              <w:rPr>
                <w:rFonts w:hint="default" w:ascii="仿宋_GB2312" w:hAnsi="宋体" w:eastAsia="仿宋_GB2312" w:cs="仿宋_GB2312"/>
                <w:i w:val="0"/>
                <w:color w:val="auto"/>
                <w:kern w:val="0"/>
                <w:sz w:val="13"/>
                <w:szCs w:val="13"/>
                <w:highlight w:val="none"/>
                <w:u w:val="none"/>
                <w:lang w:val="en-US" w:eastAsia="zh-CN" w:bidi="ar"/>
              </w:rPr>
              <w:t>1</w:t>
            </w:r>
            <w:r>
              <w:rPr>
                <w:rFonts w:hint="eastAsia" w:ascii="仿宋_GB2312" w:hAnsi="宋体" w:eastAsia="仿宋_GB2312" w:cs="仿宋_GB2312"/>
                <w:i w:val="0"/>
                <w:color w:val="auto"/>
                <w:kern w:val="0"/>
                <w:sz w:val="13"/>
                <w:szCs w:val="13"/>
                <w:highlight w:val="none"/>
                <w:u w:val="none"/>
                <w:lang w:val="en-US" w:eastAsia="zh-CN" w:bidi="ar"/>
              </w:rPr>
              <w:t>86</w:t>
            </w:r>
          </w:p>
        </w:tc>
        <w:tc>
          <w:tcPr>
            <w:tcW w:w="1550" w:type="dxa"/>
            <w:vMerge w:val="restart"/>
            <w:tcBorders>
              <w:tl2br w:val="nil"/>
              <w:tr2bl w:val="nil"/>
            </w:tcBorders>
            <w:vAlign w:val="center"/>
          </w:tcPr>
          <w:p w14:paraId="7D8A1D01">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p>
          <w:p w14:paraId="7560E41C">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p>
          <w:p w14:paraId="70244B7F">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施工总承包单位未向安装单位提供拟安装设备位置的基础施工资料，未能确保建筑起重机械进场安装、拆卸所需的施工条件的</w:t>
            </w:r>
          </w:p>
        </w:tc>
        <w:tc>
          <w:tcPr>
            <w:tcW w:w="4820" w:type="dxa"/>
            <w:vMerge w:val="restart"/>
            <w:tcBorders>
              <w:tl2br w:val="nil"/>
              <w:tr2bl w:val="nil"/>
            </w:tcBorders>
            <w:vAlign w:val="center"/>
          </w:tcPr>
          <w:p w14:paraId="371D7B61">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p w14:paraId="5E19D426">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r>
              <w:rPr>
                <w:rFonts w:ascii="仿宋_GB2312" w:hAnsi="宋体" w:eastAsia="仿宋_GB2312"/>
                <w:color w:val="auto"/>
                <w:kern w:val="0"/>
                <w:sz w:val="13"/>
                <w:szCs w:val="13"/>
                <w:highlight w:val="none"/>
              </w:rPr>
              <w:t>《建筑起重机械安全监督管理规定》</w:t>
            </w:r>
          </w:p>
          <w:p w14:paraId="02B85EB9">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第三十一条违反本规定，施工总承包单位未履行第二十一条第（一）、（三）、（四）、（五）、（七）项安全职责的，由县级以上地方人民政府建设主管部门责令限期改正，予以警告，并处以5</w:t>
            </w:r>
            <w:r>
              <w:rPr>
                <w:rFonts w:ascii="仿宋_GB2312" w:hAnsi="宋体" w:eastAsia="仿宋_GB2312"/>
                <w:color w:val="auto"/>
                <w:kern w:val="0"/>
                <w:sz w:val="13"/>
                <w:szCs w:val="13"/>
                <w:highlight w:val="none"/>
              </w:rPr>
              <w:t>000</w:t>
            </w:r>
            <w:r>
              <w:rPr>
                <w:rFonts w:hint="eastAsia" w:ascii="仿宋_GB2312" w:hAnsi="宋体" w:eastAsia="仿宋_GB2312"/>
                <w:color w:val="auto"/>
                <w:kern w:val="0"/>
                <w:sz w:val="13"/>
                <w:szCs w:val="13"/>
                <w:highlight w:val="none"/>
              </w:rPr>
              <w:t>元以上3万元以下罚款。</w:t>
            </w:r>
          </w:p>
          <w:p w14:paraId="02568260">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第二十一条</w:t>
            </w:r>
            <w:r>
              <w:rPr>
                <w:rFonts w:hint="eastAsia" w:ascii="仿宋_GB2312" w:hAnsi="宋体" w:eastAsia="仿宋_GB2312"/>
                <w:color w:val="auto"/>
                <w:kern w:val="0"/>
                <w:sz w:val="13"/>
                <w:szCs w:val="13"/>
                <w:highlight w:val="none"/>
                <w:lang w:eastAsia="zh-CN"/>
              </w:rPr>
              <w:t>（</w:t>
            </w:r>
            <w:r>
              <w:rPr>
                <w:rFonts w:hint="eastAsia" w:ascii="仿宋_GB2312" w:hAnsi="宋体" w:eastAsia="仿宋_GB2312"/>
                <w:color w:val="auto"/>
                <w:kern w:val="0"/>
                <w:sz w:val="13"/>
                <w:szCs w:val="13"/>
                <w:highlight w:val="none"/>
                <w:lang w:val="en-US" w:eastAsia="zh-CN"/>
              </w:rPr>
              <w:t>一</w:t>
            </w:r>
            <w:r>
              <w:rPr>
                <w:rFonts w:hint="eastAsia" w:ascii="仿宋_GB2312" w:hAnsi="宋体" w:eastAsia="仿宋_GB2312"/>
                <w:color w:val="auto"/>
                <w:kern w:val="0"/>
                <w:sz w:val="13"/>
                <w:szCs w:val="13"/>
                <w:highlight w:val="none"/>
                <w:lang w:eastAsia="zh-CN"/>
              </w:rPr>
              <w:t>）</w:t>
            </w:r>
            <w:r>
              <w:rPr>
                <w:rFonts w:hint="eastAsia" w:ascii="仿宋_GB2312" w:hAnsi="宋体" w:eastAsia="仿宋_GB2312"/>
                <w:color w:val="auto"/>
                <w:kern w:val="0"/>
                <w:sz w:val="13"/>
                <w:szCs w:val="13"/>
                <w:highlight w:val="none"/>
                <w:lang w:val="en-US" w:eastAsia="zh-CN"/>
              </w:rPr>
              <w:t>项</w:t>
            </w:r>
            <w:r>
              <w:rPr>
                <w:rFonts w:hint="eastAsia" w:ascii="仿宋_GB2312" w:hAnsi="宋体" w:eastAsia="仿宋_GB2312"/>
                <w:color w:val="auto"/>
                <w:kern w:val="0"/>
                <w:sz w:val="13"/>
                <w:szCs w:val="13"/>
                <w:highlight w:val="none"/>
              </w:rPr>
              <w:t>施工总承包单位应当履行下列安全职责：</w:t>
            </w:r>
          </w:p>
          <w:p w14:paraId="58E9A92E">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（一）向安装单位提供拟安装设备位置的基础施工资料，确保建筑起重机械进场安装、拆卸所需的施工条件；</w:t>
            </w:r>
          </w:p>
        </w:tc>
        <w:tc>
          <w:tcPr>
            <w:tcW w:w="823" w:type="dxa"/>
            <w:tcBorders>
              <w:tl2br w:val="nil"/>
              <w:tr2bl w:val="nil"/>
            </w:tcBorders>
            <w:vAlign w:val="center"/>
          </w:tcPr>
          <w:p w14:paraId="420F4DC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vAlign w:val="center"/>
          </w:tcPr>
          <w:p w14:paraId="2EE5620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未提供1台拟安装设备位置的基础施工资料，未确保1台建筑起重机械进场安装、拆卸所需的施工条件。</w:t>
            </w:r>
          </w:p>
        </w:tc>
        <w:tc>
          <w:tcPr>
            <w:tcW w:w="3058" w:type="dxa"/>
            <w:tcBorders>
              <w:tl2br w:val="nil"/>
              <w:tr2bl w:val="nil"/>
            </w:tcBorders>
            <w:vAlign w:val="center"/>
          </w:tcPr>
          <w:p w14:paraId="42B536E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责令限期改正，予以警告，处5千元以上1万元以下的罚款。</w:t>
            </w:r>
          </w:p>
        </w:tc>
      </w:tr>
      <w:tr w14:paraId="7312C1A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8" w:hRule="atLeast"/>
          <w:jc w:val="center"/>
        </w:trPr>
        <w:tc>
          <w:tcPr>
            <w:tcW w:w="443" w:type="dxa"/>
            <w:gridSpan w:val="2"/>
            <w:vMerge w:val="continue"/>
            <w:tcBorders>
              <w:tl2br w:val="nil"/>
              <w:tr2bl w:val="nil"/>
            </w:tcBorders>
            <w:vAlign w:val="center"/>
          </w:tcPr>
          <w:p w14:paraId="70123FF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color w:val="auto"/>
                <w:kern w:val="0"/>
                <w:sz w:val="13"/>
                <w:szCs w:val="13"/>
                <w:highlight w:val="none"/>
              </w:rPr>
            </w:pPr>
          </w:p>
        </w:tc>
        <w:tc>
          <w:tcPr>
            <w:tcW w:w="1550" w:type="dxa"/>
            <w:vMerge w:val="continue"/>
            <w:tcBorders>
              <w:tl2br w:val="nil"/>
              <w:tr2bl w:val="nil"/>
            </w:tcBorders>
            <w:vAlign w:val="center"/>
          </w:tcPr>
          <w:p w14:paraId="1148D1A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24AB268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823" w:type="dxa"/>
            <w:tcBorders>
              <w:tl2br w:val="nil"/>
              <w:tr2bl w:val="nil"/>
            </w:tcBorders>
            <w:vAlign w:val="center"/>
          </w:tcPr>
          <w:p w14:paraId="7FAD3F9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一般情节</w:t>
            </w:r>
          </w:p>
        </w:tc>
        <w:tc>
          <w:tcPr>
            <w:tcW w:w="3437" w:type="dxa"/>
            <w:gridSpan w:val="2"/>
            <w:tcBorders>
              <w:tl2br w:val="nil"/>
              <w:tr2bl w:val="nil"/>
            </w:tcBorders>
            <w:vAlign w:val="center"/>
          </w:tcPr>
          <w:p w14:paraId="1D73D36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未提供2台拟安装设备位置的基础施工资料，未确保2台建筑起重机械进场安装、拆卸所需的施工条件。</w:t>
            </w:r>
          </w:p>
        </w:tc>
        <w:tc>
          <w:tcPr>
            <w:tcW w:w="3058" w:type="dxa"/>
            <w:tcBorders>
              <w:tl2br w:val="nil"/>
              <w:tr2bl w:val="nil"/>
            </w:tcBorders>
            <w:vAlign w:val="center"/>
          </w:tcPr>
          <w:p w14:paraId="5016074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责令限期改正，予以警告，处1万元以上2万元以下的罚款。</w:t>
            </w:r>
          </w:p>
        </w:tc>
      </w:tr>
      <w:tr w14:paraId="7CCFE8C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16" w:hRule="atLeast"/>
          <w:jc w:val="center"/>
        </w:trPr>
        <w:tc>
          <w:tcPr>
            <w:tcW w:w="443" w:type="dxa"/>
            <w:gridSpan w:val="2"/>
            <w:vMerge w:val="continue"/>
            <w:tcBorders>
              <w:tl2br w:val="nil"/>
              <w:tr2bl w:val="nil"/>
            </w:tcBorders>
            <w:vAlign w:val="center"/>
          </w:tcPr>
          <w:p w14:paraId="46E4A64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color w:val="auto"/>
                <w:kern w:val="0"/>
                <w:sz w:val="13"/>
                <w:szCs w:val="13"/>
                <w:highlight w:val="none"/>
              </w:rPr>
            </w:pPr>
          </w:p>
        </w:tc>
        <w:tc>
          <w:tcPr>
            <w:tcW w:w="1550" w:type="dxa"/>
            <w:vMerge w:val="continue"/>
            <w:tcBorders>
              <w:tl2br w:val="nil"/>
              <w:tr2bl w:val="nil"/>
            </w:tcBorders>
            <w:vAlign w:val="center"/>
          </w:tcPr>
          <w:p w14:paraId="5885AD4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788B63C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823" w:type="dxa"/>
            <w:tcBorders>
              <w:tl2br w:val="nil"/>
              <w:tr2bl w:val="nil"/>
            </w:tcBorders>
            <w:vAlign w:val="center"/>
          </w:tcPr>
          <w:p w14:paraId="50CED56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从重情节</w:t>
            </w:r>
          </w:p>
        </w:tc>
        <w:tc>
          <w:tcPr>
            <w:tcW w:w="3437" w:type="dxa"/>
            <w:gridSpan w:val="2"/>
            <w:tcBorders>
              <w:tl2br w:val="nil"/>
              <w:tr2bl w:val="nil"/>
            </w:tcBorders>
            <w:vAlign w:val="center"/>
          </w:tcPr>
          <w:p w14:paraId="751097D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未提供3台以上拟安装设备位置的基础施工资料，未确保3台以上建筑起重机械进场安装、拆卸所需的施工条件；或造成一定后果影响的。</w:t>
            </w:r>
          </w:p>
        </w:tc>
        <w:tc>
          <w:tcPr>
            <w:tcW w:w="3058" w:type="dxa"/>
            <w:tcBorders>
              <w:tl2br w:val="nil"/>
              <w:tr2bl w:val="nil"/>
            </w:tcBorders>
            <w:vAlign w:val="center"/>
          </w:tcPr>
          <w:p w14:paraId="5E79F2F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责令限期改正，予以警告，处2万元以上3万元以下的罚款。</w:t>
            </w:r>
          </w:p>
        </w:tc>
      </w:tr>
      <w:tr w14:paraId="2F9DA86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16" w:hRule="atLeast"/>
          <w:jc w:val="center"/>
        </w:trPr>
        <w:tc>
          <w:tcPr>
            <w:tcW w:w="443" w:type="dxa"/>
            <w:gridSpan w:val="2"/>
            <w:vMerge w:val="restart"/>
            <w:tcBorders>
              <w:tl2br w:val="nil"/>
              <w:tr2bl w:val="nil"/>
            </w:tcBorders>
            <w:vAlign w:val="center"/>
          </w:tcPr>
          <w:p w14:paraId="792055C6">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Times New Roman"/>
                <w:color w:val="auto"/>
                <w:kern w:val="0"/>
                <w:sz w:val="13"/>
                <w:szCs w:val="13"/>
                <w:highlight w:val="none"/>
                <w:lang w:val="en-US"/>
              </w:rPr>
            </w:pPr>
            <w:r>
              <w:rPr>
                <w:rFonts w:hint="default" w:ascii="仿宋_GB2312" w:hAnsi="宋体" w:eastAsia="仿宋_GB2312" w:cs="仿宋_GB2312"/>
                <w:i w:val="0"/>
                <w:color w:val="auto"/>
                <w:kern w:val="0"/>
                <w:sz w:val="13"/>
                <w:szCs w:val="13"/>
                <w:highlight w:val="none"/>
                <w:u w:val="none"/>
                <w:lang w:val="en-US" w:eastAsia="zh-CN" w:bidi="ar"/>
              </w:rPr>
              <w:t>1</w:t>
            </w:r>
            <w:r>
              <w:rPr>
                <w:rFonts w:hint="eastAsia" w:ascii="仿宋_GB2312" w:hAnsi="宋体" w:eastAsia="仿宋_GB2312" w:cs="仿宋_GB2312"/>
                <w:i w:val="0"/>
                <w:color w:val="auto"/>
                <w:kern w:val="0"/>
                <w:sz w:val="13"/>
                <w:szCs w:val="13"/>
                <w:highlight w:val="none"/>
                <w:u w:val="none"/>
                <w:lang w:val="en-US" w:eastAsia="zh-CN" w:bidi="ar"/>
              </w:rPr>
              <w:t>87</w:t>
            </w:r>
          </w:p>
        </w:tc>
        <w:tc>
          <w:tcPr>
            <w:tcW w:w="1550" w:type="dxa"/>
            <w:vMerge w:val="restart"/>
            <w:tcBorders>
              <w:tl2br w:val="nil"/>
              <w:tr2bl w:val="nil"/>
            </w:tcBorders>
            <w:vAlign w:val="center"/>
          </w:tcPr>
          <w:p w14:paraId="54D61649">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施工总承包单位未审核安装单位、使用单位的资质证书、安全生产许可证和特种作业人员的特种作业操作资格证书的</w:t>
            </w:r>
          </w:p>
        </w:tc>
        <w:tc>
          <w:tcPr>
            <w:tcW w:w="4820" w:type="dxa"/>
            <w:vMerge w:val="restart"/>
            <w:tcBorders>
              <w:tl2br w:val="nil"/>
              <w:tr2bl w:val="nil"/>
            </w:tcBorders>
            <w:vAlign w:val="center"/>
          </w:tcPr>
          <w:p w14:paraId="1663041F">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r>
              <w:rPr>
                <w:rFonts w:ascii="仿宋_GB2312" w:hAnsi="宋体" w:eastAsia="仿宋_GB2312"/>
                <w:color w:val="auto"/>
                <w:kern w:val="0"/>
                <w:sz w:val="13"/>
                <w:szCs w:val="13"/>
                <w:highlight w:val="none"/>
              </w:rPr>
              <w:t>《建筑起重机械安全监督管理规定》</w:t>
            </w:r>
          </w:p>
          <w:p w14:paraId="75302981">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第三十一条违反本规定，施工总承包单位未履行第二十一条第（一）、（三）、（四）、（五）、（七）项安全职责的，由县级以上地方人民政府建设主管部门责令限期改正，予以警告，并处以5</w:t>
            </w:r>
            <w:r>
              <w:rPr>
                <w:rFonts w:ascii="仿宋_GB2312" w:hAnsi="宋体" w:eastAsia="仿宋_GB2312"/>
                <w:color w:val="auto"/>
                <w:kern w:val="0"/>
                <w:sz w:val="13"/>
                <w:szCs w:val="13"/>
                <w:highlight w:val="none"/>
              </w:rPr>
              <w:t>000</w:t>
            </w:r>
            <w:r>
              <w:rPr>
                <w:rFonts w:hint="eastAsia" w:ascii="仿宋_GB2312" w:hAnsi="宋体" w:eastAsia="仿宋_GB2312"/>
                <w:color w:val="auto"/>
                <w:kern w:val="0"/>
                <w:sz w:val="13"/>
                <w:szCs w:val="13"/>
                <w:highlight w:val="none"/>
              </w:rPr>
              <w:t>元以上3万元以下罚款。</w:t>
            </w:r>
          </w:p>
          <w:p w14:paraId="21760540">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第二十一条</w:t>
            </w:r>
            <w:r>
              <w:rPr>
                <w:rFonts w:hint="eastAsia" w:ascii="仿宋_GB2312" w:hAnsi="宋体" w:eastAsia="仿宋_GB2312"/>
                <w:color w:val="auto"/>
                <w:kern w:val="0"/>
                <w:sz w:val="13"/>
                <w:szCs w:val="13"/>
                <w:highlight w:val="none"/>
                <w:lang w:eastAsia="zh-CN"/>
              </w:rPr>
              <w:t>（</w:t>
            </w:r>
            <w:r>
              <w:rPr>
                <w:rFonts w:hint="eastAsia" w:ascii="仿宋_GB2312" w:hAnsi="宋体" w:eastAsia="仿宋_GB2312"/>
                <w:color w:val="auto"/>
                <w:kern w:val="0"/>
                <w:sz w:val="13"/>
                <w:szCs w:val="13"/>
                <w:highlight w:val="none"/>
                <w:lang w:val="en-US" w:eastAsia="zh-CN"/>
              </w:rPr>
              <w:t>三</w:t>
            </w:r>
            <w:r>
              <w:rPr>
                <w:rFonts w:hint="eastAsia" w:ascii="仿宋_GB2312" w:hAnsi="宋体" w:eastAsia="仿宋_GB2312"/>
                <w:color w:val="auto"/>
                <w:kern w:val="0"/>
                <w:sz w:val="13"/>
                <w:szCs w:val="13"/>
                <w:highlight w:val="none"/>
                <w:lang w:eastAsia="zh-CN"/>
              </w:rPr>
              <w:t>）</w:t>
            </w:r>
            <w:r>
              <w:rPr>
                <w:rFonts w:hint="eastAsia" w:ascii="仿宋_GB2312" w:hAnsi="宋体" w:eastAsia="仿宋_GB2312"/>
                <w:color w:val="auto"/>
                <w:kern w:val="0"/>
                <w:sz w:val="13"/>
                <w:szCs w:val="13"/>
                <w:highlight w:val="none"/>
                <w:lang w:val="en-US" w:eastAsia="zh-CN"/>
              </w:rPr>
              <w:t>项</w:t>
            </w:r>
            <w:r>
              <w:rPr>
                <w:rFonts w:hint="eastAsia" w:ascii="仿宋_GB2312" w:hAnsi="宋体" w:eastAsia="仿宋_GB2312"/>
                <w:color w:val="auto"/>
                <w:kern w:val="0"/>
                <w:sz w:val="13"/>
                <w:szCs w:val="13"/>
                <w:highlight w:val="none"/>
              </w:rPr>
              <w:t>　施工总承包单位应当履行下列安全职责：</w:t>
            </w:r>
          </w:p>
          <w:p w14:paraId="725A0C22">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（三）审核安装单位、使用单位的资质证书、安全生产许可证和特种作业人员的特种作业操作资格证书；</w:t>
            </w:r>
          </w:p>
        </w:tc>
        <w:tc>
          <w:tcPr>
            <w:tcW w:w="823" w:type="dxa"/>
            <w:tcBorders>
              <w:tl2br w:val="nil"/>
              <w:tr2bl w:val="nil"/>
            </w:tcBorders>
            <w:vAlign w:val="center"/>
          </w:tcPr>
          <w:p w14:paraId="6E509AD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vAlign w:val="center"/>
          </w:tcPr>
          <w:p w14:paraId="7857CCA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安装单位、使用单位的资质证书、安全生产许可证和特种作业人员的特种作业操作资格证书合乎要求，施工总承包单位未审核的。</w:t>
            </w:r>
          </w:p>
        </w:tc>
        <w:tc>
          <w:tcPr>
            <w:tcW w:w="3058" w:type="dxa"/>
            <w:tcBorders>
              <w:tl2br w:val="nil"/>
              <w:tr2bl w:val="nil"/>
            </w:tcBorders>
            <w:vAlign w:val="center"/>
          </w:tcPr>
          <w:p w14:paraId="5174AA8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责令限期改正，予以警告，处5千元以上1万元以下的罚款。</w:t>
            </w:r>
          </w:p>
        </w:tc>
      </w:tr>
      <w:tr w14:paraId="71E6E55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16" w:hRule="atLeast"/>
          <w:jc w:val="center"/>
        </w:trPr>
        <w:tc>
          <w:tcPr>
            <w:tcW w:w="443" w:type="dxa"/>
            <w:gridSpan w:val="2"/>
            <w:vMerge w:val="continue"/>
            <w:tcBorders>
              <w:tl2br w:val="nil"/>
              <w:tr2bl w:val="nil"/>
            </w:tcBorders>
            <w:vAlign w:val="center"/>
          </w:tcPr>
          <w:p w14:paraId="7792A63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color w:val="auto"/>
                <w:kern w:val="0"/>
                <w:sz w:val="13"/>
                <w:szCs w:val="13"/>
                <w:highlight w:val="none"/>
              </w:rPr>
            </w:pPr>
          </w:p>
        </w:tc>
        <w:tc>
          <w:tcPr>
            <w:tcW w:w="1550" w:type="dxa"/>
            <w:vMerge w:val="continue"/>
            <w:tcBorders>
              <w:tl2br w:val="nil"/>
              <w:tr2bl w:val="nil"/>
            </w:tcBorders>
            <w:vAlign w:val="center"/>
          </w:tcPr>
          <w:p w14:paraId="53414D8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vAlign w:val="center"/>
          </w:tcPr>
          <w:p w14:paraId="75D4001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tcBorders>
              <w:tl2br w:val="nil"/>
              <w:tr2bl w:val="nil"/>
            </w:tcBorders>
            <w:vAlign w:val="center"/>
          </w:tcPr>
          <w:p w14:paraId="34A1C25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一般情节</w:t>
            </w:r>
          </w:p>
        </w:tc>
        <w:tc>
          <w:tcPr>
            <w:tcW w:w="3437" w:type="dxa"/>
            <w:gridSpan w:val="2"/>
            <w:tcBorders>
              <w:tl2br w:val="nil"/>
              <w:tr2bl w:val="nil"/>
            </w:tcBorders>
            <w:vAlign w:val="center"/>
          </w:tcPr>
          <w:p w14:paraId="6AF36DA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安装单位、使用单位的资质证书、安全生产许可证和特种作业人员的特种作业操作资格证书不全，施工总承包单位未审核的。</w:t>
            </w:r>
          </w:p>
        </w:tc>
        <w:tc>
          <w:tcPr>
            <w:tcW w:w="3058" w:type="dxa"/>
            <w:tcBorders>
              <w:tl2br w:val="nil"/>
              <w:tr2bl w:val="nil"/>
            </w:tcBorders>
            <w:vAlign w:val="center"/>
          </w:tcPr>
          <w:p w14:paraId="7C293C4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责令限期改正，予以警告，处1万元以上2万元以下的罚款。</w:t>
            </w:r>
          </w:p>
        </w:tc>
      </w:tr>
      <w:tr w14:paraId="3FD1140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8" w:hRule="atLeast"/>
          <w:jc w:val="center"/>
        </w:trPr>
        <w:tc>
          <w:tcPr>
            <w:tcW w:w="443" w:type="dxa"/>
            <w:gridSpan w:val="2"/>
            <w:vMerge w:val="continue"/>
            <w:tcBorders>
              <w:tl2br w:val="nil"/>
              <w:tr2bl w:val="nil"/>
            </w:tcBorders>
            <w:vAlign w:val="center"/>
          </w:tcPr>
          <w:p w14:paraId="6FF4860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color w:val="auto"/>
                <w:kern w:val="0"/>
                <w:sz w:val="13"/>
                <w:szCs w:val="13"/>
                <w:highlight w:val="none"/>
              </w:rPr>
            </w:pPr>
          </w:p>
        </w:tc>
        <w:tc>
          <w:tcPr>
            <w:tcW w:w="1550" w:type="dxa"/>
            <w:vMerge w:val="continue"/>
            <w:tcBorders>
              <w:tl2br w:val="nil"/>
              <w:tr2bl w:val="nil"/>
            </w:tcBorders>
            <w:vAlign w:val="center"/>
          </w:tcPr>
          <w:p w14:paraId="4D5A987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vAlign w:val="center"/>
          </w:tcPr>
          <w:p w14:paraId="0FC3A7C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tcBorders>
              <w:tl2br w:val="nil"/>
              <w:tr2bl w:val="nil"/>
            </w:tcBorders>
            <w:vAlign w:val="center"/>
          </w:tcPr>
          <w:p w14:paraId="2001986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从重情节</w:t>
            </w:r>
          </w:p>
        </w:tc>
        <w:tc>
          <w:tcPr>
            <w:tcW w:w="3437" w:type="dxa"/>
            <w:gridSpan w:val="2"/>
            <w:tcBorders>
              <w:tl2br w:val="nil"/>
              <w:tr2bl w:val="nil"/>
            </w:tcBorders>
            <w:vAlign w:val="center"/>
          </w:tcPr>
          <w:p w14:paraId="70B702C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安装单位、使用单位无资质证书、安全生产许可证和特种作业人员无特种作业操作资格证书，施工总承包单位未审核的。</w:t>
            </w:r>
          </w:p>
        </w:tc>
        <w:tc>
          <w:tcPr>
            <w:tcW w:w="3058" w:type="dxa"/>
            <w:tcBorders>
              <w:tl2br w:val="nil"/>
              <w:tr2bl w:val="nil"/>
            </w:tcBorders>
            <w:vAlign w:val="center"/>
          </w:tcPr>
          <w:p w14:paraId="51F2CD6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责令限期改正，予以警告，处2万元以上3万元以下的罚款。</w:t>
            </w:r>
          </w:p>
        </w:tc>
      </w:tr>
      <w:tr w14:paraId="24C9029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8" w:hRule="atLeast"/>
          <w:jc w:val="center"/>
        </w:trPr>
        <w:tc>
          <w:tcPr>
            <w:tcW w:w="443" w:type="dxa"/>
            <w:gridSpan w:val="2"/>
            <w:vMerge w:val="restart"/>
            <w:tcBorders>
              <w:tl2br w:val="nil"/>
              <w:tr2bl w:val="nil"/>
            </w:tcBorders>
            <w:vAlign w:val="center"/>
          </w:tcPr>
          <w:p w14:paraId="1C0F25E6">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Times New Roman"/>
                <w:color w:val="auto"/>
                <w:kern w:val="0"/>
                <w:sz w:val="13"/>
                <w:szCs w:val="13"/>
                <w:highlight w:val="none"/>
                <w:lang w:val="en-US"/>
              </w:rPr>
            </w:pPr>
            <w:r>
              <w:rPr>
                <w:rFonts w:hint="default" w:ascii="仿宋_GB2312" w:hAnsi="宋体" w:eastAsia="仿宋_GB2312" w:cs="仿宋_GB2312"/>
                <w:i w:val="0"/>
                <w:color w:val="auto"/>
                <w:kern w:val="0"/>
                <w:sz w:val="13"/>
                <w:szCs w:val="13"/>
                <w:highlight w:val="none"/>
                <w:u w:val="none"/>
                <w:lang w:val="en-US" w:eastAsia="zh-CN" w:bidi="ar"/>
              </w:rPr>
              <w:t>1</w:t>
            </w:r>
            <w:r>
              <w:rPr>
                <w:rFonts w:hint="eastAsia" w:ascii="仿宋_GB2312" w:hAnsi="宋体" w:eastAsia="仿宋_GB2312" w:cs="仿宋_GB2312"/>
                <w:i w:val="0"/>
                <w:color w:val="auto"/>
                <w:kern w:val="0"/>
                <w:sz w:val="13"/>
                <w:szCs w:val="13"/>
                <w:highlight w:val="none"/>
                <w:u w:val="none"/>
                <w:lang w:val="en-US" w:eastAsia="zh-CN" w:bidi="ar"/>
              </w:rPr>
              <w:t>88</w:t>
            </w:r>
          </w:p>
        </w:tc>
        <w:tc>
          <w:tcPr>
            <w:tcW w:w="1550" w:type="dxa"/>
            <w:vMerge w:val="restart"/>
            <w:tcBorders>
              <w:tl2br w:val="nil"/>
              <w:tr2bl w:val="nil"/>
            </w:tcBorders>
            <w:vAlign w:val="center"/>
          </w:tcPr>
          <w:p w14:paraId="1E88612B">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施工总承包单位未审核安装单位制定的建筑起重机械安装、拆卸工程专项施工方案和生产安全事故应急救援预案的</w:t>
            </w:r>
          </w:p>
        </w:tc>
        <w:tc>
          <w:tcPr>
            <w:tcW w:w="4820" w:type="dxa"/>
            <w:vMerge w:val="restart"/>
            <w:tcBorders>
              <w:tl2br w:val="nil"/>
              <w:tr2bl w:val="nil"/>
            </w:tcBorders>
            <w:vAlign w:val="center"/>
          </w:tcPr>
          <w:p w14:paraId="52A41149">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r>
              <w:rPr>
                <w:rFonts w:ascii="仿宋_GB2312" w:hAnsi="宋体" w:eastAsia="仿宋_GB2312"/>
                <w:color w:val="auto"/>
                <w:kern w:val="0"/>
                <w:sz w:val="13"/>
                <w:szCs w:val="13"/>
                <w:highlight w:val="none"/>
              </w:rPr>
              <w:t>《建筑起重机械安全监督管理规定》</w:t>
            </w:r>
          </w:p>
          <w:p w14:paraId="6770D4B2">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第三十一条违反本规定，施工总承包单位未履行第二十一条第（一）、（三）、（四）、（五）、（七）项安全职责的，由县级以上地方人民政府建设主管部门责令限期改正，予以警告，并处以5</w:t>
            </w:r>
            <w:r>
              <w:rPr>
                <w:rFonts w:ascii="仿宋_GB2312" w:hAnsi="宋体" w:eastAsia="仿宋_GB2312"/>
                <w:color w:val="auto"/>
                <w:kern w:val="0"/>
                <w:sz w:val="13"/>
                <w:szCs w:val="13"/>
                <w:highlight w:val="none"/>
              </w:rPr>
              <w:t>000</w:t>
            </w:r>
            <w:r>
              <w:rPr>
                <w:rFonts w:hint="eastAsia" w:ascii="仿宋_GB2312" w:hAnsi="宋体" w:eastAsia="仿宋_GB2312"/>
                <w:color w:val="auto"/>
                <w:kern w:val="0"/>
                <w:sz w:val="13"/>
                <w:szCs w:val="13"/>
                <w:highlight w:val="none"/>
              </w:rPr>
              <w:t>元以上3万元以下罚款。</w:t>
            </w:r>
          </w:p>
          <w:p w14:paraId="3EF1B3BE">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第二十一条</w:t>
            </w:r>
            <w:r>
              <w:rPr>
                <w:rFonts w:hint="eastAsia" w:ascii="仿宋_GB2312" w:hAnsi="宋体" w:eastAsia="仿宋_GB2312"/>
                <w:color w:val="auto"/>
                <w:kern w:val="0"/>
                <w:sz w:val="13"/>
                <w:szCs w:val="13"/>
                <w:highlight w:val="none"/>
                <w:lang w:eastAsia="zh-CN"/>
              </w:rPr>
              <w:t>（</w:t>
            </w:r>
            <w:r>
              <w:rPr>
                <w:rFonts w:hint="eastAsia" w:ascii="仿宋_GB2312" w:hAnsi="宋体" w:eastAsia="仿宋_GB2312"/>
                <w:color w:val="auto"/>
                <w:kern w:val="0"/>
                <w:sz w:val="13"/>
                <w:szCs w:val="13"/>
                <w:highlight w:val="none"/>
                <w:lang w:val="en-US" w:eastAsia="zh-CN"/>
              </w:rPr>
              <w:t>四</w:t>
            </w:r>
            <w:r>
              <w:rPr>
                <w:rFonts w:hint="eastAsia" w:ascii="仿宋_GB2312" w:hAnsi="宋体" w:eastAsia="仿宋_GB2312"/>
                <w:color w:val="auto"/>
                <w:kern w:val="0"/>
                <w:sz w:val="13"/>
                <w:szCs w:val="13"/>
                <w:highlight w:val="none"/>
                <w:lang w:eastAsia="zh-CN"/>
              </w:rPr>
              <w:t>）</w:t>
            </w:r>
            <w:r>
              <w:rPr>
                <w:rFonts w:hint="eastAsia" w:ascii="仿宋_GB2312" w:hAnsi="宋体" w:eastAsia="仿宋_GB2312"/>
                <w:color w:val="auto"/>
                <w:kern w:val="0"/>
                <w:sz w:val="13"/>
                <w:szCs w:val="13"/>
                <w:highlight w:val="none"/>
                <w:lang w:val="en-US" w:eastAsia="zh-CN"/>
              </w:rPr>
              <w:t>项</w:t>
            </w:r>
            <w:r>
              <w:rPr>
                <w:rFonts w:hint="eastAsia" w:ascii="仿宋_GB2312" w:hAnsi="宋体" w:eastAsia="仿宋_GB2312"/>
                <w:color w:val="auto"/>
                <w:kern w:val="0"/>
                <w:sz w:val="13"/>
                <w:szCs w:val="13"/>
                <w:highlight w:val="none"/>
              </w:rPr>
              <w:t>　施工总承包单位应当履行下列安全职责：</w:t>
            </w:r>
          </w:p>
          <w:p w14:paraId="09306BB9">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（四）审核安装单位制定的建筑起重机械安装、拆卸工程专项施工方案和生产安全事故应急救援预案；</w:t>
            </w:r>
          </w:p>
        </w:tc>
        <w:tc>
          <w:tcPr>
            <w:tcW w:w="823" w:type="dxa"/>
            <w:tcBorders>
              <w:tl2br w:val="nil"/>
              <w:tr2bl w:val="nil"/>
            </w:tcBorders>
            <w:vAlign w:val="center"/>
          </w:tcPr>
          <w:p w14:paraId="4B6BF02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vAlign w:val="center"/>
          </w:tcPr>
          <w:p w14:paraId="3B641AC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施工总承包单位未审核1台建筑起重机械的安装、拆卸工程专项施工方案和生产安全事故应急救援预案的。</w:t>
            </w:r>
          </w:p>
        </w:tc>
        <w:tc>
          <w:tcPr>
            <w:tcW w:w="3058" w:type="dxa"/>
            <w:tcBorders>
              <w:tl2br w:val="nil"/>
              <w:tr2bl w:val="nil"/>
            </w:tcBorders>
            <w:vAlign w:val="center"/>
          </w:tcPr>
          <w:p w14:paraId="7754C05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责令限期改正，予以警告，处5千元以上1万元以下的罚款。</w:t>
            </w:r>
          </w:p>
        </w:tc>
      </w:tr>
      <w:tr w14:paraId="1793284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8" w:hRule="atLeast"/>
          <w:jc w:val="center"/>
        </w:trPr>
        <w:tc>
          <w:tcPr>
            <w:tcW w:w="443" w:type="dxa"/>
            <w:gridSpan w:val="2"/>
            <w:vMerge w:val="continue"/>
            <w:tcBorders>
              <w:tl2br w:val="nil"/>
              <w:tr2bl w:val="nil"/>
            </w:tcBorders>
            <w:vAlign w:val="center"/>
          </w:tcPr>
          <w:p w14:paraId="183B711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color w:val="auto"/>
                <w:kern w:val="0"/>
                <w:sz w:val="13"/>
                <w:szCs w:val="13"/>
                <w:highlight w:val="none"/>
              </w:rPr>
            </w:pPr>
          </w:p>
        </w:tc>
        <w:tc>
          <w:tcPr>
            <w:tcW w:w="1550" w:type="dxa"/>
            <w:vMerge w:val="continue"/>
            <w:tcBorders>
              <w:tl2br w:val="nil"/>
              <w:tr2bl w:val="nil"/>
            </w:tcBorders>
            <w:vAlign w:val="center"/>
          </w:tcPr>
          <w:p w14:paraId="11F9BFB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vAlign w:val="center"/>
          </w:tcPr>
          <w:p w14:paraId="2C6E0C9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tcBorders>
              <w:tl2br w:val="nil"/>
              <w:tr2bl w:val="nil"/>
            </w:tcBorders>
            <w:vAlign w:val="center"/>
          </w:tcPr>
          <w:p w14:paraId="609058F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一般情节</w:t>
            </w:r>
          </w:p>
        </w:tc>
        <w:tc>
          <w:tcPr>
            <w:tcW w:w="3437" w:type="dxa"/>
            <w:gridSpan w:val="2"/>
            <w:tcBorders>
              <w:tl2br w:val="nil"/>
              <w:tr2bl w:val="nil"/>
            </w:tcBorders>
            <w:vAlign w:val="center"/>
          </w:tcPr>
          <w:p w14:paraId="27B1A67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施工总承包单位未审核2台建筑起重机械的安装、拆卸工程专项施工方案和生产安全事故应急救援预案的。</w:t>
            </w:r>
          </w:p>
        </w:tc>
        <w:tc>
          <w:tcPr>
            <w:tcW w:w="3058" w:type="dxa"/>
            <w:tcBorders>
              <w:tl2br w:val="nil"/>
              <w:tr2bl w:val="nil"/>
            </w:tcBorders>
            <w:vAlign w:val="center"/>
          </w:tcPr>
          <w:p w14:paraId="60B616C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责令限期改正，予以警告，处1万元以上2万元以下的罚款。</w:t>
            </w:r>
          </w:p>
        </w:tc>
      </w:tr>
      <w:tr w14:paraId="3BFF3B4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16" w:hRule="atLeast"/>
          <w:jc w:val="center"/>
        </w:trPr>
        <w:tc>
          <w:tcPr>
            <w:tcW w:w="443" w:type="dxa"/>
            <w:gridSpan w:val="2"/>
            <w:vMerge w:val="continue"/>
            <w:tcBorders>
              <w:tl2br w:val="nil"/>
              <w:tr2bl w:val="nil"/>
            </w:tcBorders>
            <w:vAlign w:val="center"/>
          </w:tcPr>
          <w:p w14:paraId="0A27172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color w:val="auto"/>
                <w:kern w:val="0"/>
                <w:sz w:val="13"/>
                <w:szCs w:val="13"/>
                <w:highlight w:val="none"/>
              </w:rPr>
            </w:pPr>
          </w:p>
        </w:tc>
        <w:tc>
          <w:tcPr>
            <w:tcW w:w="1550" w:type="dxa"/>
            <w:vMerge w:val="continue"/>
            <w:tcBorders>
              <w:tl2br w:val="nil"/>
              <w:tr2bl w:val="nil"/>
            </w:tcBorders>
            <w:vAlign w:val="center"/>
          </w:tcPr>
          <w:p w14:paraId="36E695F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vAlign w:val="center"/>
          </w:tcPr>
          <w:p w14:paraId="2A066B6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tcBorders>
              <w:tl2br w:val="nil"/>
              <w:tr2bl w:val="nil"/>
            </w:tcBorders>
            <w:vAlign w:val="center"/>
          </w:tcPr>
          <w:p w14:paraId="114FAC9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从重情节</w:t>
            </w:r>
          </w:p>
        </w:tc>
        <w:tc>
          <w:tcPr>
            <w:tcW w:w="3437" w:type="dxa"/>
            <w:gridSpan w:val="2"/>
            <w:tcBorders>
              <w:tl2br w:val="nil"/>
              <w:tr2bl w:val="nil"/>
            </w:tcBorders>
            <w:vAlign w:val="center"/>
          </w:tcPr>
          <w:p w14:paraId="03123AA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施工总承包单位未审核3台以上建筑起重机械的安装、拆卸工程专项施工方案和生产安全事故应急救援预案或造成一定后果影响的。</w:t>
            </w:r>
          </w:p>
        </w:tc>
        <w:tc>
          <w:tcPr>
            <w:tcW w:w="3058" w:type="dxa"/>
            <w:tcBorders>
              <w:tl2br w:val="nil"/>
              <w:tr2bl w:val="nil"/>
            </w:tcBorders>
            <w:vAlign w:val="center"/>
          </w:tcPr>
          <w:p w14:paraId="175E46C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责令限期改正，予以警告，处2万元以上3万元以下的罚款。</w:t>
            </w:r>
          </w:p>
        </w:tc>
      </w:tr>
      <w:tr w14:paraId="3818113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8" w:hRule="atLeast"/>
          <w:jc w:val="center"/>
        </w:trPr>
        <w:tc>
          <w:tcPr>
            <w:tcW w:w="443" w:type="dxa"/>
            <w:gridSpan w:val="2"/>
            <w:vMerge w:val="restart"/>
            <w:tcBorders>
              <w:tl2br w:val="nil"/>
              <w:tr2bl w:val="nil"/>
            </w:tcBorders>
            <w:vAlign w:val="center"/>
          </w:tcPr>
          <w:p w14:paraId="59F83667">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Times New Roman"/>
                <w:color w:val="auto"/>
                <w:kern w:val="0"/>
                <w:sz w:val="13"/>
                <w:szCs w:val="13"/>
                <w:highlight w:val="none"/>
                <w:lang w:val="en-US"/>
              </w:rPr>
            </w:pPr>
            <w:r>
              <w:rPr>
                <w:rFonts w:hint="default" w:ascii="仿宋_GB2312" w:hAnsi="宋体" w:eastAsia="仿宋_GB2312" w:cs="仿宋_GB2312"/>
                <w:i w:val="0"/>
                <w:color w:val="auto"/>
                <w:kern w:val="0"/>
                <w:sz w:val="13"/>
                <w:szCs w:val="13"/>
                <w:highlight w:val="none"/>
                <w:u w:val="none"/>
                <w:lang w:val="en-US" w:eastAsia="zh-CN" w:bidi="ar"/>
              </w:rPr>
              <w:t>1</w:t>
            </w:r>
            <w:r>
              <w:rPr>
                <w:rFonts w:hint="eastAsia" w:ascii="仿宋_GB2312" w:hAnsi="宋体" w:eastAsia="仿宋_GB2312" w:cs="仿宋_GB2312"/>
                <w:i w:val="0"/>
                <w:color w:val="auto"/>
                <w:kern w:val="0"/>
                <w:sz w:val="13"/>
                <w:szCs w:val="13"/>
                <w:highlight w:val="none"/>
                <w:u w:val="none"/>
                <w:lang w:val="en-US" w:eastAsia="zh-CN" w:bidi="ar"/>
              </w:rPr>
              <w:t>89</w:t>
            </w:r>
          </w:p>
        </w:tc>
        <w:tc>
          <w:tcPr>
            <w:tcW w:w="1550" w:type="dxa"/>
            <w:vMerge w:val="restart"/>
            <w:tcBorders>
              <w:tl2br w:val="nil"/>
              <w:tr2bl w:val="nil"/>
            </w:tcBorders>
            <w:vAlign w:val="center"/>
          </w:tcPr>
          <w:p w14:paraId="6C55BAD8">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center"/>
              <w:rPr>
                <w:rFonts w:ascii="仿宋_GB2312" w:hAnsi="宋体" w:eastAsia="仿宋_GB2312"/>
                <w:color w:val="auto"/>
                <w:kern w:val="0"/>
                <w:sz w:val="13"/>
                <w:szCs w:val="13"/>
                <w:highlight w:val="none"/>
              </w:rPr>
            </w:pPr>
          </w:p>
          <w:p w14:paraId="4258FC82">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施工总承包单位未审核使用单位制定的建筑起重机械生产安全事故应急救援预案的</w:t>
            </w:r>
          </w:p>
        </w:tc>
        <w:tc>
          <w:tcPr>
            <w:tcW w:w="4820" w:type="dxa"/>
            <w:vMerge w:val="restart"/>
            <w:tcBorders>
              <w:tl2br w:val="nil"/>
              <w:tr2bl w:val="nil"/>
            </w:tcBorders>
            <w:vAlign w:val="center"/>
          </w:tcPr>
          <w:p w14:paraId="04C923CA">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r>
              <w:rPr>
                <w:rFonts w:ascii="仿宋_GB2312" w:hAnsi="宋体" w:eastAsia="仿宋_GB2312"/>
                <w:color w:val="auto"/>
                <w:kern w:val="0"/>
                <w:sz w:val="13"/>
                <w:szCs w:val="13"/>
                <w:highlight w:val="none"/>
              </w:rPr>
              <w:t>《建筑起重机械安全监督管理规定》</w:t>
            </w:r>
          </w:p>
          <w:p w14:paraId="2F9A7E8E">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第三十一条违反本规定，施工总承包单位未履行第二十一条第（一）、（三）、（四）、（五）、（七）项安全职责的，由县级以上地方人民政府建设主管部门责令限期改正，予以警告，并处以5</w:t>
            </w:r>
            <w:r>
              <w:rPr>
                <w:rFonts w:ascii="仿宋_GB2312" w:hAnsi="宋体" w:eastAsia="仿宋_GB2312"/>
                <w:color w:val="auto"/>
                <w:kern w:val="0"/>
                <w:sz w:val="13"/>
                <w:szCs w:val="13"/>
                <w:highlight w:val="none"/>
              </w:rPr>
              <w:t>000</w:t>
            </w:r>
            <w:r>
              <w:rPr>
                <w:rFonts w:hint="eastAsia" w:ascii="仿宋_GB2312" w:hAnsi="宋体" w:eastAsia="仿宋_GB2312"/>
                <w:color w:val="auto"/>
                <w:kern w:val="0"/>
                <w:sz w:val="13"/>
                <w:szCs w:val="13"/>
                <w:highlight w:val="none"/>
              </w:rPr>
              <w:t>元以上3万元以下罚款。</w:t>
            </w:r>
          </w:p>
          <w:p w14:paraId="0E5014F4">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第二十一条</w:t>
            </w:r>
            <w:r>
              <w:rPr>
                <w:rFonts w:hint="eastAsia" w:ascii="仿宋_GB2312" w:hAnsi="宋体" w:eastAsia="仿宋_GB2312"/>
                <w:color w:val="auto"/>
                <w:kern w:val="0"/>
                <w:sz w:val="13"/>
                <w:szCs w:val="13"/>
                <w:highlight w:val="none"/>
                <w:lang w:eastAsia="zh-CN"/>
              </w:rPr>
              <w:t>（</w:t>
            </w:r>
            <w:r>
              <w:rPr>
                <w:rFonts w:hint="eastAsia" w:ascii="仿宋_GB2312" w:hAnsi="宋体" w:eastAsia="仿宋_GB2312"/>
                <w:color w:val="auto"/>
                <w:kern w:val="0"/>
                <w:sz w:val="13"/>
                <w:szCs w:val="13"/>
                <w:highlight w:val="none"/>
                <w:lang w:val="en-US" w:eastAsia="zh-CN"/>
              </w:rPr>
              <w:t>五</w:t>
            </w:r>
            <w:r>
              <w:rPr>
                <w:rFonts w:hint="eastAsia" w:ascii="仿宋_GB2312" w:hAnsi="宋体" w:eastAsia="仿宋_GB2312"/>
                <w:color w:val="auto"/>
                <w:kern w:val="0"/>
                <w:sz w:val="13"/>
                <w:szCs w:val="13"/>
                <w:highlight w:val="none"/>
                <w:lang w:eastAsia="zh-CN"/>
              </w:rPr>
              <w:t>）</w:t>
            </w:r>
            <w:r>
              <w:rPr>
                <w:rFonts w:hint="eastAsia" w:ascii="仿宋_GB2312" w:hAnsi="宋体" w:eastAsia="仿宋_GB2312"/>
                <w:color w:val="auto"/>
                <w:kern w:val="0"/>
                <w:sz w:val="13"/>
                <w:szCs w:val="13"/>
                <w:highlight w:val="none"/>
                <w:lang w:val="en-US" w:eastAsia="zh-CN"/>
              </w:rPr>
              <w:t>项</w:t>
            </w:r>
            <w:r>
              <w:rPr>
                <w:rFonts w:hint="eastAsia" w:ascii="仿宋_GB2312" w:hAnsi="宋体" w:eastAsia="仿宋_GB2312"/>
                <w:color w:val="auto"/>
                <w:kern w:val="0"/>
                <w:sz w:val="13"/>
                <w:szCs w:val="13"/>
                <w:highlight w:val="none"/>
              </w:rPr>
              <w:t>施工总承包单位应当履行下列安全职责：</w:t>
            </w:r>
          </w:p>
          <w:p w14:paraId="47F86525">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（五）审核使用单位制定的建筑起重机械生产安全事故应急救援预案；</w:t>
            </w:r>
          </w:p>
        </w:tc>
        <w:tc>
          <w:tcPr>
            <w:tcW w:w="823" w:type="dxa"/>
            <w:tcBorders>
              <w:tl2br w:val="nil"/>
              <w:tr2bl w:val="nil"/>
            </w:tcBorders>
            <w:vAlign w:val="center"/>
          </w:tcPr>
          <w:p w14:paraId="592EF20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vAlign w:val="center"/>
          </w:tcPr>
          <w:p w14:paraId="3793ECC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施工总承包单位未审核使用单位制定的1台建筑起重机械生产安全事故应急救援预案的。</w:t>
            </w:r>
          </w:p>
        </w:tc>
        <w:tc>
          <w:tcPr>
            <w:tcW w:w="3058" w:type="dxa"/>
            <w:tcBorders>
              <w:tl2br w:val="nil"/>
              <w:tr2bl w:val="nil"/>
            </w:tcBorders>
            <w:vAlign w:val="center"/>
          </w:tcPr>
          <w:p w14:paraId="431084D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责令限期改正，予以警告，处5千元以上1万元以下的罚款。</w:t>
            </w:r>
          </w:p>
        </w:tc>
      </w:tr>
      <w:tr w14:paraId="704AA83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87" w:hRule="atLeast"/>
          <w:jc w:val="center"/>
        </w:trPr>
        <w:tc>
          <w:tcPr>
            <w:tcW w:w="443" w:type="dxa"/>
            <w:gridSpan w:val="2"/>
            <w:vMerge w:val="continue"/>
            <w:tcBorders>
              <w:tl2br w:val="nil"/>
              <w:tr2bl w:val="nil"/>
            </w:tcBorders>
            <w:vAlign w:val="center"/>
          </w:tcPr>
          <w:p w14:paraId="7EDD669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color w:val="auto"/>
                <w:kern w:val="0"/>
                <w:sz w:val="13"/>
                <w:szCs w:val="13"/>
                <w:highlight w:val="none"/>
              </w:rPr>
            </w:pPr>
          </w:p>
        </w:tc>
        <w:tc>
          <w:tcPr>
            <w:tcW w:w="1550" w:type="dxa"/>
            <w:vMerge w:val="continue"/>
            <w:tcBorders>
              <w:tl2br w:val="nil"/>
              <w:tr2bl w:val="nil"/>
            </w:tcBorders>
            <w:vAlign w:val="center"/>
          </w:tcPr>
          <w:p w14:paraId="3091C9E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vAlign w:val="center"/>
          </w:tcPr>
          <w:p w14:paraId="2C1F767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b/>
                <w:color w:val="auto"/>
                <w:kern w:val="0"/>
                <w:sz w:val="13"/>
                <w:szCs w:val="13"/>
                <w:highlight w:val="none"/>
              </w:rPr>
            </w:pPr>
          </w:p>
        </w:tc>
        <w:tc>
          <w:tcPr>
            <w:tcW w:w="823" w:type="dxa"/>
            <w:tcBorders>
              <w:tl2br w:val="nil"/>
              <w:tr2bl w:val="nil"/>
            </w:tcBorders>
            <w:vAlign w:val="center"/>
          </w:tcPr>
          <w:p w14:paraId="1D002EC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一般情节</w:t>
            </w:r>
          </w:p>
        </w:tc>
        <w:tc>
          <w:tcPr>
            <w:tcW w:w="3437" w:type="dxa"/>
            <w:gridSpan w:val="2"/>
            <w:tcBorders>
              <w:tl2br w:val="nil"/>
              <w:tr2bl w:val="nil"/>
            </w:tcBorders>
            <w:vAlign w:val="center"/>
          </w:tcPr>
          <w:p w14:paraId="45FD9F9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施工总承包单位未审核使用单位制定的2台建筑起重机械生产安全事故应急救援预案的。</w:t>
            </w:r>
          </w:p>
        </w:tc>
        <w:tc>
          <w:tcPr>
            <w:tcW w:w="3058" w:type="dxa"/>
            <w:tcBorders>
              <w:tl2br w:val="nil"/>
              <w:tr2bl w:val="nil"/>
            </w:tcBorders>
            <w:vAlign w:val="center"/>
          </w:tcPr>
          <w:p w14:paraId="4B49536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责令限期改正，予以警告，处1万元以上2万元以下的罚款。</w:t>
            </w:r>
          </w:p>
        </w:tc>
      </w:tr>
      <w:tr w14:paraId="6D2248C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580" w:hRule="atLeast"/>
          <w:jc w:val="center"/>
        </w:trPr>
        <w:tc>
          <w:tcPr>
            <w:tcW w:w="443" w:type="dxa"/>
            <w:gridSpan w:val="2"/>
            <w:vMerge w:val="continue"/>
            <w:tcBorders>
              <w:tl2br w:val="nil"/>
              <w:tr2bl w:val="nil"/>
            </w:tcBorders>
            <w:vAlign w:val="center"/>
          </w:tcPr>
          <w:p w14:paraId="4C36FED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color w:val="auto"/>
                <w:kern w:val="0"/>
                <w:sz w:val="13"/>
                <w:szCs w:val="13"/>
                <w:highlight w:val="none"/>
              </w:rPr>
            </w:pPr>
          </w:p>
        </w:tc>
        <w:tc>
          <w:tcPr>
            <w:tcW w:w="1550" w:type="dxa"/>
            <w:vMerge w:val="continue"/>
            <w:tcBorders>
              <w:tl2br w:val="nil"/>
              <w:tr2bl w:val="nil"/>
            </w:tcBorders>
            <w:vAlign w:val="center"/>
          </w:tcPr>
          <w:p w14:paraId="638D5F1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vAlign w:val="center"/>
          </w:tcPr>
          <w:p w14:paraId="4F2F51E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b/>
                <w:color w:val="auto"/>
                <w:kern w:val="0"/>
                <w:sz w:val="13"/>
                <w:szCs w:val="13"/>
                <w:highlight w:val="none"/>
              </w:rPr>
            </w:pPr>
          </w:p>
        </w:tc>
        <w:tc>
          <w:tcPr>
            <w:tcW w:w="823" w:type="dxa"/>
            <w:tcBorders>
              <w:tl2br w:val="nil"/>
              <w:tr2bl w:val="nil"/>
            </w:tcBorders>
            <w:vAlign w:val="center"/>
          </w:tcPr>
          <w:p w14:paraId="08DDB88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从重情节</w:t>
            </w:r>
          </w:p>
        </w:tc>
        <w:tc>
          <w:tcPr>
            <w:tcW w:w="3437" w:type="dxa"/>
            <w:gridSpan w:val="2"/>
            <w:tcBorders>
              <w:tl2br w:val="nil"/>
              <w:tr2bl w:val="nil"/>
            </w:tcBorders>
            <w:vAlign w:val="center"/>
          </w:tcPr>
          <w:p w14:paraId="54542CC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施工总承包单位未审核使用单位制定的3台以上建筑起重机械生产安全事故应急救援预案或造成一定后果影响的。</w:t>
            </w:r>
          </w:p>
        </w:tc>
        <w:tc>
          <w:tcPr>
            <w:tcW w:w="3058" w:type="dxa"/>
            <w:tcBorders>
              <w:tl2br w:val="nil"/>
              <w:tr2bl w:val="nil"/>
            </w:tcBorders>
            <w:vAlign w:val="center"/>
          </w:tcPr>
          <w:p w14:paraId="2182406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责令限期改正，予以警告，处2万元以上3万元以下的罚款。</w:t>
            </w:r>
          </w:p>
        </w:tc>
      </w:tr>
      <w:tr w14:paraId="56B5910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0" w:hRule="atLeast"/>
          <w:jc w:val="center"/>
        </w:trPr>
        <w:tc>
          <w:tcPr>
            <w:tcW w:w="443" w:type="dxa"/>
            <w:gridSpan w:val="2"/>
            <w:vMerge w:val="restart"/>
            <w:tcBorders>
              <w:tl2br w:val="nil"/>
              <w:tr2bl w:val="nil"/>
            </w:tcBorders>
            <w:vAlign w:val="center"/>
          </w:tcPr>
          <w:p w14:paraId="6EB6ED12">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Times New Roman"/>
                <w:color w:val="auto"/>
                <w:kern w:val="0"/>
                <w:sz w:val="13"/>
                <w:szCs w:val="13"/>
                <w:highlight w:val="none"/>
                <w:lang w:val="en-US"/>
              </w:rPr>
            </w:pPr>
            <w:r>
              <w:rPr>
                <w:rFonts w:hint="default" w:ascii="仿宋_GB2312" w:hAnsi="宋体" w:eastAsia="仿宋_GB2312" w:cs="仿宋_GB2312"/>
                <w:i w:val="0"/>
                <w:color w:val="auto"/>
                <w:kern w:val="0"/>
                <w:sz w:val="13"/>
                <w:szCs w:val="13"/>
                <w:highlight w:val="none"/>
                <w:u w:val="none"/>
                <w:lang w:val="en-US" w:eastAsia="zh-CN" w:bidi="ar"/>
              </w:rPr>
              <w:t>1</w:t>
            </w:r>
            <w:r>
              <w:rPr>
                <w:rFonts w:hint="eastAsia" w:ascii="仿宋_GB2312" w:hAnsi="宋体" w:eastAsia="仿宋_GB2312" w:cs="仿宋_GB2312"/>
                <w:i w:val="0"/>
                <w:color w:val="auto"/>
                <w:kern w:val="0"/>
                <w:sz w:val="13"/>
                <w:szCs w:val="13"/>
                <w:highlight w:val="none"/>
                <w:u w:val="none"/>
                <w:lang w:val="en-US" w:eastAsia="zh-CN" w:bidi="ar"/>
              </w:rPr>
              <w:t>90</w:t>
            </w:r>
          </w:p>
        </w:tc>
        <w:tc>
          <w:tcPr>
            <w:tcW w:w="1550" w:type="dxa"/>
            <w:vMerge w:val="restart"/>
            <w:tcBorders>
              <w:tl2br w:val="nil"/>
              <w:tr2bl w:val="nil"/>
            </w:tcBorders>
            <w:vAlign w:val="center"/>
          </w:tcPr>
          <w:p w14:paraId="6C4FB6BA">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施工总承包单位在施工现场有多台塔式起重机作业时，未组织制定并实施防止塔式起重机相互碰撞的安全措施的</w:t>
            </w:r>
          </w:p>
        </w:tc>
        <w:tc>
          <w:tcPr>
            <w:tcW w:w="4820" w:type="dxa"/>
            <w:vMerge w:val="restart"/>
            <w:tcBorders>
              <w:tl2br w:val="nil"/>
              <w:tr2bl w:val="nil"/>
            </w:tcBorders>
            <w:vAlign w:val="center"/>
          </w:tcPr>
          <w:p w14:paraId="1FD4BB75">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r>
              <w:rPr>
                <w:rFonts w:ascii="仿宋_GB2312" w:hAnsi="宋体" w:eastAsia="仿宋_GB2312"/>
                <w:color w:val="auto"/>
                <w:kern w:val="0"/>
                <w:sz w:val="13"/>
                <w:szCs w:val="13"/>
                <w:highlight w:val="none"/>
              </w:rPr>
              <w:t>《建筑起重机械安全监督管理规定》</w:t>
            </w:r>
          </w:p>
          <w:p w14:paraId="1E9DD009">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第三十一条违反本规定，施工总承包单位未履行第二十一条第（一）、（三）、（四）、（五）、（七）项安全职责的，由县级以上地方人民政府建设主管部门责令限期改正，予以警告，并处以5</w:t>
            </w:r>
            <w:r>
              <w:rPr>
                <w:rFonts w:ascii="仿宋_GB2312" w:hAnsi="宋体" w:eastAsia="仿宋_GB2312"/>
                <w:color w:val="auto"/>
                <w:kern w:val="0"/>
                <w:sz w:val="13"/>
                <w:szCs w:val="13"/>
                <w:highlight w:val="none"/>
              </w:rPr>
              <w:t>000</w:t>
            </w:r>
            <w:r>
              <w:rPr>
                <w:rFonts w:hint="eastAsia" w:ascii="仿宋_GB2312" w:hAnsi="宋体" w:eastAsia="仿宋_GB2312"/>
                <w:color w:val="auto"/>
                <w:kern w:val="0"/>
                <w:sz w:val="13"/>
                <w:szCs w:val="13"/>
                <w:highlight w:val="none"/>
              </w:rPr>
              <w:t>元以上3万元以下罚款。</w:t>
            </w:r>
          </w:p>
          <w:p w14:paraId="3CC93844">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第二十一条</w:t>
            </w:r>
            <w:r>
              <w:rPr>
                <w:rFonts w:hint="eastAsia" w:ascii="仿宋_GB2312" w:hAnsi="宋体" w:eastAsia="仿宋_GB2312"/>
                <w:color w:val="auto"/>
                <w:kern w:val="0"/>
                <w:sz w:val="13"/>
                <w:szCs w:val="13"/>
                <w:highlight w:val="none"/>
                <w:lang w:eastAsia="zh-CN"/>
              </w:rPr>
              <w:t>（</w:t>
            </w:r>
            <w:r>
              <w:rPr>
                <w:rFonts w:hint="eastAsia" w:ascii="仿宋_GB2312" w:hAnsi="宋体" w:eastAsia="仿宋_GB2312"/>
                <w:color w:val="auto"/>
                <w:kern w:val="0"/>
                <w:sz w:val="13"/>
                <w:szCs w:val="13"/>
                <w:highlight w:val="none"/>
                <w:lang w:val="en-US" w:eastAsia="zh-CN"/>
              </w:rPr>
              <w:t>七</w:t>
            </w:r>
            <w:r>
              <w:rPr>
                <w:rFonts w:hint="eastAsia" w:ascii="仿宋_GB2312" w:hAnsi="宋体" w:eastAsia="仿宋_GB2312"/>
                <w:color w:val="auto"/>
                <w:kern w:val="0"/>
                <w:sz w:val="13"/>
                <w:szCs w:val="13"/>
                <w:highlight w:val="none"/>
                <w:lang w:eastAsia="zh-CN"/>
              </w:rPr>
              <w:t>）</w:t>
            </w:r>
            <w:r>
              <w:rPr>
                <w:rFonts w:hint="eastAsia" w:ascii="仿宋_GB2312" w:hAnsi="宋体" w:eastAsia="仿宋_GB2312"/>
                <w:color w:val="auto"/>
                <w:kern w:val="0"/>
                <w:sz w:val="13"/>
                <w:szCs w:val="13"/>
                <w:highlight w:val="none"/>
                <w:lang w:val="en-US" w:eastAsia="zh-CN"/>
              </w:rPr>
              <w:t>项</w:t>
            </w:r>
            <w:r>
              <w:rPr>
                <w:rFonts w:hint="eastAsia" w:ascii="仿宋_GB2312" w:hAnsi="宋体" w:eastAsia="仿宋_GB2312"/>
                <w:color w:val="auto"/>
                <w:kern w:val="0"/>
                <w:sz w:val="13"/>
                <w:szCs w:val="13"/>
                <w:highlight w:val="none"/>
              </w:rPr>
              <w:t>　施工总承包单位应当履行下列安全职责：</w:t>
            </w:r>
          </w:p>
          <w:p w14:paraId="561F0FDE">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（七）施工现场有多台塔式起重机作业时，应当组织制定并实施防止塔式起重机相互碰撞的安全措施。</w:t>
            </w:r>
          </w:p>
        </w:tc>
        <w:tc>
          <w:tcPr>
            <w:tcW w:w="823" w:type="dxa"/>
            <w:tcBorders>
              <w:tl2br w:val="nil"/>
              <w:tr2bl w:val="nil"/>
            </w:tcBorders>
            <w:vAlign w:val="center"/>
          </w:tcPr>
          <w:p w14:paraId="13B201C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vAlign w:val="center"/>
          </w:tcPr>
          <w:p w14:paraId="080175B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施工现场应当组织制定并实施防止相互碰撞的安全措施的塔式起重机有2台的。</w:t>
            </w:r>
          </w:p>
        </w:tc>
        <w:tc>
          <w:tcPr>
            <w:tcW w:w="3058" w:type="dxa"/>
            <w:tcBorders>
              <w:tl2br w:val="nil"/>
              <w:tr2bl w:val="nil"/>
            </w:tcBorders>
            <w:vAlign w:val="center"/>
          </w:tcPr>
          <w:p w14:paraId="1D0CCE7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责令限期改正，予以警告，处5千元以上1万元以下的罚款。</w:t>
            </w:r>
          </w:p>
        </w:tc>
      </w:tr>
      <w:tr w14:paraId="75609E7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0" w:hRule="atLeast"/>
          <w:jc w:val="center"/>
        </w:trPr>
        <w:tc>
          <w:tcPr>
            <w:tcW w:w="443" w:type="dxa"/>
            <w:gridSpan w:val="2"/>
            <w:vMerge w:val="continue"/>
            <w:tcBorders>
              <w:tl2br w:val="nil"/>
              <w:tr2bl w:val="nil"/>
            </w:tcBorders>
            <w:vAlign w:val="center"/>
          </w:tcPr>
          <w:p w14:paraId="4BF06AF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color w:val="auto"/>
                <w:kern w:val="0"/>
                <w:sz w:val="13"/>
                <w:szCs w:val="13"/>
                <w:highlight w:val="none"/>
              </w:rPr>
            </w:pPr>
          </w:p>
        </w:tc>
        <w:tc>
          <w:tcPr>
            <w:tcW w:w="1550" w:type="dxa"/>
            <w:vMerge w:val="continue"/>
            <w:tcBorders>
              <w:tl2br w:val="nil"/>
              <w:tr2bl w:val="nil"/>
            </w:tcBorders>
            <w:vAlign w:val="center"/>
          </w:tcPr>
          <w:p w14:paraId="35CA8F0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vAlign w:val="center"/>
          </w:tcPr>
          <w:p w14:paraId="6606E0B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tcBorders>
              <w:tl2br w:val="nil"/>
              <w:tr2bl w:val="nil"/>
            </w:tcBorders>
            <w:vAlign w:val="center"/>
          </w:tcPr>
          <w:p w14:paraId="1B4CD70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一般情节</w:t>
            </w:r>
          </w:p>
        </w:tc>
        <w:tc>
          <w:tcPr>
            <w:tcW w:w="3437" w:type="dxa"/>
            <w:gridSpan w:val="2"/>
            <w:tcBorders>
              <w:tl2br w:val="nil"/>
              <w:tr2bl w:val="nil"/>
            </w:tcBorders>
            <w:vAlign w:val="center"/>
          </w:tcPr>
          <w:p w14:paraId="40A32DF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施工现场应当组织制定并实施防止相互碰撞的安全措施的塔式起重机有3台的。</w:t>
            </w:r>
          </w:p>
        </w:tc>
        <w:tc>
          <w:tcPr>
            <w:tcW w:w="3058" w:type="dxa"/>
            <w:tcBorders>
              <w:tl2br w:val="nil"/>
              <w:tr2bl w:val="nil"/>
            </w:tcBorders>
            <w:vAlign w:val="center"/>
          </w:tcPr>
          <w:p w14:paraId="62776F5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责令限期改正，予以警告，处1万元以上2万元以下的罚款。</w:t>
            </w:r>
          </w:p>
        </w:tc>
      </w:tr>
      <w:tr w14:paraId="6D6AA2E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8" w:hRule="atLeast"/>
          <w:jc w:val="center"/>
        </w:trPr>
        <w:tc>
          <w:tcPr>
            <w:tcW w:w="443" w:type="dxa"/>
            <w:gridSpan w:val="2"/>
            <w:vMerge w:val="continue"/>
            <w:tcBorders>
              <w:tl2br w:val="nil"/>
              <w:tr2bl w:val="nil"/>
            </w:tcBorders>
            <w:vAlign w:val="center"/>
          </w:tcPr>
          <w:p w14:paraId="43E246C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color w:val="auto"/>
                <w:kern w:val="0"/>
                <w:sz w:val="13"/>
                <w:szCs w:val="13"/>
                <w:highlight w:val="none"/>
              </w:rPr>
            </w:pPr>
          </w:p>
        </w:tc>
        <w:tc>
          <w:tcPr>
            <w:tcW w:w="1550" w:type="dxa"/>
            <w:vMerge w:val="continue"/>
            <w:tcBorders>
              <w:tl2br w:val="nil"/>
              <w:tr2bl w:val="nil"/>
            </w:tcBorders>
            <w:vAlign w:val="center"/>
          </w:tcPr>
          <w:p w14:paraId="1704057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vAlign w:val="center"/>
          </w:tcPr>
          <w:p w14:paraId="73F3B5F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tcBorders>
              <w:tl2br w:val="nil"/>
              <w:tr2bl w:val="nil"/>
            </w:tcBorders>
            <w:vAlign w:val="center"/>
          </w:tcPr>
          <w:p w14:paraId="0F2E5DC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从重情节</w:t>
            </w:r>
          </w:p>
        </w:tc>
        <w:tc>
          <w:tcPr>
            <w:tcW w:w="3437" w:type="dxa"/>
            <w:gridSpan w:val="2"/>
            <w:tcBorders>
              <w:tl2br w:val="nil"/>
              <w:tr2bl w:val="nil"/>
            </w:tcBorders>
            <w:vAlign w:val="center"/>
          </w:tcPr>
          <w:p w14:paraId="5D169AB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施工现场应当组织制定并实施防止相互碰撞的安全措施的塔式起重机有4台以上；或造成一定后果影响的。</w:t>
            </w:r>
          </w:p>
        </w:tc>
        <w:tc>
          <w:tcPr>
            <w:tcW w:w="3058" w:type="dxa"/>
            <w:tcBorders>
              <w:tl2br w:val="nil"/>
              <w:tr2bl w:val="nil"/>
            </w:tcBorders>
            <w:vAlign w:val="center"/>
          </w:tcPr>
          <w:p w14:paraId="5B00A97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责令限期改正，予以警告，处2万元以上3万元以下的罚款。</w:t>
            </w:r>
          </w:p>
        </w:tc>
      </w:tr>
      <w:tr w14:paraId="2FC0363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523" w:hRule="atLeast"/>
          <w:jc w:val="center"/>
        </w:trPr>
        <w:tc>
          <w:tcPr>
            <w:tcW w:w="443" w:type="dxa"/>
            <w:gridSpan w:val="2"/>
            <w:vMerge w:val="restart"/>
            <w:tcBorders>
              <w:tl2br w:val="nil"/>
              <w:tr2bl w:val="nil"/>
            </w:tcBorders>
            <w:vAlign w:val="center"/>
          </w:tcPr>
          <w:p w14:paraId="49685F72">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Times New Roman"/>
                <w:color w:val="auto"/>
                <w:kern w:val="0"/>
                <w:sz w:val="13"/>
                <w:szCs w:val="13"/>
                <w:highlight w:val="none"/>
                <w:lang w:val="en-US"/>
              </w:rPr>
            </w:pPr>
            <w:r>
              <w:rPr>
                <w:rFonts w:hint="default" w:ascii="仿宋_GB2312" w:hAnsi="宋体" w:eastAsia="仿宋_GB2312" w:cs="仿宋_GB2312"/>
                <w:i w:val="0"/>
                <w:color w:val="auto"/>
                <w:kern w:val="0"/>
                <w:sz w:val="13"/>
                <w:szCs w:val="13"/>
                <w:highlight w:val="none"/>
                <w:u w:val="none"/>
                <w:lang w:val="en-US" w:eastAsia="zh-CN" w:bidi="ar"/>
              </w:rPr>
              <w:t>1</w:t>
            </w:r>
            <w:r>
              <w:rPr>
                <w:rFonts w:hint="eastAsia" w:ascii="仿宋_GB2312" w:hAnsi="宋体" w:eastAsia="仿宋_GB2312" w:cs="仿宋_GB2312"/>
                <w:i w:val="0"/>
                <w:color w:val="auto"/>
                <w:kern w:val="0"/>
                <w:sz w:val="13"/>
                <w:szCs w:val="13"/>
                <w:highlight w:val="none"/>
                <w:u w:val="none"/>
                <w:lang w:val="en-US" w:eastAsia="zh-CN" w:bidi="ar"/>
              </w:rPr>
              <w:t>91</w:t>
            </w:r>
          </w:p>
        </w:tc>
        <w:tc>
          <w:tcPr>
            <w:tcW w:w="1550" w:type="dxa"/>
            <w:vMerge w:val="restart"/>
            <w:tcBorders>
              <w:tl2br w:val="nil"/>
              <w:tr2bl w:val="nil"/>
            </w:tcBorders>
            <w:vAlign w:val="center"/>
          </w:tcPr>
          <w:p w14:paraId="0DE2ABC0">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p>
          <w:p w14:paraId="1D107A62">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p>
          <w:p w14:paraId="44602F7D">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p>
          <w:p w14:paraId="5F6E99F9">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监理单位未审核建筑起重机械特种设备制造许可证、产品合格证、制造监督检验证明、备案证明等文件的</w:t>
            </w:r>
          </w:p>
        </w:tc>
        <w:tc>
          <w:tcPr>
            <w:tcW w:w="4820" w:type="dxa"/>
            <w:vMerge w:val="restart"/>
            <w:tcBorders>
              <w:tl2br w:val="nil"/>
              <w:tr2bl w:val="nil"/>
            </w:tcBorders>
            <w:vAlign w:val="center"/>
          </w:tcPr>
          <w:p w14:paraId="7971EC60">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p w14:paraId="7F05802E">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p w14:paraId="13D1CF54">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p w14:paraId="34473F70">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r>
              <w:rPr>
                <w:rFonts w:ascii="仿宋_GB2312" w:hAnsi="宋体" w:eastAsia="仿宋_GB2312"/>
                <w:color w:val="auto"/>
                <w:kern w:val="0"/>
                <w:sz w:val="13"/>
                <w:szCs w:val="13"/>
                <w:highlight w:val="none"/>
              </w:rPr>
              <w:t>《建筑起重机械安全监督管理规定》</w:t>
            </w:r>
          </w:p>
          <w:p w14:paraId="04215C23">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第三十二条违反本规定，监理单位未履行第二十二条第（一）、（二）、（四）、（五）项安全职责的，由县级以上地方人民政府建设主管部门责令限期改正，予以警告，并处以5</w:t>
            </w:r>
            <w:r>
              <w:rPr>
                <w:rFonts w:ascii="仿宋_GB2312" w:hAnsi="宋体" w:eastAsia="仿宋_GB2312"/>
                <w:color w:val="auto"/>
                <w:kern w:val="0"/>
                <w:sz w:val="13"/>
                <w:szCs w:val="13"/>
                <w:highlight w:val="none"/>
              </w:rPr>
              <w:t>000</w:t>
            </w:r>
            <w:r>
              <w:rPr>
                <w:rFonts w:hint="eastAsia" w:ascii="仿宋_GB2312" w:hAnsi="宋体" w:eastAsia="仿宋_GB2312"/>
                <w:color w:val="auto"/>
                <w:kern w:val="0"/>
                <w:sz w:val="13"/>
                <w:szCs w:val="13"/>
                <w:highlight w:val="none"/>
              </w:rPr>
              <w:t>元以上3万元以下罚款。</w:t>
            </w:r>
          </w:p>
          <w:p w14:paraId="4209FA6E">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第二十二条</w:t>
            </w:r>
            <w:r>
              <w:rPr>
                <w:rFonts w:hint="eastAsia" w:ascii="仿宋_GB2312" w:hAnsi="宋体" w:eastAsia="仿宋_GB2312"/>
                <w:color w:val="auto"/>
                <w:kern w:val="0"/>
                <w:sz w:val="13"/>
                <w:szCs w:val="13"/>
                <w:highlight w:val="none"/>
                <w:lang w:eastAsia="zh-CN"/>
              </w:rPr>
              <w:t>（</w:t>
            </w:r>
            <w:r>
              <w:rPr>
                <w:rFonts w:hint="eastAsia" w:ascii="仿宋_GB2312" w:hAnsi="宋体" w:eastAsia="仿宋_GB2312"/>
                <w:color w:val="auto"/>
                <w:kern w:val="0"/>
                <w:sz w:val="13"/>
                <w:szCs w:val="13"/>
                <w:highlight w:val="none"/>
                <w:lang w:val="en-US" w:eastAsia="zh-CN"/>
              </w:rPr>
              <w:t>一</w:t>
            </w:r>
            <w:r>
              <w:rPr>
                <w:rFonts w:hint="eastAsia" w:ascii="仿宋_GB2312" w:hAnsi="宋体" w:eastAsia="仿宋_GB2312"/>
                <w:color w:val="auto"/>
                <w:kern w:val="0"/>
                <w:sz w:val="13"/>
                <w:szCs w:val="13"/>
                <w:highlight w:val="none"/>
                <w:lang w:eastAsia="zh-CN"/>
              </w:rPr>
              <w:t>）</w:t>
            </w:r>
            <w:r>
              <w:rPr>
                <w:rFonts w:hint="eastAsia" w:ascii="仿宋_GB2312" w:hAnsi="宋体" w:eastAsia="仿宋_GB2312"/>
                <w:color w:val="auto"/>
                <w:kern w:val="0"/>
                <w:sz w:val="13"/>
                <w:szCs w:val="13"/>
                <w:highlight w:val="none"/>
                <w:lang w:val="en-US" w:eastAsia="zh-CN"/>
              </w:rPr>
              <w:t>项</w:t>
            </w:r>
            <w:r>
              <w:rPr>
                <w:rFonts w:hint="eastAsia" w:ascii="仿宋_GB2312" w:hAnsi="宋体" w:eastAsia="仿宋_GB2312"/>
                <w:color w:val="auto"/>
                <w:kern w:val="0"/>
                <w:sz w:val="13"/>
                <w:szCs w:val="13"/>
                <w:highlight w:val="none"/>
              </w:rPr>
              <w:t>监理单位应当履行下列安全职责：</w:t>
            </w:r>
          </w:p>
          <w:p w14:paraId="1BAB0055">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（一）审核建筑起重机械特种设备制造许可证、产品合格证、制造监督检验证明、备案证明等文件；</w:t>
            </w:r>
          </w:p>
        </w:tc>
        <w:tc>
          <w:tcPr>
            <w:tcW w:w="823" w:type="dxa"/>
            <w:tcBorders>
              <w:tl2br w:val="nil"/>
              <w:tr2bl w:val="nil"/>
            </w:tcBorders>
            <w:vAlign w:val="center"/>
          </w:tcPr>
          <w:p w14:paraId="7EF272E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vAlign w:val="center"/>
          </w:tcPr>
          <w:p w14:paraId="1BEAF7F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安装单位、使用单位的建筑起重机械特种设备制造许可证、产品合格证、制造监督检验证明、备案证明等文件合乎要求，监理单位未审核的。</w:t>
            </w:r>
          </w:p>
        </w:tc>
        <w:tc>
          <w:tcPr>
            <w:tcW w:w="3058" w:type="dxa"/>
            <w:tcBorders>
              <w:tl2br w:val="nil"/>
              <w:tr2bl w:val="nil"/>
            </w:tcBorders>
            <w:vAlign w:val="center"/>
          </w:tcPr>
          <w:p w14:paraId="4BCE7BB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责令限期改正，予以警告，处5千元以上1万元以下的罚款。</w:t>
            </w:r>
          </w:p>
        </w:tc>
      </w:tr>
      <w:tr w14:paraId="5FA7CDB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535" w:hRule="atLeast"/>
          <w:jc w:val="center"/>
        </w:trPr>
        <w:tc>
          <w:tcPr>
            <w:tcW w:w="443" w:type="dxa"/>
            <w:gridSpan w:val="2"/>
            <w:vMerge w:val="continue"/>
            <w:tcBorders>
              <w:tl2br w:val="nil"/>
              <w:tr2bl w:val="nil"/>
            </w:tcBorders>
            <w:vAlign w:val="center"/>
          </w:tcPr>
          <w:p w14:paraId="0E98EED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color w:val="auto"/>
                <w:kern w:val="0"/>
                <w:sz w:val="13"/>
                <w:szCs w:val="13"/>
                <w:highlight w:val="none"/>
              </w:rPr>
            </w:pPr>
          </w:p>
        </w:tc>
        <w:tc>
          <w:tcPr>
            <w:tcW w:w="1550" w:type="dxa"/>
            <w:vMerge w:val="continue"/>
            <w:tcBorders>
              <w:tl2br w:val="nil"/>
              <w:tr2bl w:val="nil"/>
            </w:tcBorders>
            <w:vAlign w:val="center"/>
          </w:tcPr>
          <w:p w14:paraId="0968521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0B5DAC6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823" w:type="dxa"/>
            <w:tcBorders>
              <w:tl2br w:val="nil"/>
              <w:tr2bl w:val="nil"/>
            </w:tcBorders>
            <w:vAlign w:val="center"/>
          </w:tcPr>
          <w:p w14:paraId="26EDE3F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一般情节</w:t>
            </w:r>
          </w:p>
        </w:tc>
        <w:tc>
          <w:tcPr>
            <w:tcW w:w="3437" w:type="dxa"/>
            <w:gridSpan w:val="2"/>
            <w:tcBorders>
              <w:tl2br w:val="nil"/>
              <w:tr2bl w:val="nil"/>
            </w:tcBorders>
            <w:vAlign w:val="center"/>
          </w:tcPr>
          <w:p w14:paraId="437A8A2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安装单位、使用单位的建筑起重机械特种设备制造许可证、产品合格证、制造监督检验证明、备案证明等文件不全，监理单位未审核的。</w:t>
            </w:r>
          </w:p>
        </w:tc>
        <w:tc>
          <w:tcPr>
            <w:tcW w:w="3058" w:type="dxa"/>
            <w:tcBorders>
              <w:tl2br w:val="nil"/>
              <w:tr2bl w:val="nil"/>
            </w:tcBorders>
            <w:vAlign w:val="center"/>
          </w:tcPr>
          <w:p w14:paraId="24D2B52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责令限期改正，予以警告，处1万元以上2万元以下的罚款。</w:t>
            </w:r>
          </w:p>
        </w:tc>
      </w:tr>
      <w:tr w14:paraId="7007317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16" w:hRule="atLeast"/>
          <w:jc w:val="center"/>
        </w:trPr>
        <w:tc>
          <w:tcPr>
            <w:tcW w:w="443" w:type="dxa"/>
            <w:gridSpan w:val="2"/>
            <w:vMerge w:val="continue"/>
            <w:tcBorders>
              <w:tl2br w:val="nil"/>
              <w:tr2bl w:val="nil"/>
            </w:tcBorders>
            <w:vAlign w:val="center"/>
          </w:tcPr>
          <w:p w14:paraId="5320860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color w:val="auto"/>
                <w:kern w:val="0"/>
                <w:sz w:val="13"/>
                <w:szCs w:val="13"/>
                <w:highlight w:val="none"/>
              </w:rPr>
            </w:pPr>
          </w:p>
        </w:tc>
        <w:tc>
          <w:tcPr>
            <w:tcW w:w="1550" w:type="dxa"/>
            <w:vMerge w:val="continue"/>
            <w:tcBorders>
              <w:tl2br w:val="nil"/>
              <w:tr2bl w:val="nil"/>
            </w:tcBorders>
            <w:vAlign w:val="center"/>
          </w:tcPr>
          <w:p w14:paraId="586FEAC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6668756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823" w:type="dxa"/>
            <w:tcBorders>
              <w:tl2br w:val="nil"/>
              <w:tr2bl w:val="nil"/>
            </w:tcBorders>
            <w:vAlign w:val="center"/>
          </w:tcPr>
          <w:p w14:paraId="4162B05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从重情节</w:t>
            </w:r>
          </w:p>
        </w:tc>
        <w:tc>
          <w:tcPr>
            <w:tcW w:w="3437" w:type="dxa"/>
            <w:gridSpan w:val="2"/>
            <w:tcBorders>
              <w:tl2br w:val="nil"/>
              <w:tr2bl w:val="nil"/>
            </w:tcBorders>
            <w:vAlign w:val="center"/>
          </w:tcPr>
          <w:p w14:paraId="32C0ABA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安装单位、使用单位无建筑起重机械特种设备制造许可证、产品合格证、制造监督检验证明、备案证明等文件，监理单位未审核的。</w:t>
            </w:r>
          </w:p>
        </w:tc>
        <w:tc>
          <w:tcPr>
            <w:tcW w:w="3058" w:type="dxa"/>
            <w:tcBorders>
              <w:tl2br w:val="nil"/>
              <w:tr2bl w:val="nil"/>
            </w:tcBorders>
            <w:vAlign w:val="center"/>
          </w:tcPr>
          <w:p w14:paraId="20584F9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责令限期改正，予以警告，处2万元以上3万元以下的罚款。</w:t>
            </w:r>
          </w:p>
        </w:tc>
      </w:tr>
      <w:tr w14:paraId="4EF4180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530" w:hRule="atLeast"/>
          <w:jc w:val="center"/>
        </w:trPr>
        <w:tc>
          <w:tcPr>
            <w:tcW w:w="443" w:type="dxa"/>
            <w:gridSpan w:val="2"/>
            <w:vMerge w:val="restart"/>
            <w:tcBorders>
              <w:tl2br w:val="nil"/>
              <w:tr2bl w:val="nil"/>
            </w:tcBorders>
            <w:vAlign w:val="center"/>
          </w:tcPr>
          <w:p w14:paraId="44AFFB84">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Times New Roman"/>
                <w:color w:val="auto"/>
                <w:kern w:val="0"/>
                <w:sz w:val="13"/>
                <w:szCs w:val="13"/>
                <w:highlight w:val="none"/>
                <w:lang w:val="en-US"/>
              </w:rPr>
            </w:pPr>
            <w:r>
              <w:rPr>
                <w:rFonts w:hint="default" w:ascii="仿宋_GB2312" w:hAnsi="宋体" w:eastAsia="仿宋_GB2312" w:cs="仿宋_GB2312"/>
                <w:i w:val="0"/>
                <w:color w:val="auto"/>
                <w:kern w:val="0"/>
                <w:sz w:val="13"/>
                <w:szCs w:val="13"/>
                <w:highlight w:val="none"/>
                <w:u w:val="none"/>
                <w:lang w:val="en-US" w:eastAsia="zh-CN" w:bidi="ar"/>
              </w:rPr>
              <w:t>1</w:t>
            </w:r>
            <w:r>
              <w:rPr>
                <w:rFonts w:hint="eastAsia" w:ascii="仿宋_GB2312" w:hAnsi="宋体" w:eastAsia="仿宋_GB2312" w:cs="仿宋_GB2312"/>
                <w:i w:val="0"/>
                <w:color w:val="auto"/>
                <w:kern w:val="0"/>
                <w:sz w:val="13"/>
                <w:szCs w:val="13"/>
                <w:highlight w:val="none"/>
                <w:u w:val="none"/>
                <w:lang w:val="en-US" w:eastAsia="zh-CN" w:bidi="ar"/>
              </w:rPr>
              <w:t>92</w:t>
            </w:r>
          </w:p>
        </w:tc>
        <w:tc>
          <w:tcPr>
            <w:tcW w:w="1550" w:type="dxa"/>
            <w:vMerge w:val="restart"/>
            <w:tcBorders>
              <w:tl2br w:val="nil"/>
              <w:tr2bl w:val="nil"/>
            </w:tcBorders>
            <w:vAlign w:val="center"/>
          </w:tcPr>
          <w:p w14:paraId="6ACFB125">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p>
          <w:p w14:paraId="04BD4E10">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p>
          <w:p w14:paraId="4511E2FB">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监理单位未审核建筑起重机械安装单位、使用单位的资质证书、安全生产许可证和特种作业人员的特种作业操作资格证书的</w:t>
            </w:r>
          </w:p>
        </w:tc>
        <w:tc>
          <w:tcPr>
            <w:tcW w:w="4820" w:type="dxa"/>
            <w:vMerge w:val="restart"/>
            <w:tcBorders>
              <w:tl2br w:val="nil"/>
              <w:tr2bl w:val="nil"/>
            </w:tcBorders>
            <w:vAlign w:val="center"/>
          </w:tcPr>
          <w:p w14:paraId="1D6A9621">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p w14:paraId="79DF9A4A">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p w14:paraId="2A1C7F43">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r>
              <w:rPr>
                <w:rFonts w:ascii="仿宋_GB2312" w:hAnsi="宋体" w:eastAsia="仿宋_GB2312"/>
                <w:color w:val="auto"/>
                <w:kern w:val="0"/>
                <w:sz w:val="13"/>
                <w:szCs w:val="13"/>
                <w:highlight w:val="none"/>
              </w:rPr>
              <w:t>《建筑起重机械安全监督管理规定》</w:t>
            </w:r>
          </w:p>
          <w:p w14:paraId="3D0AAAFE">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第三十二条违反本规定，监理单位未履行第二十二条第（一）、（二）、（四）、（五）项安全职责的，由县级以上地方人民政府建设主管部门责令限期改正，予以警告，并处以5</w:t>
            </w:r>
            <w:r>
              <w:rPr>
                <w:rFonts w:ascii="仿宋_GB2312" w:hAnsi="宋体" w:eastAsia="仿宋_GB2312"/>
                <w:color w:val="auto"/>
                <w:kern w:val="0"/>
                <w:sz w:val="13"/>
                <w:szCs w:val="13"/>
                <w:highlight w:val="none"/>
              </w:rPr>
              <w:t>000</w:t>
            </w:r>
            <w:r>
              <w:rPr>
                <w:rFonts w:hint="eastAsia" w:ascii="仿宋_GB2312" w:hAnsi="宋体" w:eastAsia="仿宋_GB2312"/>
                <w:color w:val="auto"/>
                <w:kern w:val="0"/>
                <w:sz w:val="13"/>
                <w:szCs w:val="13"/>
                <w:highlight w:val="none"/>
              </w:rPr>
              <w:t>元以上3万元以下罚款。</w:t>
            </w:r>
          </w:p>
          <w:p w14:paraId="6F4E9D92">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第二十二条</w:t>
            </w:r>
            <w:r>
              <w:rPr>
                <w:rFonts w:hint="eastAsia" w:ascii="仿宋_GB2312" w:hAnsi="宋体" w:eastAsia="仿宋_GB2312"/>
                <w:color w:val="auto"/>
                <w:kern w:val="0"/>
                <w:sz w:val="13"/>
                <w:szCs w:val="13"/>
                <w:highlight w:val="none"/>
                <w:lang w:eastAsia="zh-CN"/>
              </w:rPr>
              <w:t>（</w:t>
            </w:r>
            <w:r>
              <w:rPr>
                <w:rFonts w:hint="eastAsia" w:ascii="仿宋_GB2312" w:hAnsi="宋体" w:eastAsia="仿宋_GB2312"/>
                <w:color w:val="auto"/>
                <w:kern w:val="0"/>
                <w:sz w:val="13"/>
                <w:szCs w:val="13"/>
                <w:highlight w:val="none"/>
                <w:lang w:val="en-US" w:eastAsia="zh-CN"/>
              </w:rPr>
              <w:t>二</w:t>
            </w:r>
            <w:r>
              <w:rPr>
                <w:rFonts w:hint="eastAsia" w:ascii="仿宋_GB2312" w:hAnsi="宋体" w:eastAsia="仿宋_GB2312"/>
                <w:color w:val="auto"/>
                <w:kern w:val="0"/>
                <w:sz w:val="13"/>
                <w:szCs w:val="13"/>
                <w:highlight w:val="none"/>
                <w:lang w:eastAsia="zh-CN"/>
              </w:rPr>
              <w:t>）</w:t>
            </w:r>
            <w:r>
              <w:rPr>
                <w:rFonts w:hint="eastAsia" w:ascii="仿宋_GB2312" w:hAnsi="宋体" w:eastAsia="仿宋_GB2312"/>
                <w:color w:val="auto"/>
                <w:kern w:val="0"/>
                <w:sz w:val="13"/>
                <w:szCs w:val="13"/>
                <w:highlight w:val="none"/>
                <w:lang w:val="en-US" w:eastAsia="zh-CN"/>
              </w:rPr>
              <w:t>项</w:t>
            </w:r>
            <w:r>
              <w:rPr>
                <w:rFonts w:hint="eastAsia" w:ascii="仿宋_GB2312" w:hAnsi="宋体" w:eastAsia="仿宋_GB2312"/>
                <w:color w:val="auto"/>
                <w:kern w:val="0"/>
                <w:sz w:val="13"/>
                <w:szCs w:val="13"/>
                <w:highlight w:val="none"/>
              </w:rPr>
              <w:t>监理单位应当履行下列安全职责：</w:t>
            </w:r>
          </w:p>
          <w:p w14:paraId="3123620D">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（二）审核建筑起重机械安装单位、使用单位的资质证书、安全生产许可证和特种作业人员的特种作业操作资格证书；</w:t>
            </w:r>
          </w:p>
        </w:tc>
        <w:tc>
          <w:tcPr>
            <w:tcW w:w="823" w:type="dxa"/>
            <w:tcBorders>
              <w:tl2br w:val="nil"/>
              <w:tr2bl w:val="nil"/>
            </w:tcBorders>
            <w:vAlign w:val="center"/>
          </w:tcPr>
          <w:p w14:paraId="21B8C56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vAlign w:val="center"/>
          </w:tcPr>
          <w:p w14:paraId="27A199B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安装单位、使用单位的资质证书、安全生产许可证和特种作业人员的特种作业操作资格证书合乎要求，监理单位未审核的。</w:t>
            </w:r>
          </w:p>
        </w:tc>
        <w:tc>
          <w:tcPr>
            <w:tcW w:w="3058" w:type="dxa"/>
            <w:tcBorders>
              <w:tl2br w:val="nil"/>
              <w:tr2bl w:val="nil"/>
            </w:tcBorders>
            <w:vAlign w:val="center"/>
          </w:tcPr>
          <w:p w14:paraId="4082976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责令限期改正，予以警告，处5千元以上1万元以下的罚款。</w:t>
            </w:r>
          </w:p>
        </w:tc>
      </w:tr>
      <w:tr w14:paraId="765F4A7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494" w:hRule="atLeast"/>
          <w:jc w:val="center"/>
        </w:trPr>
        <w:tc>
          <w:tcPr>
            <w:tcW w:w="443" w:type="dxa"/>
            <w:gridSpan w:val="2"/>
            <w:vMerge w:val="continue"/>
            <w:tcBorders>
              <w:tl2br w:val="nil"/>
              <w:tr2bl w:val="nil"/>
            </w:tcBorders>
            <w:vAlign w:val="center"/>
          </w:tcPr>
          <w:p w14:paraId="411BE8A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color w:val="auto"/>
                <w:kern w:val="0"/>
                <w:sz w:val="13"/>
                <w:szCs w:val="13"/>
                <w:highlight w:val="none"/>
              </w:rPr>
            </w:pPr>
          </w:p>
        </w:tc>
        <w:tc>
          <w:tcPr>
            <w:tcW w:w="1550" w:type="dxa"/>
            <w:vMerge w:val="continue"/>
            <w:tcBorders>
              <w:tl2br w:val="nil"/>
              <w:tr2bl w:val="nil"/>
            </w:tcBorders>
            <w:vAlign w:val="center"/>
          </w:tcPr>
          <w:p w14:paraId="0CD3CE4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25A25A4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823" w:type="dxa"/>
            <w:tcBorders>
              <w:tl2br w:val="nil"/>
              <w:tr2bl w:val="nil"/>
            </w:tcBorders>
            <w:vAlign w:val="center"/>
          </w:tcPr>
          <w:p w14:paraId="00CE674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一般情节</w:t>
            </w:r>
          </w:p>
        </w:tc>
        <w:tc>
          <w:tcPr>
            <w:tcW w:w="3437" w:type="dxa"/>
            <w:gridSpan w:val="2"/>
            <w:tcBorders>
              <w:tl2br w:val="nil"/>
              <w:tr2bl w:val="nil"/>
            </w:tcBorders>
            <w:vAlign w:val="center"/>
          </w:tcPr>
          <w:p w14:paraId="2E5377B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安装单位、使用单位的资质证书、安全生产许可证和特种作业人员的特种作业操作资格证书不全，监理单位未审核的。</w:t>
            </w:r>
          </w:p>
        </w:tc>
        <w:tc>
          <w:tcPr>
            <w:tcW w:w="3058" w:type="dxa"/>
            <w:tcBorders>
              <w:tl2br w:val="nil"/>
              <w:tr2bl w:val="nil"/>
            </w:tcBorders>
            <w:vAlign w:val="center"/>
          </w:tcPr>
          <w:p w14:paraId="17F8E9B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责令限期改正，予以警告，处1万元以上2万元以下的罚款。</w:t>
            </w:r>
          </w:p>
        </w:tc>
      </w:tr>
      <w:tr w14:paraId="671CB16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424" w:hRule="atLeast"/>
          <w:jc w:val="center"/>
        </w:trPr>
        <w:tc>
          <w:tcPr>
            <w:tcW w:w="443" w:type="dxa"/>
            <w:gridSpan w:val="2"/>
            <w:vMerge w:val="continue"/>
            <w:tcBorders>
              <w:tl2br w:val="nil"/>
              <w:tr2bl w:val="nil"/>
            </w:tcBorders>
            <w:vAlign w:val="center"/>
          </w:tcPr>
          <w:p w14:paraId="4081FBA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color w:val="auto"/>
                <w:kern w:val="0"/>
                <w:sz w:val="13"/>
                <w:szCs w:val="13"/>
                <w:highlight w:val="none"/>
              </w:rPr>
            </w:pPr>
          </w:p>
        </w:tc>
        <w:tc>
          <w:tcPr>
            <w:tcW w:w="1550" w:type="dxa"/>
            <w:vMerge w:val="continue"/>
            <w:tcBorders>
              <w:tl2br w:val="nil"/>
              <w:tr2bl w:val="nil"/>
            </w:tcBorders>
            <w:vAlign w:val="center"/>
          </w:tcPr>
          <w:p w14:paraId="040B715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7F8FAC5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823" w:type="dxa"/>
            <w:tcBorders>
              <w:tl2br w:val="nil"/>
              <w:tr2bl w:val="nil"/>
            </w:tcBorders>
            <w:vAlign w:val="center"/>
          </w:tcPr>
          <w:p w14:paraId="336DE44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从重情节</w:t>
            </w:r>
          </w:p>
        </w:tc>
        <w:tc>
          <w:tcPr>
            <w:tcW w:w="3437" w:type="dxa"/>
            <w:gridSpan w:val="2"/>
            <w:tcBorders>
              <w:tl2br w:val="nil"/>
              <w:tr2bl w:val="nil"/>
            </w:tcBorders>
            <w:vAlign w:val="center"/>
          </w:tcPr>
          <w:p w14:paraId="2523A1C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安装单位、使用单位无资质证书、安全生产许可证和特种作业人员无特种作业操作资格证书，监理单位未审核的。</w:t>
            </w:r>
          </w:p>
        </w:tc>
        <w:tc>
          <w:tcPr>
            <w:tcW w:w="3058" w:type="dxa"/>
            <w:tcBorders>
              <w:tl2br w:val="nil"/>
              <w:tr2bl w:val="nil"/>
            </w:tcBorders>
            <w:vAlign w:val="center"/>
          </w:tcPr>
          <w:p w14:paraId="5EF3AF6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责令限期改正，予以警告，处2万元以上3万元以下的罚款。</w:t>
            </w:r>
          </w:p>
        </w:tc>
      </w:tr>
      <w:tr w14:paraId="714FB24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87" w:hRule="atLeast"/>
          <w:jc w:val="center"/>
        </w:trPr>
        <w:tc>
          <w:tcPr>
            <w:tcW w:w="443" w:type="dxa"/>
            <w:gridSpan w:val="2"/>
            <w:vMerge w:val="restart"/>
            <w:tcBorders>
              <w:tl2br w:val="nil"/>
              <w:tr2bl w:val="nil"/>
            </w:tcBorders>
            <w:vAlign w:val="center"/>
          </w:tcPr>
          <w:p w14:paraId="4DDFF1F0">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Times New Roman"/>
                <w:color w:val="auto"/>
                <w:kern w:val="0"/>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193</w:t>
            </w:r>
          </w:p>
        </w:tc>
        <w:tc>
          <w:tcPr>
            <w:tcW w:w="1550" w:type="dxa"/>
            <w:vMerge w:val="restart"/>
            <w:tcBorders>
              <w:tl2br w:val="nil"/>
              <w:tr2bl w:val="nil"/>
            </w:tcBorders>
            <w:vAlign w:val="center"/>
          </w:tcPr>
          <w:p w14:paraId="5741556B">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监理单位未监督安装单位执行建筑起重机械安装、拆卸工程专项施工方案情况的</w:t>
            </w:r>
          </w:p>
        </w:tc>
        <w:tc>
          <w:tcPr>
            <w:tcW w:w="4820" w:type="dxa"/>
            <w:vMerge w:val="restart"/>
            <w:tcBorders>
              <w:tl2br w:val="nil"/>
              <w:tr2bl w:val="nil"/>
            </w:tcBorders>
            <w:vAlign w:val="center"/>
          </w:tcPr>
          <w:p w14:paraId="306279B4">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r>
              <w:rPr>
                <w:rFonts w:ascii="仿宋_GB2312" w:hAnsi="宋体" w:eastAsia="仿宋_GB2312"/>
                <w:color w:val="auto"/>
                <w:kern w:val="0"/>
                <w:sz w:val="13"/>
                <w:szCs w:val="13"/>
                <w:highlight w:val="none"/>
              </w:rPr>
              <w:t>《建筑起重机械安全监督管理规定》</w:t>
            </w:r>
          </w:p>
          <w:p w14:paraId="287467F7">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第三十二条违反本规定，监理单位未履行第二十二条第（一）、（二）、（四）、（五）项安全职责的，由县级以上地方人民政府建设主管部门责令限期改正，予以警告，并处以5</w:t>
            </w:r>
            <w:r>
              <w:rPr>
                <w:rFonts w:ascii="仿宋_GB2312" w:hAnsi="宋体" w:eastAsia="仿宋_GB2312"/>
                <w:color w:val="auto"/>
                <w:kern w:val="0"/>
                <w:sz w:val="13"/>
                <w:szCs w:val="13"/>
                <w:highlight w:val="none"/>
              </w:rPr>
              <w:t>000</w:t>
            </w:r>
            <w:r>
              <w:rPr>
                <w:rFonts w:hint="eastAsia" w:ascii="仿宋_GB2312" w:hAnsi="宋体" w:eastAsia="仿宋_GB2312"/>
                <w:color w:val="auto"/>
                <w:kern w:val="0"/>
                <w:sz w:val="13"/>
                <w:szCs w:val="13"/>
                <w:highlight w:val="none"/>
              </w:rPr>
              <w:t>元以上3万元以下罚款。</w:t>
            </w:r>
          </w:p>
          <w:p w14:paraId="77312DBD">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第二十二条</w:t>
            </w:r>
            <w:r>
              <w:rPr>
                <w:rFonts w:hint="eastAsia" w:ascii="仿宋_GB2312" w:hAnsi="宋体" w:eastAsia="仿宋_GB2312"/>
                <w:color w:val="auto"/>
                <w:kern w:val="0"/>
                <w:sz w:val="13"/>
                <w:szCs w:val="13"/>
                <w:highlight w:val="none"/>
                <w:lang w:eastAsia="zh-CN"/>
              </w:rPr>
              <w:t>（</w:t>
            </w:r>
            <w:r>
              <w:rPr>
                <w:rFonts w:hint="eastAsia" w:ascii="仿宋_GB2312" w:hAnsi="宋体" w:eastAsia="仿宋_GB2312"/>
                <w:color w:val="auto"/>
                <w:kern w:val="0"/>
                <w:sz w:val="13"/>
                <w:szCs w:val="13"/>
                <w:highlight w:val="none"/>
                <w:lang w:val="en-US" w:eastAsia="zh-CN"/>
              </w:rPr>
              <w:t>四</w:t>
            </w:r>
            <w:r>
              <w:rPr>
                <w:rFonts w:hint="eastAsia" w:ascii="仿宋_GB2312" w:hAnsi="宋体" w:eastAsia="仿宋_GB2312"/>
                <w:color w:val="auto"/>
                <w:kern w:val="0"/>
                <w:sz w:val="13"/>
                <w:szCs w:val="13"/>
                <w:highlight w:val="none"/>
                <w:lang w:eastAsia="zh-CN"/>
              </w:rPr>
              <w:t>）</w:t>
            </w:r>
            <w:r>
              <w:rPr>
                <w:rFonts w:hint="eastAsia" w:ascii="仿宋_GB2312" w:hAnsi="宋体" w:eastAsia="仿宋_GB2312"/>
                <w:color w:val="auto"/>
                <w:kern w:val="0"/>
                <w:sz w:val="13"/>
                <w:szCs w:val="13"/>
                <w:highlight w:val="none"/>
                <w:lang w:val="en-US" w:eastAsia="zh-CN"/>
              </w:rPr>
              <w:t>项</w:t>
            </w:r>
            <w:r>
              <w:rPr>
                <w:rFonts w:hint="eastAsia" w:ascii="仿宋_GB2312" w:hAnsi="宋体" w:eastAsia="仿宋_GB2312"/>
                <w:color w:val="auto"/>
                <w:kern w:val="0"/>
                <w:sz w:val="13"/>
                <w:szCs w:val="13"/>
                <w:highlight w:val="none"/>
              </w:rPr>
              <w:t>监理单位应当履行下列安全职责：</w:t>
            </w:r>
          </w:p>
          <w:p w14:paraId="66ECAE74">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（四）监督安装单位执行建筑起重机械安装、拆卸工程专项施工方案情况；</w:t>
            </w:r>
          </w:p>
        </w:tc>
        <w:tc>
          <w:tcPr>
            <w:tcW w:w="823" w:type="dxa"/>
            <w:tcBorders>
              <w:tl2br w:val="nil"/>
              <w:tr2bl w:val="nil"/>
            </w:tcBorders>
            <w:vAlign w:val="center"/>
          </w:tcPr>
          <w:p w14:paraId="634188D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vAlign w:val="center"/>
          </w:tcPr>
          <w:p w14:paraId="7940CD0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监理单位未监督安装单位执行1台建筑起重机械安装、拆卸工程专项施工方案情况的。</w:t>
            </w:r>
          </w:p>
        </w:tc>
        <w:tc>
          <w:tcPr>
            <w:tcW w:w="3058" w:type="dxa"/>
            <w:tcBorders>
              <w:tl2br w:val="nil"/>
              <w:tr2bl w:val="nil"/>
            </w:tcBorders>
            <w:vAlign w:val="center"/>
          </w:tcPr>
          <w:p w14:paraId="2211162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责令限期改正，予以警告，处5千元以上1万元以下的罚款。</w:t>
            </w:r>
          </w:p>
        </w:tc>
      </w:tr>
      <w:tr w14:paraId="0CE10DC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46" w:hRule="atLeast"/>
          <w:jc w:val="center"/>
        </w:trPr>
        <w:tc>
          <w:tcPr>
            <w:tcW w:w="443" w:type="dxa"/>
            <w:gridSpan w:val="2"/>
            <w:vMerge w:val="continue"/>
            <w:tcBorders>
              <w:tl2br w:val="nil"/>
              <w:tr2bl w:val="nil"/>
            </w:tcBorders>
            <w:vAlign w:val="center"/>
          </w:tcPr>
          <w:p w14:paraId="4B89869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color w:val="auto"/>
                <w:kern w:val="0"/>
                <w:sz w:val="13"/>
                <w:szCs w:val="13"/>
                <w:highlight w:val="none"/>
              </w:rPr>
            </w:pPr>
          </w:p>
        </w:tc>
        <w:tc>
          <w:tcPr>
            <w:tcW w:w="1550" w:type="dxa"/>
            <w:vMerge w:val="continue"/>
            <w:tcBorders>
              <w:tl2br w:val="nil"/>
              <w:tr2bl w:val="nil"/>
            </w:tcBorders>
            <w:vAlign w:val="center"/>
          </w:tcPr>
          <w:p w14:paraId="102C5EE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00F23BE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823" w:type="dxa"/>
            <w:tcBorders>
              <w:tl2br w:val="nil"/>
              <w:tr2bl w:val="nil"/>
            </w:tcBorders>
            <w:vAlign w:val="center"/>
          </w:tcPr>
          <w:p w14:paraId="34CD88B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一般情节</w:t>
            </w:r>
          </w:p>
        </w:tc>
        <w:tc>
          <w:tcPr>
            <w:tcW w:w="3437" w:type="dxa"/>
            <w:gridSpan w:val="2"/>
            <w:tcBorders>
              <w:tl2br w:val="nil"/>
              <w:tr2bl w:val="nil"/>
            </w:tcBorders>
            <w:vAlign w:val="center"/>
          </w:tcPr>
          <w:p w14:paraId="32BD77B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监理单位未监督安装单位执行2台建筑起重机械安装、拆卸工程专项施工方案情况的。</w:t>
            </w:r>
          </w:p>
        </w:tc>
        <w:tc>
          <w:tcPr>
            <w:tcW w:w="3058" w:type="dxa"/>
            <w:tcBorders>
              <w:tl2br w:val="nil"/>
              <w:tr2bl w:val="nil"/>
            </w:tcBorders>
            <w:vAlign w:val="center"/>
          </w:tcPr>
          <w:p w14:paraId="7D00033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责令限期改正，予以警告，处1万元以上2万元以下的罚款。</w:t>
            </w:r>
          </w:p>
        </w:tc>
      </w:tr>
      <w:tr w14:paraId="2B6F021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416" w:hRule="atLeast"/>
          <w:jc w:val="center"/>
        </w:trPr>
        <w:tc>
          <w:tcPr>
            <w:tcW w:w="443" w:type="dxa"/>
            <w:gridSpan w:val="2"/>
            <w:vMerge w:val="continue"/>
            <w:tcBorders>
              <w:tl2br w:val="nil"/>
              <w:tr2bl w:val="nil"/>
            </w:tcBorders>
            <w:vAlign w:val="center"/>
          </w:tcPr>
          <w:p w14:paraId="4914FCE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color w:val="auto"/>
                <w:kern w:val="0"/>
                <w:sz w:val="13"/>
                <w:szCs w:val="13"/>
                <w:highlight w:val="none"/>
              </w:rPr>
            </w:pPr>
          </w:p>
        </w:tc>
        <w:tc>
          <w:tcPr>
            <w:tcW w:w="1550" w:type="dxa"/>
            <w:vMerge w:val="continue"/>
            <w:tcBorders>
              <w:tl2br w:val="nil"/>
              <w:tr2bl w:val="nil"/>
            </w:tcBorders>
            <w:vAlign w:val="center"/>
          </w:tcPr>
          <w:p w14:paraId="2090CA7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063D500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823" w:type="dxa"/>
            <w:tcBorders>
              <w:tl2br w:val="nil"/>
              <w:tr2bl w:val="nil"/>
            </w:tcBorders>
            <w:vAlign w:val="center"/>
          </w:tcPr>
          <w:p w14:paraId="743D41B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从重情节</w:t>
            </w:r>
          </w:p>
        </w:tc>
        <w:tc>
          <w:tcPr>
            <w:tcW w:w="3437" w:type="dxa"/>
            <w:gridSpan w:val="2"/>
            <w:tcBorders>
              <w:tl2br w:val="nil"/>
              <w:tr2bl w:val="nil"/>
            </w:tcBorders>
            <w:vAlign w:val="center"/>
          </w:tcPr>
          <w:p w14:paraId="2AA8157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监理单位未监督安装单位执行3台以上建筑起重机械安装、拆卸工程专项施工方案情况；或造成一定后果影响的。</w:t>
            </w:r>
          </w:p>
        </w:tc>
        <w:tc>
          <w:tcPr>
            <w:tcW w:w="3058" w:type="dxa"/>
            <w:tcBorders>
              <w:tl2br w:val="nil"/>
              <w:tr2bl w:val="nil"/>
            </w:tcBorders>
            <w:vAlign w:val="center"/>
          </w:tcPr>
          <w:p w14:paraId="41D3386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责令限期改正，予以警告，处2万元以上3万元以下的罚款。</w:t>
            </w:r>
          </w:p>
        </w:tc>
      </w:tr>
      <w:tr w14:paraId="6DBAC5D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0" w:hRule="atLeast"/>
          <w:jc w:val="center"/>
        </w:trPr>
        <w:tc>
          <w:tcPr>
            <w:tcW w:w="443" w:type="dxa"/>
            <w:gridSpan w:val="2"/>
            <w:vMerge w:val="restart"/>
            <w:tcBorders>
              <w:tl2br w:val="nil"/>
              <w:tr2bl w:val="nil"/>
            </w:tcBorders>
            <w:vAlign w:val="center"/>
          </w:tcPr>
          <w:p w14:paraId="679CD2BF">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Times New Roman"/>
                <w:color w:val="auto"/>
                <w:kern w:val="0"/>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194</w:t>
            </w:r>
          </w:p>
        </w:tc>
        <w:tc>
          <w:tcPr>
            <w:tcW w:w="1550" w:type="dxa"/>
            <w:vMerge w:val="restart"/>
            <w:tcBorders>
              <w:tl2br w:val="nil"/>
              <w:tr2bl w:val="nil"/>
            </w:tcBorders>
            <w:vAlign w:val="center"/>
          </w:tcPr>
          <w:p w14:paraId="2FB9BBCF">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监理单位未监督检查建筑起重机械的使用情况的</w:t>
            </w:r>
          </w:p>
        </w:tc>
        <w:tc>
          <w:tcPr>
            <w:tcW w:w="4820" w:type="dxa"/>
            <w:vMerge w:val="restart"/>
            <w:tcBorders>
              <w:tl2br w:val="nil"/>
              <w:tr2bl w:val="nil"/>
            </w:tcBorders>
            <w:vAlign w:val="center"/>
          </w:tcPr>
          <w:p w14:paraId="5D17EE90">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r>
              <w:rPr>
                <w:rFonts w:ascii="仿宋_GB2312" w:hAnsi="宋体" w:eastAsia="仿宋_GB2312"/>
                <w:color w:val="auto"/>
                <w:kern w:val="0"/>
                <w:sz w:val="13"/>
                <w:szCs w:val="13"/>
                <w:highlight w:val="none"/>
              </w:rPr>
              <w:t>《建筑起重机械安全监督管理规定》</w:t>
            </w:r>
          </w:p>
          <w:p w14:paraId="22735323">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第三十二条违反本规定，监理单位未履行第二十二条第（一）、（二）、（四）、（五）项安全职责的，由县级以上地方人民政府建设主管部门责令限期改正，予以警告，并处以5</w:t>
            </w:r>
            <w:r>
              <w:rPr>
                <w:rFonts w:ascii="仿宋_GB2312" w:hAnsi="宋体" w:eastAsia="仿宋_GB2312"/>
                <w:color w:val="auto"/>
                <w:kern w:val="0"/>
                <w:sz w:val="13"/>
                <w:szCs w:val="13"/>
                <w:highlight w:val="none"/>
              </w:rPr>
              <w:t>000</w:t>
            </w:r>
            <w:r>
              <w:rPr>
                <w:rFonts w:hint="eastAsia" w:ascii="仿宋_GB2312" w:hAnsi="宋体" w:eastAsia="仿宋_GB2312"/>
                <w:color w:val="auto"/>
                <w:kern w:val="0"/>
                <w:sz w:val="13"/>
                <w:szCs w:val="13"/>
                <w:highlight w:val="none"/>
              </w:rPr>
              <w:t>元以上3万元以下罚款。</w:t>
            </w:r>
          </w:p>
          <w:p w14:paraId="308757DE">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第二十二条监理单位应当履行下列安全职责：</w:t>
            </w:r>
          </w:p>
          <w:p w14:paraId="47E7F064">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（五）监督检查建筑起重机械的使用情况；</w:t>
            </w:r>
          </w:p>
        </w:tc>
        <w:tc>
          <w:tcPr>
            <w:tcW w:w="823" w:type="dxa"/>
            <w:tcBorders>
              <w:tl2br w:val="nil"/>
              <w:tr2bl w:val="nil"/>
            </w:tcBorders>
            <w:vAlign w:val="center"/>
          </w:tcPr>
          <w:p w14:paraId="5600FAE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vAlign w:val="center"/>
          </w:tcPr>
          <w:p w14:paraId="13DAC18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监理单位未履行监督检查，但使用情况正常的。</w:t>
            </w:r>
          </w:p>
        </w:tc>
        <w:tc>
          <w:tcPr>
            <w:tcW w:w="3058" w:type="dxa"/>
            <w:tcBorders>
              <w:tl2br w:val="nil"/>
              <w:tr2bl w:val="nil"/>
            </w:tcBorders>
            <w:vAlign w:val="center"/>
          </w:tcPr>
          <w:p w14:paraId="6001021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责令限期改正，予以警告，处5千元以上1万元以下的罚款。</w:t>
            </w:r>
          </w:p>
        </w:tc>
      </w:tr>
      <w:tr w14:paraId="16E2608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0" w:hRule="atLeast"/>
          <w:jc w:val="center"/>
        </w:trPr>
        <w:tc>
          <w:tcPr>
            <w:tcW w:w="443" w:type="dxa"/>
            <w:gridSpan w:val="2"/>
            <w:vMerge w:val="continue"/>
            <w:tcBorders>
              <w:tl2br w:val="nil"/>
              <w:tr2bl w:val="nil"/>
            </w:tcBorders>
            <w:vAlign w:val="center"/>
          </w:tcPr>
          <w:p w14:paraId="07AF54E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color w:val="auto"/>
                <w:kern w:val="0"/>
                <w:sz w:val="13"/>
                <w:szCs w:val="13"/>
                <w:highlight w:val="none"/>
              </w:rPr>
            </w:pPr>
          </w:p>
        </w:tc>
        <w:tc>
          <w:tcPr>
            <w:tcW w:w="1550" w:type="dxa"/>
            <w:vMerge w:val="continue"/>
            <w:tcBorders>
              <w:tl2br w:val="nil"/>
              <w:tr2bl w:val="nil"/>
            </w:tcBorders>
            <w:vAlign w:val="center"/>
          </w:tcPr>
          <w:p w14:paraId="1B77395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4DE7E64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823" w:type="dxa"/>
            <w:tcBorders>
              <w:tl2br w:val="nil"/>
              <w:tr2bl w:val="nil"/>
            </w:tcBorders>
            <w:vAlign w:val="center"/>
          </w:tcPr>
          <w:p w14:paraId="20CF631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一般情节</w:t>
            </w:r>
          </w:p>
        </w:tc>
        <w:tc>
          <w:tcPr>
            <w:tcW w:w="3437" w:type="dxa"/>
            <w:gridSpan w:val="2"/>
            <w:tcBorders>
              <w:tl2br w:val="nil"/>
              <w:tr2bl w:val="nil"/>
            </w:tcBorders>
            <w:vAlign w:val="center"/>
          </w:tcPr>
          <w:p w14:paraId="070DA97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监理单位未履行监督检查，且现场存在使用不规范现象的。</w:t>
            </w:r>
          </w:p>
        </w:tc>
        <w:tc>
          <w:tcPr>
            <w:tcW w:w="3058" w:type="dxa"/>
            <w:tcBorders>
              <w:tl2br w:val="nil"/>
              <w:tr2bl w:val="nil"/>
            </w:tcBorders>
            <w:vAlign w:val="center"/>
          </w:tcPr>
          <w:p w14:paraId="72FDF6C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责令限期改正，予以警告，处1万元以上2万元以下的罚款。</w:t>
            </w:r>
          </w:p>
        </w:tc>
      </w:tr>
      <w:tr w14:paraId="285EDFB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2" w:hRule="atLeast"/>
          <w:jc w:val="center"/>
        </w:trPr>
        <w:tc>
          <w:tcPr>
            <w:tcW w:w="443" w:type="dxa"/>
            <w:gridSpan w:val="2"/>
            <w:vMerge w:val="continue"/>
            <w:tcBorders>
              <w:tl2br w:val="nil"/>
              <w:tr2bl w:val="nil"/>
            </w:tcBorders>
            <w:vAlign w:val="center"/>
          </w:tcPr>
          <w:p w14:paraId="105B3E0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color w:val="auto"/>
                <w:kern w:val="0"/>
                <w:sz w:val="13"/>
                <w:szCs w:val="13"/>
                <w:highlight w:val="none"/>
              </w:rPr>
            </w:pPr>
          </w:p>
        </w:tc>
        <w:tc>
          <w:tcPr>
            <w:tcW w:w="1550" w:type="dxa"/>
            <w:vMerge w:val="continue"/>
            <w:tcBorders>
              <w:tl2br w:val="nil"/>
              <w:tr2bl w:val="nil"/>
            </w:tcBorders>
            <w:vAlign w:val="center"/>
          </w:tcPr>
          <w:p w14:paraId="4542683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0455C04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823" w:type="dxa"/>
            <w:tcBorders>
              <w:tl2br w:val="nil"/>
              <w:tr2bl w:val="nil"/>
            </w:tcBorders>
            <w:vAlign w:val="center"/>
          </w:tcPr>
          <w:p w14:paraId="07F8482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从重情节</w:t>
            </w:r>
          </w:p>
        </w:tc>
        <w:tc>
          <w:tcPr>
            <w:tcW w:w="3437" w:type="dxa"/>
            <w:gridSpan w:val="2"/>
            <w:tcBorders>
              <w:tl2br w:val="nil"/>
              <w:tr2bl w:val="nil"/>
            </w:tcBorders>
            <w:vAlign w:val="center"/>
          </w:tcPr>
          <w:p w14:paraId="612F15F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监理单位未履行监督检查，且出现较大安全隐患或造成安全事故的。</w:t>
            </w:r>
          </w:p>
        </w:tc>
        <w:tc>
          <w:tcPr>
            <w:tcW w:w="3058" w:type="dxa"/>
            <w:tcBorders>
              <w:tl2br w:val="nil"/>
              <w:tr2bl w:val="nil"/>
            </w:tcBorders>
            <w:vAlign w:val="center"/>
          </w:tcPr>
          <w:p w14:paraId="25189EE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责令限期改正，予以警告，处2万元以上3万元以下的罚款。</w:t>
            </w:r>
          </w:p>
        </w:tc>
      </w:tr>
      <w:tr w14:paraId="2DADBE3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0" w:hRule="atLeast"/>
          <w:jc w:val="center"/>
        </w:trPr>
        <w:tc>
          <w:tcPr>
            <w:tcW w:w="443" w:type="dxa"/>
            <w:gridSpan w:val="2"/>
            <w:vMerge w:val="restart"/>
            <w:tcBorders>
              <w:tl2br w:val="nil"/>
              <w:tr2bl w:val="nil"/>
            </w:tcBorders>
            <w:vAlign w:val="center"/>
          </w:tcPr>
          <w:p w14:paraId="15BB568A">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Times New Roman"/>
                <w:color w:val="auto"/>
                <w:kern w:val="0"/>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195</w:t>
            </w:r>
          </w:p>
        </w:tc>
        <w:tc>
          <w:tcPr>
            <w:tcW w:w="1550" w:type="dxa"/>
            <w:vMerge w:val="restart"/>
            <w:tcBorders>
              <w:tl2br w:val="nil"/>
              <w:tr2bl w:val="nil"/>
            </w:tcBorders>
            <w:vAlign w:val="center"/>
          </w:tcPr>
          <w:p w14:paraId="7DAD3880">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建设单位未按照规定协调组织制定防止多台塔式起重机相互碰撞的安全措施的</w:t>
            </w:r>
          </w:p>
        </w:tc>
        <w:tc>
          <w:tcPr>
            <w:tcW w:w="4820" w:type="dxa"/>
            <w:vMerge w:val="restart"/>
            <w:tcBorders>
              <w:tl2br w:val="nil"/>
              <w:tr2bl w:val="nil"/>
            </w:tcBorders>
            <w:vAlign w:val="center"/>
          </w:tcPr>
          <w:p w14:paraId="291B7BB5">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r>
              <w:rPr>
                <w:rFonts w:ascii="仿宋_GB2312" w:hAnsi="宋体" w:eastAsia="仿宋_GB2312"/>
                <w:color w:val="auto"/>
                <w:kern w:val="0"/>
                <w:sz w:val="13"/>
                <w:szCs w:val="13"/>
                <w:highlight w:val="none"/>
              </w:rPr>
              <w:t>《建筑起重机械安全监督管理规定》</w:t>
            </w:r>
          </w:p>
          <w:p w14:paraId="0DBCD013">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第三十三条（</w:t>
            </w:r>
            <w:r>
              <w:rPr>
                <w:rFonts w:ascii="仿宋_GB2312" w:hAnsi="宋体" w:eastAsia="仿宋_GB2312"/>
                <w:color w:val="auto"/>
                <w:kern w:val="0"/>
                <w:sz w:val="13"/>
                <w:szCs w:val="13"/>
                <w:highlight w:val="none"/>
              </w:rPr>
              <w:t>一</w:t>
            </w:r>
            <w:r>
              <w:rPr>
                <w:rFonts w:hint="eastAsia" w:ascii="仿宋_GB2312" w:hAnsi="宋体" w:eastAsia="仿宋_GB2312"/>
                <w:color w:val="auto"/>
                <w:kern w:val="0"/>
                <w:sz w:val="13"/>
                <w:szCs w:val="13"/>
                <w:highlight w:val="none"/>
              </w:rPr>
              <w:t>）</w:t>
            </w:r>
            <w:r>
              <w:rPr>
                <w:rFonts w:ascii="仿宋_GB2312" w:hAnsi="宋体" w:eastAsia="仿宋_GB2312"/>
                <w:color w:val="auto"/>
                <w:kern w:val="0"/>
                <w:sz w:val="13"/>
                <w:szCs w:val="13"/>
                <w:highlight w:val="none"/>
              </w:rPr>
              <w:t>项</w:t>
            </w:r>
            <w:r>
              <w:rPr>
                <w:rFonts w:hint="eastAsia" w:ascii="仿宋_GB2312" w:hAnsi="宋体" w:eastAsia="仿宋_GB2312"/>
                <w:color w:val="auto"/>
                <w:kern w:val="0"/>
                <w:sz w:val="13"/>
                <w:szCs w:val="13"/>
                <w:highlight w:val="none"/>
              </w:rPr>
              <w:t>违反本规定，建设单位有下列行为之一的，由县级以上地方人民政府建设主管部门责令限期改正，予以警告，并处以5</w:t>
            </w:r>
            <w:r>
              <w:rPr>
                <w:rFonts w:ascii="仿宋_GB2312" w:hAnsi="宋体" w:eastAsia="仿宋_GB2312"/>
                <w:color w:val="auto"/>
                <w:kern w:val="0"/>
                <w:sz w:val="13"/>
                <w:szCs w:val="13"/>
                <w:highlight w:val="none"/>
              </w:rPr>
              <w:t>000</w:t>
            </w:r>
            <w:r>
              <w:rPr>
                <w:rFonts w:hint="eastAsia" w:ascii="仿宋_GB2312" w:hAnsi="宋体" w:eastAsia="仿宋_GB2312"/>
                <w:color w:val="auto"/>
                <w:kern w:val="0"/>
                <w:sz w:val="13"/>
                <w:szCs w:val="13"/>
                <w:highlight w:val="none"/>
              </w:rPr>
              <w:t>元以上3万元以下罚款；逾期未改的，责令停止施工：</w:t>
            </w:r>
          </w:p>
          <w:p w14:paraId="398EE012">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（一）未按照规定协调组织制定防止多台塔式起重机相互碰撞的安全措施的；</w:t>
            </w:r>
          </w:p>
        </w:tc>
        <w:tc>
          <w:tcPr>
            <w:tcW w:w="823" w:type="dxa"/>
            <w:tcBorders>
              <w:tl2br w:val="nil"/>
              <w:tr2bl w:val="nil"/>
            </w:tcBorders>
            <w:vAlign w:val="center"/>
          </w:tcPr>
          <w:p w14:paraId="009760D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vAlign w:val="center"/>
          </w:tcPr>
          <w:p w14:paraId="32DAAE3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未按照规定协调组织制定防止2台塔式起重机相互碰撞的安全措施的。</w:t>
            </w:r>
          </w:p>
        </w:tc>
        <w:tc>
          <w:tcPr>
            <w:tcW w:w="3058" w:type="dxa"/>
            <w:tcBorders>
              <w:tl2br w:val="nil"/>
              <w:tr2bl w:val="nil"/>
            </w:tcBorders>
            <w:vAlign w:val="center"/>
          </w:tcPr>
          <w:p w14:paraId="4D18DFF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责令限期改正，予以警告，处5千元以上1万元以下的罚款。</w:t>
            </w:r>
          </w:p>
        </w:tc>
      </w:tr>
      <w:tr w14:paraId="2DDA4C1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0" w:hRule="atLeast"/>
          <w:jc w:val="center"/>
        </w:trPr>
        <w:tc>
          <w:tcPr>
            <w:tcW w:w="443" w:type="dxa"/>
            <w:gridSpan w:val="2"/>
            <w:vMerge w:val="continue"/>
            <w:tcBorders>
              <w:tl2br w:val="nil"/>
              <w:tr2bl w:val="nil"/>
            </w:tcBorders>
            <w:vAlign w:val="center"/>
          </w:tcPr>
          <w:p w14:paraId="2DF591A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color w:val="auto"/>
                <w:kern w:val="0"/>
                <w:sz w:val="13"/>
                <w:szCs w:val="13"/>
                <w:highlight w:val="none"/>
              </w:rPr>
            </w:pPr>
          </w:p>
        </w:tc>
        <w:tc>
          <w:tcPr>
            <w:tcW w:w="1550" w:type="dxa"/>
            <w:vMerge w:val="continue"/>
            <w:tcBorders>
              <w:tl2br w:val="nil"/>
              <w:tr2bl w:val="nil"/>
            </w:tcBorders>
            <w:vAlign w:val="center"/>
          </w:tcPr>
          <w:p w14:paraId="463541B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37CF8EF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823" w:type="dxa"/>
            <w:tcBorders>
              <w:tl2br w:val="nil"/>
              <w:tr2bl w:val="nil"/>
            </w:tcBorders>
            <w:vAlign w:val="center"/>
          </w:tcPr>
          <w:p w14:paraId="7C21ADC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一般情节</w:t>
            </w:r>
          </w:p>
        </w:tc>
        <w:tc>
          <w:tcPr>
            <w:tcW w:w="3437" w:type="dxa"/>
            <w:gridSpan w:val="2"/>
            <w:tcBorders>
              <w:tl2br w:val="nil"/>
              <w:tr2bl w:val="nil"/>
            </w:tcBorders>
            <w:vAlign w:val="center"/>
          </w:tcPr>
          <w:p w14:paraId="0C1DC3D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未按照规定协调组织制定防止3台塔式起重机相互碰撞的安全措施的。</w:t>
            </w:r>
          </w:p>
        </w:tc>
        <w:tc>
          <w:tcPr>
            <w:tcW w:w="3058" w:type="dxa"/>
            <w:tcBorders>
              <w:tl2br w:val="nil"/>
              <w:tr2bl w:val="nil"/>
            </w:tcBorders>
            <w:vAlign w:val="center"/>
          </w:tcPr>
          <w:p w14:paraId="09A80B1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责令限期改正，予以警告，处1万元以上2万元以下的罚款。</w:t>
            </w:r>
          </w:p>
        </w:tc>
      </w:tr>
      <w:tr w14:paraId="1F145BE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8" w:hRule="atLeast"/>
          <w:jc w:val="center"/>
        </w:trPr>
        <w:tc>
          <w:tcPr>
            <w:tcW w:w="443" w:type="dxa"/>
            <w:gridSpan w:val="2"/>
            <w:vMerge w:val="continue"/>
            <w:tcBorders>
              <w:tl2br w:val="nil"/>
              <w:tr2bl w:val="nil"/>
            </w:tcBorders>
            <w:vAlign w:val="center"/>
          </w:tcPr>
          <w:p w14:paraId="60A8A30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color w:val="auto"/>
                <w:kern w:val="0"/>
                <w:sz w:val="13"/>
                <w:szCs w:val="13"/>
                <w:highlight w:val="none"/>
              </w:rPr>
            </w:pPr>
          </w:p>
        </w:tc>
        <w:tc>
          <w:tcPr>
            <w:tcW w:w="1550" w:type="dxa"/>
            <w:vMerge w:val="continue"/>
            <w:tcBorders>
              <w:tl2br w:val="nil"/>
              <w:tr2bl w:val="nil"/>
            </w:tcBorders>
            <w:vAlign w:val="center"/>
          </w:tcPr>
          <w:p w14:paraId="2F49AA1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3EC5EEC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823" w:type="dxa"/>
            <w:tcBorders>
              <w:tl2br w:val="nil"/>
              <w:tr2bl w:val="nil"/>
            </w:tcBorders>
            <w:vAlign w:val="center"/>
          </w:tcPr>
          <w:p w14:paraId="3493BF2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从重情节</w:t>
            </w:r>
          </w:p>
        </w:tc>
        <w:tc>
          <w:tcPr>
            <w:tcW w:w="3437" w:type="dxa"/>
            <w:gridSpan w:val="2"/>
            <w:tcBorders>
              <w:tl2br w:val="nil"/>
              <w:tr2bl w:val="nil"/>
            </w:tcBorders>
            <w:vAlign w:val="center"/>
          </w:tcPr>
          <w:p w14:paraId="6225250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未按照规定协调组织制定防止4台以上塔式起重机相互碰撞的安全措施的；或造成一定后果影响的。</w:t>
            </w:r>
          </w:p>
        </w:tc>
        <w:tc>
          <w:tcPr>
            <w:tcW w:w="3058" w:type="dxa"/>
            <w:tcBorders>
              <w:tl2br w:val="nil"/>
              <w:tr2bl w:val="nil"/>
            </w:tcBorders>
            <w:vAlign w:val="center"/>
          </w:tcPr>
          <w:p w14:paraId="0775118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责令限期改正，予以警告，处2万元以上3万元以下的罚款。</w:t>
            </w:r>
          </w:p>
        </w:tc>
      </w:tr>
      <w:tr w14:paraId="4F79AE6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0" w:hRule="atLeast"/>
          <w:jc w:val="center"/>
        </w:trPr>
        <w:tc>
          <w:tcPr>
            <w:tcW w:w="443" w:type="dxa"/>
            <w:gridSpan w:val="2"/>
            <w:vMerge w:val="restart"/>
            <w:tcBorders>
              <w:tl2br w:val="nil"/>
              <w:tr2bl w:val="nil"/>
            </w:tcBorders>
            <w:vAlign w:val="center"/>
          </w:tcPr>
          <w:p w14:paraId="167384E6">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Times New Roman"/>
                <w:color w:val="auto"/>
                <w:kern w:val="0"/>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196</w:t>
            </w:r>
          </w:p>
        </w:tc>
        <w:tc>
          <w:tcPr>
            <w:tcW w:w="1550" w:type="dxa"/>
            <w:vMerge w:val="restart"/>
            <w:tcBorders>
              <w:tl2br w:val="nil"/>
              <w:tr2bl w:val="nil"/>
            </w:tcBorders>
            <w:vAlign w:val="center"/>
          </w:tcPr>
          <w:p w14:paraId="1908D051">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p>
          <w:p w14:paraId="1A9B005C">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建设单位在接到监理单位报告后，未责令安装单位、使用单位立即停工整改的</w:t>
            </w:r>
          </w:p>
        </w:tc>
        <w:tc>
          <w:tcPr>
            <w:tcW w:w="4820" w:type="dxa"/>
            <w:vMerge w:val="restart"/>
            <w:tcBorders>
              <w:tl2br w:val="nil"/>
              <w:tr2bl w:val="nil"/>
            </w:tcBorders>
            <w:vAlign w:val="center"/>
          </w:tcPr>
          <w:p w14:paraId="7D0662C4">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p w14:paraId="24821403">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r>
              <w:rPr>
                <w:rFonts w:ascii="仿宋_GB2312" w:hAnsi="宋体" w:eastAsia="仿宋_GB2312"/>
                <w:color w:val="auto"/>
                <w:kern w:val="0"/>
                <w:sz w:val="13"/>
                <w:szCs w:val="13"/>
                <w:highlight w:val="none"/>
              </w:rPr>
              <w:t>《建筑起重机械安全监督管理规定》</w:t>
            </w:r>
          </w:p>
          <w:p w14:paraId="1F569653">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第三十三条（</w:t>
            </w:r>
            <w:r>
              <w:rPr>
                <w:rFonts w:ascii="仿宋_GB2312" w:hAnsi="宋体" w:eastAsia="仿宋_GB2312"/>
                <w:color w:val="auto"/>
                <w:kern w:val="0"/>
                <w:sz w:val="13"/>
                <w:szCs w:val="13"/>
                <w:highlight w:val="none"/>
              </w:rPr>
              <w:t>二</w:t>
            </w:r>
            <w:r>
              <w:rPr>
                <w:rFonts w:hint="eastAsia" w:ascii="仿宋_GB2312" w:hAnsi="宋体" w:eastAsia="仿宋_GB2312"/>
                <w:color w:val="auto"/>
                <w:kern w:val="0"/>
                <w:sz w:val="13"/>
                <w:szCs w:val="13"/>
                <w:highlight w:val="none"/>
              </w:rPr>
              <w:t>）</w:t>
            </w:r>
            <w:r>
              <w:rPr>
                <w:rFonts w:ascii="仿宋_GB2312" w:hAnsi="宋体" w:eastAsia="仿宋_GB2312"/>
                <w:color w:val="auto"/>
                <w:kern w:val="0"/>
                <w:sz w:val="13"/>
                <w:szCs w:val="13"/>
                <w:highlight w:val="none"/>
              </w:rPr>
              <w:t>项</w:t>
            </w:r>
            <w:r>
              <w:rPr>
                <w:rFonts w:hint="eastAsia" w:ascii="仿宋_GB2312" w:hAnsi="宋体" w:eastAsia="仿宋_GB2312"/>
                <w:color w:val="auto"/>
                <w:kern w:val="0"/>
                <w:sz w:val="13"/>
                <w:szCs w:val="13"/>
                <w:highlight w:val="none"/>
              </w:rPr>
              <w:t>违反本规定，建设单位有下列行为之一的，由县级以上地方人民政府建设主管部门责令限期改正，予以警告，并处以5</w:t>
            </w:r>
            <w:r>
              <w:rPr>
                <w:rFonts w:ascii="仿宋_GB2312" w:hAnsi="宋体" w:eastAsia="仿宋_GB2312"/>
                <w:color w:val="auto"/>
                <w:kern w:val="0"/>
                <w:sz w:val="13"/>
                <w:szCs w:val="13"/>
                <w:highlight w:val="none"/>
              </w:rPr>
              <w:t>000</w:t>
            </w:r>
            <w:r>
              <w:rPr>
                <w:rFonts w:hint="eastAsia" w:ascii="仿宋_GB2312" w:hAnsi="宋体" w:eastAsia="仿宋_GB2312"/>
                <w:color w:val="auto"/>
                <w:kern w:val="0"/>
                <w:sz w:val="13"/>
                <w:szCs w:val="13"/>
                <w:highlight w:val="none"/>
              </w:rPr>
              <w:t>元以上3万元以下罚款；逾期未改的，责令停止施工：</w:t>
            </w:r>
          </w:p>
          <w:p w14:paraId="4F21EDD9">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（二）接到监理单位报告后，未责令安装单位、使用单位立即停工整改的。</w:t>
            </w:r>
          </w:p>
        </w:tc>
        <w:tc>
          <w:tcPr>
            <w:tcW w:w="823" w:type="dxa"/>
            <w:tcBorders>
              <w:tl2br w:val="nil"/>
              <w:tr2bl w:val="nil"/>
            </w:tcBorders>
            <w:vAlign w:val="center"/>
          </w:tcPr>
          <w:p w14:paraId="1404292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vAlign w:val="center"/>
          </w:tcPr>
          <w:p w14:paraId="15371AF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初次违法，危害后果较轻的，主动消除或减轻违法行为危害后果的。</w:t>
            </w:r>
          </w:p>
        </w:tc>
        <w:tc>
          <w:tcPr>
            <w:tcW w:w="3058" w:type="dxa"/>
            <w:tcBorders>
              <w:tl2br w:val="nil"/>
              <w:tr2bl w:val="nil"/>
            </w:tcBorders>
            <w:vAlign w:val="center"/>
          </w:tcPr>
          <w:p w14:paraId="362936B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责令限期改正，予以警告，以5千元以上1万元以下罚款。</w:t>
            </w:r>
          </w:p>
        </w:tc>
      </w:tr>
      <w:tr w14:paraId="4EBE62A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90" w:hRule="atLeast"/>
          <w:jc w:val="center"/>
        </w:trPr>
        <w:tc>
          <w:tcPr>
            <w:tcW w:w="443" w:type="dxa"/>
            <w:gridSpan w:val="2"/>
            <w:vMerge w:val="continue"/>
            <w:tcBorders>
              <w:tl2br w:val="nil"/>
              <w:tr2bl w:val="nil"/>
            </w:tcBorders>
            <w:vAlign w:val="center"/>
          </w:tcPr>
          <w:p w14:paraId="1642580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color w:val="auto"/>
                <w:kern w:val="0"/>
                <w:sz w:val="13"/>
                <w:szCs w:val="13"/>
                <w:highlight w:val="none"/>
              </w:rPr>
            </w:pPr>
          </w:p>
        </w:tc>
        <w:tc>
          <w:tcPr>
            <w:tcW w:w="1550" w:type="dxa"/>
            <w:vMerge w:val="continue"/>
            <w:tcBorders>
              <w:tl2br w:val="nil"/>
              <w:tr2bl w:val="nil"/>
            </w:tcBorders>
            <w:vAlign w:val="center"/>
          </w:tcPr>
          <w:p w14:paraId="2A23293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vAlign w:val="center"/>
          </w:tcPr>
          <w:p w14:paraId="1A490CE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tcBorders>
              <w:tl2br w:val="nil"/>
              <w:tr2bl w:val="nil"/>
            </w:tcBorders>
            <w:vAlign w:val="center"/>
          </w:tcPr>
          <w:p w14:paraId="7D9AD89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一般情节</w:t>
            </w:r>
          </w:p>
        </w:tc>
        <w:tc>
          <w:tcPr>
            <w:tcW w:w="3437" w:type="dxa"/>
            <w:gridSpan w:val="2"/>
            <w:tcBorders>
              <w:tl2br w:val="nil"/>
              <w:tr2bl w:val="nil"/>
            </w:tcBorders>
            <w:vAlign w:val="center"/>
          </w:tcPr>
          <w:p w14:paraId="662EC1B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不具有从轻、</w:t>
            </w:r>
            <w:r>
              <w:rPr>
                <w:rFonts w:hint="eastAsia" w:ascii="仿宋_GB2312" w:hAnsi="宋体" w:eastAsia="仿宋_GB2312"/>
                <w:color w:val="auto"/>
                <w:kern w:val="0"/>
                <w:sz w:val="13"/>
                <w:szCs w:val="13"/>
                <w:highlight w:val="none"/>
                <w:lang w:eastAsia="zh-CN"/>
              </w:rPr>
              <w:t>从重情节</w:t>
            </w:r>
            <w:r>
              <w:rPr>
                <w:rFonts w:hint="eastAsia" w:ascii="仿宋_GB2312" w:hAnsi="宋体" w:eastAsia="仿宋_GB2312"/>
                <w:color w:val="auto"/>
                <w:kern w:val="0"/>
                <w:sz w:val="13"/>
                <w:szCs w:val="13"/>
                <w:highlight w:val="none"/>
              </w:rPr>
              <w:t>的。</w:t>
            </w:r>
          </w:p>
        </w:tc>
        <w:tc>
          <w:tcPr>
            <w:tcW w:w="3058" w:type="dxa"/>
            <w:tcBorders>
              <w:tl2br w:val="nil"/>
              <w:tr2bl w:val="nil"/>
            </w:tcBorders>
            <w:vAlign w:val="center"/>
          </w:tcPr>
          <w:p w14:paraId="777856E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责令限期改正，予以警告，以1万元以上2万元以下罚款。</w:t>
            </w:r>
          </w:p>
        </w:tc>
      </w:tr>
      <w:tr w14:paraId="729BB35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03" w:hRule="atLeast"/>
          <w:jc w:val="center"/>
        </w:trPr>
        <w:tc>
          <w:tcPr>
            <w:tcW w:w="443" w:type="dxa"/>
            <w:gridSpan w:val="2"/>
            <w:vMerge w:val="continue"/>
            <w:tcBorders>
              <w:tl2br w:val="nil"/>
              <w:tr2bl w:val="nil"/>
            </w:tcBorders>
            <w:vAlign w:val="center"/>
          </w:tcPr>
          <w:p w14:paraId="77FD0E4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color w:val="auto"/>
                <w:kern w:val="0"/>
                <w:sz w:val="13"/>
                <w:szCs w:val="13"/>
                <w:highlight w:val="none"/>
              </w:rPr>
            </w:pPr>
          </w:p>
        </w:tc>
        <w:tc>
          <w:tcPr>
            <w:tcW w:w="1550" w:type="dxa"/>
            <w:vMerge w:val="continue"/>
            <w:tcBorders>
              <w:tl2br w:val="nil"/>
              <w:tr2bl w:val="nil"/>
            </w:tcBorders>
            <w:vAlign w:val="center"/>
          </w:tcPr>
          <w:p w14:paraId="75581E6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vAlign w:val="center"/>
          </w:tcPr>
          <w:p w14:paraId="6C56055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tcBorders>
              <w:tl2br w:val="nil"/>
              <w:tr2bl w:val="nil"/>
            </w:tcBorders>
            <w:vAlign w:val="center"/>
          </w:tcPr>
          <w:p w14:paraId="31E6918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从重情节</w:t>
            </w:r>
          </w:p>
        </w:tc>
        <w:tc>
          <w:tcPr>
            <w:tcW w:w="3437" w:type="dxa"/>
            <w:gridSpan w:val="2"/>
            <w:tcBorders>
              <w:tl2br w:val="nil"/>
              <w:tr2bl w:val="nil"/>
            </w:tcBorders>
            <w:vAlign w:val="center"/>
          </w:tcPr>
          <w:p w14:paraId="7ABE1B3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（1）多次实施同类违法行为的；</w:t>
            </w:r>
          </w:p>
          <w:p w14:paraId="1CAE34B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（2）造成质量安全事故或其他严重后果的。</w:t>
            </w:r>
          </w:p>
        </w:tc>
        <w:tc>
          <w:tcPr>
            <w:tcW w:w="3058" w:type="dxa"/>
            <w:tcBorders>
              <w:tl2br w:val="nil"/>
              <w:tr2bl w:val="nil"/>
            </w:tcBorders>
            <w:vAlign w:val="center"/>
          </w:tcPr>
          <w:p w14:paraId="33AD261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责令限期改正，予以警告，处2万元以上3万元以下的罚款。</w:t>
            </w:r>
          </w:p>
        </w:tc>
      </w:tr>
      <w:tr w14:paraId="7F2BCE3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792" w:hRule="atLeast"/>
          <w:jc w:val="center"/>
        </w:trPr>
        <w:tc>
          <w:tcPr>
            <w:tcW w:w="443" w:type="dxa"/>
            <w:gridSpan w:val="2"/>
            <w:vMerge w:val="restart"/>
            <w:tcBorders>
              <w:tl2br w:val="nil"/>
              <w:tr2bl w:val="nil"/>
            </w:tcBorders>
            <w:vAlign w:val="center"/>
          </w:tcPr>
          <w:p w14:paraId="35D89576">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Times New Roman"/>
                <w:color w:val="auto"/>
                <w:kern w:val="0"/>
                <w:sz w:val="13"/>
                <w:szCs w:val="13"/>
                <w:highlight w:val="none"/>
                <w:lang w:val="en-US"/>
              </w:rPr>
            </w:pPr>
            <w:r>
              <w:rPr>
                <w:rFonts w:hint="default" w:ascii="仿宋_GB2312" w:hAnsi="宋体" w:eastAsia="仿宋_GB2312" w:cs="仿宋_GB2312"/>
                <w:i w:val="0"/>
                <w:color w:val="auto"/>
                <w:kern w:val="0"/>
                <w:sz w:val="13"/>
                <w:szCs w:val="13"/>
                <w:highlight w:val="none"/>
                <w:u w:val="none"/>
                <w:lang w:val="en-US" w:eastAsia="zh-CN" w:bidi="ar"/>
              </w:rPr>
              <w:t>1</w:t>
            </w:r>
            <w:r>
              <w:rPr>
                <w:rFonts w:hint="eastAsia" w:ascii="仿宋_GB2312" w:hAnsi="宋体" w:eastAsia="仿宋_GB2312" w:cs="仿宋_GB2312"/>
                <w:i w:val="0"/>
                <w:color w:val="auto"/>
                <w:kern w:val="0"/>
                <w:sz w:val="13"/>
                <w:szCs w:val="13"/>
                <w:highlight w:val="none"/>
                <w:u w:val="none"/>
                <w:lang w:val="en-US" w:eastAsia="zh-CN" w:bidi="ar"/>
              </w:rPr>
              <w:t>97</w:t>
            </w:r>
          </w:p>
        </w:tc>
        <w:tc>
          <w:tcPr>
            <w:tcW w:w="1550" w:type="dxa"/>
            <w:vMerge w:val="restart"/>
            <w:tcBorders>
              <w:tl2br w:val="nil"/>
              <w:tr2bl w:val="nil"/>
            </w:tcBorders>
            <w:vAlign w:val="center"/>
          </w:tcPr>
          <w:p w14:paraId="5E75E8F8">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建设单位有下列情形的：（一）未按照本规定提供工程周边环境等资料的；</w:t>
            </w:r>
          </w:p>
          <w:p w14:paraId="6F431AE4">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（二）未按照本规定在招标文件中列出危大工程清单的；</w:t>
            </w:r>
          </w:p>
          <w:p w14:paraId="70C10993">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（三）未按照施工合同约定及时支付危大工程施工技术措施费或者相应的安全防护文明施工措施费的；</w:t>
            </w:r>
          </w:p>
          <w:p w14:paraId="5C042724">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（四）未按照本规定委托具有相应勘察资质的单位进行第三方监测的；</w:t>
            </w:r>
          </w:p>
          <w:p w14:paraId="11C3F4D3">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（五）未对第三方监测单位报告的异常情况组织采取处置措施的。</w:t>
            </w:r>
          </w:p>
        </w:tc>
        <w:tc>
          <w:tcPr>
            <w:tcW w:w="4820" w:type="dxa"/>
            <w:vMerge w:val="restart"/>
            <w:tcBorders>
              <w:tl2br w:val="nil"/>
              <w:tr2bl w:val="nil"/>
            </w:tcBorders>
            <w:vAlign w:val="center"/>
          </w:tcPr>
          <w:p w14:paraId="21FB20DC">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《危险性较大的分部分项工程安全管理规定》</w:t>
            </w:r>
          </w:p>
          <w:p w14:paraId="2CED14DB">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第二十九条建设单位有下列行为之一的，责令限期改正，并处1万元以上3万元以下的罚款；对直接负责的主管人员和其他直接责任人员处1000元以上5000元以下的罚款：</w:t>
            </w:r>
          </w:p>
          <w:p w14:paraId="47E25ACB">
            <w:pPr>
              <w:keepNext w:val="0"/>
              <w:keepLines w:val="0"/>
              <w:pageBreakBefore w:val="0"/>
              <w:widowControl/>
              <w:shd w:val="clear" w:color="auto" w:fill="FFFFFF"/>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（一）未按照本规定提供工程周边环境等资料的；</w:t>
            </w:r>
          </w:p>
          <w:p w14:paraId="01339F9F">
            <w:pPr>
              <w:keepNext w:val="0"/>
              <w:keepLines w:val="0"/>
              <w:pageBreakBefore w:val="0"/>
              <w:widowControl/>
              <w:shd w:val="clear" w:color="auto" w:fill="FFFFFF"/>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（二）未按照本规定在招标文件中列出危大工程清单的；</w:t>
            </w:r>
          </w:p>
          <w:p w14:paraId="3C8835FA">
            <w:pPr>
              <w:keepNext w:val="0"/>
              <w:keepLines w:val="0"/>
              <w:pageBreakBefore w:val="0"/>
              <w:widowControl/>
              <w:shd w:val="clear" w:color="auto" w:fill="FFFFFF"/>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（三）未按照施工合同约定及时支付危大工程施工技术措施费或者相应的安全防护文明施工措施费的；</w:t>
            </w:r>
          </w:p>
          <w:p w14:paraId="721368A4">
            <w:pPr>
              <w:keepNext w:val="0"/>
              <w:keepLines w:val="0"/>
              <w:pageBreakBefore w:val="0"/>
              <w:widowControl/>
              <w:shd w:val="clear" w:color="auto" w:fill="FFFFFF"/>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（四）未按照本规定委托具有相应勘察资质的单位进行第三方监测的；</w:t>
            </w:r>
          </w:p>
          <w:p w14:paraId="08D10110">
            <w:pPr>
              <w:keepNext w:val="0"/>
              <w:keepLines w:val="0"/>
              <w:pageBreakBefore w:val="0"/>
              <w:widowControl/>
              <w:shd w:val="clear" w:color="auto" w:fill="FFFFFF"/>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（五）未对第三方监测单位报告的异常情况组织采取处置措施的。</w:t>
            </w:r>
          </w:p>
        </w:tc>
        <w:tc>
          <w:tcPr>
            <w:tcW w:w="823" w:type="dxa"/>
            <w:tcBorders>
              <w:tl2br w:val="nil"/>
              <w:tr2bl w:val="nil"/>
            </w:tcBorders>
            <w:vAlign w:val="center"/>
          </w:tcPr>
          <w:p w14:paraId="115E17E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vAlign w:val="center"/>
          </w:tcPr>
          <w:p w14:paraId="70A52F0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初次违法，危害后果较轻的，主动消除或减轻违法行为危害后果的。</w:t>
            </w:r>
          </w:p>
        </w:tc>
        <w:tc>
          <w:tcPr>
            <w:tcW w:w="3058" w:type="dxa"/>
            <w:tcBorders>
              <w:tl2br w:val="nil"/>
              <w:tr2bl w:val="nil"/>
            </w:tcBorders>
            <w:vAlign w:val="center"/>
          </w:tcPr>
          <w:p w14:paraId="5A89479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责令限期改正，对建设单位处1万元以上1.5万元以下的罚款；对直接负责的主管人员和其他直接责任人员处1千元以上2千元以下的罚款。</w:t>
            </w:r>
          </w:p>
        </w:tc>
      </w:tr>
      <w:tr w14:paraId="436F3A1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980" w:hRule="atLeast"/>
          <w:jc w:val="center"/>
        </w:trPr>
        <w:tc>
          <w:tcPr>
            <w:tcW w:w="443" w:type="dxa"/>
            <w:gridSpan w:val="2"/>
            <w:vMerge w:val="continue"/>
            <w:tcBorders>
              <w:tl2br w:val="nil"/>
              <w:tr2bl w:val="nil"/>
            </w:tcBorders>
            <w:vAlign w:val="center"/>
          </w:tcPr>
          <w:p w14:paraId="20BE1D3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color w:val="auto"/>
                <w:kern w:val="0"/>
                <w:sz w:val="13"/>
                <w:szCs w:val="13"/>
                <w:highlight w:val="none"/>
              </w:rPr>
            </w:pPr>
          </w:p>
        </w:tc>
        <w:tc>
          <w:tcPr>
            <w:tcW w:w="1550" w:type="dxa"/>
            <w:vMerge w:val="continue"/>
            <w:tcBorders>
              <w:tl2br w:val="nil"/>
              <w:tr2bl w:val="nil"/>
            </w:tcBorders>
            <w:vAlign w:val="center"/>
          </w:tcPr>
          <w:p w14:paraId="755C714F">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33077CA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823" w:type="dxa"/>
            <w:tcBorders>
              <w:tl2br w:val="nil"/>
              <w:tr2bl w:val="nil"/>
            </w:tcBorders>
            <w:vAlign w:val="center"/>
          </w:tcPr>
          <w:p w14:paraId="7A720FE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一般情节</w:t>
            </w:r>
          </w:p>
        </w:tc>
        <w:tc>
          <w:tcPr>
            <w:tcW w:w="3437" w:type="dxa"/>
            <w:gridSpan w:val="2"/>
            <w:tcBorders>
              <w:tl2br w:val="nil"/>
              <w:tr2bl w:val="nil"/>
            </w:tcBorders>
            <w:vAlign w:val="center"/>
          </w:tcPr>
          <w:p w14:paraId="09AC8B9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不具有从轻、</w:t>
            </w:r>
            <w:r>
              <w:rPr>
                <w:rFonts w:hint="eastAsia" w:ascii="仿宋_GB2312" w:hAnsi="宋体" w:eastAsia="仿宋_GB2312"/>
                <w:color w:val="auto"/>
                <w:kern w:val="0"/>
                <w:sz w:val="13"/>
                <w:szCs w:val="13"/>
                <w:highlight w:val="none"/>
                <w:lang w:eastAsia="zh-CN"/>
              </w:rPr>
              <w:t>从重情节</w:t>
            </w:r>
            <w:r>
              <w:rPr>
                <w:rFonts w:hint="eastAsia" w:ascii="仿宋_GB2312" w:hAnsi="宋体" w:eastAsia="仿宋_GB2312"/>
                <w:color w:val="auto"/>
                <w:kern w:val="0"/>
                <w:sz w:val="13"/>
                <w:szCs w:val="13"/>
                <w:highlight w:val="none"/>
              </w:rPr>
              <w:t>的。</w:t>
            </w:r>
          </w:p>
        </w:tc>
        <w:tc>
          <w:tcPr>
            <w:tcW w:w="3058" w:type="dxa"/>
            <w:tcBorders>
              <w:tl2br w:val="nil"/>
              <w:tr2bl w:val="nil"/>
            </w:tcBorders>
            <w:vAlign w:val="center"/>
          </w:tcPr>
          <w:p w14:paraId="1B450E3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责令限期改正，对建设单位处1.5万元以上2.5万元以下的罚款；对直接负责的主管人员和其他直接责任人员处2千元以上3千元以下的罚款。</w:t>
            </w:r>
          </w:p>
        </w:tc>
      </w:tr>
      <w:tr w14:paraId="7B1C81B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768" w:hRule="atLeast"/>
          <w:jc w:val="center"/>
        </w:trPr>
        <w:tc>
          <w:tcPr>
            <w:tcW w:w="443" w:type="dxa"/>
            <w:gridSpan w:val="2"/>
            <w:vMerge w:val="continue"/>
            <w:tcBorders>
              <w:tl2br w:val="nil"/>
              <w:tr2bl w:val="nil"/>
            </w:tcBorders>
            <w:vAlign w:val="center"/>
          </w:tcPr>
          <w:p w14:paraId="5D42296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color w:val="auto"/>
                <w:kern w:val="0"/>
                <w:sz w:val="13"/>
                <w:szCs w:val="13"/>
                <w:highlight w:val="none"/>
              </w:rPr>
            </w:pPr>
          </w:p>
        </w:tc>
        <w:tc>
          <w:tcPr>
            <w:tcW w:w="1550" w:type="dxa"/>
            <w:vMerge w:val="continue"/>
            <w:tcBorders>
              <w:tl2br w:val="nil"/>
              <w:tr2bl w:val="nil"/>
            </w:tcBorders>
            <w:vAlign w:val="center"/>
          </w:tcPr>
          <w:p w14:paraId="3571CACD">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5E41E7A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823" w:type="dxa"/>
            <w:tcBorders>
              <w:tl2br w:val="nil"/>
              <w:tr2bl w:val="nil"/>
            </w:tcBorders>
            <w:vAlign w:val="center"/>
          </w:tcPr>
          <w:p w14:paraId="1A38BC4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从重情节</w:t>
            </w:r>
          </w:p>
        </w:tc>
        <w:tc>
          <w:tcPr>
            <w:tcW w:w="3437" w:type="dxa"/>
            <w:gridSpan w:val="2"/>
            <w:tcBorders>
              <w:tl2br w:val="nil"/>
              <w:tr2bl w:val="nil"/>
            </w:tcBorders>
            <w:vAlign w:val="center"/>
          </w:tcPr>
          <w:p w14:paraId="44779E0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（1）多次实施同类违法行为的；</w:t>
            </w:r>
          </w:p>
          <w:p w14:paraId="3B831E8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（2）造成质量安全事故或其他严重后果的。</w:t>
            </w:r>
          </w:p>
        </w:tc>
        <w:tc>
          <w:tcPr>
            <w:tcW w:w="3058" w:type="dxa"/>
            <w:tcBorders>
              <w:tl2br w:val="nil"/>
              <w:tr2bl w:val="nil"/>
            </w:tcBorders>
            <w:vAlign w:val="center"/>
          </w:tcPr>
          <w:p w14:paraId="0E16A22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责令限期改正，对建设单位处2.5万元以上3万元以下的罚款；对直接负责的主管人员和其他直接责任人员处3千元以上5千元以下的罚款。</w:t>
            </w:r>
          </w:p>
        </w:tc>
      </w:tr>
      <w:tr w14:paraId="07BAD5D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0" w:hRule="atLeast"/>
          <w:jc w:val="center"/>
        </w:trPr>
        <w:tc>
          <w:tcPr>
            <w:tcW w:w="443" w:type="dxa"/>
            <w:gridSpan w:val="2"/>
            <w:vMerge w:val="restart"/>
            <w:tcBorders>
              <w:tl2br w:val="nil"/>
              <w:tr2bl w:val="nil"/>
            </w:tcBorders>
            <w:vAlign w:val="center"/>
          </w:tcPr>
          <w:p w14:paraId="795285F5">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Times New Roman"/>
                <w:color w:val="auto"/>
                <w:kern w:val="0"/>
                <w:sz w:val="13"/>
                <w:szCs w:val="13"/>
                <w:highlight w:val="none"/>
                <w:lang w:val="en-US"/>
              </w:rPr>
            </w:pPr>
            <w:r>
              <w:rPr>
                <w:rFonts w:hint="default" w:ascii="仿宋_GB2312" w:hAnsi="宋体" w:eastAsia="仿宋_GB2312" w:cs="仿宋_GB2312"/>
                <w:i w:val="0"/>
                <w:color w:val="auto"/>
                <w:kern w:val="0"/>
                <w:sz w:val="13"/>
                <w:szCs w:val="13"/>
                <w:highlight w:val="none"/>
                <w:u w:val="none"/>
                <w:lang w:val="en-US" w:eastAsia="zh-CN" w:bidi="ar"/>
              </w:rPr>
              <w:t>1</w:t>
            </w:r>
            <w:r>
              <w:rPr>
                <w:rFonts w:hint="eastAsia" w:ascii="仿宋_GB2312" w:hAnsi="宋体" w:eastAsia="仿宋_GB2312" w:cs="仿宋_GB2312"/>
                <w:i w:val="0"/>
                <w:color w:val="auto"/>
                <w:kern w:val="0"/>
                <w:sz w:val="13"/>
                <w:szCs w:val="13"/>
                <w:highlight w:val="none"/>
                <w:u w:val="none"/>
                <w:lang w:val="en-US" w:eastAsia="zh-CN" w:bidi="ar"/>
              </w:rPr>
              <w:t>98</w:t>
            </w:r>
          </w:p>
        </w:tc>
        <w:tc>
          <w:tcPr>
            <w:tcW w:w="1550" w:type="dxa"/>
            <w:vMerge w:val="restart"/>
            <w:tcBorders>
              <w:tl2br w:val="nil"/>
              <w:tr2bl w:val="nil"/>
            </w:tcBorders>
            <w:vAlign w:val="center"/>
          </w:tcPr>
          <w:p w14:paraId="7718A0E1">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p>
          <w:p w14:paraId="6AF0A4FF">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勘察单位未在勘察文件中说明地质条件可能造成的工程风险</w:t>
            </w:r>
          </w:p>
        </w:tc>
        <w:tc>
          <w:tcPr>
            <w:tcW w:w="4820" w:type="dxa"/>
            <w:vMerge w:val="restart"/>
            <w:tcBorders>
              <w:tl2br w:val="nil"/>
              <w:tr2bl w:val="nil"/>
            </w:tcBorders>
            <w:vAlign w:val="center"/>
          </w:tcPr>
          <w:p w14:paraId="0A4A3109">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65" w:firstLineChars="50"/>
              <w:jc w:val="left"/>
              <w:rPr>
                <w:rFonts w:ascii="仿宋_GB2312" w:hAnsi="宋体" w:eastAsia="仿宋_GB2312"/>
                <w:color w:val="auto"/>
                <w:kern w:val="0"/>
                <w:sz w:val="13"/>
                <w:szCs w:val="13"/>
                <w:highlight w:val="none"/>
              </w:rPr>
            </w:pPr>
          </w:p>
          <w:p w14:paraId="07B5DF0B">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《危险性较大的分部分项工程安全管理规定》</w:t>
            </w:r>
          </w:p>
          <w:p w14:paraId="5ECF8882">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第三十条勘察单位未在勘察文件中说明地质条件可能造成的工程风险的，责令限期改正，依照《建设工程安全生产管理条例》对单位进行处罚；对直接负责的主管人员和其他直接责任人员处1000元以上5000元以下的罚款。</w:t>
            </w:r>
          </w:p>
        </w:tc>
        <w:tc>
          <w:tcPr>
            <w:tcW w:w="823" w:type="dxa"/>
            <w:tcBorders>
              <w:tl2br w:val="nil"/>
              <w:tr2bl w:val="nil"/>
            </w:tcBorders>
            <w:vAlign w:val="center"/>
          </w:tcPr>
          <w:p w14:paraId="38C5A31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vAlign w:val="center"/>
          </w:tcPr>
          <w:p w14:paraId="0CBF6B7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初次违法，危害后果较轻的，主动消除或减轻违法行为危害后果的。</w:t>
            </w:r>
          </w:p>
        </w:tc>
        <w:tc>
          <w:tcPr>
            <w:tcW w:w="3058" w:type="dxa"/>
            <w:tcBorders>
              <w:tl2br w:val="nil"/>
              <w:tr2bl w:val="nil"/>
            </w:tcBorders>
            <w:vAlign w:val="center"/>
          </w:tcPr>
          <w:p w14:paraId="3DC52E6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责令限期改正，对直接负责的主管人员和其他直接责任人员处1千元以上2千元以下的罚款。</w:t>
            </w:r>
          </w:p>
        </w:tc>
      </w:tr>
      <w:tr w14:paraId="5C39718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0" w:hRule="atLeast"/>
          <w:jc w:val="center"/>
        </w:trPr>
        <w:tc>
          <w:tcPr>
            <w:tcW w:w="443" w:type="dxa"/>
            <w:gridSpan w:val="2"/>
            <w:vMerge w:val="continue"/>
            <w:tcBorders>
              <w:tl2br w:val="nil"/>
              <w:tr2bl w:val="nil"/>
            </w:tcBorders>
            <w:vAlign w:val="center"/>
          </w:tcPr>
          <w:p w14:paraId="37E468D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color w:val="auto"/>
                <w:kern w:val="0"/>
                <w:sz w:val="13"/>
                <w:szCs w:val="13"/>
                <w:highlight w:val="none"/>
              </w:rPr>
            </w:pPr>
          </w:p>
        </w:tc>
        <w:tc>
          <w:tcPr>
            <w:tcW w:w="1550" w:type="dxa"/>
            <w:vMerge w:val="continue"/>
            <w:tcBorders>
              <w:tl2br w:val="nil"/>
              <w:tr2bl w:val="nil"/>
            </w:tcBorders>
            <w:vAlign w:val="center"/>
          </w:tcPr>
          <w:p w14:paraId="6414F4EA">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7D2196E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823" w:type="dxa"/>
            <w:tcBorders>
              <w:tl2br w:val="nil"/>
              <w:tr2bl w:val="nil"/>
            </w:tcBorders>
            <w:vAlign w:val="center"/>
          </w:tcPr>
          <w:p w14:paraId="3E7B61B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一般情节</w:t>
            </w:r>
          </w:p>
        </w:tc>
        <w:tc>
          <w:tcPr>
            <w:tcW w:w="3437" w:type="dxa"/>
            <w:gridSpan w:val="2"/>
            <w:tcBorders>
              <w:tl2br w:val="nil"/>
              <w:tr2bl w:val="nil"/>
            </w:tcBorders>
            <w:vAlign w:val="center"/>
          </w:tcPr>
          <w:p w14:paraId="21BD09B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不具有从轻、</w:t>
            </w:r>
            <w:r>
              <w:rPr>
                <w:rFonts w:hint="eastAsia" w:ascii="仿宋_GB2312" w:hAnsi="宋体" w:eastAsia="仿宋_GB2312"/>
                <w:color w:val="auto"/>
                <w:kern w:val="0"/>
                <w:sz w:val="13"/>
                <w:szCs w:val="13"/>
                <w:highlight w:val="none"/>
                <w:lang w:eastAsia="zh-CN"/>
              </w:rPr>
              <w:t>从重情节</w:t>
            </w:r>
            <w:r>
              <w:rPr>
                <w:rFonts w:hint="eastAsia" w:ascii="仿宋_GB2312" w:hAnsi="宋体" w:eastAsia="仿宋_GB2312"/>
                <w:color w:val="auto"/>
                <w:kern w:val="0"/>
                <w:sz w:val="13"/>
                <w:szCs w:val="13"/>
                <w:highlight w:val="none"/>
              </w:rPr>
              <w:t>的。</w:t>
            </w:r>
          </w:p>
        </w:tc>
        <w:tc>
          <w:tcPr>
            <w:tcW w:w="3058" w:type="dxa"/>
            <w:tcBorders>
              <w:tl2br w:val="nil"/>
              <w:tr2bl w:val="nil"/>
            </w:tcBorders>
            <w:vAlign w:val="center"/>
          </w:tcPr>
          <w:p w14:paraId="6033A20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责令限期改正，对直接负责的主管人员和其他直接责任人员处2千元以上4千元以下的罚款。</w:t>
            </w:r>
          </w:p>
        </w:tc>
      </w:tr>
      <w:tr w14:paraId="5BD89B9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8" w:hRule="atLeast"/>
          <w:jc w:val="center"/>
        </w:trPr>
        <w:tc>
          <w:tcPr>
            <w:tcW w:w="443" w:type="dxa"/>
            <w:gridSpan w:val="2"/>
            <w:vMerge w:val="continue"/>
            <w:tcBorders>
              <w:tl2br w:val="nil"/>
              <w:tr2bl w:val="nil"/>
            </w:tcBorders>
            <w:vAlign w:val="center"/>
          </w:tcPr>
          <w:p w14:paraId="492A6D0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color w:val="auto"/>
                <w:kern w:val="0"/>
                <w:sz w:val="13"/>
                <w:szCs w:val="13"/>
                <w:highlight w:val="none"/>
              </w:rPr>
            </w:pPr>
          </w:p>
        </w:tc>
        <w:tc>
          <w:tcPr>
            <w:tcW w:w="1550" w:type="dxa"/>
            <w:vMerge w:val="continue"/>
            <w:tcBorders>
              <w:tl2br w:val="nil"/>
              <w:tr2bl w:val="nil"/>
            </w:tcBorders>
            <w:vAlign w:val="center"/>
          </w:tcPr>
          <w:p w14:paraId="2F6B9BB7">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0125682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823" w:type="dxa"/>
            <w:tcBorders>
              <w:tl2br w:val="nil"/>
              <w:tr2bl w:val="nil"/>
            </w:tcBorders>
            <w:vAlign w:val="center"/>
          </w:tcPr>
          <w:p w14:paraId="076F1F4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从重情节</w:t>
            </w:r>
          </w:p>
        </w:tc>
        <w:tc>
          <w:tcPr>
            <w:tcW w:w="3437" w:type="dxa"/>
            <w:gridSpan w:val="2"/>
            <w:tcBorders>
              <w:tl2br w:val="nil"/>
              <w:tr2bl w:val="nil"/>
            </w:tcBorders>
            <w:vAlign w:val="center"/>
          </w:tcPr>
          <w:p w14:paraId="4BADB14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（1）多次实施同类违法行为的；</w:t>
            </w:r>
          </w:p>
          <w:p w14:paraId="365798F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（2）造成质量安全事故或其他严重后果的。</w:t>
            </w:r>
          </w:p>
        </w:tc>
        <w:tc>
          <w:tcPr>
            <w:tcW w:w="3058" w:type="dxa"/>
            <w:tcBorders>
              <w:tl2br w:val="nil"/>
              <w:tr2bl w:val="nil"/>
            </w:tcBorders>
            <w:vAlign w:val="center"/>
          </w:tcPr>
          <w:p w14:paraId="4C3BEB3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责令限期改正，对直接负责的主管人员和其他直接责任人员处4千元以上5千元以下的罚款。</w:t>
            </w:r>
          </w:p>
        </w:tc>
      </w:tr>
      <w:tr w14:paraId="09D3882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8" w:hRule="atLeast"/>
          <w:jc w:val="center"/>
        </w:trPr>
        <w:tc>
          <w:tcPr>
            <w:tcW w:w="443" w:type="dxa"/>
            <w:gridSpan w:val="2"/>
            <w:vMerge w:val="restart"/>
            <w:tcBorders>
              <w:tl2br w:val="nil"/>
              <w:tr2bl w:val="nil"/>
            </w:tcBorders>
            <w:vAlign w:val="center"/>
          </w:tcPr>
          <w:p w14:paraId="13B22F43">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Times New Roman"/>
                <w:color w:val="auto"/>
                <w:kern w:val="0"/>
                <w:sz w:val="13"/>
                <w:szCs w:val="13"/>
                <w:highlight w:val="none"/>
                <w:lang w:val="en-US"/>
              </w:rPr>
            </w:pPr>
            <w:r>
              <w:rPr>
                <w:rFonts w:hint="default" w:ascii="仿宋_GB2312" w:hAnsi="宋体" w:eastAsia="仿宋_GB2312" w:cs="仿宋_GB2312"/>
                <w:i w:val="0"/>
                <w:color w:val="auto"/>
                <w:kern w:val="0"/>
                <w:sz w:val="13"/>
                <w:szCs w:val="13"/>
                <w:highlight w:val="none"/>
                <w:u w:val="none"/>
                <w:lang w:val="en-US" w:eastAsia="zh-CN" w:bidi="ar"/>
              </w:rPr>
              <w:t>1</w:t>
            </w:r>
            <w:r>
              <w:rPr>
                <w:rFonts w:hint="eastAsia" w:ascii="仿宋_GB2312" w:hAnsi="宋体" w:eastAsia="仿宋_GB2312" w:cs="仿宋_GB2312"/>
                <w:i w:val="0"/>
                <w:color w:val="auto"/>
                <w:kern w:val="0"/>
                <w:sz w:val="13"/>
                <w:szCs w:val="13"/>
                <w:highlight w:val="none"/>
                <w:u w:val="none"/>
                <w:lang w:val="en-US" w:eastAsia="zh-CN" w:bidi="ar"/>
              </w:rPr>
              <w:t>99</w:t>
            </w:r>
          </w:p>
        </w:tc>
        <w:tc>
          <w:tcPr>
            <w:tcW w:w="1550" w:type="dxa"/>
            <w:vMerge w:val="restart"/>
            <w:tcBorders>
              <w:tl2br w:val="nil"/>
              <w:tr2bl w:val="nil"/>
            </w:tcBorders>
            <w:vAlign w:val="center"/>
          </w:tcPr>
          <w:p w14:paraId="6BF0EB7D">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设计单位未在设计文件中注明涉及危大工程的重点部位和环节，未提出保障工程周边环境安全和工程施工安全的意见</w:t>
            </w:r>
          </w:p>
        </w:tc>
        <w:tc>
          <w:tcPr>
            <w:tcW w:w="4820" w:type="dxa"/>
            <w:vMerge w:val="restart"/>
            <w:tcBorders>
              <w:tl2br w:val="nil"/>
              <w:tr2bl w:val="nil"/>
            </w:tcBorders>
            <w:vAlign w:val="center"/>
          </w:tcPr>
          <w:p w14:paraId="1CBF4837">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《危险性较大的分部分项工程安全管理规定》</w:t>
            </w:r>
          </w:p>
          <w:p w14:paraId="4FB7BE18">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第三十一条设计单位未在设计文件中注明涉及危大工程的重点部位和环节，未提出保障工程周边环境安全和工程施工安全的意见的，责令限期改正，并处1万元以上3万元以下的罚款；对直接负责的主管人员和其他直接责任人员处1000元以上5000元以下的罚款。</w:t>
            </w:r>
          </w:p>
        </w:tc>
        <w:tc>
          <w:tcPr>
            <w:tcW w:w="823" w:type="dxa"/>
            <w:tcBorders>
              <w:tl2br w:val="nil"/>
              <w:tr2bl w:val="nil"/>
            </w:tcBorders>
            <w:vAlign w:val="center"/>
          </w:tcPr>
          <w:p w14:paraId="2812588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vAlign w:val="center"/>
          </w:tcPr>
          <w:p w14:paraId="6911677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初次违法，危害后果较轻的，主动消除或减轻违法行为危害后果的。</w:t>
            </w:r>
          </w:p>
        </w:tc>
        <w:tc>
          <w:tcPr>
            <w:tcW w:w="3058" w:type="dxa"/>
            <w:tcBorders>
              <w:tl2br w:val="nil"/>
              <w:tr2bl w:val="nil"/>
            </w:tcBorders>
            <w:vAlign w:val="center"/>
          </w:tcPr>
          <w:p w14:paraId="5933B61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责令限期改正，对设计单位处1万元以上1.5万元以下的罚款；对直接负责的主管人员和其他直接责任人员处1千元以上2千元以下的罚款。</w:t>
            </w:r>
          </w:p>
        </w:tc>
      </w:tr>
      <w:tr w14:paraId="1423181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8" w:hRule="atLeast"/>
          <w:jc w:val="center"/>
        </w:trPr>
        <w:tc>
          <w:tcPr>
            <w:tcW w:w="443" w:type="dxa"/>
            <w:gridSpan w:val="2"/>
            <w:vMerge w:val="continue"/>
            <w:tcBorders>
              <w:tl2br w:val="nil"/>
              <w:tr2bl w:val="nil"/>
            </w:tcBorders>
            <w:vAlign w:val="center"/>
          </w:tcPr>
          <w:p w14:paraId="2AA5F2D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color w:val="auto"/>
                <w:kern w:val="0"/>
                <w:sz w:val="13"/>
                <w:szCs w:val="13"/>
                <w:highlight w:val="none"/>
              </w:rPr>
            </w:pPr>
          </w:p>
        </w:tc>
        <w:tc>
          <w:tcPr>
            <w:tcW w:w="1550" w:type="dxa"/>
            <w:vMerge w:val="continue"/>
            <w:tcBorders>
              <w:tl2br w:val="nil"/>
              <w:tr2bl w:val="nil"/>
            </w:tcBorders>
            <w:vAlign w:val="center"/>
          </w:tcPr>
          <w:p w14:paraId="41158AA4">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37283E0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823" w:type="dxa"/>
            <w:tcBorders>
              <w:tl2br w:val="nil"/>
              <w:tr2bl w:val="nil"/>
            </w:tcBorders>
            <w:vAlign w:val="center"/>
          </w:tcPr>
          <w:p w14:paraId="1DB4F12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一般情节</w:t>
            </w:r>
          </w:p>
        </w:tc>
        <w:tc>
          <w:tcPr>
            <w:tcW w:w="3437" w:type="dxa"/>
            <w:gridSpan w:val="2"/>
            <w:tcBorders>
              <w:tl2br w:val="nil"/>
              <w:tr2bl w:val="nil"/>
            </w:tcBorders>
            <w:vAlign w:val="center"/>
          </w:tcPr>
          <w:p w14:paraId="4265B96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不具有从轻、</w:t>
            </w:r>
            <w:r>
              <w:rPr>
                <w:rFonts w:hint="eastAsia" w:ascii="仿宋_GB2312" w:hAnsi="宋体" w:eastAsia="仿宋_GB2312"/>
                <w:color w:val="auto"/>
                <w:kern w:val="0"/>
                <w:sz w:val="13"/>
                <w:szCs w:val="13"/>
                <w:highlight w:val="none"/>
                <w:lang w:eastAsia="zh-CN"/>
              </w:rPr>
              <w:t>从重情节</w:t>
            </w:r>
            <w:r>
              <w:rPr>
                <w:rFonts w:hint="eastAsia" w:ascii="仿宋_GB2312" w:hAnsi="宋体" w:eastAsia="仿宋_GB2312"/>
                <w:color w:val="auto"/>
                <w:kern w:val="0"/>
                <w:sz w:val="13"/>
                <w:szCs w:val="13"/>
                <w:highlight w:val="none"/>
              </w:rPr>
              <w:t>的。</w:t>
            </w:r>
          </w:p>
        </w:tc>
        <w:tc>
          <w:tcPr>
            <w:tcW w:w="3058" w:type="dxa"/>
            <w:tcBorders>
              <w:tl2br w:val="nil"/>
              <w:tr2bl w:val="nil"/>
            </w:tcBorders>
            <w:vAlign w:val="center"/>
          </w:tcPr>
          <w:p w14:paraId="151A3B5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责令限期改正，对设计单位处1.5万元以上2.5万元以下的罚款；对直接负责的主管人员和其他直接责任人员处2千元以上3千元以下的罚款。</w:t>
            </w:r>
          </w:p>
        </w:tc>
      </w:tr>
      <w:tr w14:paraId="095DFC1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8" w:hRule="atLeast"/>
          <w:jc w:val="center"/>
        </w:trPr>
        <w:tc>
          <w:tcPr>
            <w:tcW w:w="443" w:type="dxa"/>
            <w:gridSpan w:val="2"/>
            <w:vMerge w:val="continue"/>
            <w:tcBorders>
              <w:tl2br w:val="nil"/>
              <w:tr2bl w:val="nil"/>
            </w:tcBorders>
            <w:vAlign w:val="center"/>
          </w:tcPr>
          <w:p w14:paraId="3193D55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color w:val="auto"/>
                <w:kern w:val="0"/>
                <w:sz w:val="13"/>
                <w:szCs w:val="13"/>
                <w:highlight w:val="none"/>
              </w:rPr>
            </w:pPr>
          </w:p>
        </w:tc>
        <w:tc>
          <w:tcPr>
            <w:tcW w:w="1550" w:type="dxa"/>
            <w:vMerge w:val="continue"/>
            <w:tcBorders>
              <w:tl2br w:val="nil"/>
              <w:tr2bl w:val="nil"/>
            </w:tcBorders>
            <w:vAlign w:val="center"/>
          </w:tcPr>
          <w:p w14:paraId="6FDD05D7">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1415E41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823" w:type="dxa"/>
            <w:tcBorders>
              <w:tl2br w:val="nil"/>
              <w:tr2bl w:val="nil"/>
            </w:tcBorders>
            <w:vAlign w:val="center"/>
          </w:tcPr>
          <w:p w14:paraId="1583767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从重情节</w:t>
            </w:r>
          </w:p>
        </w:tc>
        <w:tc>
          <w:tcPr>
            <w:tcW w:w="3437" w:type="dxa"/>
            <w:gridSpan w:val="2"/>
            <w:tcBorders>
              <w:tl2br w:val="nil"/>
              <w:tr2bl w:val="nil"/>
            </w:tcBorders>
            <w:vAlign w:val="center"/>
          </w:tcPr>
          <w:p w14:paraId="7139BD3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（1）多次实施同类违法行为的；</w:t>
            </w:r>
          </w:p>
          <w:p w14:paraId="3D933F0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（2）造成质量安全事故或其他严重后果的。</w:t>
            </w:r>
          </w:p>
        </w:tc>
        <w:tc>
          <w:tcPr>
            <w:tcW w:w="3058" w:type="dxa"/>
            <w:tcBorders>
              <w:tl2br w:val="nil"/>
              <w:tr2bl w:val="nil"/>
            </w:tcBorders>
            <w:vAlign w:val="center"/>
          </w:tcPr>
          <w:p w14:paraId="3892FDB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责令限期改正，对设计单位处2.5万元以上3万元以下的罚款；对直接负责的主管人员和其他直接责任人员处3千元以上5千元以下的罚款。</w:t>
            </w:r>
          </w:p>
        </w:tc>
      </w:tr>
      <w:tr w14:paraId="7FCF44C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8" w:hRule="atLeast"/>
          <w:jc w:val="center"/>
        </w:trPr>
        <w:tc>
          <w:tcPr>
            <w:tcW w:w="443" w:type="dxa"/>
            <w:gridSpan w:val="2"/>
            <w:vMerge w:val="restart"/>
            <w:tcBorders>
              <w:tl2br w:val="nil"/>
              <w:tr2bl w:val="nil"/>
            </w:tcBorders>
            <w:vAlign w:val="center"/>
          </w:tcPr>
          <w:p w14:paraId="1EC6EC8B">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Times New Roman"/>
                <w:color w:val="auto"/>
                <w:kern w:val="0"/>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200</w:t>
            </w:r>
          </w:p>
        </w:tc>
        <w:tc>
          <w:tcPr>
            <w:tcW w:w="1550" w:type="dxa"/>
            <w:vMerge w:val="restart"/>
            <w:tcBorders>
              <w:tl2br w:val="nil"/>
              <w:tr2bl w:val="nil"/>
            </w:tcBorders>
            <w:vAlign w:val="center"/>
          </w:tcPr>
          <w:p w14:paraId="3DA2EDFF">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施工单位有下列行为之一的：</w:t>
            </w:r>
          </w:p>
          <w:p w14:paraId="781DE2DE">
            <w:pPr>
              <w:keepNext w:val="0"/>
              <w:keepLines w:val="0"/>
              <w:pageBreakBefore w:val="0"/>
              <w:widowControl/>
              <w:shd w:val="clear" w:color="auto" w:fill="FFFFFF"/>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（一）未对超过一定规模的危大工程专项施工方案进行专家论证的；</w:t>
            </w:r>
          </w:p>
          <w:p w14:paraId="3F36EC15">
            <w:pPr>
              <w:keepNext w:val="0"/>
              <w:keepLines w:val="0"/>
              <w:pageBreakBefore w:val="0"/>
              <w:widowControl/>
              <w:shd w:val="clear" w:color="auto" w:fill="FFFFFF"/>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（二）未根据专家论证报告对超过一定规模的危大工程专项施工方案进行修改，或者未按照本规定重新组织专家论证的；</w:t>
            </w:r>
          </w:p>
          <w:p w14:paraId="3E7BF8E3">
            <w:pPr>
              <w:keepNext w:val="0"/>
              <w:keepLines w:val="0"/>
              <w:pageBreakBefore w:val="0"/>
              <w:widowControl/>
              <w:shd w:val="clear" w:color="auto" w:fill="FFFFFF"/>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（三）未严格按照专项施工方案组织施工，或者擅自修改专项施工方案的。</w:t>
            </w:r>
          </w:p>
        </w:tc>
        <w:tc>
          <w:tcPr>
            <w:tcW w:w="4820" w:type="dxa"/>
            <w:vMerge w:val="restart"/>
            <w:tcBorders>
              <w:tl2br w:val="nil"/>
              <w:tr2bl w:val="nil"/>
            </w:tcBorders>
            <w:vAlign w:val="center"/>
          </w:tcPr>
          <w:p w14:paraId="2EFFDEE2">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《危险性较大的分部分项工程安全管理规定》</w:t>
            </w:r>
          </w:p>
          <w:p w14:paraId="3420FE9A">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第三十四条施工单位有下列行为之一的，责令限期改正，处1万元以上3万元以下的罚款，并暂扣安全生产许可证30日；对直接负责的主管人员和其他直接责任人员处1000元以上5000元以下的罚款：</w:t>
            </w:r>
          </w:p>
          <w:p w14:paraId="773ED351">
            <w:pPr>
              <w:keepNext w:val="0"/>
              <w:keepLines w:val="0"/>
              <w:pageBreakBefore w:val="0"/>
              <w:widowControl/>
              <w:shd w:val="clear" w:color="auto" w:fill="FFFFFF"/>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（一）未对超过一定规模的危大工程专项施工方案进行专家论证的；</w:t>
            </w:r>
          </w:p>
          <w:p w14:paraId="0A689B1F">
            <w:pPr>
              <w:keepNext w:val="0"/>
              <w:keepLines w:val="0"/>
              <w:pageBreakBefore w:val="0"/>
              <w:widowControl/>
              <w:shd w:val="clear" w:color="auto" w:fill="FFFFFF"/>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（二）未根据专家论证报告对超过一定规模的危大工程专项施工方案进行修改，或者未按照本规定重新组织专家论证的；</w:t>
            </w:r>
          </w:p>
          <w:p w14:paraId="172C9685">
            <w:pPr>
              <w:keepNext w:val="0"/>
              <w:keepLines w:val="0"/>
              <w:pageBreakBefore w:val="0"/>
              <w:widowControl/>
              <w:shd w:val="clear" w:color="auto" w:fill="FFFFFF"/>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（三）未严格按照专项施工方案组织施工，或者擅自修改专项施工方案的。</w:t>
            </w:r>
          </w:p>
          <w:p w14:paraId="0BAF23E7">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tc>
        <w:tc>
          <w:tcPr>
            <w:tcW w:w="823" w:type="dxa"/>
            <w:tcBorders>
              <w:tl2br w:val="nil"/>
              <w:tr2bl w:val="nil"/>
            </w:tcBorders>
            <w:vAlign w:val="center"/>
          </w:tcPr>
          <w:p w14:paraId="120B3C8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vAlign w:val="center"/>
          </w:tcPr>
          <w:p w14:paraId="3B11FE4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初次违法，危害后果较轻的，主动消除或减轻违法行为危害后果的。</w:t>
            </w:r>
          </w:p>
        </w:tc>
        <w:tc>
          <w:tcPr>
            <w:tcW w:w="3058" w:type="dxa"/>
            <w:tcBorders>
              <w:tl2br w:val="nil"/>
              <w:tr2bl w:val="nil"/>
            </w:tcBorders>
            <w:vAlign w:val="center"/>
          </w:tcPr>
          <w:p w14:paraId="6FA026F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责令限期改正，对施工单位处1万元以上1.5万元以下的罚款；并暂扣安全生产许可证30日；对直接负责的主管人员和其他直接责任人员处1千元以上2千元以下的罚款。</w:t>
            </w:r>
          </w:p>
        </w:tc>
      </w:tr>
      <w:tr w14:paraId="6961C1C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8" w:hRule="atLeast"/>
          <w:jc w:val="center"/>
        </w:trPr>
        <w:tc>
          <w:tcPr>
            <w:tcW w:w="443" w:type="dxa"/>
            <w:gridSpan w:val="2"/>
            <w:vMerge w:val="continue"/>
            <w:tcBorders>
              <w:tl2br w:val="nil"/>
              <w:tr2bl w:val="nil"/>
            </w:tcBorders>
            <w:vAlign w:val="center"/>
          </w:tcPr>
          <w:p w14:paraId="7897772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color w:val="auto"/>
                <w:kern w:val="0"/>
                <w:sz w:val="13"/>
                <w:szCs w:val="13"/>
                <w:highlight w:val="none"/>
              </w:rPr>
            </w:pPr>
          </w:p>
        </w:tc>
        <w:tc>
          <w:tcPr>
            <w:tcW w:w="1550" w:type="dxa"/>
            <w:vMerge w:val="continue"/>
            <w:tcBorders>
              <w:tl2br w:val="nil"/>
              <w:tr2bl w:val="nil"/>
            </w:tcBorders>
            <w:vAlign w:val="center"/>
          </w:tcPr>
          <w:p w14:paraId="17FD426C">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31E0FDC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823" w:type="dxa"/>
            <w:tcBorders>
              <w:tl2br w:val="nil"/>
              <w:tr2bl w:val="nil"/>
            </w:tcBorders>
            <w:vAlign w:val="center"/>
          </w:tcPr>
          <w:p w14:paraId="754C612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一般情节</w:t>
            </w:r>
          </w:p>
        </w:tc>
        <w:tc>
          <w:tcPr>
            <w:tcW w:w="3437" w:type="dxa"/>
            <w:gridSpan w:val="2"/>
            <w:tcBorders>
              <w:tl2br w:val="nil"/>
              <w:tr2bl w:val="nil"/>
            </w:tcBorders>
            <w:vAlign w:val="center"/>
          </w:tcPr>
          <w:p w14:paraId="405D0A1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不具有从轻、</w:t>
            </w:r>
            <w:r>
              <w:rPr>
                <w:rFonts w:hint="eastAsia" w:ascii="仿宋_GB2312" w:hAnsi="宋体" w:eastAsia="仿宋_GB2312"/>
                <w:color w:val="auto"/>
                <w:kern w:val="0"/>
                <w:sz w:val="13"/>
                <w:szCs w:val="13"/>
                <w:highlight w:val="none"/>
                <w:lang w:eastAsia="zh-CN"/>
              </w:rPr>
              <w:t>从重情节</w:t>
            </w:r>
            <w:r>
              <w:rPr>
                <w:rFonts w:hint="eastAsia" w:ascii="仿宋_GB2312" w:hAnsi="宋体" w:eastAsia="仿宋_GB2312"/>
                <w:color w:val="auto"/>
                <w:kern w:val="0"/>
                <w:sz w:val="13"/>
                <w:szCs w:val="13"/>
                <w:highlight w:val="none"/>
              </w:rPr>
              <w:t>的。</w:t>
            </w:r>
          </w:p>
        </w:tc>
        <w:tc>
          <w:tcPr>
            <w:tcW w:w="3058" w:type="dxa"/>
            <w:tcBorders>
              <w:tl2br w:val="nil"/>
              <w:tr2bl w:val="nil"/>
            </w:tcBorders>
            <w:vAlign w:val="center"/>
          </w:tcPr>
          <w:p w14:paraId="67C3E44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责令限期改正，对施工单位处1.5万元以上2万元以下的罚款；并暂扣安全生产许可证30日；对直接负责的主管人员和其他直接责任人员处2千元以上3千元以下的罚款。</w:t>
            </w:r>
          </w:p>
        </w:tc>
      </w:tr>
      <w:tr w14:paraId="03A5BD1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701" w:hRule="atLeast"/>
          <w:jc w:val="center"/>
        </w:trPr>
        <w:tc>
          <w:tcPr>
            <w:tcW w:w="443" w:type="dxa"/>
            <w:gridSpan w:val="2"/>
            <w:vMerge w:val="continue"/>
            <w:tcBorders>
              <w:tl2br w:val="nil"/>
              <w:tr2bl w:val="nil"/>
            </w:tcBorders>
            <w:vAlign w:val="center"/>
          </w:tcPr>
          <w:p w14:paraId="566295D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color w:val="auto"/>
                <w:kern w:val="0"/>
                <w:sz w:val="13"/>
                <w:szCs w:val="13"/>
                <w:highlight w:val="none"/>
              </w:rPr>
            </w:pPr>
          </w:p>
        </w:tc>
        <w:tc>
          <w:tcPr>
            <w:tcW w:w="1550" w:type="dxa"/>
            <w:vMerge w:val="continue"/>
            <w:tcBorders>
              <w:tl2br w:val="nil"/>
              <w:tr2bl w:val="nil"/>
            </w:tcBorders>
            <w:vAlign w:val="center"/>
          </w:tcPr>
          <w:p w14:paraId="23EAD644">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7008F8C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823" w:type="dxa"/>
            <w:tcBorders>
              <w:tl2br w:val="nil"/>
              <w:tr2bl w:val="nil"/>
            </w:tcBorders>
            <w:vAlign w:val="center"/>
          </w:tcPr>
          <w:p w14:paraId="21E984F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从重情节</w:t>
            </w:r>
          </w:p>
        </w:tc>
        <w:tc>
          <w:tcPr>
            <w:tcW w:w="3437" w:type="dxa"/>
            <w:gridSpan w:val="2"/>
            <w:tcBorders>
              <w:tl2br w:val="nil"/>
              <w:tr2bl w:val="nil"/>
            </w:tcBorders>
            <w:vAlign w:val="center"/>
          </w:tcPr>
          <w:p w14:paraId="35CAF76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（1）多次实施同类违法行为的；</w:t>
            </w:r>
          </w:p>
          <w:p w14:paraId="0513684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（2）造成质量安全事故或其他严重后果的。</w:t>
            </w:r>
          </w:p>
        </w:tc>
        <w:tc>
          <w:tcPr>
            <w:tcW w:w="3058" w:type="dxa"/>
            <w:tcBorders>
              <w:tl2br w:val="nil"/>
              <w:tr2bl w:val="nil"/>
            </w:tcBorders>
            <w:vAlign w:val="center"/>
          </w:tcPr>
          <w:p w14:paraId="5238DAE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责令限期改正，对施工单位处2万元以上3万元以下的罚款；并暂扣安全生产许可证30日；对直接负责的主管人员和其他直接责任人员处3千元以上5千元以下的罚款。</w:t>
            </w:r>
          </w:p>
        </w:tc>
      </w:tr>
      <w:tr w14:paraId="138FB87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8" w:hRule="atLeast"/>
          <w:jc w:val="center"/>
        </w:trPr>
        <w:tc>
          <w:tcPr>
            <w:tcW w:w="443" w:type="dxa"/>
            <w:gridSpan w:val="2"/>
            <w:vMerge w:val="restart"/>
            <w:tcBorders>
              <w:tl2br w:val="nil"/>
              <w:tr2bl w:val="nil"/>
            </w:tcBorders>
            <w:vAlign w:val="center"/>
          </w:tcPr>
          <w:p w14:paraId="23E7A9F8">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Times New Roman"/>
                <w:color w:val="auto"/>
                <w:kern w:val="0"/>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201</w:t>
            </w:r>
          </w:p>
        </w:tc>
        <w:tc>
          <w:tcPr>
            <w:tcW w:w="1550" w:type="dxa"/>
            <w:vMerge w:val="restart"/>
            <w:tcBorders>
              <w:tl2br w:val="nil"/>
              <w:tr2bl w:val="nil"/>
            </w:tcBorders>
            <w:vAlign w:val="center"/>
          </w:tcPr>
          <w:p w14:paraId="0F586218">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施工单位有下列行为之一的：</w:t>
            </w:r>
          </w:p>
          <w:p w14:paraId="1A52ECB7">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（一）项目负责人未按照本规定现场履职或者组织限期整改的；</w:t>
            </w:r>
          </w:p>
          <w:p w14:paraId="6476AE3B">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（二）施工单位未按照本规定进行施工监测和安全巡视的；</w:t>
            </w:r>
          </w:p>
          <w:p w14:paraId="6395BC36">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（三）未按照本规定组织危大工程验收的；</w:t>
            </w:r>
          </w:p>
          <w:p w14:paraId="4880CF0A">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（四）发生险情或者事故时，未采取应急处置措施的；</w:t>
            </w:r>
          </w:p>
          <w:p w14:paraId="79CAF0E5">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（五）未按照本规定建立危大工程安全管理档案的。</w:t>
            </w:r>
          </w:p>
        </w:tc>
        <w:tc>
          <w:tcPr>
            <w:tcW w:w="4820" w:type="dxa"/>
            <w:vMerge w:val="restart"/>
            <w:tcBorders>
              <w:tl2br w:val="nil"/>
              <w:tr2bl w:val="nil"/>
            </w:tcBorders>
            <w:vAlign w:val="center"/>
          </w:tcPr>
          <w:p w14:paraId="7F0801FC">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《危险性较大的分部分项工程安全管理规定》</w:t>
            </w:r>
          </w:p>
          <w:p w14:paraId="7ED13C20">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第三十五条施工单位有下列行为之一的，责令限期改正，并处1万元以上3万元以下的罚款；对直接负责的主管人员和其他直接责任人员处1000元以上5000元以下的罚款：</w:t>
            </w:r>
          </w:p>
          <w:p w14:paraId="437ABEB2">
            <w:pPr>
              <w:keepNext w:val="0"/>
              <w:keepLines w:val="0"/>
              <w:pageBreakBefore w:val="0"/>
              <w:widowControl/>
              <w:shd w:val="clear" w:color="auto" w:fill="FFFFFF"/>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（一）项目负责人未按照本规定现场履职或者组织限期整改的；</w:t>
            </w:r>
          </w:p>
          <w:p w14:paraId="669FA1A7">
            <w:pPr>
              <w:keepNext w:val="0"/>
              <w:keepLines w:val="0"/>
              <w:pageBreakBefore w:val="0"/>
              <w:widowControl/>
              <w:shd w:val="clear" w:color="auto" w:fill="FFFFFF"/>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（二）施工单位未按照本规定进行施工监测和安全巡视的；</w:t>
            </w:r>
          </w:p>
          <w:p w14:paraId="287BE242">
            <w:pPr>
              <w:keepNext w:val="0"/>
              <w:keepLines w:val="0"/>
              <w:pageBreakBefore w:val="0"/>
              <w:widowControl/>
              <w:shd w:val="clear" w:color="auto" w:fill="FFFFFF"/>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（三）未按照本规定组织危大工程验收的；</w:t>
            </w:r>
          </w:p>
          <w:p w14:paraId="36D8F6DE">
            <w:pPr>
              <w:keepNext w:val="0"/>
              <w:keepLines w:val="0"/>
              <w:pageBreakBefore w:val="0"/>
              <w:widowControl/>
              <w:shd w:val="clear" w:color="auto" w:fill="FFFFFF"/>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（四）发生险情或者事故时，未采取应急处置措施的；</w:t>
            </w:r>
          </w:p>
          <w:p w14:paraId="1EBE6EC2">
            <w:pPr>
              <w:keepNext w:val="0"/>
              <w:keepLines w:val="0"/>
              <w:pageBreakBefore w:val="0"/>
              <w:widowControl/>
              <w:shd w:val="clear" w:color="auto" w:fill="FFFFFF"/>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（五）未按照本规定建立危大工程安全管理档案的。</w:t>
            </w:r>
          </w:p>
          <w:p w14:paraId="29908310">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tc>
        <w:tc>
          <w:tcPr>
            <w:tcW w:w="823" w:type="dxa"/>
            <w:tcBorders>
              <w:tl2br w:val="nil"/>
              <w:tr2bl w:val="nil"/>
            </w:tcBorders>
            <w:vAlign w:val="center"/>
          </w:tcPr>
          <w:p w14:paraId="5580E13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vAlign w:val="center"/>
          </w:tcPr>
          <w:p w14:paraId="0D1C43D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初次违法，危害后果较轻的，主动消除或减轻违法行为危害后果的。</w:t>
            </w:r>
          </w:p>
        </w:tc>
        <w:tc>
          <w:tcPr>
            <w:tcW w:w="3058" w:type="dxa"/>
            <w:tcBorders>
              <w:tl2br w:val="nil"/>
              <w:tr2bl w:val="nil"/>
            </w:tcBorders>
            <w:vAlign w:val="center"/>
          </w:tcPr>
          <w:p w14:paraId="71EFC07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责令限期改正，对施工单位处1万元以上1.5万元以下的罚款；对直接负责的主管人员和其他直接责任人员处1千元以上2千元以下的罚款。</w:t>
            </w:r>
          </w:p>
        </w:tc>
      </w:tr>
      <w:tr w14:paraId="105575B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8" w:hRule="atLeast"/>
          <w:jc w:val="center"/>
        </w:trPr>
        <w:tc>
          <w:tcPr>
            <w:tcW w:w="443" w:type="dxa"/>
            <w:gridSpan w:val="2"/>
            <w:vMerge w:val="continue"/>
            <w:tcBorders>
              <w:tl2br w:val="nil"/>
              <w:tr2bl w:val="nil"/>
            </w:tcBorders>
            <w:vAlign w:val="center"/>
          </w:tcPr>
          <w:p w14:paraId="43E8A47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color w:val="auto"/>
                <w:kern w:val="0"/>
                <w:sz w:val="13"/>
                <w:szCs w:val="13"/>
                <w:highlight w:val="none"/>
              </w:rPr>
            </w:pPr>
          </w:p>
        </w:tc>
        <w:tc>
          <w:tcPr>
            <w:tcW w:w="1550" w:type="dxa"/>
            <w:vMerge w:val="continue"/>
            <w:tcBorders>
              <w:tl2br w:val="nil"/>
              <w:tr2bl w:val="nil"/>
            </w:tcBorders>
            <w:vAlign w:val="center"/>
          </w:tcPr>
          <w:p w14:paraId="53BA3083">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26BBF77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823" w:type="dxa"/>
            <w:tcBorders>
              <w:tl2br w:val="nil"/>
              <w:tr2bl w:val="nil"/>
            </w:tcBorders>
            <w:vAlign w:val="center"/>
          </w:tcPr>
          <w:p w14:paraId="032D03A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一般情节</w:t>
            </w:r>
          </w:p>
        </w:tc>
        <w:tc>
          <w:tcPr>
            <w:tcW w:w="3437" w:type="dxa"/>
            <w:gridSpan w:val="2"/>
            <w:tcBorders>
              <w:tl2br w:val="nil"/>
              <w:tr2bl w:val="nil"/>
            </w:tcBorders>
            <w:vAlign w:val="center"/>
          </w:tcPr>
          <w:p w14:paraId="1CB8DF4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不具有从轻、</w:t>
            </w:r>
            <w:r>
              <w:rPr>
                <w:rFonts w:hint="eastAsia" w:ascii="仿宋_GB2312" w:hAnsi="宋体" w:eastAsia="仿宋_GB2312"/>
                <w:color w:val="auto"/>
                <w:kern w:val="0"/>
                <w:sz w:val="13"/>
                <w:szCs w:val="13"/>
                <w:highlight w:val="none"/>
                <w:lang w:eastAsia="zh-CN"/>
              </w:rPr>
              <w:t>从重情节</w:t>
            </w:r>
            <w:r>
              <w:rPr>
                <w:rFonts w:hint="eastAsia" w:ascii="仿宋_GB2312" w:hAnsi="宋体" w:eastAsia="仿宋_GB2312"/>
                <w:color w:val="auto"/>
                <w:kern w:val="0"/>
                <w:sz w:val="13"/>
                <w:szCs w:val="13"/>
                <w:highlight w:val="none"/>
              </w:rPr>
              <w:t>的。</w:t>
            </w:r>
          </w:p>
        </w:tc>
        <w:tc>
          <w:tcPr>
            <w:tcW w:w="3058" w:type="dxa"/>
            <w:tcBorders>
              <w:tl2br w:val="nil"/>
              <w:tr2bl w:val="nil"/>
            </w:tcBorders>
            <w:vAlign w:val="center"/>
          </w:tcPr>
          <w:p w14:paraId="1B411D7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责令限期改正，对施工单位处1.5万元以上2.5万元以下的罚款；对直接负责的主管人员和其他直接责任人员处2千元以上3千元以下的罚款。</w:t>
            </w:r>
          </w:p>
        </w:tc>
      </w:tr>
      <w:tr w14:paraId="545081A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335" w:hRule="atLeast"/>
          <w:jc w:val="center"/>
        </w:trPr>
        <w:tc>
          <w:tcPr>
            <w:tcW w:w="443" w:type="dxa"/>
            <w:gridSpan w:val="2"/>
            <w:vMerge w:val="continue"/>
            <w:tcBorders>
              <w:tl2br w:val="nil"/>
              <w:tr2bl w:val="nil"/>
            </w:tcBorders>
            <w:vAlign w:val="center"/>
          </w:tcPr>
          <w:p w14:paraId="3FB5B25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color w:val="auto"/>
                <w:kern w:val="0"/>
                <w:sz w:val="13"/>
                <w:szCs w:val="13"/>
                <w:highlight w:val="none"/>
              </w:rPr>
            </w:pPr>
          </w:p>
        </w:tc>
        <w:tc>
          <w:tcPr>
            <w:tcW w:w="1550" w:type="dxa"/>
            <w:vMerge w:val="continue"/>
            <w:tcBorders>
              <w:tl2br w:val="nil"/>
              <w:tr2bl w:val="nil"/>
            </w:tcBorders>
            <w:vAlign w:val="center"/>
          </w:tcPr>
          <w:p w14:paraId="2E056DA3">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719F3E6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823" w:type="dxa"/>
            <w:tcBorders>
              <w:tl2br w:val="nil"/>
              <w:tr2bl w:val="nil"/>
            </w:tcBorders>
            <w:vAlign w:val="center"/>
          </w:tcPr>
          <w:p w14:paraId="7E841AD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从重情节</w:t>
            </w:r>
          </w:p>
        </w:tc>
        <w:tc>
          <w:tcPr>
            <w:tcW w:w="3437" w:type="dxa"/>
            <w:gridSpan w:val="2"/>
            <w:tcBorders>
              <w:tl2br w:val="nil"/>
              <w:tr2bl w:val="nil"/>
            </w:tcBorders>
            <w:vAlign w:val="center"/>
          </w:tcPr>
          <w:p w14:paraId="3BA67F9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（1）多次实施同类违法行为的；</w:t>
            </w:r>
          </w:p>
          <w:p w14:paraId="7D8CB69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（2）造成质量安全事故或其他严重后果的。</w:t>
            </w:r>
          </w:p>
        </w:tc>
        <w:tc>
          <w:tcPr>
            <w:tcW w:w="3058" w:type="dxa"/>
            <w:tcBorders>
              <w:tl2br w:val="nil"/>
              <w:tr2bl w:val="nil"/>
            </w:tcBorders>
            <w:vAlign w:val="center"/>
          </w:tcPr>
          <w:p w14:paraId="47FDB4A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责令限期改正，对施工单位处2.5万元以上3万元以下的罚款；对直接负责的主管人员和其他直接责任人员处3千元以上5千元以下的罚款。</w:t>
            </w:r>
          </w:p>
        </w:tc>
      </w:tr>
      <w:tr w14:paraId="3AFF189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0" w:hRule="atLeast"/>
          <w:jc w:val="center"/>
        </w:trPr>
        <w:tc>
          <w:tcPr>
            <w:tcW w:w="443" w:type="dxa"/>
            <w:gridSpan w:val="2"/>
            <w:vMerge w:val="restart"/>
            <w:tcBorders>
              <w:tl2br w:val="nil"/>
              <w:tr2bl w:val="nil"/>
            </w:tcBorders>
            <w:vAlign w:val="center"/>
          </w:tcPr>
          <w:p w14:paraId="5E973288">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Times New Roman"/>
                <w:color w:val="auto"/>
                <w:kern w:val="0"/>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202</w:t>
            </w:r>
          </w:p>
        </w:tc>
        <w:tc>
          <w:tcPr>
            <w:tcW w:w="1550" w:type="dxa"/>
            <w:vMerge w:val="restart"/>
            <w:tcBorders>
              <w:tl2br w:val="nil"/>
              <w:tr2bl w:val="nil"/>
            </w:tcBorders>
            <w:vAlign w:val="center"/>
          </w:tcPr>
          <w:p w14:paraId="52BBCE6C">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监理单位发现施工单位未按照专项施工方案实施，未要求其整改或者停工的</w:t>
            </w:r>
          </w:p>
        </w:tc>
        <w:tc>
          <w:tcPr>
            <w:tcW w:w="4820" w:type="dxa"/>
            <w:vMerge w:val="restart"/>
            <w:tcBorders>
              <w:tl2br w:val="nil"/>
              <w:tr2bl w:val="nil"/>
            </w:tcBorders>
            <w:vAlign w:val="center"/>
          </w:tcPr>
          <w:p w14:paraId="49CE5BE9">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《危险性较大的分部分项工程安全管理规定》</w:t>
            </w:r>
          </w:p>
          <w:p w14:paraId="202527A2">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第三十六条</w:t>
            </w:r>
            <w:r>
              <w:rPr>
                <w:rFonts w:hint="eastAsia" w:ascii="仿宋_GB2312" w:hAnsi="宋体" w:eastAsia="仿宋_GB2312"/>
                <w:color w:val="auto"/>
                <w:kern w:val="0"/>
                <w:sz w:val="13"/>
                <w:szCs w:val="13"/>
                <w:highlight w:val="none"/>
                <w:lang w:eastAsia="zh-CN"/>
              </w:rPr>
              <w:t>（</w:t>
            </w:r>
            <w:r>
              <w:rPr>
                <w:rFonts w:hint="eastAsia" w:ascii="仿宋_GB2312" w:hAnsi="宋体" w:eastAsia="仿宋_GB2312"/>
                <w:color w:val="auto"/>
                <w:kern w:val="0"/>
                <w:sz w:val="13"/>
                <w:szCs w:val="13"/>
                <w:highlight w:val="none"/>
                <w:lang w:val="en-US" w:eastAsia="zh-CN"/>
              </w:rPr>
              <w:t>二</w:t>
            </w:r>
            <w:r>
              <w:rPr>
                <w:rFonts w:hint="eastAsia" w:ascii="仿宋_GB2312" w:hAnsi="宋体" w:eastAsia="仿宋_GB2312"/>
                <w:color w:val="auto"/>
                <w:kern w:val="0"/>
                <w:sz w:val="13"/>
                <w:szCs w:val="13"/>
                <w:highlight w:val="none"/>
                <w:lang w:eastAsia="zh-CN"/>
              </w:rPr>
              <w:t>）</w:t>
            </w:r>
            <w:r>
              <w:rPr>
                <w:rFonts w:hint="eastAsia" w:ascii="仿宋_GB2312" w:hAnsi="宋体" w:eastAsia="仿宋_GB2312"/>
                <w:color w:val="auto"/>
                <w:kern w:val="0"/>
                <w:sz w:val="13"/>
                <w:szCs w:val="13"/>
                <w:highlight w:val="none"/>
              </w:rPr>
              <w:t>项监理单位有下列行为之一的，依照《中华人民共和国安全生产法》《建设工程安全生产管理条例》对单位进行处罚；对直接负责的主管人员和其他直接责任人员处1000元以上5000元以下的罚款：</w:t>
            </w:r>
          </w:p>
          <w:p w14:paraId="2E80BBA3">
            <w:pPr>
              <w:keepNext w:val="0"/>
              <w:keepLines w:val="0"/>
              <w:pageBreakBefore w:val="0"/>
              <w:numPr>
                <w:ilvl w:val="0"/>
                <w:numId w:val="2"/>
              </w:numPr>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总监理工程师未按照本规定审查危大工程专项施工方案的；</w:t>
            </w:r>
          </w:p>
          <w:p w14:paraId="0382E511">
            <w:pPr>
              <w:keepNext w:val="0"/>
              <w:keepLines w:val="0"/>
              <w:pageBreakBefore w:val="0"/>
              <w:numPr>
                <w:ilvl w:val="0"/>
                <w:numId w:val="2"/>
              </w:numPr>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发现施工单位未按照专项施工方案实施，未要求其整改或者停工的；</w:t>
            </w:r>
          </w:p>
          <w:p w14:paraId="694702C9">
            <w:pPr>
              <w:keepNext w:val="0"/>
              <w:keepLines w:val="0"/>
              <w:pageBreakBefore w:val="0"/>
              <w:numPr>
                <w:ilvl w:val="0"/>
                <w:numId w:val="0"/>
              </w:numPr>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《建设工程安全生产管理条例》</w:t>
            </w:r>
          </w:p>
          <w:p w14:paraId="4ED54FFB">
            <w:pPr>
              <w:keepNext w:val="0"/>
              <w:keepLines w:val="0"/>
              <w:pageBreakBefore w:val="0"/>
              <w:numPr>
                <w:ilvl w:val="0"/>
                <w:numId w:val="0"/>
              </w:numPr>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第五十八条　注册执业人员未执行法律、法规和工程建设强制性标准的，责令停止执业3个月以上1年以下；情节严重的，吊销执业资格证书，5年内不予注册；造成重大安全事故的，终身不予注册；构成犯罪的，依照刑法有关规定追究刑事责任。</w:t>
            </w:r>
          </w:p>
        </w:tc>
        <w:tc>
          <w:tcPr>
            <w:tcW w:w="823" w:type="dxa"/>
            <w:tcBorders>
              <w:tl2br w:val="nil"/>
              <w:tr2bl w:val="nil"/>
            </w:tcBorders>
            <w:vAlign w:val="center"/>
          </w:tcPr>
          <w:p w14:paraId="51E37A0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vAlign w:val="center"/>
          </w:tcPr>
          <w:p w14:paraId="275BD6F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初次违法，危害后果较轻的，主动消除或减轻违法行为危害后果的。</w:t>
            </w:r>
          </w:p>
        </w:tc>
        <w:tc>
          <w:tcPr>
            <w:tcW w:w="3058" w:type="dxa"/>
            <w:tcBorders>
              <w:tl2br w:val="nil"/>
              <w:tr2bl w:val="nil"/>
            </w:tcBorders>
            <w:vAlign w:val="center"/>
          </w:tcPr>
          <w:p w14:paraId="1008FE38">
            <w:pPr>
              <w:keepNext w:val="0"/>
              <w:keepLines w:val="0"/>
              <w:pageBreakBefore w:val="0"/>
              <w:numPr>
                <w:ilvl w:val="0"/>
                <w:numId w:val="0"/>
              </w:numPr>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lang w:val="en-US" w:eastAsia="zh-CN"/>
              </w:rPr>
              <w:t>依据</w:t>
            </w:r>
            <w:r>
              <w:rPr>
                <w:rFonts w:hint="eastAsia" w:ascii="仿宋_GB2312" w:hAnsi="宋体" w:eastAsia="仿宋_GB2312"/>
                <w:color w:val="auto"/>
                <w:kern w:val="0"/>
                <w:sz w:val="13"/>
                <w:szCs w:val="13"/>
                <w:highlight w:val="none"/>
              </w:rPr>
              <w:t>《建设工程安全生产管理条例》</w:t>
            </w:r>
            <w:r>
              <w:rPr>
                <w:rFonts w:hint="eastAsia" w:ascii="仿宋_GB2312" w:hAnsi="宋体" w:eastAsia="仿宋_GB2312"/>
                <w:color w:val="auto"/>
                <w:kern w:val="0"/>
                <w:sz w:val="13"/>
                <w:szCs w:val="13"/>
                <w:highlight w:val="none"/>
                <w:lang w:val="en-US" w:eastAsia="zh-CN"/>
              </w:rPr>
              <w:t>五十七条对单位进行处罚；</w:t>
            </w:r>
            <w:r>
              <w:rPr>
                <w:rFonts w:hint="eastAsia" w:ascii="仿宋_GB2312" w:hAnsi="宋体" w:eastAsia="仿宋_GB2312"/>
                <w:color w:val="auto"/>
                <w:kern w:val="0"/>
                <w:sz w:val="13"/>
                <w:szCs w:val="13"/>
                <w:highlight w:val="none"/>
              </w:rPr>
              <w:t>对直接负责的主管人员和其他直接责任人员处1千元以上2千元以下的罚款</w:t>
            </w:r>
            <w:r>
              <w:rPr>
                <w:rFonts w:hint="eastAsia" w:ascii="仿宋_GB2312" w:hAnsi="宋体" w:eastAsia="仿宋_GB2312"/>
                <w:color w:val="auto"/>
                <w:kern w:val="0"/>
                <w:sz w:val="13"/>
                <w:szCs w:val="13"/>
                <w:highlight w:val="none"/>
                <w:lang w:eastAsia="zh-CN"/>
              </w:rPr>
              <w:t>，</w:t>
            </w:r>
            <w:r>
              <w:rPr>
                <w:rFonts w:hint="eastAsia" w:ascii="仿宋_GB2312" w:hAnsi="宋体" w:eastAsia="仿宋_GB2312"/>
                <w:color w:val="auto"/>
                <w:kern w:val="0"/>
                <w:sz w:val="13"/>
                <w:szCs w:val="13"/>
                <w:highlight w:val="none"/>
                <w:lang w:val="en-US" w:eastAsia="zh-CN"/>
              </w:rPr>
              <w:t>对应当负责的注册监理工程师责令停止执业3个月至6个月</w:t>
            </w:r>
            <w:r>
              <w:rPr>
                <w:rFonts w:hint="eastAsia" w:ascii="仿宋_GB2312" w:hAnsi="宋体" w:eastAsia="仿宋_GB2312"/>
                <w:color w:val="auto"/>
                <w:kern w:val="0"/>
                <w:sz w:val="13"/>
                <w:szCs w:val="13"/>
                <w:highlight w:val="none"/>
              </w:rPr>
              <w:t>。</w:t>
            </w:r>
          </w:p>
        </w:tc>
      </w:tr>
      <w:tr w14:paraId="3917D56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0" w:hRule="atLeast"/>
          <w:jc w:val="center"/>
        </w:trPr>
        <w:tc>
          <w:tcPr>
            <w:tcW w:w="443" w:type="dxa"/>
            <w:gridSpan w:val="2"/>
            <w:vMerge w:val="continue"/>
            <w:tcBorders>
              <w:tl2br w:val="nil"/>
              <w:tr2bl w:val="nil"/>
            </w:tcBorders>
            <w:vAlign w:val="center"/>
          </w:tcPr>
          <w:p w14:paraId="38AC2E3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color w:val="auto"/>
                <w:kern w:val="0"/>
                <w:sz w:val="13"/>
                <w:szCs w:val="13"/>
                <w:highlight w:val="none"/>
              </w:rPr>
            </w:pPr>
          </w:p>
        </w:tc>
        <w:tc>
          <w:tcPr>
            <w:tcW w:w="1550" w:type="dxa"/>
            <w:vMerge w:val="continue"/>
            <w:tcBorders>
              <w:tl2br w:val="nil"/>
              <w:tr2bl w:val="nil"/>
            </w:tcBorders>
            <w:vAlign w:val="center"/>
          </w:tcPr>
          <w:p w14:paraId="3B9B6094">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6EB9789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823" w:type="dxa"/>
            <w:tcBorders>
              <w:tl2br w:val="nil"/>
              <w:tr2bl w:val="nil"/>
            </w:tcBorders>
            <w:vAlign w:val="center"/>
          </w:tcPr>
          <w:p w14:paraId="3200E1B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一般情节</w:t>
            </w:r>
          </w:p>
        </w:tc>
        <w:tc>
          <w:tcPr>
            <w:tcW w:w="3437" w:type="dxa"/>
            <w:gridSpan w:val="2"/>
            <w:tcBorders>
              <w:tl2br w:val="nil"/>
              <w:tr2bl w:val="nil"/>
            </w:tcBorders>
            <w:vAlign w:val="center"/>
          </w:tcPr>
          <w:p w14:paraId="1566544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不具有从轻、</w:t>
            </w:r>
            <w:r>
              <w:rPr>
                <w:rFonts w:hint="eastAsia" w:ascii="仿宋_GB2312" w:hAnsi="宋体" w:eastAsia="仿宋_GB2312"/>
                <w:color w:val="auto"/>
                <w:kern w:val="0"/>
                <w:sz w:val="13"/>
                <w:szCs w:val="13"/>
                <w:highlight w:val="none"/>
                <w:lang w:eastAsia="zh-CN"/>
              </w:rPr>
              <w:t>从重情节</w:t>
            </w:r>
            <w:r>
              <w:rPr>
                <w:rFonts w:hint="eastAsia" w:ascii="仿宋_GB2312" w:hAnsi="宋体" w:eastAsia="仿宋_GB2312"/>
                <w:color w:val="auto"/>
                <w:kern w:val="0"/>
                <w:sz w:val="13"/>
                <w:szCs w:val="13"/>
                <w:highlight w:val="none"/>
              </w:rPr>
              <w:t>的。</w:t>
            </w:r>
          </w:p>
        </w:tc>
        <w:tc>
          <w:tcPr>
            <w:tcW w:w="3058" w:type="dxa"/>
            <w:tcBorders>
              <w:tl2br w:val="nil"/>
              <w:tr2bl w:val="nil"/>
            </w:tcBorders>
            <w:vAlign w:val="center"/>
          </w:tcPr>
          <w:p w14:paraId="1E3796B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lang w:val="en-US" w:eastAsia="zh-CN"/>
              </w:rPr>
              <w:t>依据</w:t>
            </w:r>
            <w:r>
              <w:rPr>
                <w:rFonts w:hint="eastAsia" w:ascii="仿宋_GB2312" w:hAnsi="宋体" w:eastAsia="仿宋_GB2312"/>
                <w:color w:val="auto"/>
                <w:kern w:val="0"/>
                <w:sz w:val="13"/>
                <w:szCs w:val="13"/>
                <w:highlight w:val="none"/>
              </w:rPr>
              <w:t>《建设工程安全生产管理条例》</w:t>
            </w:r>
            <w:r>
              <w:rPr>
                <w:rFonts w:hint="eastAsia" w:ascii="仿宋_GB2312" w:hAnsi="宋体" w:eastAsia="仿宋_GB2312"/>
                <w:color w:val="auto"/>
                <w:kern w:val="0"/>
                <w:sz w:val="13"/>
                <w:szCs w:val="13"/>
                <w:highlight w:val="none"/>
                <w:lang w:val="en-US" w:eastAsia="zh-CN"/>
              </w:rPr>
              <w:t>五十七条对单位进行处罚；</w:t>
            </w:r>
            <w:r>
              <w:rPr>
                <w:rFonts w:hint="eastAsia" w:ascii="仿宋_GB2312" w:hAnsi="宋体" w:eastAsia="仿宋_GB2312"/>
                <w:color w:val="auto"/>
                <w:kern w:val="0"/>
                <w:sz w:val="13"/>
                <w:szCs w:val="13"/>
                <w:highlight w:val="none"/>
              </w:rPr>
              <w:t>对直接负责的主管人员和其他直接责任人员处2千元以上3千元以下的罚款</w:t>
            </w:r>
            <w:r>
              <w:rPr>
                <w:rFonts w:hint="eastAsia" w:ascii="仿宋_GB2312" w:hAnsi="宋体" w:eastAsia="仿宋_GB2312"/>
                <w:color w:val="auto"/>
                <w:kern w:val="0"/>
                <w:sz w:val="13"/>
                <w:szCs w:val="13"/>
                <w:highlight w:val="none"/>
                <w:lang w:eastAsia="zh-CN"/>
              </w:rPr>
              <w:t>，</w:t>
            </w:r>
            <w:r>
              <w:rPr>
                <w:rFonts w:hint="eastAsia" w:ascii="仿宋_GB2312" w:hAnsi="宋体" w:eastAsia="仿宋_GB2312"/>
                <w:color w:val="auto"/>
                <w:kern w:val="0"/>
                <w:sz w:val="13"/>
                <w:szCs w:val="13"/>
                <w:highlight w:val="none"/>
                <w:lang w:val="en-US" w:eastAsia="zh-CN"/>
              </w:rPr>
              <w:t>对应当负责的注册监理工程师责令停止执业6个月至1年</w:t>
            </w:r>
            <w:r>
              <w:rPr>
                <w:rFonts w:hint="eastAsia" w:ascii="仿宋_GB2312" w:hAnsi="宋体" w:eastAsia="仿宋_GB2312"/>
                <w:color w:val="auto"/>
                <w:kern w:val="0"/>
                <w:sz w:val="13"/>
                <w:szCs w:val="13"/>
                <w:highlight w:val="none"/>
              </w:rPr>
              <w:t>。</w:t>
            </w:r>
          </w:p>
        </w:tc>
      </w:tr>
      <w:tr w14:paraId="225DB9A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85" w:hRule="atLeast"/>
          <w:jc w:val="center"/>
        </w:trPr>
        <w:tc>
          <w:tcPr>
            <w:tcW w:w="443" w:type="dxa"/>
            <w:gridSpan w:val="2"/>
            <w:vMerge w:val="continue"/>
            <w:tcBorders>
              <w:tl2br w:val="nil"/>
              <w:tr2bl w:val="nil"/>
            </w:tcBorders>
            <w:vAlign w:val="center"/>
          </w:tcPr>
          <w:p w14:paraId="708C161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color w:val="auto"/>
                <w:kern w:val="0"/>
                <w:sz w:val="13"/>
                <w:szCs w:val="13"/>
                <w:highlight w:val="none"/>
              </w:rPr>
            </w:pPr>
          </w:p>
        </w:tc>
        <w:tc>
          <w:tcPr>
            <w:tcW w:w="1550" w:type="dxa"/>
            <w:vMerge w:val="continue"/>
            <w:tcBorders>
              <w:tl2br w:val="nil"/>
              <w:tr2bl w:val="nil"/>
            </w:tcBorders>
            <w:vAlign w:val="center"/>
          </w:tcPr>
          <w:p w14:paraId="5E7E61E9">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3B17023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823" w:type="dxa"/>
            <w:vMerge w:val="restart"/>
            <w:tcBorders>
              <w:tl2br w:val="nil"/>
              <w:tr2bl w:val="nil"/>
            </w:tcBorders>
            <w:vAlign w:val="center"/>
          </w:tcPr>
          <w:p w14:paraId="2D069B1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从重情节</w:t>
            </w:r>
          </w:p>
        </w:tc>
        <w:tc>
          <w:tcPr>
            <w:tcW w:w="3437" w:type="dxa"/>
            <w:gridSpan w:val="2"/>
            <w:tcBorders>
              <w:tl2br w:val="nil"/>
              <w:tr2bl w:val="nil"/>
            </w:tcBorders>
            <w:vAlign w:val="center"/>
          </w:tcPr>
          <w:p w14:paraId="6F8F58B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（1）多次实施同类违法行为的；</w:t>
            </w:r>
          </w:p>
          <w:p w14:paraId="0ED1243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（2）造成质量安全事故或其他严重后果的。</w:t>
            </w:r>
          </w:p>
        </w:tc>
        <w:tc>
          <w:tcPr>
            <w:tcW w:w="3058" w:type="dxa"/>
            <w:tcBorders>
              <w:tl2br w:val="nil"/>
              <w:tr2bl w:val="nil"/>
            </w:tcBorders>
            <w:vAlign w:val="center"/>
          </w:tcPr>
          <w:p w14:paraId="601EAC4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default" w:ascii="仿宋_GB2312" w:hAnsi="宋体" w:eastAsia="仿宋_GB2312"/>
                <w:color w:val="auto"/>
                <w:kern w:val="0"/>
                <w:sz w:val="13"/>
                <w:szCs w:val="13"/>
                <w:highlight w:val="none"/>
                <w:lang w:val="en-US" w:eastAsia="zh-CN"/>
              </w:rPr>
            </w:pPr>
            <w:r>
              <w:rPr>
                <w:rFonts w:hint="eastAsia" w:ascii="仿宋_GB2312" w:hAnsi="宋体" w:eastAsia="仿宋_GB2312"/>
                <w:color w:val="auto"/>
                <w:kern w:val="0"/>
                <w:sz w:val="13"/>
                <w:szCs w:val="13"/>
                <w:highlight w:val="none"/>
                <w:lang w:val="en-US" w:eastAsia="zh-CN"/>
              </w:rPr>
              <w:t>依据</w:t>
            </w:r>
            <w:r>
              <w:rPr>
                <w:rFonts w:hint="eastAsia" w:ascii="仿宋_GB2312" w:hAnsi="宋体" w:eastAsia="仿宋_GB2312"/>
                <w:color w:val="auto"/>
                <w:kern w:val="0"/>
                <w:sz w:val="13"/>
                <w:szCs w:val="13"/>
                <w:highlight w:val="none"/>
              </w:rPr>
              <w:t>《建设工程安全生产管理条例》</w:t>
            </w:r>
            <w:r>
              <w:rPr>
                <w:rFonts w:hint="eastAsia" w:ascii="仿宋_GB2312" w:hAnsi="宋体" w:eastAsia="仿宋_GB2312"/>
                <w:color w:val="auto"/>
                <w:kern w:val="0"/>
                <w:sz w:val="13"/>
                <w:szCs w:val="13"/>
                <w:highlight w:val="none"/>
                <w:lang w:val="en-US" w:eastAsia="zh-CN"/>
              </w:rPr>
              <w:t>五十七条对单位进行处罚；</w:t>
            </w:r>
            <w:r>
              <w:rPr>
                <w:rFonts w:hint="eastAsia" w:ascii="仿宋_GB2312" w:hAnsi="宋体" w:eastAsia="仿宋_GB2312"/>
                <w:color w:val="auto"/>
                <w:kern w:val="0"/>
                <w:sz w:val="13"/>
                <w:szCs w:val="13"/>
                <w:highlight w:val="none"/>
              </w:rPr>
              <w:t>对直接负责的主管人员和其他直接责任人员处3千元以上5千元以下的罚款。</w:t>
            </w:r>
            <w:r>
              <w:rPr>
                <w:rFonts w:hint="eastAsia" w:ascii="仿宋_GB2312" w:hAnsi="宋体" w:eastAsia="仿宋_GB2312"/>
                <w:color w:val="auto"/>
                <w:kern w:val="0"/>
                <w:sz w:val="13"/>
                <w:szCs w:val="13"/>
                <w:highlight w:val="none"/>
                <w:lang w:val="en-US" w:eastAsia="zh-CN"/>
              </w:rPr>
              <w:t>对应当负责的注册监理工程师，吊销执业执业资格证书，5年不予注册</w:t>
            </w:r>
          </w:p>
        </w:tc>
      </w:tr>
      <w:tr w14:paraId="03E0201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85" w:hRule="atLeast"/>
          <w:jc w:val="center"/>
        </w:trPr>
        <w:tc>
          <w:tcPr>
            <w:tcW w:w="443" w:type="dxa"/>
            <w:gridSpan w:val="2"/>
            <w:vMerge w:val="continue"/>
            <w:tcBorders>
              <w:tl2br w:val="nil"/>
              <w:tr2bl w:val="nil"/>
            </w:tcBorders>
            <w:vAlign w:val="center"/>
          </w:tcPr>
          <w:p w14:paraId="5ECBD1E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10" w:firstLineChars="100"/>
              <w:jc w:val="left"/>
              <w:rPr>
                <w:color w:val="auto"/>
                <w:highlight w:val="none"/>
              </w:rPr>
            </w:pPr>
          </w:p>
        </w:tc>
        <w:tc>
          <w:tcPr>
            <w:tcW w:w="1550" w:type="dxa"/>
            <w:vMerge w:val="continue"/>
            <w:tcBorders>
              <w:tl2br w:val="nil"/>
              <w:tr2bl w:val="nil"/>
            </w:tcBorders>
            <w:vAlign w:val="center"/>
          </w:tcPr>
          <w:p w14:paraId="0925A94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10" w:firstLineChars="100"/>
              <w:jc w:val="left"/>
              <w:rPr>
                <w:color w:val="auto"/>
                <w:highlight w:val="none"/>
              </w:rPr>
            </w:pPr>
          </w:p>
        </w:tc>
        <w:tc>
          <w:tcPr>
            <w:tcW w:w="4820" w:type="dxa"/>
            <w:vMerge w:val="continue"/>
            <w:tcBorders>
              <w:tl2br w:val="nil"/>
              <w:tr2bl w:val="nil"/>
            </w:tcBorders>
            <w:vAlign w:val="center"/>
          </w:tcPr>
          <w:p w14:paraId="6B84ED1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10" w:firstLineChars="100"/>
              <w:jc w:val="left"/>
              <w:rPr>
                <w:color w:val="auto"/>
                <w:highlight w:val="none"/>
              </w:rPr>
            </w:pPr>
          </w:p>
        </w:tc>
        <w:tc>
          <w:tcPr>
            <w:tcW w:w="823" w:type="dxa"/>
            <w:vMerge w:val="continue"/>
            <w:tcBorders>
              <w:tl2br w:val="nil"/>
              <w:tr2bl w:val="nil"/>
            </w:tcBorders>
            <w:vAlign w:val="center"/>
          </w:tcPr>
          <w:p w14:paraId="494166F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10" w:firstLineChars="100"/>
              <w:jc w:val="left"/>
              <w:rPr>
                <w:color w:val="auto"/>
                <w:highlight w:val="none"/>
              </w:rPr>
            </w:pPr>
          </w:p>
        </w:tc>
        <w:tc>
          <w:tcPr>
            <w:tcW w:w="3437" w:type="dxa"/>
            <w:gridSpan w:val="2"/>
            <w:tcBorders>
              <w:tl2br w:val="nil"/>
              <w:tr2bl w:val="nil"/>
            </w:tcBorders>
            <w:vAlign w:val="center"/>
          </w:tcPr>
          <w:p w14:paraId="0429D70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default" w:ascii="仿宋_GB2312" w:hAnsi="宋体" w:eastAsia="仿宋_GB2312"/>
                <w:color w:val="auto"/>
                <w:kern w:val="0"/>
                <w:sz w:val="13"/>
                <w:szCs w:val="13"/>
                <w:highlight w:val="none"/>
                <w:lang w:val="en-US" w:eastAsia="zh-CN"/>
              </w:rPr>
            </w:pPr>
            <w:r>
              <w:rPr>
                <w:rFonts w:hint="eastAsia" w:ascii="仿宋_GB2312" w:hAnsi="宋体" w:eastAsia="仿宋_GB2312"/>
                <w:color w:val="auto"/>
                <w:kern w:val="0"/>
                <w:sz w:val="13"/>
                <w:szCs w:val="13"/>
                <w:highlight w:val="none"/>
                <w:lang w:val="en-US" w:eastAsia="zh-CN"/>
              </w:rPr>
              <w:t>造成工大安全事故的</w:t>
            </w:r>
          </w:p>
        </w:tc>
        <w:tc>
          <w:tcPr>
            <w:tcW w:w="3058" w:type="dxa"/>
            <w:tcBorders>
              <w:tl2br w:val="nil"/>
              <w:tr2bl w:val="nil"/>
            </w:tcBorders>
            <w:vAlign w:val="center"/>
          </w:tcPr>
          <w:p w14:paraId="7E9992C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default" w:ascii="仿宋_GB2312" w:hAnsi="宋体" w:eastAsia="仿宋_GB2312"/>
                <w:color w:val="auto"/>
                <w:kern w:val="0"/>
                <w:sz w:val="13"/>
                <w:szCs w:val="13"/>
                <w:highlight w:val="none"/>
                <w:lang w:val="en-US"/>
              </w:rPr>
            </w:pPr>
            <w:r>
              <w:rPr>
                <w:rFonts w:hint="eastAsia" w:ascii="仿宋_GB2312" w:hAnsi="宋体" w:eastAsia="仿宋_GB2312"/>
                <w:color w:val="auto"/>
                <w:kern w:val="0"/>
                <w:sz w:val="13"/>
                <w:szCs w:val="13"/>
                <w:highlight w:val="none"/>
                <w:lang w:val="en-US" w:eastAsia="zh-CN"/>
              </w:rPr>
              <w:t>依据</w:t>
            </w:r>
            <w:r>
              <w:rPr>
                <w:rFonts w:hint="eastAsia" w:ascii="仿宋_GB2312" w:hAnsi="宋体" w:eastAsia="仿宋_GB2312"/>
                <w:color w:val="auto"/>
                <w:kern w:val="0"/>
                <w:sz w:val="13"/>
                <w:szCs w:val="13"/>
                <w:highlight w:val="none"/>
              </w:rPr>
              <w:t>《建设工程安全生产管理条例》</w:t>
            </w:r>
            <w:r>
              <w:rPr>
                <w:rFonts w:hint="eastAsia" w:ascii="仿宋_GB2312" w:hAnsi="宋体" w:eastAsia="仿宋_GB2312"/>
                <w:color w:val="auto"/>
                <w:kern w:val="0"/>
                <w:sz w:val="13"/>
                <w:szCs w:val="13"/>
                <w:highlight w:val="none"/>
                <w:lang w:val="en-US" w:eastAsia="zh-CN"/>
              </w:rPr>
              <w:t>五十七条对单位进行处罚；</w:t>
            </w:r>
            <w:r>
              <w:rPr>
                <w:rFonts w:hint="eastAsia" w:ascii="仿宋_GB2312" w:hAnsi="宋体" w:eastAsia="仿宋_GB2312"/>
                <w:color w:val="auto"/>
                <w:kern w:val="0"/>
                <w:sz w:val="13"/>
                <w:szCs w:val="13"/>
                <w:highlight w:val="none"/>
              </w:rPr>
              <w:t>对直接负责的主管人员和其他直接责任人员处5千元的罚款。</w:t>
            </w:r>
            <w:r>
              <w:rPr>
                <w:rFonts w:hint="eastAsia" w:ascii="仿宋_GB2312" w:hAnsi="宋体" w:eastAsia="仿宋_GB2312"/>
                <w:color w:val="auto"/>
                <w:kern w:val="0"/>
                <w:sz w:val="13"/>
                <w:szCs w:val="13"/>
                <w:highlight w:val="none"/>
                <w:lang w:val="en-US" w:eastAsia="zh-CN"/>
              </w:rPr>
              <w:t>对应当负责的注册监理工程师，吊销执业执业资格证书，终身不予注册。</w:t>
            </w:r>
          </w:p>
        </w:tc>
      </w:tr>
      <w:tr w14:paraId="10CC717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8" w:hRule="atLeast"/>
          <w:jc w:val="center"/>
        </w:trPr>
        <w:tc>
          <w:tcPr>
            <w:tcW w:w="443" w:type="dxa"/>
            <w:gridSpan w:val="2"/>
            <w:vMerge w:val="restart"/>
            <w:tcBorders>
              <w:tl2br w:val="nil"/>
              <w:tr2bl w:val="nil"/>
            </w:tcBorders>
            <w:vAlign w:val="center"/>
          </w:tcPr>
          <w:p w14:paraId="4EF2EC55">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Times New Roman"/>
                <w:color w:val="auto"/>
                <w:kern w:val="0"/>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203</w:t>
            </w:r>
          </w:p>
        </w:tc>
        <w:tc>
          <w:tcPr>
            <w:tcW w:w="1550" w:type="dxa"/>
            <w:vMerge w:val="restart"/>
            <w:tcBorders>
              <w:tl2br w:val="nil"/>
              <w:tr2bl w:val="nil"/>
            </w:tcBorders>
            <w:vAlign w:val="center"/>
          </w:tcPr>
          <w:p w14:paraId="793E25DA">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监理单位有下列行为之一的：</w:t>
            </w:r>
          </w:p>
          <w:p w14:paraId="285A44C0">
            <w:pPr>
              <w:pStyle w:val="19"/>
              <w:keepNext w:val="0"/>
              <w:keepLines w:val="0"/>
              <w:pageBreakBefore w:val="0"/>
              <w:shd w:val="clear" w:color="auto" w:fill="FFFFFF"/>
              <w:kinsoku/>
              <w:overflowPunct/>
              <w:topLinePunct w:val="0"/>
              <w:autoSpaceDE/>
              <w:autoSpaceDN/>
              <w:bidi w:val="0"/>
              <w:adjustRightInd/>
              <w:snapToGrid/>
              <w:spacing w:before="0" w:beforeAutospacing="0" w:after="0" w:afterAutospacing="0" w:line="260" w:lineRule="exact"/>
              <w:ind w:left="0" w:leftChars="0" w:right="0" w:rightChars="0" w:firstLine="130" w:firstLineChars="100"/>
              <w:rPr>
                <w:rFonts w:ascii="仿宋_GB2312" w:eastAsia="仿宋_GB2312" w:cstheme="minorBidi"/>
                <w:color w:val="auto"/>
                <w:sz w:val="13"/>
                <w:szCs w:val="13"/>
                <w:highlight w:val="none"/>
              </w:rPr>
            </w:pPr>
            <w:r>
              <w:rPr>
                <w:rFonts w:hint="eastAsia" w:ascii="仿宋_GB2312" w:eastAsia="仿宋_GB2312" w:cstheme="minorBidi"/>
                <w:color w:val="auto"/>
                <w:sz w:val="13"/>
                <w:szCs w:val="13"/>
                <w:highlight w:val="none"/>
              </w:rPr>
              <w:t>（一）未按照本规定编制监理实施细则的；</w:t>
            </w:r>
          </w:p>
          <w:p w14:paraId="7DB37EFC">
            <w:pPr>
              <w:pStyle w:val="19"/>
              <w:keepNext w:val="0"/>
              <w:keepLines w:val="0"/>
              <w:pageBreakBefore w:val="0"/>
              <w:shd w:val="clear" w:color="auto" w:fill="FFFFFF"/>
              <w:kinsoku/>
              <w:overflowPunct/>
              <w:topLinePunct w:val="0"/>
              <w:autoSpaceDE/>
              <w:autoSpaceDN/>
              <w:bidi w:val="0"/>
              <w:adjustRightInd/>
              <w:snapToGrid/>
              <w:spacing w:before="0" w:beforeAutospacing="0" w:after="0" w:afterAutospacing="0" w:line="260" w:lineRule="exact"/>
              <w:ind w:left="0" w:leftChars="0" w:right="0" w:rightChars="0" w:firstLine="130" w:firstLineChars="100"/>
              <w:rPr>
                <w:rFonts w:ascii="仿宋_GB2312" w:eastAsia="仿宋_GB2312" w:cstheme="minorBidi"/>
                <w:color w:val="auto"/>
                <w:sz w:val="13"/>
                <w:szCs w:val="13"/>
                <w:highlight w:val="none"/>
              </w:rPr>
            </w:pPr>
            <w:r>
              <w:rPr>
                <w:rFonts w:hint="eastAsia" w:ascii="仿宋_GB2312" w:eastAsia="仿宋_GB2312" w:cstheme="minorBidi"/>
                <w:color w:val="auto"/>
                <w:sz w:val="13"/>
                <w:szCs w:val="13"/>
                <w:highlight w:val="none"/>
              </w:rPr>
              <w:t>（二）未对危大工程施工实施专项巡视检查的；</w:t>
            </w:r>
          </w:p>
          <w:p w14:paraId="1E2C922C">
            <w:pPr>
              <w:pStyle w:val="19"/>
              <w:keepNext w:val="0"/>
              <w:keepLines w:val="0"/>
              <w:pageBreakBefore w:val="0"/>
              <w:shd w:val="clear" w:color="auto" w:fill="FFFFFF"/>
              <w:kinsoku/>
              <w:overflowPunct/>
              <w:topLinePunct w:val="0"/>
              <w:autoSpaceDE/>
              <w:autoSpaceDN/>
              <w:bidi w:val="0"/>
              <w:adjustRightInd/>
              <w:snapToGrid/>
              <w:spacing w:before="0" w:beforeAutospacing="0" w:after="0" w:afterAutospacing="0" w:line="260" w:lineRule="exact"/>
              <w:ind w:left="0" w:leftChars="0" w:right="0" w:rightChars="0" w:firstLine="130" w:firstLineChars="100"/>
              <w:rPr>
                <w:rFonts w:ascii="仿宋_GB2312" w:eastAsia="仿宋_GB2312" w:cstheme="minorBidi"/>
                <w:color w:val="auto"/>
                <w:sz w:val="13"/>
                <w:szCs w:val="13"/>
                <w:highlight w:val="none"/>
              </w:rPr>
            </w:pPr>
            <w:r>
              <w:rPr>
                <w:rFonts w:hint="eastAsia" w:ascii="仿宋_GB2312" w:eastAsia="仿宋_GB2312" w:cstheme="minorBidi"/>
                <w:color w:val="auto"/>
                <w:sz w:val="13"/>
                <w:szCs w:val="13"/>
                <w:highlight w:val="none"/>
              </w:rPr>
              <w:t>（三）未按照本规定参与组织危大工程验收的；</w:t>
            </w:r>
          </w:p>
          <w:p w14:paraId="05F682FA">
            <w:pPr>
              <w:pStyle w:val="19"/>
              <w:keepNext w:val="0"/>
              <w:keepLines w:val="0"/>
              <w:pageBreakBefore w:val="0"/>
              <w:shd w:val="clear" w:color="auto" w:fill="FFFFFF"/>
              <w:kinsoku/>
              <w:overflowPunct/>
              <w:topLinePunct w:val="0"/>
              <w:autoSpaceDE/>
              <w:autoSpaceDN/>
              <w:bidi w:val="0"/>
              <w:adjustRightInd/>
              <w:snapToGrid/>
              <w:spacing w:before="0" w:beforeAutospacing="0" w:after="0" w:afterAutospacing="0" w:line="260" w:lineRule="exact"/>
              <w:ind w:left="0" w:leftChars="0" w:right="0" w:rightChars="0" w:firstLine="130" w:firstLineChars="100"/>
              <w:rPr>
                <w:rFonts w:ascii="仿宋_GB2312" w:eastAsia="仿宋_GB2312" w:cstheme="minorBidi"/>
                <w:color w:val="auto"/>
                <w:sz w:val="13"/>
                <w:szCs w:val="13"/>
                <w:highlight w:val="none"/>
              </w:rPr>
            </w:pPr>
            <w:r>
              <w:rPr>
                <w:rFonts w:hint="eastAsia" w:ascii="仿宋_GB2312" w:eastAsia="仿宋_GB2312" w:cstheme="minorBidi"/>
                <w:color w:val="auto"/>
                <w:sz w:val="13"/>
                <w:szCs w:val="13"/>
                <w:highlight w:val="none"/>
              </w:rPr>
              <w:t>（四）未按照本规定建立危大工程安全管理档案的</w:t>
            </w:r>
          </w:p>
        </w:tc>
        <w:tc>
          <w:tcPr>
            <w:tcW w:w="4820" w:type="dxa"/>
            <w:vMerge w:val="restart"/>
            <w:tcBorders>
              <w:tl2br w:val="nil"/>
              <w:tr2bl w:val="nil"/>
            </w:tcBorders>
            <w:vAlign w:val="center"/>
          </w:tcPr>
          <w:p w14:paraId="08677F26">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《危险性较大的分部分项工程安全管理规定》</w:t>
            </w:r>
          </w:p>
          <w:p w14:paraId="37D61785">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第三十七条监理单位有下列行为之一的，责令限期改正，并处1万元以上3万元以下的罚款；对直接负责的主管人员和其他直接责任人员处1000元以上5000元以下的罚款：</w:t>
            </w:r>
          </w:p>
          <w:p w14:paraId="2D24621A">
            <w:pPr>
              <w:pStyle w:val="19"/>
              <w:keepNext w:val="0"/>
              <w:keepLines w:val="0"/>
              <w:pageBreakBefore w:val="0"/>
              <w:shd w:val="clear" w:color="auto" w:fill="FFFFFF"/>
              <w:kinsoku/>
              <w:overflowPunct/>
              <w:topLinePunct w:val="0"/>
              <w:autoSpaceDE/>
              <w:autoSpaceDN/>
              <w:bidi w:val="0"/>
              <w:adjustRightInd/>
              <w:snapToGrid/>
              <w:spacing w:before="0" w:beforeAutospacing="0" w:after="0" w:afterAutospacing="0" w:line="260" w:lineRule="exact"/>
              <w:ind w:left="0" w:leftChars="0" w:right="0" w:rightChars="0" w:firstLine="260" w:firstLineChars="200"/>
              <w:rPr>
                <w:rFonts w:ascii="仿宋_GB2312" w:eastAsia="仿宋_GB2312" w:cstheme="minorBidi"/>
                <w:color w:val="auto"/>
                <w:sz w:val="13"/>
                <w:szCs w:val="13"/>
                <w:highlight w:val="none"/>
              </w:rPr>
            </w:pPr>
            <w:r>
              <w:rPr>
                <w:rFonts w:hint="eastAsia" w:ascii="仿宋_GB2312" w:eastAsia="仿宋_GB2312" w:cstheme="minorBidi"/>
                <w:color w:val="auto"/>
                <w:sz w:val="13"/>
                <w:szCs w:val="13"/>
                <w:highlight w:val="none"/>
              </w:rPr>
              <w:t>（一）未按照本规定编制监理实施细则的；</w:t>
            </w:r>
          </w:p>
          <w:p w14:paraId="7799BF7E">
            <w:pPr>
              <w:pStyle w:val="19"/>
              <w:keepNext w:val="0"/>
              <w:keepLines w:val="0"/>
              <w:pageBreakBefore w:val="0"/>
              <w:shd w:val="clear" w:color="auto" w:fill="FFFFFF"/>
              <w:kinsoku/>
              <w:overflowPunct/>
              <w:topLinePunct w:val="0"/>
              <w:autoSpaceDE/>
              <w:autoSpaceDN/>
              <w:bidi w:val="0"/>
              <w:adjustRightInd/>
              <w:snapToGrid/>
              <w:spacing w:before="0" w:beforeAutospacing="0" w:after="0" w:afterAutospacing="0" w:line="260" w:lineRule="exact"/>
              <w:ind w:left="0" w:leftChars="0" w:right="0" w:rightChars="0" w:firstLine="260" w:firstLineChars="200"/>
              <w:rPr>
                <w:rFonts w:ascii="仿宋_GB2312" w:eastAsia="仿宋_GB2312" w:cstheme="minorBidi"/>
                <w:color w:val="auto"/>
                <w:sz w:val="13"/>
                <w:szCs w:val="13"/>
                <w:highlight w:val="none"/>
              </w:rPr>
            </w:pPr>
            <w:r>
              <w:rPr>
                <w:rFonts w:hint="eastAsia" w:ascii="仿宋_GB2312" w:eastAsia="仿宋_GB2312" w:cstheme="minorBidi"/>
                <w:color w:val="auto"/>
                <w:sz w:val="13"/>
                <w:szCs w:val="13"/>
                <w:highlight w:val="none"/>
              </w:rPr>
              <w:t>（二）未对危大工程施工实施专项巡视检查的；</w:t>
            </w:r>
          </w:p>
          <w:p w14:paraId="06524816">
            <w:pPr>
              <w:pStyle w:val="19"/>
              <w:keepNext w:val="0"/>
              <w:keepLines w:val="0"/>
              <w:pageBreakBefore w:val="0"/>
              <w:shd w:val="clear" w:color="auto" w:fill="FFFFFF"/>
              <w:kinsoku/>
              <w:overflowPunct/>
              <w:topLinePunct w:val="0"/>
              <w:autoSpaceDE/>
              <w:autoSpaceDN/>
              <w:bidi w:val="0"/>
              <w:adjustRightInd/>
              <w:snapToGrid/>
              <w:spacing w:before="0" w:beforeAutospacing="0" w:after="0" w:afterAutospacing="0" w:line="260" w:lineRule="exact"/>
              <w:ind w:left="0" w:leftChars="0" w:right="0" w:rightChars="0" w:firstLine="260" w:firstLineChars="200"/>
              <w:rPr>
                <w:rFonts w:ascii="仿宋_GB2312" w:eastAsia="仿宋_GB2312" w:cstheme="minorBidi"/>
                <w:color w:val="auto"/>
                <w:sz w:val="13"/>
                <w:szCs w:val="13"/>
                <w:highlight w:val="none"/>
              </w:rPr>
            </w:pPr>
            <w:r>
              <w:rPr>
                <w:rFonts w:hint="eastAsia" w:ascii="仿宋_GB2312" w:eastAsia="仿宋_GB2312" w:cstheme="minorBidi"/>
                <w:color w:val="auto"/>
                <w:sz w:val="13"/>
                <w:szCs w:val="13"/>
                <w:highlight w:val="none"/>
              </w:rPr>
              <w:t>（三）未按照本规定参与组织危大工程验收的；</w:t>
            </w:r>
          </w:p>
          <w:p w14:paraId="43DB70E0">
            <w:pPr>
              <w:pStyle w:val="19"/>
              <w:keepNext w:val="0"/>
              <w:keepLines w:val="0"/>
              <w:pageBreakBefore w:val="0"/>
              <w:shd w:val="clear" w:color="auto" w:fill="FFFFFF"/>
              <w:kinsoku/>
              <w:overflowPunct/>
              <w:topLinePunct w:val="0"/>
              <w:autoSpaceDE/>
              <w:autoSpaceDN/>
              <w:bidi w:val="0"/>
              <w:adjustRightInd/>
              <w:snapToGrid/>
              <w:spacing w:before="0" w:beforeAutospacing="0" w:after="0" w:afterAutospacing="0" w:line="260" w:lineRule="exact"/>
              <w:ind w:left="0" w:leftChars="0" w:right="0" w:rightChars="0" w:firstLine="260" w:firstLineChars="200"/>
              <w:rPr>
                <w:rFonts w:ascii="仿宋_GB2312" w:eastAsia="仿宋_GB2312" w:cstheme="minorBidi"/>
                <w:color w:val="auto"/>
                <w:sz w:val="13"/>
                <w:szCs w:val="13"/>
                <w:highlight w:val="none"/>
              </w:rPr>
            </w:pPr>
            <w:r>
              <w:rPr>
                <w:rFonts w:hint="eastAsia" w:ascii="仿宋_GB2312" w:eastAsia="仿宋_GB2312" w:cstheme="minorBidi"/>
                <w:color w:val="auto"/>
                <w:sz w:val="13"/>
                <w:szCs w:val="13"/>
                <w:highlight w:val="none"/>
              </w:rPr>
              <w:t>（四）未按照本规定建立危大工程安全管理档案的。</w:t>
            </w:r>
          </w:p>
          <w:p w14:paraId="3F0EAC90">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tc>
        <w:tc>
          <w:tcPr>
            <w:tcW w:w="823" w:type="dxa"/>
            <w:tcBorders>
              <w:tl2br w:val="nil"/>
              <w:tr2bl w:val="nil"/>
            </w:tcBorders>
            <w:vAlign w:val="center"/>
          </w:tcPr>
          <w:p w14:paraId="4D2C02B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vAlign w:val="center"/>
          </w:tcPr>
          <w:p w14:paraId="4531F44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初次违法，危害后果较轻的，主动消除或减轻违法行为危害后果的。</w:t>
            </w:r>
          </w:p>
        </w:tc>
        <w:tc>
          <w:tcPr>
            <w:tcW w:w="3058" w:type="dxa"/>
            <w:tcBorders>
              <w:tl2br w:val="nil"/>
              <w:tr2bl w:val="nil"/>
            </w:tcBorders>
            <w:vAlign w:val="center"/>
          </w:tcPr>
          <w:p w14:paraId="0E26EC3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责令限期改正，对监理单位处1万元以上1.5万元以下的罚款；对直接负责的主管人员和其他直接责任人员处1千元以上2千元以下的罚款。</w:t>
            </w:r>
          </w:p>
        </w:tc>
      </w:tr>
      <w:tr w14:paraId="08B6DB8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8" w:hRule="atLeast"/>
          <w:jc w:val="center"/>
        </w:trPr>
        <w:tc>
          <w:tcPr>
            <w:tcW w:w="443" w:type="dxa"/>
            <w:gridSpan w:val="2"/>
            <w:vMerge w:val="continue"/>
            <w:tcBorders>
              <w:tl2br w:val="nil"/>
              <w:tr2bl w:val="nil"/>
            </w:tcBorders>
            <w:vAlign w:val="center"/>
          </w:tcPr>
          <w:p w14:paraId="7D8FA8E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color w:val="auto"/>
                <w:kern w:val="0"/>
                <w:sz w:val="13"/>
                <w:szCs w:val="13"/>
                <w:highlight w:val="none"/>
              </w:rPr>
            </w:pPr>
          </w:p>
        </w:tc>
        <w:tc>
          <w:tcPr>
            <w:tcW w:w="1550" w:type="dxa"/>
            <w:vMerge w:val="continue"/>
            <w:tcBorders>
              <w:tl2br w:val="nil"/>
              <w:tr2bl w:val="nil"/>
            </w:tcBorders>
            <w:vAlign w:val="center"/>
          </w:tcPr>
          <w:p w14:paraId="42E0AD20">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3360C7A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823" w:type="dxa"/>
            <w:tcBorders>
              <w:tl2br w:val="nil"/>
              <w:tr2bl w:val="nil"/>
            </w:tcBorders>
            <w:vAlign w:val="center"/>
          </w:tcPr>
          <w:p w14:paraId="1A55F5F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一般情节</w:t>
            </w:r>
          </w:p>
        </w:tc>
        <w:tc>
          <w:tcPr>
            <w:tcW w:w="3437" w:type="dxa"/>
            <w:gridSpan w:val="2"/>
            <w:tcBorders>
              <w:tl2br w:val="nil"/>
              <w:tr2bl w:val="nil"/>
            </w:tcBorders>
            <w:vAlign w:val="center"/>
          </w:tcPr>
          <w:p w14:paraId="4C0E20D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不具有从轻、</w:t>
            </w:r>
            <w:r>
              <w:rPr>
                <w:rFonts w:hint="eastAsia" w:ascii="仿宋_GB2312" w:hAnsi="宋体" w:eastAsia="仿宋_GB2312"/>
                <w:color w:val="auto"/>
                <w:kern w:val="0"/>
                <w:sz w:val="13"/>
                <w:szCs w:val="13"/>
                <w:highlight w:val="none"/>
                <w:lang w:eastAsia="zh-CN"/>
              </w:rPr>
              <w:t>从重情节</w:t>
            </w:r>
            <w:r>
              <w:rPr>
                <w:rFonts w:hint="eastAsia" w:ascii="仿宋_GB2312" w:hAnsi="宋体" w:eastAsia="仿宋_GB2312"/>
                <w:color w:val="auto"/>
                <w:kern w:val="0"/>
                <w:sz w:val="13"/>
                <w:szCs w:val="13"/>
                <w:highlight w:val="none"/>
              </w:rPr>
              <w:t>的。</w:t>
            </w:r>
          </w:p>
        </w:tc>
        <w:tc>
          <w:tcPr>
            <w:tcW w:w="3058" w:type="dxa"/>
            <w:tcBorders>
              <w:tl2br w:val="nil"/>
              <w:tr2bl w:val="nil"/>
            </w:tcBorders>
            <w:vAlign w:val="center"/>
          </w:tcPr>
          <w:p w14:paraId="476AF66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责令限期改正，对监理单位处1.5万元以上2.5万元以下的罚款；对直接负责的主管人员和其他直接责任人员处2千元以上3千元以下的罚款。</w:t>
            </w:r>
          </w:p>
        </w:tc>
      </w:tr>
      <w:tr w14:paraId="5443E5F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8" w:hRule="atLeast"/>
          <w:jc w:val="center"/>
        </w:trPr>
        <w:tc>
          <w:tcPr>
            <w:tcW w:w="443" w:type="dxa"/>
            <w:gridSpan w:val="2"/>
            <w:vMerge w:val="continue"/>
            <w:tcBorders>
              <w:tl2br w:val="nil"/>
              <w:tr2bl w:val="nil"/>
            </w:tcBorders>
            <w:vAlign w:val="center"/>
          </w:tcPr>
          <w:p w14:paraId="70E0B75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color w:val="auto"/>
                <w:kern w:val="0"/>
                <w:sz w:val="13"/>
                <w:szCs w:val="13"/>
                <w:highlight w:val="none"/>
              </w:rPr>
            </w:pPr>
          </w:p>
        </w:tc>
        <w:tc>
          <w:tcPr>
            <w:tcW w:w="1550" w:type="dxa"/>
            <w:vMerge w:val="continue"/>
            <w:tcBorders>
              <w:tl2br w:val="nil"/>
              <w:tr2bl w:val="nil"/>
            </w:tcBorders>
            <w:vAlign w:val="center"/>
          </w:tcPr>
          <w:p w14:paraId="66B83C27">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09925FF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823" w:type="dxa"/>
            <w:tcBorders>
              <w:tl2br w:val="nil"/>
              <w:tr2bl w:val="nil"/>
            </w:tcBorders>
            <w:vAlign w:val="center"/>
          </w:tcPr>
          <w:p w14:paraId="41BCA22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从重情节</w:t>
            </w:r>
          </w:p>
        </w:tc>
        <w:tc>
          <w:tcPr>
            <w:tcW w:w="3437" w:type="dxa"/>
            <w:gridSpan w:val="2"/>
            <w:tcBorders>
              <w:tl2br w:val="nil"/>
              <w:tr2bl w:val="nil"/>
            </w:tcBorders>
            <w:vAlign w:val="center"/>
          </w:tcPr>
          <w:p w14:paraId="7C4B35E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p w14:paraId="38A848D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（1）多次实施同类违法行为的；</w:t>
            </w:r>
          </w:p>
          <w:p w14:paraId="062F33A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（2）造成质量安全事故或其他严重后果的。</w:t>
            </w:r>
          </w:p>
        </w:tc>
        <w:tc>
          <w:tcPr>
            <w:tcW w:w="3058" w:type="dxa"/>
            <w:tcBorders>
              <w:tl2br w:val="nil"/>
              <w:tr2bl w:val="nil"/>
            </w:tcBorders>
            <w:vAlign w:val="center"/>
          </w:tcPr>
          <w:p w14:paraId="5B8BCE6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责令限期改正，对监理单位处2.5万元以上3万元以下的罚款；对直接负责的主管人员和其他直接责任人员处3千元以上5千元以下的罚款。</w:t>
            </w:r>
          </w:p>
        </w:tc>
      </w:tr>
      <w:tr w14:paraId="403A73B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526" w:hRule="atLeast"/>
          <w:jc w:val="center"/>
        </w:trPr>
        <w:tc>
          <w:tcPr>
            <w:tcW w:w="443" w:type="dxa"/>
            <w:gridSpan w:val="2"/>
            <w:vMerge w:val="restart"/>
            <w:tcBorders>
              <w:tl2br w:val="nil"/>
              <w:tr2bl w:val="nil"/>
            </w:tcBorders>
            <w:vAlign w:val="center"/>
          </w:tcPr>
          <w:p w14:paraId="1A55F8E3">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Times New Roman"/>
                <w:color w:val="auto"/>
                <w:kern w:val="0"/>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204</w:t>
            </w:r>
          </w:p>
        </w:tc>
        <w:tc>
          <w:tcPr>
            <w:tcW w:w="1550" w:type="dxa"/>
            <w:vMerge w:val="restart"/>
            <w:tcBorders>
              <w:tl2br w:val="nil"/>
              <w:tr2bl w:val="nil"/>
            </w:tcBorders>
            <w:vAlign w:val="center"/>
          </w:tcPr>
          <w:p w14:paraId="3C74C31C">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监测单位有下列行为之一的：（一）未取得相应勘察资质从事第三方监测的；（二）未按照本规定编制监测方案的；（三）未按照监测方案开展监测的（四）发现异常未及时报告的</w:t>
            </w:r>
          </w:p>
        </w:tc>
        <w:tc>
          <w:tcPr>
            <w:tcW w:w="4820" w:type="dxa"/>
            <w:vMerge w:val="restart"/>
            <w:tcBorders>
              <w:tl2br w:val="nil"/>
              <w:tr2bl w:val="nil"/>
            </w:tcBorders>
            <w:vAlign w:val="center"/>
          </w:tcPr>
          <w:p w14:paraId="534A9166">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p w14:paraId="6D5D8D39">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p w14:paraId="20A2D34F">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《危险性较大的分部分项工程安全管理规定》</w:t>
            </w:r>
          </w:p>
          <w:p w14:paraId="686384D8">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第三十八条监测单位有下列行为之一的，责令限期改正，并处1万元以上3万元以下的罚款；对直接负责的主管人员和其他直接责任人员处1000元以上5000元以下的罚款：</w:t>
            </w:r>
          </w:p>
          <w:p w14:paraId="24A30A61">
            <w:pPr>
              <w:pStyle w:val="19"/>
              <w:keepNext w:val="0"/>
              <w:keepLines w:val="0"/>
              <w:pageBreakBefore w:val="0"/>
              <w:shd w:val="clear" w:color="auto" w:fill="FFFFFF"/>
              <w:kinsoku/>
              <w:overflowPunct/>
              <w:topLinePunct w:val="0"/>
              <w:autoSpaceDE/>
              <w:autoSpaceDN/>
              <w:bidi w:val="0"/>
              <w:adjustRightInd/>
              <w:snapToGrid/>
              <w:spacing w:before="0" w:beforeAutospacing="0" w:after="0" w:afterAutospacing="0" w:line="260" w:lineRule="exact"/>
              <w:ind w:left="0" w:leftChars="0" w:right="0" w:rightChars="0" w:firstLine="260" w:firstLineChars="200"/>
              <w:rPr>
                <w:rFonts w:ascii="仿宋_GB2312" w:eastAsia="仿宋_GB2312" w:cstheme="minorBidi"/>
                <w:color w:val="auto"/>
                <w:sz w:val="13"/>
                <w:szCs w:val="13"/>
                <w:highlight w:val="none"/>
              </w:rPr>
            </w:pPr>
            <w:r>
              <w:rPr>
                <w:rFonts w:hint="eastAsia" w:ascii="仿宋_GB2312" w:eastAsia="仿宋_GB2312" w:cstheme="minorBidi"/>
                <w:color w:val="auto"/>
                <w:sz w:val="13"/>
                <w:szCs w:val="13"/>
                <w:highlight w:val="none"/>
              </w:rPr>
              <w:t>（一）未取得相应勘察资质从事第三方监测的；</w:t>
            </w:r>
          </w:p>
          <w:p w14:paraId="295D8B33">
            <w:pPr>
              <w:pStyle w:val="19"/>
              <w:keepNext w:val="0"/>
              <w:keepLines w:val="0"/>
              <w:pageBreakBefore w:val="0"/>
              <w:shd w:val="clear" w:color="auto" w:fill="FFFFFF"/>
              <w:kinsoku/>
              <w:overflowPunct/>
              <w:topLinePunct w:val="0"/>
              <w:autoSpaceDE/>
              <w:autoSpaceDN/>
              <w:bidi w:val="0"/>
              <w:adjustRightInd/>
              <w:snapToGrid/>
              <w:spacing w:before="0" w:beforeAutospacing="0" w:after="0" w:afterAutospacing="0" w:line="260" w:lineRule="exact"/>
              <w:ind w:left="0" w:leftChars="0" w:right="0" w:rightChars="0" w:firstLine="260" w:firstLineChars="200"/>
              <w:rPr>
                <w:rFonts w:ascii="仿宋_GB2312" w:eastAsia="仿宋_GB2312" w:cstheme="minorBidi"/>
                <w:color w:val="auto"/>
                <w:sz w:val="13"/>
                <w:szCs w:val="13"/>
                <w:highlight w:val="none"/>
              </w:rPr>
            </w:pPr>
            <w:r>
              <w:rPr>
                <w:rFonts w:hint="eastAsia" w:ascii="仿宋_GB2312" w:eastAsia="仿宋_GB2312" w:cstheme="minorBidi"/>
                <w:color w:val="auto"/>
                <w:sz w:val="13"/>
                <w:szCs w:val="13"/>
                <w:highlight w:val="none"/>
              </w:rPr>
              <w:t>（二）未按照本规定编制监测方案的；</w:t>
            </w:r>
          </w:p>
          <w:p w14:paraId="10BCBABA">
            <w:pPr>
              <w:pStyle w:val="19"/>
              <w:keepNext w:val="0"/>
              <w:keepLines w:val="0"/>
              <w:pageBreakBefore w:val="0"/>
              <w:shd w:val="clear" w:color="auto" w:fill="FFFFFF"/>
              <w:kinsoku/>
              <w:overflowPunct/>
              <w:topLinePunct w:val="0"/>
              <w:autoSpaceDE/>
              <w:autoSpaceDN/>
              <w:bidi w:val="0"/>
              <w:adjustRightInd/>
              <w:snapToGrid/>
              <w:spacing w:before="0" w:beforeAutospacing="0" w:after="0" w:afterAutospacing="0" w:line="260" w:lineRule="exact"/>
              <w:ind w:left="0" w:leftChars="0" w:right="0" w:rightChars="0" w:firstLine="260" w:firstLineChars="200"/>
              <w:rPr>
                <w:rFonts w:ascii="仿宋_GB2312" w:eastAsia="仿宋_GB2312" w:cstheme="minorBidi"/>
                <w:color w:val="auto"/>
                <w:sz w:val="13"/>
                <w:szCs w:val="13"/>
                <w:highlight w:val="none"/>
              </w:rPr>
            </w:pPr>
            <w:r>
              <w:rPr>
                <w:rFonts w:hint="eastAsia" w:ascii="仿宋_GB2312" w:eastAsia="仿宋_GB2312" w:cstheme="minorBidi"/>
                <w:color w:val="auto"/>
                <w:sz w:val="13"/>
                <w:szCs w:val="13"/>
                <w:highlight w:val="none"/>
              </w:rPr>
              <w:t>（三）未按照监测方案开展监测的；</w:t>
            </w:r>
          </w:p>
          <w:p w14:paraId="5F33298D">
            <w:pPr>
              <w:pStyle w:val="19"/>
              <w:keepNext w:val="0"/>
              <w:keepLines w:val="0"/>
              <w:pageBreakBefore w:val="0"/>
              <w:shd w:val="clear" w:color="auto" w:fill="FFFFFF"/>
              <w:kinsoku/>
              <w:overflowPunct/>
              <w:topLinePunct w:val="0"/>
              <w:autoSpaceDE/>
              <w:autoSpaceDN/>
              <w:bidi w:val="0"/>
              <w:adjustRightInd/>
              <w:snapToGrid/>
              <w:spacing w:before="0" w:beforeAutospacing="0" w:after="0" w:afterAutospacing="0" w:line="260" w:lineRule="exact"/>
              <w:ind w:left="0" w:leftChars="0" w:right="0" w:rightChars="0" w:firstLine="260" w:firstLineChars="200"/>
              <w:rPr>
                <w:rFonts w:ascii="仿宋_GB2312" w:eastAsia="仿宋_GB2312" w:cstheme="minorBidi"/>
                <w:color w:val="auto"/>
                <w:sz w:val="13"/>
                <w:szCs w:val="13"/>
                <w:highlight w:val="none"/>
              </w:rPr>
            </w:pPr>
            <w:r>
              <w:rPr>
                <w:rFonts w:hint="eastAsia" w:ascii="仿宋_GB2312" w:eastAsia="仿宋_GB2312" w:cstheme="minorBidi"/>
                <w:color w:val="auto"/>
                <w:sz w:val="13"/>
                <w:szCs w:val="13"/>
                <w:highlight w:val="none"/>
              </w:rPr>
              <w:t>（四）发现异常未及时报告的。</w:t>
            </w:r>
          </w:p>
          <w:p w14:paraId="42104F64">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tc>
        <w:tc>
          <w:tcPr>
            <w:tcW w:w="823" w:type="dxa"/>
            <w:tcBorders>
              <w:tl2br w:val="nil"/>
              <w:tr2bl w:val="nil"/>
            </w:tcBorders>
            <w:vAlign w:val="center"/>
          </w:tcPr>
          <w:p w14:paraId="35651D7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vAlign w:val="center"/>
          </w:tcPr>
          <w:p w14:paraId="359C202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初次违法，危害后果较轻的，主动消除或减轻违法行为危害后果的。</w:t>
            </w:r>
          </w:p>
        </w:tc>
        <w:tc>
          <w:tcPr>
            <w:tcW w:w="3058" w:type="dxa"/>
            <w:tcBorders>
              <w:tl2br w:val="nil"/>
              <w:tr2bl w:val="nil"/>
            </w:tcBorders>
            <w:vAlign w:val="center"/>
          </w:tcPr>
          <w:p w14:paraId="5EF8E58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责令限期改正，对监测单位处1万元以上1.5万元以下的罚款；对直接负责的主管人员和其他直接责任人员处1千元以上2千元以下的罚款。</w:t>
            </w:r>
          </w:p>
        </w:tc>
      </w:tr>
      <w:tr w14:paraId="7D55933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67" w:hRule="atLeast"/>
          <w:jc w:val="center"/>
        </w:trPr>
        <w:tc>
          <w:tcPr>
            <w:tcW w:w="443" w:type="dxa"/>
            <w:gridSpan w:val="2"/>
            <w:vMerge w:val="continue"/>
            <w:tcBorders>
              <w:tl2br w:val="nil"/>
              <w:tr2bl w:val="nil"/>
            </w:tcBorders>
            <w:vAlign w:val="center"/>
          </w:tcPr>
          <w:p w14:paraId="7E81B76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b/>
                <w:color w:val="auto"/>
                <w:kern w:val="0"/>
                <w:sz w:val="13"/>
                <w:szCs w:val="13"/>
                <w:highlight w:val="none"/>
              </w:rPr>
            </w:pPr>
          </w:p>
        </w:tc>
        <w:tc>
          <w:tcPr>
            <w:tcW w:w="1550" w:type="dxa"/>
            <w:vMerge w:val="continue"/>
            <w:tcBorders>
              <w:tl2br w:val="nil"/>
              <w:tr2bl w:val="nil"/>
            </w:tcBorders>
            <w:vAlign w:val="center"/>
          </w:tcPr>
          <w:p w14:paraId="77DD947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vAlign w:val="center"/>
          </w:tcPr>
          <w:p w14:paraId="4D87F8C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tcBorders>
              <w:tl2br w:val="nil"/>
              <w:tr2bl w:val="nil"/>
            </w:tcBorders>
            <w:vAlign w:val="center"/>
          </w:tcPr>
          <w:p w14:paraId="41BB000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一般情节</w:t>
            </w:r>
          </w:p>
        </w:tc>
        <w:tc>
          <w:tcPr>
            <w:tcW w:w="3437" w:type="dxa"/>
            <w:gridSpan w:val="2"/>
            <w:tcBorders>
              <w:tl2br w:val="nil"/>
              <w:tr2bl w:val="nil"/>
            </w:tcBorders>
            <w:vAlign w:val="center"/>
          </w:tcPr>
          <w:p w14:paraId="387A3A9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不具有从轻、</w:t>
            </w:r>
            <w:r>
              <w:rPr>
                <w:rFonts w:hint="eastAsia" w:ascii="仿宋_GB2312" w:hAnsi="宋体" w:eastAsia="仿宋_GB2312"/>
                <w:color w:val="auto"/>
                <w:kern w:val="0"/>
                <w:sz w:val="13"/>
                <w:szCs w:val="13"/>
                <w:highlight w:val="none"/>
                <w:lang w:eastAsia="zh-CN"/>
              </w:rPr>
              <w:t>从重情节</w:t>
            </w:r>
            <w:r>
              <w:rPr>
                <w:rFonts w:hint="eastAsia" w:ascii="仿宋_GB2312" w:hAnsi="宋体" w:eastAsia="仿宋_GB2312"/>
                <w:color w:val="auto"/>
                <w:kern w:val="0"/>
                <w:sz w:val="13"/>
                <w:szCs w:val="13"/>
                <w:highlight w:val="none"/>
              </w:rPr>
              <w:t>的。</w:t>
            </w:r>
          </w:p>
        </w:tc>
        <w:tc>
          <w:tcPr>
            <w:tcW w:w="3058" w:type="dxa"/>
            <w:tcBorders>
              <w:tl2br w:val="nil"/>
              <w:tr2bl w:val="nil"/>
            </w:tcBorders>
            <w:vAlign w:val="center"/>
          </w:tcPr>
          <w:p w14:paraId="7704CC7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责令限期改正，对监测单位处1.5万元以上2.5万元以下的罚款；对直接负责的主管人员和其他直接责任人员处2千元以上3千元以下的罚款。</w:t>
            </w:r>
          </w:p>
        </w:tc>
      </w:tr>
      <w:tr w14:paraId="4D4B446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714" w:hRule="atLeast"/>
          <w:jc w:val="center"/>
        </w:trPr>
        <w:tc>
          <w:tcPr>
            <w:tcW w:w="443" w:type="dxa"/>
            <w:gridSpan w:val="2"/>
            <w:vMerge w:val="continue"/>
            <w:tcBorders>
              <w:tl2br w:val="nil"/>
              <w:tr2bl w:val="nil"/>
            </w:tcBorders>
            <w:vAlign w:val="center"/>
          </w:tcPr>
          <w:p w14:paraId="0AA5912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b/>
                <w:color w:val="auto"/>
                <w:kern w:val="0"/>
                <w:sz w:val="13"/>
                <w:szCs w:val="13"/>
                <w:highlight w:val="none"/>
              </w:rPr>
            </w:pPr>
          </w:p>
        </w:tc>
        <w:tc>
          <w:tcPr>
            <w:tcW w:w="1550" w:type="dxa"/>
            <w:vMerge w:val="continue"/>
            <w:tcBorders>
              <w:tl2br w:val="nil"/>
              <w:tr2bl w:val="nil"/>
            </w:tcBorders>
            <w:vAlign w:val="center"/>
          </w:tcPr>
          <w:p w14:paraId="1AA8EEC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vAlign w:val="center"/>
          </w:tcPr>
          <w:p w14:paraId="17EBCD3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tcBorders>
              <w:tl2br w:val="nil"/>
              <w:tr2bl w:val="nil"/>
            </w:tcBorders>
            <w:vAlign w:val="center"/>
          </w:tcPr>
          <w:p w14:paraId="2AF442C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从重情节</w:t>
            </w:r>
          </w:p>
        </w:tc>
        <w:tc>
          <w:tcPr>
            <w:tcW w:w="3437" w:type="dxa"/>
            <w:gridSpan w:val="2"/>
            <w:tcBorders>
              <w:tl2br w:val="nil"/>
              <w:tr2bl w:val="nil"/>
            </w:tcBorders>
            <w:vAlign w:val="center"/>
          </w:tcPr>
          <w:p w14:paraId="3547797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（1）多次实施同类违法行为的；</w:t>
            </w:r>
          </w:p>
          <w:p w14:paraId="242ABD0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（2）造成质量安全事故或其他严重后果的。</w:t>
            </w:r>
          </w:p>
          <w:p w14:paraId="3700460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olor w:val="auto"/>
                <w:kern w:val="0"/>
                <w:sz w:val="13"/>
                <w:szCs w:val="13"/>
                <w:highlight w:val="none"/>
              </w:rPr>
            </w:pPr>
          </w:p>
          <w:p w14:paraId="0FD2CB8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olor w:val="auto"/>
                <w:kern w:val="0"/>
                <w:sz w:val="13"/>
                <w:szCs w:val="13"/>
                <w:highlight w:val="none"/>
              </w:rPr>
            </w:pPr>
          </w:p>
        </w:tc>
        <w:tc>
          <w:tcPr>
            <w:tcW w:w="3058" w:type="dxa"/>
            <w:tcBorders>
              <w:tl2br w:val="nil"/>
              <w:tr2bl w:val="nil"/>
            </w:tcBorders>
            <w:vAlign w:val="center"/>
          </w:tcPr>
          <w:p w14:paraId="22FE74B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责令限期改正，对监测单位处2.5万元以上3万元以下的罚款；对直接负责的主管人员和其他直接责任人员处3千元以上5千元以下的罚款。</w:t>
            </w:r>
          </w:p>
        </w:tc>
      </w:tr>
      <w:tr w14:paraId="6AB5125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677" w:hRule="atLeast"/>
          <w:jc w:val="center"/>
        </w:trPr>
        <w:tc>
          <w:tcPr>
            <w:tcW w:w="14131" w:type="dxa"/>
            <w:gridSpan w:val="8"/>
            <w:tcBorders>
              <w:tl2br w:val="nil"/>
              <w:tr2bl w:val="nil"/>
            </w:tcBorders>
            <w:vAlign w:val="center"/>
          </w:tcPr>
          <w:p w14:paraId="2C3A6A44">
            <w:pPr>
              <w:pStyle w:val="10"/>
              <w:bidi w:val="0"/>
              <w:jc w:val="center"/>
              <w:rPr>
                <w:rFonts w:hint="eastAsia"/>
                <w:color w:val="auto"/>
              </w:rPr>
            </w:pPr>
            <w:bookmarkStart w:id="6" w:name="_Toc12669"/>
            <w:bookmarkStart w:id="7" w:name="_Toc14544"/>
            <w:r>
              <w:rPr>
                <w:rFonts w:hint="eastAsia"/>
                <w:color w:val="auto"/>
                <w:lang w:val="en-US" w:eastAsia="zh-CN"/>
              </w:rPr>
              <w:t>四、</w:t>
            </w:r>
            <w:r>
              <w:rPr>
                <w:rFonts w:hint="eastAsia"/>
                <w:color w:val="auto"/>
              </w:rPr>
              <w:t>建筑节能类（1</w:t>
            </w:r>
            <w:r>
              <w:rPr>
                <w:rFonts w:hint="eastAsia"/>
                <w:color w:val="auto"/>
                <w:lang w:val="en-US" w:eastAsia="zh-CN"/>
              </w:rPr>
              <w:t>1</w:t>
            </w:r>
            <w:r>
              <w:rPr>
                <w:rFonts w:hint="eastAsia"/>
                <w:color w:val="auto"/>
              </w:rPr>
              <w:t>项）</w:t>
            </w:r>
            <w:bookmarkEnd w:id="6"/>
            <w:bookmarkEnd w:id="7"/>
          </w:p>
        </w:tc>
      </w:tr>
      <w:tr w14:paraId="23017E2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81" w:hRule="atLeast"/>
          <w:jc w:val="center"/>
        </w:trPr>
        <w:tc>
          <w:tcPr>
            <w:tcW w:w="443" w:type="dxa"/>
            <w:gridSpan w:val="2"/>
            <w:vMerge w:val="restart"/>
            <w:tcBorders>
              <w:tl2br w:val="nil"/>
              <w:tr2bl w:val="nil"/>
            </w:tcBorders>
            <w:tcMar>
              <w:top w:w="15" w:type="dxa"/>
              <w:left w:w="15" w:type="dxa"/>
              <w:bottom w:w="15" w:type="dxa"/>
              <w:right w:w="15" w:type="dxa"/>
            </w:tcMar>
            <w:vAlign w:val="center"/>
          </w:tcPr>
          <w:p w14:paraId="4947BFA3">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eastAsia="仿宋_GB2312"/>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205</w:t>
            </w:r>
          </w:p>
        </w:tc>
        <w:tc>
          <w:tcPr>
            <w:tcW w:w="1550" w:type="dxa"/>
            <w:vMerge w:val="restart"/>
            <w:tcBorders>
              <w:tl2br w:val="nil"/>
              <w:tr2bl w:val="nil"/>
            </w:tcBorders>
            <w:tcMar>
              <w:top w:w="15" w:type="dxa"/>
              <w:left w:w="15" w:type="dxa"/>
              <w:bottom w:w="15" w:type="dxa"/>
              <w:right w:w="15" w:type="dxa"/>
            </w:tcMar>
            <w:vAlign w:val="center"/>
          </w:tcPr>
          <w:p w14:paraId="23B5849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sz w:val="13"/>
                <w:szCs w:val="13"/>
                <w:highlight w:val="none"/>
              </w:rPr>
            </w:pPr>
            <w:r>
              <w:rPr>
                <w:rFonts w:hint="eastAsia" w:ascii="仿宋_GB2312" w:hAnsi="宋体" w:eastAsia="仿宋_GB2312"/>
                <w:color w:val="auto"/>
                <w:kern w:val="0"/>
                <w:sz w:val="13"/>
                <w:szCs w:val="13"/>
                <w:highlight w:val="none"/>
              </w:rPr>
              <w:t>建设单位有下列行为之一的：（一）明示或者暗示设计单位、施工单位违反民用建筑节能强制性标准进行设计、施工的；（二）明示或者暗示施工单位使用不符合施工图设计文件要求的墙体材料、保温材料、门窗、采暖制冷系统和照明设备的；（三）采购不符合施工图设计文件要求的墙体材料、保温材料、门窗、采暖制冷系统和照明设备的；（四）使用列入禁止使用目录的技术、工艺、材料和设备的</w:t>
            </w:r>
          </w:p>
        </w:tc>
        <w:tc>
          <w:tcPr>
            <w:tcW w:w="4820" w:type="dxa"/>
            <w:vMerge w:val="restart"/>
            <w:tcBorders>
              <w:tl2br w:val="nil"/>
              <w:tr2bl w:val="nil"/>
            </w:tcBorders>
            <w:tcMar>
              <w:top w:w="15" w:type="dxa"/>
              <w:left w:w="15" w:type="dxa"/>
              <w:bottom w:w="15" w:type="dxa"/>
              <w:right w:w="15" w:type="dxa"/>
            </w:tcMar>
            <w:vAlign w:val="center"/>
          </w:tcPr>
          <w:p w14:paraId="0577BD1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《民用建筑节能条例》</w:t>
            </w:r>
          </w:p>
          <w:p w14:paraId="74B202C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0" w:firstLineChars="2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第三十七条违反本条例规定，建设单位有下列行为之一的，由县级以上地方人民政府建设主管部门责令改正，处20万元以上50万元以下的罚款：</w:t>
            </w:r>
          </w:p>
          <w:p w14:paraId="1F0AABF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0" w:firstLineChars="2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（一）明示或者暗示设计单位、施工单位违反民用建筑节能强制性标准进行设计、施工的；</w:t>
            </w:r>
          </w:p>
          <w:p w14:paraId="063EC28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0" w:firstLineChars="2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（二）明示或者暗示施工单位使用不符合施工图设计文件要求的墙体材料、保温材料、门窗、采暖制冷系统和照明设备的；</w:t>
            </w:r>
          </w:p>
          <w:p w14:paraId="70A469F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0" w:firstLineChars="2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（三）采购不符合施工图设计文件要求的墙体材料、保温材料、门窗、采暖制冷系统和照明设备的；</w:t>
            </w:r>
          </w:p>
          <w:p w14:paraId="397FB07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0" w:firstLineChars="2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（四）使用列入禁止使用目录的技术、工艺、材料和设备的。</w:t>
            </w:r>
          </w:p>
        </w:tc>
        <w:tc>
          <w:tcPr>
            <w:tcW w:w="823" w:type="dxa"/>
            <w:tcBorders>
              <w:tl2br w:val="nil"/>
              <w:tr2bl w:val="nil"/>
            </w:tcBorders>
            <w:tcMar>
              <w:top w:w="15" w:type="dxa"/>
              <w:left w:w="15" w:type="dxa"/>
              <w:bottom w:w="15" w:type="dxa"/>
              <w:right w:w="15" w:type="dxa"/>
            </w:tcMar>
            <w:vAlign w:val="center"/>
          </w:tcPr>
          <w:p w14:paraId="75D03F8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eastAsia="仿宋_GB2312"/>
                <w:color w:val="auto"/>
                <w:sz w:val="13"/>
                <w:szCs w:val="13"/>
                <w:highlight w:val="none"/>
                <w:lang w:eastAsia="zh-CN"/>
              </w:rPr>
            </w:pPr>
            <w:r>
              <w:rPr>
                <w:rFonts w:hint="eastAsia" w:ascii="仿宋_GB2312" w:hAnsi="宋体" w:eastAsia="仿宋_GB2312"/>
                <w:color w:val="auto"/>
                <w:sz w:val="13"/>
                <w:szCs w:val="13"/>
                <w:highlight w:val="none"/>
                <w:lang w:eastAsia="zh-CN"/>
              </w:rPr>
              <w:t>从轻情节</w:t>
            </w:r>
          </w:p>
        </w:tc>
        <w:tc>
          <w:tcPr>
            <w:tcW w:w="3437" w:type="dxa"/>
            <w:gridSpan w:val="2"/>
            <w:tcBorders>
              <w:tl2br w:val="nil"/>
              <w:tr2bl w:val="nil"/>
            </w:tcBorders>
            <w:tcMar>
              <w:top w:w="15" w:type="dxa"/>
              <w:left w:w="15" w:type="dxa"/>
              <w:bottom w:w="15" w:type="dxa"/>
              <w:right w:w="15" w:type="dxa"/>
            </w:tcMar>
            <w:vAlign w:val="center"/>
          </w:tcPr>
          <w:p w14:paraId="7878A45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sz w:val="13"/>
                <w:szCs w:val="13"/>
                <w:highlight w:val="none"/>
              </w:rPr>
            </w:pPr>
            <w:r>
              <w:rPr>
                <w:rFonts w:hint="eastAsia" w:ascii="仿宋_GB2312" w:hAnsi="宋体" w:eastAsia="仿宋_GB2312"/>
                <w:color w:val="auto"/>
                <w:kern w:val="0"/>
                <w:sz w:val="13"/>
                <w:szCs w:val="13"/>
                <w:highlight w:val="none"/>
              </w:rPr>
              <w:t>初次违法，且涉案建筑面积5000㎡以下，主动消除或减轻违法行为危害后果的。</w:t>
            </w:r>
          </w:p>
        </w:tc>
        <w:tc>
          <w:tcPr>
            <w:tcW w:w="3058" w:type="dxa"/>
            <w:tcBorders>
              <w:tl2br w:val="nil"/>
              <w:tr2bl w:val="nil"/>
            </w:tcBorders>
            <w:tcMar>
              <w:top w:w="15" w:type="dxa"/>
              <w:left w:w="15" w:type="dxa"/>
              <w:bottom w:w="15" w:type="dxa"/>
              <w:right w:w="15" w:type="dxa"/>
            </w:tcMar>
            <w:vAlign w:val="center"/>
          </w:tcPr>
          <w:p w14:paraId="3C129940">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eastAsia="仿宋_GB2312"/>
                <w:color w:val="auto"/>
                <w:sz w:val="13"/>
                <w:szCs w:val="13"/>
                <w:highlight w:val="none"/>
              </w:rPr>
            </w:pPr>
            <w:r>
              <w:rPr>
                <w:rFonts w:hint="eastAsia" w:ascii="仿宋_GB2312" w:eastAsia="仿宋_GB2312"/>
                <w:color w:val="auto"/>
                <w:sz w:val="13"/>
                <w:szCs w:val="13"/>
                <w:highlight w:val="none"/>
              </w:rPr>
              <w:t>责令改正，处20万元罚款。</w:t>
            </w:r>
          </w:p>
        </w:tc>
      </w:tr>
      <w:tr w14:paraId="4B6B9F3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79" w:hRule="atLeast"/>
          <w:jc w:val="center"/>
        </w:trPr>
        <w:tc>
          <w:tcPr>
            <w:tcW w:w="443" w:type="dxa"/>
            <w:gridSpan w:val="2"/>
            <w:vMerge w:val="continue"/>
            <w:tcBorders>
              <w:tl2br w:val="nil"/>
              <w:tr2bl w:val="nil"/>
            </w:tcBorders>
            <w:vAlign w:val="center"/>
          </w:tcPr>
          <w:p w14:paraId="6AB0F3D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rPr>
                <w:rFonts w:ascii="仿宋_GB2312" w:eastAsia="仿宋_GB2312"/>
                <w:color w:val="auto"/>
                <w:sz w:val="13"/>
                <w:szCs w:val="13"/>
                <w:highlight w:val="none"/>
              </w:rPr>
            </w:pPr>
          </w:p>
        </w:tc>
        <w:tc>
          <w:tcPr>
            <w:tcW w:w="1550" w:type="dxa"/>
            <w:vMerge w:val="continue"/>
            <w:tcBorders>
              <w:tl2br w:val="nil"/>
              <w:tr2bl w:val="nil"/>
            </w:tcBorders>
            <w:vAlign w:val="center"/>
          </w:tcPr>
          <w:p w14:paraId="644AE7B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sz w:val="13"/>
                <w:szCs w:val="13"/>
                <w:highlight w:val="none"/>
              </w:rPr>
            </w:pPr>
          </w:p>
        </w:tc>
        <w:tc>
          <w:tcPr>
            <w:tcW w:w="4820" w:type="dxa"/>
            <w:vMerge w:val="continue"/>
            <w:tcBorders>
              <w:tl2br w:val="nil"/>
              <w:tr2bl w:val="nil"/>
            </w:tcBorders>
            <w:vAlign w:val="center"/>
          </w:tcPr>
          <w:p w14:paraId="2B8ECCC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823" w:type="dxa"/>
            <w:vMerge w:val="restart"/>
            <w:tcBorders>
              <w:tl2br w:val="nil"/>
              <w:tr2bl w:val="nil"/>
            </w:tcBorders>
            <w:tcMar>
              <w:top w:w="15" w:type="dxa"/>
              <w:left w:w="15" w:type="dxa"/>
              <w:bottom w:w="15" w:type="dxa"/>
              <w:right w:w="15" w:type="dxa"/>
            </w:tcMar>
            <w:vAlign w:val="center"/>
          </w:tcPr>
          <w:p w14:paraId="7879E70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一般情节</w:t>
            </w:r>
          </w:p>
        </w:tc>
        <w:tc>
          <w:tcPr>
            <w:tcW w:w="3437" w:type="dxa"/>
            <w:gridSpan w:val="2"/>
            <w:tcBorders>
              <w:tl2br w:val="nil"/>
              <w:tr2bl w:val="nil"/>
            </w:tcBorders>
            <w:tcMar>
              <w:top w:w="15" w:type="dxa"/>
              <w:left w:w="15" w:type="dxa"/>
              <w:bottom w:w="15" w:type="dxa"/>
              <w:right w:w="15" w:type="dxa"/>
            </w:tcMar>
            <w:vAlign w:val="center"/>
          </w:tcPr>
          <w:p w14:paraId="3B1A7C98">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strike/>
                <w:color w:val="auto"/>
                <w:sz w:val="13"/>
                <w:szCs w:val="13"/>
                <w:highlight w:val="none"/>
              </w:rPr>
            </w:pPr>
            <w:r>
              <w:rPr>
                <w:rFonts w:hint="eastAsia" w:ascii="仿宋_GB2312" w:hAnsi="宋体" w:eastAsia="仿宋_GB2312"/>
                <w:color w:val="auto"/>
                <w:kern w:val="0"/>
                <w:sz w:val="13"/>
                <w:szCs w:val="13"/>
                <w:highlight w:val="none"/>
              </w:rPr>
              <w:t>（1）涉案建筑面积5000㎡以上10000㎡以下的。</w:t>
            </w:r>
          </w:p>
        </w:tc>
        <w:tc>
          <w:tcPr>
            <w:tcW w:w="3058" w:type="dxa"/>
            <w:tcBorders>
              <w:tl2br w:val="nil"/>
              <w:tr2bl w:val="nil"/>
            </w:tcBorders>
            <w:tcMar>
              <w:top w:w="15" w:type="dxa"/>
              <w:left w:w="15" w:type="dxa"/>
              <w:bottom w:w="15" w:type="dxa"/>
              <w:right w:w="15" w:type="dxa"/>
            </w:tcMar>
            <w:vAlign w:val="center"/>
          </w:tcPr>
          <w:p w14:paraId="78702408">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strike/>
                <w:color w:val="auto"/>
                <w:sz w:val="13"/>
                <w:szCs w:val="13"/>
                <w:highlight w:val="none"/>
              </w:rPr>
            </w:pPr>
            <w:r>
              <w:rPr>
                <w:rFonts w:hint="eastAsia" w:ascii="仿宋_GB2312" w:hAnsi="宋体" w:eastAsia="仿宋_GB2312"/>
                <w:color w:val="auto"/>
                <w:kern w:val="0"/>
                <w:sz w:val="13"/>
                <w:szCs w:val="13"/>
                <w:highlight w:val="none"/>
              </w:rPr>
              <w:t>责令改正，处20万以上</w:t>
            </w:r>
            <w:r>
              <w:rPr>
                <w:rFonts w:ascii="仿宋_GB2312" w:eastAsia="仿宋_GB2312"/>
                <w:color w:val="auto"/>
                <w:sz w:val="13"/>
                <w:szCs w:val="13"/>
                <w:highlight w:val="none"/>
              </w:rPr>
              <w:t>25</w:t>
            </w:r>
            <w:r>
              <w:rPr>
                <w:rFonts w:hint="eastAsia" w:ascii="仿宋_GB2312" w:hAnsi="宋体" w:eastAsia="仿宋_GB2312"/>
                <w:color w:val="auto"/>
                <w:sz w:val="13"/>
                <w:szCs w:val="13"/>
                <w:highlight w:val="none"/>
              </w:rPr>
              <w:t>万元以下罚款。</w:t>
            </w:r>
          </w:p>
        </w:tc>
      </w:tr>
      <w:tr w14:paraId="1F490A4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9" w:hRule="atLeast"/>
          <w:jc w:val="center"/>
        </w:trPr>
        <w:tc>
          <w:tcPr>
            <w:tcW w:w="443" w:type="dxa"/>
            <w:gridSpan w:val="2"/>
            <w:vMerge w:val="continue"/>
            <w:tcBorders>
              <w:tl2br w:val="nil"/>
              <w:tr2bl w:val="nil"/>
            </w:tcBorders>
            <w:vAlign w:val="center"/>
          </w:tcPr>
          <w:p w14:paraId="4AE0179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rPr>
                <w:rFonts w:ascii="仿宋_GB2312" w:eastAsia="仿宋_GB2312"/>
                <w:color w:val="auto"/>
                <w:sz w:val="13"/>
                <w:szCs w:val="13"/>
                <w:highlight w:val="none"/>
              </w:rPr>
            </w:pPr>
          </w:p>
        </w:tc>
        <w:tc>
          <w:tcPr>
            <w:tcW w:w="1550" w:type="dxa"/>
            <w:vMerge w:val="continue"/>
            <w:tcBorders>
              <w:tl2br w:val="nil"/>
              <w:tr2bl w:val="nil"/>
            </w:tcBorders>
            <w:vAlign w:val="center"/>
          </w:tcPr>
          <w:p w14:paraId="1CC3F37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sz w:val="13"/>
                <w:szCs w:val="13"/>
                <w:highlight w:val="none"/>
              </w:rPr>
            </w:pPr>
          </w:p>
        </w:tc>
        <w:tc>
          <w:tcPr>
            <w:tcW w:w="4820" w:type="dxa"/>
            <w:vMerge w:val="continue"/>
            <w:tcBorders>
              <w:tl2br w:val="nil"/>
              <w:tr2bl w:val="nil"/>
            </w:tcBorders>
            <w:vAlign w:val="center"/>
          </w:tcPr>
          <w:p w14:paraId="3BA052D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823" w:type="dxa"/>
            <w:vMerge w:val="continue"/>
            <w:tcBorders>
              <w:tl2br w:val="nil"/>
              <w:tr2bl w:val="nil"/>
            </w:tcBorders>
            <w:tcMar>
              <w:top w:w="15" w:type="dxa"/>
              <w:left w:w="15" w:type="dxa"/>
              <w:bottom w:w="15" w:type="dxa"/>
              <w:right w:w="15" w:type="dxa"/>
            </w:tcMar>
            <w:vAlign w:val="center"/>
          </w:tcPr>
          <w:p w14:paraId="17A8A34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olor w:val="auto"/>
                <w:kern w:val="0"/>
                <w:sz w:val="13"/>
                <w:szCs w:val="13"/>
                <w:highlight w:val="none"/>
              </w:rPr>
            </w:pPr>
          </w:p>
        </w:tc>
        <w:tc>
          <w:tcPr>
            <w:tcW w:w="3437" w:type="dxa"/>
            <w:gridSpan w:val="2"/>
            <w:tcBorders>
              <w:tl2br w:val="nil"/>
              <w:tr2bl w:val="nil"/>
            </w:tcBorders>
            <w:tcMar>
              <w:top w:w="15" w:type="dxa"/>
              <w:left w:w="15" w:type="dxa"/>
              <w:bottom w:w="15" w:type="dxa"/>
              <w:right w:w="15" w:type="dxa"/>
            </w:tcMar>
            <w:vAlign w:val="center"/>
          </w:tcPr>
          <w:p w14:paraId="7BBCACC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（2）涉案建筑面积10000㎡以上20000㎡以下的。</w:t>
            </w:r>
          </w:p>
        </w:tc>
        <w:tc>
          <w:tcPr>
            <w:tcW w:w="3058" w:type="dxa"/>
            <w:tcBorders>
              <w:tl2br w:val="nil"/>
              <w:tr2bl w:val="nil"/>
            </w:tcBorders>
            <w:tcMar>
              <w:top w:w="15" w:type="dxa"/>
              <w:left w:w="15" w:type="dxa"/>
              <w:bottom w:w="15" w:type="dxa"/>
              <w:right w:w="15" w:type="dxa"/>
            </w:tcMar>
            <w:vAlign w:val="center"/>
          </w:tcPr>
          <w:p w14:paraId="10534CE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责令改正，处2</w:t>
            </w:r>
            <w:r>
              <w:rPr>
                <w:rFonts w:ascii="仿宋_GB2312" w:hAnsi="宋体" w:eastAsia="仿宋_GB2312"/>
                <w:color w:val="auto"/>
                <w:kern w:val="0"/>
                <w:sz w:val="13"/>
                <w:szCs w:val="13"/>
                <w:highlight w:val="none"/>
              </w:rPr>
              <w:t>5</w:t>
            </w:r>
            <w:r>
              <w:rPr>
                <w:rFonts w:hint="eastAsia" w:ascii="仿宋_GB2312" w:hAnsi="宋体" w:eastAsia="仿宋_GB2312"/>
                <w:color w:val="auto"/>
                <w:kern w:val="0"/>
                <w:sz w:val="13"/>
                <w:szCs w:val="13"/>
                <w:highlight w:val="none"/>
              </w:rPr>
              <w:t>万以上</w:t>
            </w:r>
            <w:r>
              <w:rPr>
                <w:rFonts w:ascii="仿宋_GB2312" w:eastAsia="仿宋_GB2312"/>
                <w:color w:val="auto"/>
                <w:sz w:val="13"/>
                <w:szCs w:val="13"/>
                <w:highlight w:val="none"/>
              </w:rPr>
              <w:t>30</w:t>
            </w:r>
            <w:r>
              <w:rPr>
                <w:rFonts w:hint="eastAsia" w:ascii="仿宋_GB2312" w:hAnsi="宋体" w:eastAsia="仿宋_GB2312"/>
                <w:color w:val="auto"/>
                <w:sz w:val="13"/>
                <w:szCs w:val="13"/>
                <w:highlight w:val="none"/>
              </w:rPr>
              <w:t>万元以下罚款。</w:t>
            </w:r>
          </w:p>
        </w:tc>
      </w:tr>
      <w:tr w14:paraId="7FFA5E2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9" w:hRule="atLeast"/>
          <w:jc w:val="center"/>
        </w:trPr>
        <w:tc>
          <w:tcPr>
            <w:tcW w:w="443" w:type="dxa"/>
            <w:gridSpan w:val="2"/>
            <w:vMerge w:val="continue"/>
            <w:tcBorders>
              <w:tl2br w:val="nil"/>
              <w:tr2bl w:val="nil"/>
            </w:tcBorders>
            <w:vAlign w:val="center"/>
          </w:tcPr>
          <w:p w14:paraId="4B9AF3C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rPr>
                <w:rFonts w:ascii="仿宋_GB2312" w:eastAsia="仿宋_GB2312"/>
                <w:color w:val="auto"/>
                <w:sz w:val="13"/>
                <w:szCs w:val="13"/>
                <w:highlight w:val="none"/>
              </w:rPr>
            </w:pPr>
          </w:p>
        </w:tc>
        <w:tc>
          <w:tcPr>
            <w:tcW w:w="1550" w:type="dxa"/>
            <w:vMerge w:val="continue"/>
            <w:tcBorders>
              <w:tl2br w:val="nil"/>
              <w:tr2bl w:val="nil"/>
            </w:tcBorders>
            <w:vAlign w:val="center"/>
          </w:tcPr>
          <w:p w14:paraId="6E5EC6F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sz w:val="13"/>
                <w:szCs w:val="13"/>
                <w:highlight w:val="none"/>
              </w:rPr>
            </w:pPr>
          </w:p>
        </w:tc>
        <w:tc>
          <w:tcPr>
            <w:tcW w:w="4820" w:type="dxa"/>
            <w:vMerge w:val="continue"/>
            <w:tcBorders>
              <w:tl2br w:val="nil"/>
              <w:tr2bl w:val="nil"/>
            </w:tcBorders>
            <w:vAlign w:val="center"/>
          </w:tcPr>
          <w:p w14:paraId="30DB68E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823" w:type="dxa"/>
            <w:vMerge w:val="continue"/>
            <w:tcBorders>
              <w:tl2br w:val="nil"/>
              <w:tr2bl w:val="nil"/>
            </w:tcBorders>
            <w:tcMar>
              <w:top w:w="15" w:type="dxa"/>
              <w:left w:w="15" w:type="dxa"/>
              <w:bottom w:w="15" w:type="dxa"/>
              <w:right w:w="15" w:type="dxa"/>
            </w:tcMar>
            <w:vAlign w:val="center"/>
          </w:tcPr>
          <w:p w14:paraId="31BDFAF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olor w:val="auto"/>
                <w:kern w:val="0"/>
                <w:sz w:val="13"/>
                <w:szCs w:val="13"/>
                <w:highlight w:val="none"/>
              </w:rPr>
            </w:pPr>
          </w:p>
        </w:tc>
        <w:tc>
          <w:tcPr>
            <w:tcW w:w="3437" w:type="dxa"/>
            <w:gridSpan w:val="2"/>
            <w:tcBorders>
              <w:tl2br w:val="nil"/>
              <w:tr2bl w:val="nil"/>
            </w:tcBorders>
            <w:tcMar>
              <w:top w:w="15" w:type="dxa"/>
              <w:left w:w="15" w:type="dxa"/>
              <w:bottom w:w="15" w:type="dxa"/>
              <w:right w:w="15" w:type="dxa"/>
            </w:tcMar>
            <w:vAlign w:val="center"/>
          </w:tcPr>
          <w:p w14:paraId="6D98FB5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（3）涉案建筑面积20000㎡以上30000㎡以下的。</w:t>
            </w:r>
          </w:p>
        </w:tc>
        <w:tc>
          <w:tcPr>
            <w:tcW w:w="3058" w:type="dxa"/>
            <w:tcBorders>
              <w:tl2br w:val="nil"/>
              <w:tr2bl w:val="nil"/>
            </w:tcBorders>
            <w:tcMar>
              <w:top w:w="15" w:type="dxa"/>
              <w:left w:w="15" w:type="dxa"/>
              <w:bottom w:w="15" w:type="dxa"/>
              <w:right w:w="15" w:type="dxa"/>
            </w:tcMar>
            <w:vAlign w:val="center"/>
          </w:tcPr>
          <w:p w14:paraId="76FCF78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责令改正，处</w:t>
            </w:r>
            <w:r>
              <w:rPr>
                <w:rFonts w:ascii="仿宋_GB2312" w:hAnsi="宋体" w:eastAsia="仿宋_GB2312"/>
                <w:color w:val="auto"/>
                <w:kern w:val="0"/>
                <w:sz w:val="13"/>
                <w:szCs w:val="13"/>
                <w:highlight w:val="none"/>
              </w:rPr>
              <w:t>30</w:t>
            </w:r>
            <w:r>
              <w:rPr>
                <w:rFonts w:hint="eastAsia" w:ascii="仿宋_GB2312" w:hAnsi="宋体" w:eastAsia="仿宋_GB2312"/>
                <w:color w:val="auto"/>
                <w:kern w:val="0"/>
                <w:sz w:val="13"/>
                <w:szCs w:val="13"/>
                <w:highlight w:val="none"/>
              </w:rPr>
              <w:t>万以上</w:t>
            </w:r>
            <w:r>
              <w:rPr>
                <w:rFonts w:ascii="仿宋_GB2312" w:eastAsia="仿宋_GB2312"/>
                <w:color w:val="auto"/>
                <w:sz w:val="13"/>
                <w:szCs w:val="13"/>
                <w:highlight w:val="none"/>
              </w:rPr>
              <w:t>35</w:t>
            </w:r>
            <w:r>
              <w:rPr>
                <w:rFonts w:hint="eastAsia" w:ascii="仿宋_GB2312" w:hAnsi="宋体" w:eastAsia="仿宋_GB2312"/>
                <w:color w:val="auto"/>
                <w:sz w:val="13"/>
                <w:szCs w:val="13"/>
                <w:highlight w:val="none"/>
              </w:rPr>
              <w:t>万元以下罚款。</w:t>
            </w:r>
          </w:p>
        </w:tc>
      </w:tr>
      <w:tr w14:paraId="373C3CD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548" w:hRule="atLeast"/>
          <w:jc w:val="center"/>
        </w:trPr>
        <w:tc>
          <w:tcPr>
            <w:tcW w:w="443" w:type="dxa"/>
            <w:gridSpan w:val="2"/>
            <w:vMerge w:val="continue"/>
            <w:tcBorders>
              <w:tl2br w:val="nil"/>
              <w:tr2bl w:val="nil"/>
            </w:tcBorders>
            <w:vAlign w:val="center"/>
          </w:tcPr>
          <w:p w14:paraId="5A0158C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rPr>
                <w:rFonts w:ascii="仿宋_GB2312" w:eastAsia="仿宋_GB2312"/>
                <w:color w:val="auto"/>
                <w:sz w:val="13"/>
                <w:szCs w:val="13"/>
                <w:highlight w:val="none"/>
              </w:rPr>
            </w:pPr>
          </w:p>
        </w:tc>
        <w:tc>
          <w:tcPr>
            <w:tcW w:w="1550" w:type="dxa"/>
            <w:vMerge w:val="continue"/>
            <w:tcBorders>
              <w:tl2br w:val="nil"/>
              <w:tr2bl w:val="nil"/>
            </w:tcBorders>
            <w:vAlign w:val="center"/>
          </w:tcPr>
          <w:p w14:paraId="4814362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sz w:val="13"/>
                <w:szCs w:val="13"/>
                <w:highlight w:val="none"/>
              </w:rPr>
            </w:pPr>
          </w:p>
        </w:tc>
        <w:tc>
          <w:tcPr>
            <w:tcW w:w="4820" w:type="dxa"/>
            <w:vMerge w:val="continue"/>
            <w:tcBorders>
              <w:tl2br w:val="nil"/>
              <w:tr2bl w:val="nil"/>
            </w:tcBorders>
            <w:vAlign w:val="center"/>
          </w:tcPr>
          <w:p w14:paraId="58525BF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823" w:type="dxa"/>
            <w:vMerge w:val="restart"/>
            <w:tcBorders>
              <w:tl2br w:val="nil"/>
              <w:tr2bl w:val="nil"/>
            </w:tcBorders>
            <w:tcMar>
              <w:top w:w="15" w:type="dxa"/>
              <w:left w:w="15" w:type="dxa"/>
              <w:bottom w:w="15" w:type="dxa"/>
              <w:right w:w="15" w:type="dxa"/>
            </w:tcMar>
            <w:vAlign w:val="center"/>
          </w:tcPr>
          <w:p w14:paraId="1E81883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从重情节</w:t>
            </w:r>
          </w:p>
        </w:tc>
        <w:tc>
          <w:tcPr>
            <w:tcW w:w="3437" w:type="dxa"/>
            <w:gridSpan w:val="2"/>
            <w:tcBorders>
              <w:tl2br w:val="nil"/>
              <w:tr2bl w:val="nil"/>
            </w:tcBorders>
            <w:tcMar>
              <w:top w:w="15" w:type="dxa"/>
              <w:left w:w="15" w:type="dxa"/>
              <w:bottom w:w="15" w:type="dxa"/>
              <w:right w:w="15" w:type="dxa"/>
            </w:tcMar>
            <w:vAlign w:val="center"/>
          </w:tcPr>
          <w:p w14:paraId="4EDA821A">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strike/>
                <w:color w:val="auto"/>
                <w:sz w:val="13"/>
                <w:szCs w:val="13"/>
                <w:highlight w:val="none"/>
              </w:rPr>
            </w:pPr>
            <w:r>
              <w:rPr>
                <w:rFonts w:hint="eastAsia" w:ascii="仿宋_GB2312" w:hAnsi="宋体" w:eastAsia="仿宋_GB2312"/>
                <w:color w:val="auto"/>
                <w:kern w:val="0"/>
                <w:sz w:val="13"/>
                <w:szCs w:val="13"/>
                <w:highlight w:val="none"/>
              </w:rPr>
              <w:t>（1）</w:t>
            </w:r>
            <w:r>
              <w:rPr>
                <w:rFonts w:hint="eastAsia" w:ascii="仿宋" w:hAnsi="仿宋" w:eastAsia="仿宋"/>
                <w:color w:val="auto"/>
                <w:kern w:val="0"/>
                <w:sz w:val="13"/>
                <w:szCs w:val="13"/>
                <w:highlight w:val="none"/>
              </w:rPr>
              <w:t>①</w:t>
            </w:r>
            <w:r>
              <w:rPr>
                <w:rFonts w:hint="eastAsia" w:ascii="仿宋_GB2312" w:hAnsi="宋体" w:eastAsia="仿宋_GB2312"/>
                <w:color w:val="auto"/>
                <w:kern w:val="0"/>
                <w:sz w:val="13"/>
                <w:szCs w:val="13"/>
                <w:highlight w:val="none"/>
              </w:rPr>
              <w:t>2年内2次及以上同类型违法的；</w:t>
            </w:r>
            <w:r>
              <w:rPr>
                <w:rFonts w:hint="eastAsia" w:ascii="仿宋" w:hAnsi="仿宋" w:eastAsia="仿宋"/>
                <w:color w:val="auto"/>
                <w:kern w:val="0"/>
                <w:sz w:val="13"/>
                <w:szCs w:val="13"/>
                <w:highlight w:val="none"/>
              </w:rPr>
              <w:t>②</w:t>
            </w:r>
            <w:r>
              <w:rPr>
                <w:rFonts w:hint="eastAsia" w:ascii="仿宋_GB2312" w:hAnsi="宋体" w:eastAsia="仿宋_GB2312"/>
                <w:color w:val="auto"/>
                <w:kern w:val="0"/>
                <w:sz w:val="13"/>
                <w:szCs w:val="13"/>
                <w:highlight w:val="none"/>
              </w:rPr>
              <w:t>经责令改正后，拒绝采取措施改正的；</w:t>
            </w:r>
            <w:r>
              <w:rPr>
                <w:rFonts w:hint="eastAsia" w:ascii="仿宋" w:hAnsi="仿宋" w:eastAsia="仿宋"/>
                <w:color w:val="auto"/>
                <w:kern w:val="0"/>
                <w:sz w:val="13"/>
                <w:szCs w:val="13"/>
                <w:highlight w:val="none"/>
              </w:rPr>
              <w:t>③</w:t>
            </w:r>
            <w:r>
              <w:rPr>
                <w:rFonts w:hint="eastAsia" w:ascii="仿宋_GB2312" w:hAnsi="宋体" w:eastAsia="仿宋_GB2312"/>
                <w:color w:val="auto"/>
                <w:kern w:val="0"/>
                <w:sz w:val="13"/>
                <w:szCs w:val="13"/>
                <w:highlight w:val="none"/>
              </w:rPr>
              <w:t>整改后，仍未达到节能强制性标准规定的；</w:t>
            </w:r>
            <w:r>
              <w:rPr>
                <w:rFonts w:hint="eastAsia" w:ascii="仿宋" w:hAnsi="仿宋" w:eastAsia="仿宋"/>
                <w:color w:val="auto"/>
                <w:kern w:val="0"/>
                <w:sz w:val="13"/>
                <w:szCs w:val="13"/>
                <w:highlight w:val="none"/>
              </w:rPr>
              <w:t>④</w:t>
            </w:r>
            <w:r>
              <w:rPr>
                <w:rFonts w:hint="eastAsia" w:ascii="仿宋_GB2312" w:hAnsi="宋体" w:eastAsia="仿宋_GB2312"/>
                <w:color w:val="auto"/>
                <w:kern w:val="0"/>
                <w:sz w:val="13"/>
                <w:szCs w:val="13"/>
                <w:highlight w:val="none"/>
              </w:rPr>
              <w:t>涉案工程面积30000㎡以上的。</w:t>
            </w:r>
          </w:p>
        </w:tc>
        <w:tc>
          <w:tcPr>
            <w:tcW w:w="3058" w:type="dxa"/>
            <w:tcBorders>
              <w:tl2br w:val="nil"/>
              <w:tr2bl w:val="nil"/>
            </w:tcBorders>
            <w:tcMar>
              <w:top w:w="15" w:type="dxa"/>
              <w:left w:w="15" w:type="dxa"/>
              <w:bottom w:w="15" w:type="dxa"/>
              <w:right w:w="15" w:type="dxa"/>
            </w:tcMar>
            <w:vAlign w:val="center"/>
          </w:tcPr>
          <w:p w14:paraId="33B4EE6D">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strike/>
                <w:color w:val="auto"/>
                <w:sz w:val="13"/>
                <w:szCs w:val="13"/>
                <w:highlight w:val="none"/>
              </w:rPr>
            </w:pPr>
            <w:r>
              <w:rPr>
                <w:rFonts w:hint="eastAsia" w:ascii="仿宋_GB2312" w:hAnsi="宋体" w:eastAsia="仿宋_GB2312"/>
                <w:color w:val="auto"/>
                <w:kern w:val="0"/>
                <w:sz w:val="13"/>
                <w:szCs w:val="13"/>
                <w:highlight w:val="none"/>
              </w:rPr>
              <w:t>责令改正，处35万元以上</w:t>
            </w:r>
            <w:r>
              <w:rPr>
                <w:rFonts w:ascii="仿宋_GB2312" w:hAnsi="宋体" w:eastAsia="仿宋_GB2312"/>
                <w:color w:val="auto"/>
                <w:kern w:val="0"/>
                <w:sz w:val="13"/>
                <w:szCs w:val="13"/>
                <w:highlight w:val="none"/>
              </w:rPr>
              <w:t>50</w:t>
            </w:r>
            <w:r>
              <w:rPr>
                <w:rFonts w:hint="eastAsia" w:ascii="仿宋_GB2312" w:hAnsi="宋体" w:eastAsia="仿宋_GB2312"/>
                <w:color w:val="auto"/>
                <w:sz w:val="13"/>
                <w:szCs w:val="13"/>
                <w:highlight w:val="none"/>
              </w:rPr>
              <w:t>万元以下罚款。</w:t>
            </w:r>
          </w:p>
        </w:tc>
      </w:tr>
      <w:tr w14:paraId="4549A47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595" w:hRule="atLeast"/>
          <w:jc w:val="center"/>
        </w:trPr>
        <w:tc>
          <w:tcPr>
            <w:tcW w:w="443" w:type="dxa"/>
            <w:gridSpan w:val="2"/>
            <w:vMerge w:val="continue"/>
            <w:tcBorders>
              <w:tl2br w:val="nil"/>
              <w:tr2bl w:val="nil"/>
            </w:tcBorders>
            <w:vAlign w:val="center"/>
          </w:tcPr>
          <w:p w14:paraId="2179C4F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rPr>
                <w:rFonts w:ascii="仿宋_GB2312" w:eastAsia="仿宋_GB2312"/>
                <w:color w:val="auto"/>
                <w:sz w:val="13"/>
                <w:szCs w:val="13"/>
                <w:highlight w:val="none"/>
              </w:rPr>
            </w:pPr>
          </w:p>
        </w:tc>
        <w:tc>
          <w:tcPr>
            <w:tcW w:w="1550" w:type="dxa"/>
            <w:vMerge w:val="continue"/>
            <w:tcBorders>
              <w:tl2br w:val="nil"/>
              <w:tr2bl w:val="nil"/>
            </w:tcBorders>
            <w:vAlign w:val="center"/>
          </w:tcPr>
          <w:p w14:paraId="19105DE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sz w:val="13"/>
                <w:szCs w:val="13"/>
                <w:highlight w:val="none"/>
              </w:rPr>
            </w:pPr>
          </w:p>
        </w:tc>
        <w:tc>
          <w:tcPr>
            <w:tcW w:w="4820" w:type="dxa"/>
            <w:vMerge w:val="continue"/>
            <w:tcBorders>
              <w:tl2br w:val="nil"/>
              <w:tr2bl w:val="nil"/>
            </w:tcBorders>
            <w:vAlign w:val="center"/>
          </w:tcPr>
          <w:p w14:paraId="3F0D186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823" w:type="dxa"/>
            <w:vMerge w:val="continue"/>
            <w:tcBorders>
              <w:tl2br w:val="nil"/>
              <w:tr2bl w:val="nil"/>
            </w:tcBorders>
            <w:tcMar>
              <w:top w:w="15" w:type="dxa"/>
              <w:left w:w="15" w:type="dxa"/>
              <w:bottom w:w="15" w:type="dxa"/>
              <w:right w:w="15" w:type="dxa"/>
            </w:tcMar>
            <w:vAlign w:val="center"/>
          </w:tcPr>
          <w:p w14:paraId="6DDF86A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3437" w:type="dxa"/>
            <w:gridSpan w:val="2"/>
            <w:tcBorders>
              <w:tl2br w:val="nil"/>
              <w:tr2bl w:val="nil"/>
            </w:tcBorders>
            <w:tcMar>
              <w:top w:w="15" w:type="dxa"/>
              <w:left w:w="15" w:type="dxa"/>
              <w:bottom w:w="15" w:type="dxa"/>
              <w:right w:w="15" w:type="dxa"/>
            </w:tcMar>
            <w:vAlign w:val="center"/>
          </w:tcPr>
          <w:p w14:paraId="62886E02">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w:t>
            </w:r>
            <w:r>
              <w:rPr>
                <w:rFonts w:ascii="仿宋_GB2312" w:hAnsi="宋体" w:eastAsia="仿宋_GB2312"/>
                <w:color w:val="auto"/>
                <w:kern w:val="0"/>
                <w:sz w:val="13"/>
                <w:szCs w:val="13"/>
                <w:highlight w:val="none"/>
              </w:rPr>
              <w:t>2</w:t>
            </w:r>
            <w:r>
              <w:rPr>
                <w:rFonts w:hint="eastAsia" w:ascii="仿宋_GB2312" w:hAnsi="宋体" w:eastAsia="仿宋_GB2312"/>
                <w:color w:val="auto"/>
                <w:kern w:val="0"/>
                <w:sz w:val="13"/>
                <w:szCs w:val="13"/>
                <w:highlight w:val="none"/>
              </w:rPr>
              <w:t>）造成重大、特别重大质量安全事故或较大社会影响的。</w:t>
            </w:r>
          </w:p>
        </w:tc>
        <w:tc>
          <w:tcPr>
            <w:tcW w:w="3058" w:type="dxa"/>
            <w:tcBorders>
              <w:tl2br w:val="nil"/>
              <w:tr2bl w:val="nil"/>
            </w:tcBorders>
            <w:tcMar>
              <w:top w:w="15" w:type="dxa"/>
              <w:left w:w="15" w:type="dxa"/>
              <w:bottom w:w="15" w:type="dxa"/>
              <w:right w:w="15" w:type="dxa"/>
            </w:tcMar>
            <w:vAlign w:val="center"/>
          </w:tcPr>
          <w:p w14:paraId="6EB4DE2C">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sz w:val="13"/>
                <w:szCs w:val="13"/>
                <w:highlight w:val="none"/>
              </w:rPr>
              <w:t>责令改正，处50万元罚款。</w:t>
            </w:r>
          </w:p>
        </w:tc>
      </w:tr>
      <w:tr w14:paraId="3FB5600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21" w:hRule="atLeast"/>
          <w:jc w:val="center"/>
        </w:trPr>
        <w:tc>
          <w:tcPr>
            <w:tcW w:w="443" w:type="dxa"/>
            <w:gridSpan w:val="2"/>
            <w:vMerge w:val="restart"/>
            <w:tcBorders>
              <w:tl2br w:val="nil"/>
              <w:tr2bl w:val="nil"/>
            </w:tcBorders>
            <w:tcMar>
              <w:top w:w="15" w:type="dxa"/>
              <w:left w:w="15" w:type="dxa"/>
              <w:bottom w:w="15" w:type="dxa"/>
              <w:right w:w="15" w:type="dxa"/>
            </w:tcMar>
            <w:vAlign w:val="center"/>
          </w:tcPr>
          <w:p w14:paraId="74A07B35">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eastAsia="仿宋_GB2312"/>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206</w:t>
            </w:r>
          </w:p>
        </w:tc>
        <w:tc>
          <w:tcPr>
            <w:tcW w:w="1550" w:type="dxa"/>
            <w:vMerge w:val="restart"/>
            <w:tcBorders>
              <w:tl2br w:val="nil"/>
              <w:tr2bl w:val="nil"/>
            </w:tcBorders>
            <w:tcMar>
              <w:top w:w="15" w:type="dxa"/>
              <w:left w:w="15" w:type="dxa"/>
              <w:bottom w:w="15" w:type="dxa"/>
              <w:right w:w="15" w:type="dxa"/>
            </w:tcMar>
            <w:vAlign w:val="center"/>
          </w:tcPr>
          <w:p w14:paraId="12A9067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p>
          <w:p w14:paraId="5208EE2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sz w:val="13"/>
                <w:szCs w:val="13"/>
                <w:highlight w:val="none"/>
              </w:rPr>
            </w:pPr>
            <w:r>
              <w:rPr>
                <w:rFonts w:hint="eastAsia" w:ascii="仿宋_GB2312" w:hAnsi="宋体" w:eastAsia="仿宋_GB2312"/>
                <w:color w:val="auto"/>
                <w:kern w:val="0"/>
                <w:sz w:val="13"/>
                <w:szCs w:val="13"/>
                <w:highlight w:val="none"/>
              </w:rPr>
              <w:t>建设单位对不符合民用建筑节能强制性标准的民用建筑项目出具竣工验收合格报告的</w:t>
            </w:r>
          </w:p>
        </w:tc>
        <w:tc>
          <w:tcPr>
            <w:tcW w:w="4820" w:type="dxa"/>
            <w:vMerge w:val="restart"/>
            <w:tcBorders>
              <w:tl2br w:val="nil"/>
              <w:tr2bl w:val="nil"/>
            </w:tcBorders>
            <w:tcMar>
              <w:top w:w="15" w:type="dxa"/>
              <w:left w:w="15" w:type="dxa"/>
              <w:bottom w:w="15" w:type="dxa"/>
              <w:right w:w="15" w:type="dxa"/>
            </w:tcMar>
            <w:vAlign w:val="center"/>
          </w:tcPr>
          <w:p w14:paraId="2C01A8B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p w14:paraId="4832BDE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《民用建筑节能条例》</w:t>
            </w:r>
          </w:p>
          <w:p w14:paraId="74BA39B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0" w:firstLineChars="200"/>
              <w:jc w:val="left"/>
              <w:textAlignment w:val="center"/>
              <w:rPr>
                <w:rFonts w:ascii="仿宋_GB2312" w:hAnsi="宋体" w:eastAsia="仿宋_GB2312"/>
                <w:strike/>
                <w:color w:val="auto"/>
                <w:kern w:val="0"/>
                <w:sz w:val="13"/>
                <w:szCs w:val="13"/>
                <w:highlight w:val="none"/>
              </w:rPr>
            </w:pPr>
            <w:r>
              <w:rPr>
                <w:rFonts w:hint="eastAsia" w:ascii="仿宋_GB2312" w:hAnsi="宋体" w:eastAsia="仿宋_GB2312"/>
                <w:color w:val="auto"/>
                <w:kern w:val="0"/>
                <w:sz w:val="13"/>
                <w:szCs w:val="13"/>
                <w:highlight w:val="none"/>
              </w:rPr>
              <w:t>第三十八条违反本条例规定，建设单位对不符合民用建筑节能强制性标准的民用建筑项目出具竣工验收合格报告的，由县级以上地方人民政府建设主管部门责令改正，处民用建筑项目合同价款2%以上4%以下的罚款；造成损失的，依法承担赔偿责任。</w:t>
            </w:r>
          </w:p>
        </w:tc>
        <w:tc>
          <w:tcPr>
            <w:tcW w:w="823" w:type="dxa"/>
            <w:tcBorders>
              <w:tl2br w:val="nil"/>
              <w:tr2bl w:val="nil"/>
            </w:tcBorders>
            <w:tcMar>
              <w:top w:w="15" w:type="dxa"/>
              <w:left w:w="15" w:type="dxa"/>
              <w:bottom w:w="15" w:type="dxa"/>
              <w:right w:w="15" w:type="dxa"/>
            </w:tcMar>
            <w:vAlign w:val="center"/>
          </w:tcPr>
          <w:p w14:paraId="45E3114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tcMar>
              <w:top w:w="15" w:type="dxa"/>
              <w:left w:w="15" w:type="dxa"/>
              <w:bottom w:w="15" w:type="dxa"/>
              <w:right w:w="15" w:type="dxa"/>
            </w:tcMar>
            <w:vAlign w:val="center"/>
          </w:tcPr>
          <w:p w14:paraId="2270460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sz w:val="13"/>
                <w:szCs w:val="13"/>
                <w:highlight w:val="none"/>
              </w:rPr>
            </w:pPr>
            <w:r>
              <w:rPr>
                <w:rFonts w:hint="eastAsia" w:ascii="仿宋_GB2312" w:hAnsi="宋体" w:eastAsia="仿宋_GB2312"/>
                <w:color w:val="auto"/>
                <w:kern w:val="0"/>
                <w:sz w:val="13"/>
                <w:szCs w:val="13"/>
                <w:highlight w:val="none"/>
              </w:rPr>
              <w:t>初次违法，主动消除或减轻危害后果的。</w:t>
            </w:r>
          </w:p>
        </w:tc>
        <w:tc>
          <w:tcPr>
            <w:tcW w:w="3058" w:type="dxa"/>
            <w:tcBorders>
              <w:tl2br w:val="nil"/>
              <w:tr2bl w:val="nil"/>
            </w:tcBorders>
            <w:tcMar>
              <w:top w:w="15" w:type="dxa"/>
              <w:left w:w="15" w:type="dxa"/>
              <w:bottom w:w="15" w:type="dxa"/>
              <w:right w:w="15" w:type="dxa"/>
            </w:tcMar>
            <w:vAlign w:val="center"/>
          </w:tcPr>
          <w:p w14:paraId="60F4816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sz w:val="13"/>
                <w:szCs w:val="13"/>
                <w:highlight w:val="none"/>
              </w:rPr>
            </w:pPr>
            <w:r>
              <w:rPr>
                <w:rFonts w:hint="eastAsia" w:ascii="仿宋_GB2312" w:hAnsi="宋体" w:eastAsia="仿宋_GB2312"/>
                <w:color w:val="auto"/>
                <w:kern w:val="0"/>
                <w:sz w:val="13"/>
                <w:szCs w:val="13"/>
                <w:highlight w:val="none"/>
              </w:rPr>
              <w:t>责令改正，处民用建筑项目合同价款</w:t>
            </w:r>
            <w:r>
              <w:rPr>
                <w:rFonts w:hint="eastAsia" w:ascii="仿宋_GB2312" w:eastAsia="仿宋_GB2312"/>
                <w:color w:val="auto"/>
                <w:sz w:val="13"/>
                <w:szCs w:val="13"/>
                <w:highlight w:val="none"/>
              </w:rPr>
              <w:t>百分之</w:t>
            </w:r>
            <w:r>
              <w:rPr>
                <w:rFonts w:hint="eastAsia" w:ascii="仿宋_GB2312" w:eastAsia="仿宋_GB2312"/>
                <w:color w:val="auto"/>
                <w:sz w:val="13"/>
                <w:szCs w:val="13"/>
                <w:highlight w:val="none"/>
                <w:lang w:val="en-US" w:eastAsia="zh-CN"/>
              </w:rPr>
              <w:t>2</w:t>
            </w:r>
            <w:r>
              <w:rPr>
                <w:rFonts w:hint="eastAsia" w:ascii="仿宋_GB2312" w:hAnsi="宋体" w:eastAsia="仿宋_GB2312"/>
                <w:color w:val="auto"/>
                <w:sz w:val="13"/>
                <w:szCs w:val="13"/>
                <w:highlight w:val="none"/>
              </w:rPr>
              <w:t>的罚款。</w:t>
            </w:r>
          </w:p>
        </w:tc>
      </w:tr>
      <w:tr w14:paraId="38D5E5B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9" w:hRule="atLeast"/>
          <w:jc w:val="center"/>
        </w:trPr>
        <w:tc>
          <w:tcPr>
            <w:tcW w:w="443" w:type="dxa"/>
            <w:gridSpan w:val="2"/>
            <w:vMerge w:val="continue"/>
            <w:tcBorders>
              <w:tl2br w:val="nil"/>
              <w:tr2bl w:val="nil"/>
            </w:tcBorders>
            <w:vAlign w:val="center"/>
          </w:tcPr>
          <w:p w14:paraId="00D16A6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rPr>
                <w:rFonts w:ascii="仿宋_GB2312" w:eastAsia="仿宋_GB2312"/>
                <w:color w:val="auto"/>
                <w:sz w:val="13"/>
                <w:szCs w:val="13"/>
                <w:highlight w:val="none"/>
              </w:rPr>
            </w:pPr>
          </w:p>
        </w:tc>
        <w:tc>
          <w:tcPr>
            <w:tcW w:w="1550" w:type="dxa"/>
            <w:vMerge w:val="continue"/>
            <w:tcBorders>
              <w:tl2br w:val="nil"/>
              <w:tr2bl w:val="nil"/>
            </w:tcBorders>
            <w:vAlign w:val="center"/>
          </w:tcPr>
          <w:p w14:paraId="32E6F6D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sz w:val="13"/>
                <w:szCs w:val="13"/>
                <w:highlight w:val="none"/>
              </w:rPr>
            </w:pPr>
          </w:p>
        </w:tc>
        <w:tc>
          <w:tcPr>
            <w:tcW w:w="4820" w:type="dxa"/>
            <w:vMerge w:val="continue"/>
            <w:tcBorders>
              <w:tl2br w:val="nil"/>
              <w:tr2bl w:val="nil"/>
            </w:tcBorders>
            <w:vAlign w:val="center"/>
          </w:tcPr>
          <w:p w14:paraId="7FFE665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823" w:type="dxa"/>
            <w:tcBorders>
              <w:tl2br w:val="nil"/>
              <w:tr2bl w:val="nil"/>
            </w:tcBorders>
            <w:tcMar>
              <w:top w:w="15" w:type="dxa"/>
              <w:left w:w="15" w:type="dxa"/>
              <w:bottom w:w="15" w:type="dxa"/>
              <w:right w:w="15" w:type="dxa"/>
            </w:tcMar>
            <w:vAlign w:val="center"/>
          </w:tcPr>
          <w:p w14:paraId="0D67E97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一般情节</w:t>
            </w:r>
          </w:p>
        </w:tc>
        <w:tc>
          <w:tcPr>
            <w:tcW w:w="3437" w:type="dxa"/>
            <w:gridSpan w:val="2"/>
            <w:tcBorders>
              <w:tl2br w:val="nil"/>
              <w:tr2bl w:val="nil"/>
            </w:tcBorders>
            <w:tcMar>
              <w:top w:w="15" w:type="dxa"/>
              <w:left w:w="15" w:type="dxa"/>
              <w:bottom w:w="15" w:type="dxa"/>
              <w:right w:w="15" w:type="dxa"/>
            </w:tcMar>
            <w:vAlign w:val="center"/>
          </w:tcPr>
          <w:p w14:paraId="79327970">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sz w:val="13"/>
                <w:szCs w:val="13"/>
                <w:highlight w:val="none"/>
              </w:rPr>
            </w:pPr>
            <w:r>
              <w:rPr>
                <w:rFonts w:hint="eastAsia" w:ascii="仿宋_GB2312" w:hAnsi="宋体" w:eastAsia="仿宋_GB2312"/>
                <w:color w:val="auto"/>
                <w:sz w:val="13"/>
                <w:szCs w:val="13"/>
                <w:highlight w:val="none"/>
              </w:rPr>
              <w:t>不具有从轻、</w:t>
            </w:r>
            <w:r>
              <w:rPr>
                <w:rFonts w:hint="eastAsia" w:ascii="仿宋_GB2312" w:hAnsi="宋体" w:eastAsia="仿宋_GB2312"/>
                <w:color w:val="auto"/>
                <w:sz w:val="13"/>
                <w:szCs w:val="13"/>
                <w:highlight w:val="none"/>
                <w:lang w:eastAsia="zh-CN"/>
              </w:rPr>
              <w:t>从重情节</w:t>
            </w:r>
            <w:r>
              <w:rPr>
                <w:rFonts w:hint="eastAsia" w:ascii="仿宋_GB2312" w:hAnsi="宋体" w:eastAsia="仿宋_GB2312"/>
                <w:color w:val="auto"/>
                <w:sz w:val="13"/>
                <w:szCs w:val="13"/>
                <w:highlight w:val="none"/>
              </w:rPr>
              <w:t>的。</w:t>
            </w:r>
          </w:p>
        </w:tc>
        <w:tc>
          <w:tcPr>
            <w:tcW w:w="3058" w:type="dxa"/>
            <w:tcBorders>
              <w:tl2br w:val="nil"/>
              <w:tr2bl w:val="nil"/>
            </w:tcBorders>
            <w:tcMar>
              <w:top w:w="15" w:type="dxa"/>
              <w:left w:w="15" w:type="dxa"/>
              <w:bottom w:w="15" w:type="dxa"/>
              <w:right w:w="15" w:type="dxa"/>
            </w:tcMar>
            <w:vAlign w:val="center"/>
          </w:tcPr>
          <w:p w14:paraId="4015D03F">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sz w:val="13"/>
                <w:szCs w:val="13"/>
                <w:highlight w:val="none"/>
              </w:rPr>
            </w:pPr>
            <w:r>
              <w:rPr>
                <w:rFonts w:hint="eastAsia" w:ascii="仿宋_GB2312" w:hAnsi="宋体" w:eastAsia="仿宋_GB2312"/>
                <w:color w:val="auto"/>
                <w:kern w:val="0"/>
                <w:sz w:val="13"/>
                <w:szCs w:val="13"/>
                <w:highlight w:val="none"/>
              </w:rPr>
              <w:t>责令改正，处民用建筑项目合同价款百分之</w:t>
            </w:r>
            <w:r>
              <w:rPr>
                <w:rFonts w:hint="eastAsia" w:ascii="仿宋_GB2312" w:hAnsi="宋体" w:eastAsia="仿宋_GB2312"/>
                <w:color w:val="auto"/>
                <w:kern w:val="0"/>
                <w:sz w:val="13"/>
                <w:szCs w:val="13"/>
                <w:highlight w:val="none"/>
                <w:lang w:val="en-US" w:eastAsia="zh-CN"/>
              </w:rPr>
              <w:t>2</w:t>
            </w:r>
            <w:r>
              <w:rPr>
                <w:rFonts w:hint="eastAsia" w:ascii="仿宋_GB2312" w:hAnsi="宋体" w:eastAsia="仿宋_GB2312"/>
                <w:color w:val="auto"/>
                <w:kern w:val="0"/>
                <w:sz w:val="13"/>
                <w:szCs w:val="13"/>
                <w:highlight w:val="none"/>
              </w:rPr>
              <w:t>以上百分之</w:t>
            </w:r>
            <w:r>
              <w:rPr>
                <w:rFonts w:hint="eastAsia" w:ascii="仿宋_GB2312" w:hAnsi="宋体" w:eastAsia="仿宋_GB2312"/>
                <w:color w:val="auto"/>
                <w:kern w:val="0"/>
                <w:sz w:val="13"/>
                <w:szCs w:val="13"/>
                <w:highlight w:val="none"/>
                <w:lang w:val="en-US" w:eastAsia="zh-CN"/>
              </w:rPr>
              <w:t>3</w:t>
            </w:r>
            <w:r>
              <w:rPr>
                <w:rFonts w:hint="eastAsia" w:ascii="仿宋_GB2312" w:hAnsi="宋体" w:eastAsia="仿宋_GB2312"/>
                <w:color w:val="auto"/>
                <w:kern w:val="0"/>
                <w:sz w:val="13"/>
                <w:szCs w:val="13"/>
                <w:highlight w:val="none"/>
              </w:rPr>
              <w:t>以下的罚款。</w:t>
            </w:r>
          </w:p>
        </w:tc>
      </w:tr>
      <w:tr w14:paraId="4341DC4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25" w:hRule="atLeast"/>
          <w:jc w:val="center"/>
        </w:trPr>
        <w:tc>
          <w:tcPr>
            <w:tcW w:w="443" w:type="dxa"/>
            <w:gridSpan w:val="2"/>
            <w:vMerge w:val="continue"/>
            <w:tcBorders>
              <w:tl2br w:val="nil"/>
              <w:tr2bl w:val="nil"/>
            </w:tcBorders>
            <w:vAlign w:val="center"/>
          </w:tcPr>
          <w:p w14:paraId="6A3AE98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rPr>
                <w:rFonts w:ascii="仿宋_GB2312" w:eastAsia="仿宋_GB2312"/>
                <w:color w:val="auto"/>
                <w:sz w:val="13"/>
                <w:szCs w:val="13"/>
                <w:highlight w:val="none"/>
              </w:rPr>
            </w:pPr>
          </w:p>
        </w:tc>
        <w:tc>
          <w:tcPr>
            <w:tcW w:w="1550" w:type="dxa"/>
            <w:vMerge w:val="continue"/>
            <w:tcBorders>
              <w:tl2br w:val="nil"/>
              <w:tr2bl w:val="nil"/>
            </w:tcBorders>
            <w:vAlign w:val="center"/>
          </w:tcPr>
          <w:p w14:paraId="404ACA1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sz w:val="13"/>
                <w:szCs w:val="13"/>
                <w:highlight w:val="none"/>
              </w:rPr>
            </w:pPr>
          </w:p>
        </w:tc>
        <w:tc>
          <w:tcPr>
            <w:tcW w:w="4820" w:type="dxa"/>
            <w:vMerge w:val="continue"/>
            <w:tcBorders>
              <w:tl2br w:val="nil"/>
              <w:tr2bl w:val="nil"/>
            </w:tcBorders>
            <w:vAlign w:val="center"/>
          </w:tcPr>
          <w:p w14:paraId="4A3A3A9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823" w:type="dxa"/>
            <w:tcBorders>
              <w:tl2br w:val="nil"/>
              <w:tr2bl w:val="nil"/>
            </w:tcBorders>
            <w:tcMar>
              <w:top w:w="15" w:type="dxa"/>
              <w:left w:w="15" w:type="dxa"/>
              <w:bottom w:w="15" w:type="dxa"/>
              <w:right w:w="15" w:type="dxa"/>
            </w:tcMar>
            <w:vAlign w:val="center"/>
          </w:tcPr>
          <w:p w14:paraId="1DC1F279">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从重情节</w:t>
            </w:r>
          </w:p>
        </w:tc>
        <w:tc>
          <w:tcPr>
            <w:tcW w:w="3437" w:type="dxa"/>
            <w:gridSpan w:val="2"/>
            <w:tcBorders>
              <w:tl2br w:val="nil"/>
              <w:tr2bl w:val="nil"/>
            </w:tcBorders>
            <w:tcMar>
              <w:top w:w="15" w:type="dxa"/>
              <w:left w:w="15" w:type="dxa"/>
              <w:bottom w:w="15" w:type="dxa"/>
              <w:right w:w="15" w:type="dxa"/>
            </w:tcMar>
            <w:vAlign w:val="center"/>
          </w:tcPr>
          <w:p w14:paraId="3F76B14A">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（1）2年内2次及以上同类型违法的；（2）经责令改正后，拒绝采取措施改正的；（</w:t>
            </w:r>
            <w:r>
              <w:rPr>
                <w:rFonts w:ascii="仿宋_GB2312" w:hAnsi="宋体" w:eastAsia="仿宋_GB2312"/>
                <w:color w:val="auto"/>
                <w:kern w:val="0"/>
                <w:sz w:val="13"/>
                <w:szCs w:val="13"/>
                <w:highlight w:val="none"/>
              </w:rPr>
              <w:t>3</w:t>
            </w:r>
            <w:r>
              <w:rPr>
                <w:rFonts w:hint="eastAsia" w:ascii="仿宋_GB2312" w:hAnsi="宋体" w:eastAsia="仿宋_GB2312"/>
                <w:color w:val="auto"/>
                <w:kern w:val="0"/>
                <w:sz w:val="13"/>
                <w:szCs w:val="13"/>
                <w:highlight w:val="none"/>
              </w:rPr>
              <w:t>）造成较大以上质量安全事故或较大社会影响的。</w:t>
            </w:r>
          </w:p>
        </w:tc>
        <w:tc>
          <w:tcPr>
            <w:tcW w:w="3058" w:type="dxa"/>
            <w:tcBorders>
              <w:tl2br w:val="nil"/>
              <w:tr2bl w:val="nil"/>
            </w:tcBorders>
            <w:tcMar>
              <w:top w:w="15" w:type="dxa"/>
              <w:left w:w="15" w:type="dxa"/>
              <w:bottom w:w="15" w:type="dxa"/>
              <w:right w:w="15" w:type="dxa"/>
            </w:tcMar>
            <w:vAlign w:val="center"/>
          </w:tcPr>
          <w:p w14:paraId="4775A8B4">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责令改正，处民用建筑项目合同价款</w:t>
            </w:r>
            <w:r>
              <w:rPr>
                <w:rFonts w:hint="eastAsia" w:ascii="仿宋_GB2312" w:eastAsia="仿宋_GB2312"/>
                <w:color w:val="auto"/>
                <w:sz w:val="13"/>
                <w:szCs w:val="13"/>
                <w:highlight w:val="none"/>
              </w:rPr>
              <w:t>百分之</w:t>
            </w:r>
            <w:r>
              <w:rPr>
                <w:rFonts w:hint="eastAsia" w:ascii="仿宋_GB2312" w:eastAsia="仿宋_GB2312"/>
                <w:color w:val="auto"/>
                <w:sz w:val="13"/>
                <w:szCs w:val="13"/>
                <w:highlight w:val="none"/>
                <w:lang w:val="en-US" w:eastAsia="zh-CN"/>
              </w:rPr>
              <w:t>3</w:t>
            </w:r>
            <w:r>
              <w:rPr>
                <w:rFonts w:hint="eastAsia" w:ascii="仿宋_GB2312" w:eastAsia="仿宋_GB2312"/>
                <w:color w:val="auto"/>
                <w:sz w:val="13"/>
                <w:szCs w:val="13"/>
                <w:highlight w:val="none"/>
              </w:rPr>
              <w:t>以上</w:t>
            </w:r>
            <w:r>
              <w:rPr>
                <w:rFonts w:ascii="仿宋_GB2312" w:eastAsia="仿宋_GB2312"/>
                <w:color w:val="auto"/>
                <w:sz w:val="13"/>
                <w:szCs w:val="13"/>
                <w:highlight w:val="none"/>
              </w:rPr>
              <w:t>百分之</w:t>
            </w:r>
            <w:r>
              <w:rPr>
                <w:rFonts w:hint="eastAsia" w:ascii="仿宋_GB2312" w:eastAsia="仿宋_GB2312"/>
                <w:color w:val="auto"/>
                <w:sz w:val="13"/>
                <w:szCs w:val="13"/>
                <w:highlight w:val="none"/>
                <w:lang w:val="en-US" w:eastAsia="zh-CN"/>
              </w:rPr>
              <w:t>4</w:t>
            </w:r>
            <w:r>
              <w:rPr>
                <w:rFonts w:ascii="仿宋_GB2312" w:eastAsia="仿宋_GB2312"/>
                <w:color w:val="auto"/>
                <w:sz w:val="13"/>
                <w:szCs w:val="13"/>
                <w:highlight w:val="none"/>
              </w:rPr>
              <w:t>点</w:t>
            </w:r>
            <w:r>
              <w:rPr>
                <w:rFonts w:hint="eastAsia" w:ascii="仿宋_GB2312" w:eastAsia="仿宋_GB2312"/>
                <w:color w:val="auto"/>
                <w:sz w:val="13"/>
                <w:szCs w:val="13"/>
                <w:highlight w:val="none"/>
              </w:rPr>
              <w:t>以下</w:t>
            </w:r>
            <w:r>
              <w:rPr>
                <w:rFonts w:hint="eastAsia" w:ascii="仿宋_GB2312" w:hAnsi="宋体" w:eastAsia="仿宋_GB2312"/>
                <w:color w:val="auto"/>
                <w:sz w:val="13"/>
                <w:szCs w:val="13"/>
                <w:highlight w:val="none"/>
              </w:rPr>
              <w:t>的罚款。</w:t>
            </w:r>
          </w:p>
        </w:tc>
      </w:tr>
      <w:tr w14:paraId="682CFFB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25" w:hRule="atLeast"/>
          <w:jc w:val="center"/>
        </w:trPr>
        <w:tc>
          <w:tcPr>
            <w:tcW w:w="443" w:type="dxa"/>
            <w:gridSpan w:val="2"/>
            <w:vMerge w:val="restart"/>
            <w:tcBorders>
              <w:tl2br w:val="nil"/>
              <w:tr2bl w:val="nil"/>
            </w:tcBorders>
            <w:tcMar>
              <w:top w:w="15" w:type="dxa"/>
              <w:left w:w="15" w:type="dxa"/>
              <w:bottom w:w="15" w:type="dxa"/>
              <w:right w:w="15" w:type="dxa"/>
            </w:tcMar>
            <w:vAlign w:val="center"/>
          </w:tcPr>
          <w:p w14:paraId="1FD1551B">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eastAsia="仿宋_GB2312"/>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207</w:t>
            </w:r>
          </w:p>
        </w:tc>
        <w:tc>
          <w:tcPr>
            <w:tcW w:w="1550" w:type="dxa"/>
            <w:vMerge w:val="restart"/>
            <w:tcBorders>
              <w:tl2br w:val="nil"/>
              <w:tr2bl w:val="nil"/>
            </w:tcBorders>
            <w:tcMar>
              <w:top w:w="15" w:type="dxa"/>
              <w:left w:w="15" w:type="dxa"/>
              <w:bottom w:w="15" w:type="dxa"/>
              <w:right w:w="15" w:type="dxa"/>
            </w:tcMar>
            <w:vAlign w:val="center"/>
          </w:tcPr>
          <w:p w14:paraId="7B0652A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sz w:val="13"/>
                <w:szCs w:val="13"/>
                <w:highlight w:val="none"/>
              </w:rPr>
            </w:pPr>
            <w:r>
              <w:rPr>
                <w:rFonts w:hint="eastAsia" w:ascii="仿宋_GB2312" w:hAnsi="宋体" w:eastAsia="仿宋_GB2312"/>
                <w:color w:val="auto"/>
                <w:kern w:val="0"/>
                <w:sz w:val="13"/>
                <w:szCs w:val="13"/>
                <w:highlight w:val="none"/>
              </w:rPr>
              <w:t>设计单位未按照民用建筑节能强制性标准进行设计，或者使用列入禁止使用目录的技术、工艺、材料和设备的</w:t>
            </w:r>
          </w:p>
        </w:tc>
        <w:tc>
          <w:tcPr>
            <w:tcW w:w="4820" w:type="dxa"/>
            <w:vMerge w:val="restart"/>
            <w:tcBorders>
              <w:tl2br w:val="nil"/>
              <w:tr2bl w:val="nil"/>
            </w:tcBorders>
            <w:tcMar>
              <w:top w:w="15" w:type="dxa"/>
              <w:left w:w="15" w:type="dxa"/>
              <w:bottom w:w="15" w:type="dxa"/>
              <w:right w:w="15" w:type="dxa"/>
            </w:tcMar>
            <w:vAlign w:val="center"/>
          </w:tcPr>
          <w:p w14:paraId="2B0CDA0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民用建筑节能条例》第三十九条违反本条例规定，设计单位未按照民用建筑节能强制性标准进行设计，或者使用列入禁止使用目录的技术、工艺、材料和设备的，由县级以上地方人民政府建设主管部门责令改正，处10万元以上30万元以下的罚款；情节严重的，由颁发资质证书的部门责令停业整顿，降低资质等级或者吊销资质证书；造成损失的，依法承担赔偿责任。</w:t>
            </w:r>
          </w:p>
        </w:tc>
        <w:tc>
          <w:tcPr>
            <w:tcW w:w="823" w:type="dxa"/>
            <w:tcBorders>
              <w:tl2br w:val="nil"/>
              <w:tr2bl w:val="nil"/>
            </w:tcBorders>
            <w:tcMar>
              <w:top w:w="15" w:type="dxa"/>
              <w:left w:w="15" w:type="dxa"/>
              <w:bottom w:w="15" w:type="dxa"/>
              <w:right w:w="15" w:type="dxa"/>
            </w:tcMar>
            <w:vAlign w:val="center"/>
          </w:tcPr>
          <w:p w14:paraId="4AAD1EA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tcMar>
              <w:top w:w="15" w:type="dxa"/>
              <w:left w:w="15" w:type="dxa"/>
              <w:bottom w:w="15" w:type="dxa"/>
              <w:right w:w="15" w:type="dxa"/>
            </w:tcMar>
            <w:vAlign w:val="center"/>
          </w:tcPr>
          <w:p w14:paraId="7E11C69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sz w:val="13"/>
                <w:szCs w:val="13"/>
                <w:highlight w:val="none"/>
              </w:rPr>
            </w:pPr>
            <w:r>
              <w:rPr>
                <w:rFonts w:hint="eastAsia" w:ascii="仿宋_GB2312" w:hAnsi="宋体" w:eastAsia="仿宋_GB2312"/>
                <w:color w:val="auto"/>
                <w:kern w:val="0"/>
                <w:sz w:val="13"/>
                <w:szCs w:val="13"/>
                <w:highlight w:val="none"/>
              </w:rPr>
              <w:t>（1）同一项目中，未按照1条民用建筑节能强制性标准进行设计的；（2）使用1种列入禁止使用目录的技术、工艺、材料和设备的。</w:t>
            </w:r>
          </w:p>
        </w:tc>
        <w:tc>
          <w:tcPr>
            <w:tcW w:w="3058" w:type="dxa"/>
            <w:tcBorders>
              <w:tl2br w:val="nil"/>
              <w:tr2bl w:val="nil"/>
            </w:tcBorders>
            <w:tcMar>
              <w:top w:w="15" w:type="dxa"/>
              <w:left w:w="15" w:type="dxa"/>
              <w:bottom w:w="15" w:type="dxa"/>
              <w:right w:w="15" w:type="dxa"/>
            </w:tcMar>
            <w:vAlign w:val="center"/>
          </w:tcPr>
          <w:p w14:paraId="191E979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sz w:val="13"/>
                <w:szCs w:val="13"/>
                <w:highlight w:val="none"/>
              </w:rPr>
            </w:pPr>
            <w:r>
              <w:rPr>
                <w:rFonts w:hint="eastAsia" w:ascii="仿宋_GB2312" w:hAnsi="宋体" w:eastAsia="仿宋_GB2312"/>
                <w:color w:val="auto"/>
                <w:kern w:val="0"/>
                <w:sz w:val="13"/>
                <w:szCs w:val="13"/>
                <w:highlight w:val="none"/>
              </w:rPr>
              <w:t>责令改正，处</w:t>
            </w:r>
            <w:r>
              <w:rPr>
                <w:rFonts w:hint="eastAsia" w:ascii="仿宋_GB2312" w:eastAsia="仿宋_GB2312"/>
                <w:color w:val="auto"/>
                <w:sz w:val="13"/>
                <w:szCs w:val="13"/>
                <w:highlight w:val="none"/>
              </w:rPr>
              <w:t>10</w:t>
            </w:r>
            <w:r>
              <w:rPr>
                <w:rFonts w:hint="eastAsia" w:ascii="仿宋_GB2312" w:hAnsi="宋体" w:eastAsia="仿宋_GB2312"/>
                <w:color w:val="auto"/>
                <w:sz w:val="13"/>
                <w:szCs w:val="13"/>
                <w:highlight w:val="none"/>
              </w:rPr>
              <w:t>万元罚款。</w:t>
            </w:r>
          </w:p>
        </w:tc>
      </w:tr>
      <w:tr w14:paraId="0A7A068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89" w:hRule="atLeast"/>
          <w:jc w:val="center"/>
        </w:trPr>
        <w:tc>
          <w:tcPr>
            <w:tcW w:w="443" w:type="dxa"/>
            <w:gridSpan w:val="2"/>
            <w:vMerge w:val="continue"/>
            <w:tcBorders>
              <w:tl2br w:val="nil"/>
              <w:tr2bl w:val="nil"/>
            </w:tcBorders>
            <w:vAlign w:val="center"/>
          </w:tcPr>
          <w:p w14:paraId="477E521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rPr>
                <w:rFonts w:ascii="仿宋_GB2312" w:eastAsia="仿宋_GB2312"/>
                <w:color w:val="auto"/>
                <w:sz w:val="13"/>
                <w:szCs w:val="13"/>
                <w:highlight w:val="none"/>
              </w:rPr>
            </w:pPr>
          </w:p>
        </w:tc>
        <w:tc>
          <w:tcPr>
            <w:tcW w:w="1550" w:type="dxa"/>
            <w:vMerge w:val="continue"/>
            <w:tcBorders>
              <w:tl2br w:val="nil"/>
              <w:tr2bl w:val="nil"/>
            </w:tcBorders>
            <w:vAlign w:val="center"/>
          </w:tcPr>
          <w:p w14:paraId="2D692AB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sz w:val="13"/>
                <w:szCs w:val="13"/>
                <w:highlight w:val="none"/>
              </w:rPr>
            </w:pPr>
          </w:p>
        </w:tc>
        <w:tc>
          <w:tcPr>
            <w:tcW w:w="4820" w:type="dxa"/>
            <w:vMerge w:val="continue"/>
            <w:tcBorders>
              <w:tl2br w:val="nil"/>
              <w:tr2bl w:val="nil"/>
            </w:tcBorders>
            <w:vAlign w:val="center"/>
          </w:tcPr>
          <w:p w14:paraId="0BFA409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823" w:type="dxa"/>
            <w:tcBorders>
              <w:tl2br w:val="nil"/>
              <w:tr2bl w:val="nil"/>
            </w:tcBorders>
            <w:tcMar>
              <w:top w:w="15" w:type="dxa"/>
              <w:left w:w="15" w:type="dxa"/>
              <w:bottom w:w="15" w:type="dxa"/>
              <w:right w:w="15" w:type="dxa"/>
            </w:tcMar>
            <w:vAlign w:val="center"/>
          </w:tcPr>
          <w:p w14:paraId="5559466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一般情节</w:t>
            </w:r>
          </w:p>
        </w:tc>
        <w:tc>
          <w:tcPr>
            <w:tcW w:w="3437" w:type="dxa"/>
            <w:gridSpan w:val="2"/>
            <w:tcBorders>
              <w:tl2br w:val="nil"/>
              <w:tr2bl w:val="nil"/>
            </w:tcBorders>
            <w:tcMar>
              <w:top w:w="15" w:type="dxa"/>
              <w:left w:w="15" w:type="dxa"/>
              <w:bottom w:w="15" w:type="dxa"/>
              <w:right w:w="15" w:type="dxa"/>
            </w:tcMar>
            <w:vAlign w:val="center"/>
          </w:tcPr>
          <w:p w14:paraId="26E2B10A">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sz w:val="13"/>
                <w:szCs w:val="13"/>
                <w:highlight w:val="none"/>
              </w:rPr>
            </w:pPr>
            <w:r>
              <w:rPr>
                <w:rFonts w:hint="eastAsia" w:ascii="仿宋_GB2312" w:hAnsi="宋体" w:eastAsia="仿宋_GB2312"/>
                <w:color w:val="auto"/>
                <w:sz w:val="13"/>
                <w:szCs w:val="13"/>
                <w:highlight w:val="none"/>
              </w:rPr>
              <w:t>（1）同一项目中，未按照</w:t>
            </w:r>
            <w:r>
              <w:rPr>
                <w:rFonts w:ascii="仿宋_GB2312" w:hAnsi="宋体" w:eastAsia="仿宋_GB2312"/>
                <w:color w:val="auto"/>
                <w:sz w:val="13"/>
                <w:szCs w:val="13"/>
                <w:highlight w:val="none"/>
              </w:rPr>
              <w:t>2</w:t>
            </w:r>
            <w:r>
              <w:rPr>
                <w:rFonts w:hint="eastAsia" w:ascii="仿宋_GB2312" w:hAnsi="宋体" w:eastAsia="仿宋_GB2312"/>
                <w:color w:val="auto"/>
                <w:sz w:val="13"/>
                <w:szCs w:val="13"/>
                <w:highlight w:val="none"/>
              </w:rPr>
              <w:t>条民用建筑节能强制性标准进行设计的；（2）使用</w:t>
            </w:r>
            <w:r>
              <w:rPr>
                <w:rFonts w:ascii="仿宋_GB2312" w:hAnsi="宋体" w:eastAsia="仿宋_GB2312"/>
                <w:color w:val="auto"/>
                <w:sz w:val="13"/>
                <w:szCs w:val="13"/>
                <w:highlight w:val="none"/>
              </w:rPr>
              <w:t>2</w:t>
            </w:r>
            <w:r>
              <w:rPr>
                <w:rFonts w:hint="eastAsia" w:ascii="仿宋_GB2312" w:hAnsi="宋体" w:eastAsia="仿宋_GB2312"/>
                <w:color w:val="auto"/>
                <w:sz w:val="13"/>
                <w:szCs w:val="13"/>
                <w:highlight w:val="none"/>
              </w:rPr>
              <w:t>种列入禁止使用目录的技术、工艺、材料和设备的。</w:t>
            </w:r>
          </w:p>
        </w:tc>
        <w:tc>
          <w:tcPr>
            <w:tcW w:w="3058" w:type="dxa"/>
            <w:tcBorders>
              <w:tl2br w:val="nil"/>
              <w:tr2bl w:val="nil"/>
            </w:tcBorders>
            <w:tcMar>
              <w:top w:w="15" w:type="dxa"/>
              <w:left w:w="15" w:type="dxa"/>
              <w:bottom w:w="15" w:type="dxa"/>
              <w:right w:w="15" w:type="dxa"/>
            </w:tcMar>
            <w:vAlign w:val="center"/>
          </w:tcPr>
          <w:p w14:paraId="38ACF978">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strike/>
                <w:color w:val="auto"/>
                <w:sz w:val="13"/>
                <w:szCs w:val="13"/>
                <w:highlight w:val="none"/>
              </w:rPr>
            </w:pPr>
            <w:r>
              <w:rPr>
                <w:rFonts w:hint="eastAsia" w:ascii="仿宋_GB2312" w:hAnsi="宋体" w:eastAsia="仿宋_GB2312"/>
                <w:color w:val="auto"/>
                <w:kern w:val="0"/>
                <w:sz w:val="13"/>
                <w:szCs w:val="13"/>
                <w:highlight w:val="none"/>
              </w:rPr>
              <w:t>责令改正，处</w:t>
            </w:r>
            <w:r>
              <w:rPr>
                <w:rFonts w:ascii="仿宋_GB2312" w:hAnsi="宋体" w:eastAsia="仿宋_GB2312"/>
                <w:color w:val="auto"/>
                <w:kern w:val="0"/>
                <w:sz w:val="13"/>
                <w:szCs w:val="13"/>
                <w:highlight w:val="none"/>
              </w:rPr>
              <w:t>1</w:t>
            </w:r>
            <w:r>
              <w:rPr>
                <w:rFonts w:hint="eastAsia" w:ascii="仿宋_GB2312" w:hAnsi="宋体" w:eastAsia="仿宋_GB2312"/>
                <w:color w:val="auto"/>
                <w:kern w:val="0"/>
                <w:sz w:val="13"/>
                <w:szCs w:val="13"/>
                <w:highlight w:val="none"/>
              </w:rPr>
              <w:t>0万元以上</w:t>
            </w:r>
            <w:r>
              <w:rPr>
                <w:rFonts w:ascii="仿宋_GB2312" w:hAnsi="宋体" w:eastAsia="仿宋_GB2312"/>
                <w:color w:val="auto"/>
                <w:kern w:val="0"/>
                <w:sz w:val="13"/>
                <w:szCs w:val="13"/>
                <w:highlight w:val="none"/>
              </w:rPr>
              <w:t>3</w:t>
            </w:r>
            <w:r>
              <w:rPr>
                <w:rFonts w:hint="eastAsia" w:ascii="仿宋_GB2312" w:hAnsi="宋体" w:eastAsia="仿宋_GB2312"/>
                <w:color w:val="auto"/>
                <w:kern w:val="0"/>
                <w:sz w:val="13"/>
                <w:szCs w:val="13"/>
                <w:highlight w:val="none"/>
              </w:rPr>
              <w:t>0万元以下罚款。</w:t>
            </w:r>
          </w:p>
        </w:tc>
      </w:tr>
      <w:tr w14:paraId="71024E5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641" w:hRule="atLeast"/>
          <w:jc w:val="center"/>
        </w:trPr>
        <w:tc>
          <w:tcPr>
            <w:tcW w:w="443" w:type="dxa"/>
            <w:gridSpan w:val="2"/>
            <w:vMerge w:val="continue"/>
            <w:tcBorders>
              <w:tl2br w:val="nil"/>
              <w:tr2bl w:val="nil"/>
            </w:tcBorders>
            <w:vAlign w:val="center"/>
          </w:tcPr>
          <w:p w14:paraId="0DE5E40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rPr>
                <w:rFonts w:ascii="仿宋_GB2312" w:eastAsia="仿宋_GB2312"/>
                <w:color w:val="auto"/>
                <w:sz w:val="13"/>
                <w:szCs w:val="13"/>
                <w:highlight w:val="none"/>
              </w:rPr>
            </w:pPr>
          </w:p>
        </w:tc>
        <w:tc>
          <w:tcPr>
            <w:tcW w:w="1550" w:type="dxa"/>
            <w:vMerge w:val="continue"/>
            <w:tcBorders>
              <w:tl2br w:val="nil"/>
              <w:tr2bl w:val="nil"/>
            </w:tcBorders>
            <w:vAlign w:val="center"/>
          </w:tcPr>
          <w:p w14:paraId="04E8E6E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sz w:val="13"/>
                <w:szCs w:val="13"/>
                <w:highlight w:val="none"/>
              </w:rPr>
            </w:pPr>
          </w:p>
        </w:tc>
        <w:tc>
          <w:tcPr>
            <w:tcW w:w="4820" w:type="dxa"/>
            <w:vMerge w:val="continue"/>
            <w:tcBorders>
              <w:tl2br w:val="nil"/>
              <w:tr2bl w:val="nil"/>
            </w:tcBorders>
            <w:vAlign w:val="center"/>
          </w:tcPr>
          <w:p w14:paraId="30B7130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823" w:type="dxa"/>
            <w:vMerge w:val="restart"/>
            <w:tcBorders>
              <w:tl2br w:val="nil"/>
              <w:tr2bl w:val="nil"/>
            </w:tcBorders>
            <w:tcMar>
              <w:top w:w="15" w:type="dxa"/>
              <w:left w:w="15" w:type="dxa"/>
              <w:bottom w:w="15" w:type="dxa"/>
              <w:right w:w="15" w:type="dxa"/>
            </w:tcMar>
            <w:vAlign w:val="center"/>
          </w:tcPr>
          <w:p w14:paraId="125860C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从重情节</w:t>
            </w:r>
          </w:p>
        </w:tc>
        <w:tc>
          <w:tcPr>
            <w:tcW w:w="3437" w:type="dxa"/>
            <w:gridSpan w:val="2"/>
            <w:tcBorders>
              <w:tl2br w:val="nil"/>
              <w:tr2bl w:val="nil"/>
            </w:tcBorders>
            <w:tcMar>
              <w:top w:w="15" w:type="dxa"/>
              <w:left w:w="15" w:type="dxa"/>
              <w:bottom w:w="15" w:type="dxa"/>
              <w:right w:w="15" w:type="dxa"/>
            </w:tcMar>
            <w:vAlign w:val="center"/>
          </w:tcPr>
          <w:p w14:paraId="0D6F5BEC">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strike/>
                <w:color w:val="auto"/>
                <w:sz w:val="13"/>
                <w:szCs w:val="13"/>
                <w:highlight w:val="none"/>
              </w:rPr>
            </w:pPr>
            <w:r>
              <w:rPr>
                <w:rFonts w:hint="eastAsia" w:ascii="仿宋_GB2312" w:hAnsi="宋体" w:eastAsia="仿宋_GB2312"/>
                <w:color w:val="auto"/>
                <w:kern w:val="0"/>
                <w:sz w:val="13"/>
                <w:szCs w:val="13"/>
                <w:highlight w:val="none"/>
              </w:rPr>
              <w:t>（1）</w:t>
            </w:r>
            <w:r>
              <w:rPr>
                <w:rFonts w:hint="eastAsia" w:ascii="仿宋" w:hAnsi="仿宋" w:eastAsia="仿宋"/>
                <w:color w:val="auto"/>
                <w:kern w:val="0"/>
                <w:sz w:val="13"/>
                <w:szCs w:val="13"/>
                <w:highlight w:val="none"/>
              </w:rPr>
              <w:t>①</w:t>
            </w:r>
            <w:r>
              <w:rPr>
                <w:rFonts w:hint="eastAsia" w:ascii="仿宋_GB2312" w:hAnsi="宋体" w:eastAsia="仿宋_GB2312"/>
                <w:color w:val="auto"/>
                <w:kern w:val="0"/>
                <w:sz w:val="13"/>
                <w:szCs w:val="13"/>
                <w:highlight w:val="none"/>
              </w:rPr>
              <w:t>同一项目中，未按照</w:t>
            </w:r>
            <w:r>
              <w:rPr>
                <w:rFonts w:hint="eastAsia" w:ascii="仿宋_GB2312" w:hAnsi="宋体" w:eastAsia="仿宋_GB2312"/>
                <w:color w:val="auto"/>
                <w:kern w:val="0"/>
                <w:sz w:val="13"/>
                <w:szCs w:val="13"/>
                <w:highlight w:val="none"/>
                <w:lang w:val="en-US" w:eastAsia="zh-CN"/>
              </w:rPr>
              <w:t>2</w:t>
            </w:r>
            <w:r>
              <w:rPr>
                <w:rFonts w:hint="eastAsia" w:ascii="仿宋_GB2312" w:hAnsi="宋体" w:eastAsia="仿宋_GB2312"/>
                <w:color w:val="auto"/>
                <w:kern w:val="0"/>
                <w:sz w:val="13"/>
                <w:szCs w:val="13"/>
                <w:highlight w:val="none"/>
              </w:rPr>
              <w:t>条以上5条以下民用建筑节能强制性标准进行设计的；</w:t>
            </w:r>
            <w:r>
              <w:rPr>
                <w:rFonts w:hint="eastAsia" w:ascii="仿宋" w:hAnsi="仿宋" w:eastAsia="仿宋"/>
                <w:color w:val="auto"/>
                <w:kern w:val="0"/>
                <w:sz w:val="13"/>
                <w:szCs w:val="13"/>
                <w:highlight w:val="none"/>
              </w:rPr>
              <w:t>②</w:t>
            </w:r>
            <w:r>
              <w:rPr>
                <w:rFonts w:hint="eastAsia" w:ascii="仿宋_GB2312" w:hAnsi="宋体" w:eastAsia="仿宋_GB2312"/>
                <w:color w:val="auto"/>
                <w:kern w:val="0"/>
                <w:sz w:val="13"/>
                <w:szCs w:val="13"/>
                <w:highlight w:val="none"/>
              </w:rPr>
              <w:t>使用</w:t>
            </w:r>
            <w:r>
              <w:rPr>
                <w:rFonts w:hint="eastAsia" w:ascii="仿宋_GB2312" w:hAnsi="宋体" w:eastAsia="仿宋_GB2312"/>
                <w:color w:val="auto"/>
                <w:kern w:val="0"/>
                <w:sz w:val="13"/>
                <w:szCs w:val="13"/>
                <w:highlight w:val="none"/>
                <w:lang w:val="en-US" w:eastAsia="zh-CN"/>
              </w:rPr>
              <w:t>2</w:t>
            </w:r>
            <w:r>
              <w:rPr>
                <w:rFonts w:hint="eastAsia" w:ascii="仿宋_GB2312" w:hAnsi="宋体" w:eastAsia="仿宋_GB2312"/>
                <w:color w:val="auto"/>
                <w:kern w:val="0"/>
                <w:sz w:val="13"/>
                <w:szCs w:val="13"/>
                <w:highlight w:val="none"/>
              </w:rPr>
              <w:t>至5种列入禁止使用目录的技术、工艺、材料和设备的；</w:t>
            </w:r>
            <w:r>
              <w:rPr>
                <w:rFonts w:hint="eastAsia" w:ascii="仿宋" w:hAnsi="仿宋" w:eastAsia="仿宋"/>
                <w:color w:val="auto"/>
                <w:kern w:val="0"/>
                <w:sz w:val="13"/>
                <w:szCs w:val="13"/>
                <w:highlight w:val="none"/>
              </w:rPr>
              <w:t>③</w:t>
            </w:r>
            <w:r>
              <w:rPr>
                <w:rFonts w:hint="eastAsia" w:ascii="仿宋_GB2312" w:hAnsi="宋体" w:eastAsia="仿宋_GB2312"/>
                <w:color w:val="auto"/>
                <w:kern w:val="0"/>
                <w:sz w:val="13"/>
                <w:szCs w:val="13"/>
                <w:highlight w:val="none"/>
              </w:rPr>
              <w:t>2次违反民用建筑节能强制性标准进行设计或者使用列入禁止使用目录的技术、工艺、材料和设备的。</w:t>
            </w:r>
          </w:p>
        </w:tc>
        <w:tc>
          <w:tcPr>
            <w:tcW w:w="3058" w:type="dxa"/>
            <w:tcBorders>
              <w:tl2br w:val="nil"/>
              <w:tr2bl w:val="nil"/>
            </w:tcBorders>
            <w:tcMar>
              <w:top w:w="15" w:type="dxa"/>
              <w:left w:w="15" w:type="dxa"/>
              <w:bottom w:w="15" w:type="dxa"/>
              <w:right w:w="15" w:type="dxa"/>
            </w:tcMar>
            <w:vAlign w:val="center"/>
          </w:tcPr>
          <w:p w14:paraId="500A368E">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strike/>
                <w:color w:val="auto"/>
                <w:sz w:val="13"/>
                <w:szCs w:val="13"/>
                <w:highlight w:val="none"/>
              </w:rPr>
            </w:pPr>
            <w:r>
              <w:rPr>
                <w:rFonts w:hint="eastAsia" w:ascii="仿宋_GB2312" w:hAnsi="宋体" w:eastAsia="仿宋_GB2312"/>
                <w:color w:val="auto"/>
                <w:kern w:val="0"/>
                <w:sz w:val="13"/>
                <w:szCs w:val="13"/>
                <w:highlight w:val="none"/>
              </w:rPr>
              <w:t>处30万元罚款，由颁发资质证书的部门责令停业整顿</w:t>
            </w:r>
            <w:r>
              <w:rPr>
                <w:rFonts w:hint="eastAsia" w:ascii="仿宋_GB2312" w:hAnsi="宋体" w:eastAsia="仿宋_GB2312"/>
                <w:color w:val="auto"/>
                <w:kern w:val="0"/>
                <w:sz w:val="13"/>
                <w:szCs w:val="13"/>
                <w:highlight w:val="none"/>
                <w:lang w:eastAsia="zh-CN"/>
              </w:rPr>
              <w:t>30日-</w:t>
            </w:r>
            <w:r>
              <w:rPr>
                <w:rFonts w:ascii="仿宋_GB2312" w:hAnsi="宋体" w:eastAsia="仿宋_GB2312"/>
                <w:color w:val="auto"/>
                <w:kern w:val="0"/>
                <w:sz w:val="13"/>
                <w:szCs w:val="13"/>
                <w:highlight w:val="none"/>
              </w:rPr>
              <w:t>60</w:t>
            </w:r>
            <w:r>
              <w:rPr>
                <w:rFonts w:hint="eastAsia" w:ascii="仿宋_GB2312" w:hAnsi="宋体" w:eastAsia="仿宋_GB2312"/>
                <w:color w:val="auto"/>
                <w:kern w:val="0"/>
                <w:sz w:val="13"/>
                <w:szCs w:val="13"/>
                <w:highlight w:val="none"/>
              </w:rPr>
              <w:t>日。</w:t>
            </w:r>
          </w:p>
        </w:tc>
      </w:tr>
      <w:tr w14:paraId="38E1AF6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560" w:hRule="atLeast"/>
          <w:jc w:val="center"/>
        </w:trPr>
        <w:tc>
          <w:tcPr>
            <w:tcW w:w="443" w:type="dxa"/>
            <w:gridSpan w:val="2"/>
            <w:vMerge w:val="continue"/>
            <w:tcBorders>
              <w:tl2br w:val="nil"/>
              <w:tr2bl w:val="nil"/>
            </w:tcBorders>
            <w:vAlign w:val="center"/>
          </w:tcPr>
          <w:p w14:paraId="6B3DB28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rPr>
                <w:rFonts w:ascii="仿宋_GB2312" w:eastAsia="仿宋_GB2312"/>
                <w:color w:val="auto"/>
                <w:sz w:val="13"/>
                <w:szCs w:val="13"/>
                <w:highlight w:val="none"/>
              </w:rPr>
            </w:pPr>
          </w:p>
        </w:tc>
        <w:tc>
          <w:tcPr>
            <w:tcW w:w="1550" w:type="dxa"/>
            <w:vMerge w:val="continue"/>
            <w:tcBorders>
              <w:tl2br w:val="nil"/>
              <w:tr2bl w:val="nil"/>
            </w:tcBorders>
            <w:vAlign w:val="center"/>
          </w:tcPr>
          <w:p w14:paraId="2B71C50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sz w:val="13"/>
                <w:szCs w:val="13"/>
                <w:highlight w:val="none"/>
              </w:rPr>
            </w:pPr>
          </w:p>
        </w:tc>
        <w:tc>
          <w:tcPr>
            <w:tcW w:w="4820" w:type="dxa"/>
            <w:vMerge w:val="continue"/>
            <w:tcBorders>
              <w:tl2br w:val="nil"/>
              <w:tr2bl w:val="nil"/>
            </w:tcBorders>
            <w:vAlign w:val="center"/>
          </w:tcPr>
          <w:p w14:paraId="3B64846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823" w:type="dxa"/>
            <w:vMerge w:val="continue"/>
            <w:tcBorders>
              <w:tl2br w:val="nil"/>
              <w:tr2bl w:val="nil"/>
            </w:tcBorders>
            <w:tcMar>
              <w:top w:w="15" w:type="dxa"/>
              <w:left w:w="15" w:type="dxa"/>
              <w:bottom w:w="15" w:type="dxa"/>
              <w:right w:w="15" w:type="dxa"/>
            </w:tcMar>
            <w:vAlign w:val="center"/>
          </w:tcPr>
          <w:p w14:paraId="4B017C3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3437" w:type="dxa"/>
            <w:gridSpan w:val="2"/>
            <w:tcBorders>
              <w:tl2br w:val="nil"/>
              <w:tr2bl w:val="nil"/>
            </w:tcBorders>
            <w:tcMar>
              <w:top w:w="15" w:type="dxa"/>
              <w:left w:w="15" w:type="dxa"/>
              <w:bottom w:w="15" w:type="dxa"/>
              <w:right w:w="15" w:type="dxa"/>
            </w:tcMar>
            <w:vAlign w:val="center"/>
          </w:tcPr>
          <w:p w14:paraId="772E30C1">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w:t>
            </w:r>
            <w:r>
              <w:rPr>
                <w:rFonts w:ascii="仿宋_GB2312" w:hAnsi="宋体" w:eastAsia="仿宋_GB2312"/>
                <w:color w:val="auto"/>
                <w:kern w:val="0"/>
                <w:sz w:val="13"/>
                <w:szCs w:val="13"/>
                <w:highlight w:val="none"/>
              </w:rPr>
              <w:t>2</w:t>
            </w:r>
            <w:r>
              <w:rPr>
                <w:rFonts w:hint="eastAsia" w:ascii="仿宋_GB2312" w:hAnsi="宋体" w:eastAsia="仿宋_GB2312"/>
                <w:color w:val="auto"/>
                <w:kern w:val="0"/>
                <w:sz w:val="13"/>
                <w:szCs w:val="13"/>
                <w:highlight w:val="none"/>
              </w:rPr>
              <w:t>）</w:t>
            </w:r>
            <w:r>
              <w:rPr>
                <w:rFonts w:hint="eastAsia" w:ascii="仿宋" w:hAnsi="仿宋" w:eastAsia="仿宋"/>
                <w:color w:val="auto"/>
                <w:kern w:val="0"/>
                <w:sz w:val="13"/>
                <w:szCs w:val="13"/>
                <w:highlight w:val="none"/>
              </w:rPr>
              <w:t>①</w:t>
            </w:r>
            <w:r>
              <w:rPr>
                <w:rFonts w:hint="eastAsia" w:ascii="仿宋_GB2312" w:hAnsi="宋体" w:eastAsia="仿宋_GB2312"/>
                <w:color w:val="auto"/>
                <w:kern w:val="0"/>
                <w:sz w:val="13"/>
                <w:szCs w:val="13"/>
                <w:highlight w:val="none"/>
              </w:rPr>
              <w:t>同一项目中，未按照5条以上10条以下民用建筑节能强制性标准进行设计的；</w:t>
            </w:r>
            <w:r>
              <w:rPr>
                <w:rFonts w:hint="eastAsia" w:ascii="仿宋" w:hAnsi="仿宋" w:eastAsia="仿宋"/>
                <w:color w:val="auto"/>
                <w:kern w:val="0"/>
                <w:sz w:val="13"/>
                <w:szCs w:val="13"/>
                <w:highlight w:val="none"/>
              </w:rPr>
              <w:t>②</w:t>
            </w:r>
            <w:r>
              <w:rPr>
                <w:rFonts w:hint="eastAsia" w:ascii="仿宋_GB2312" w:hAnsi="宋体" w:eastAsia="仿宋_GB2312"/>
                <w:color w:val="auto"/>
                <w:kern w:val="0"/>
                <w:sz w:val="13"/>
                <w:szCs w:val="13"/>
                <w:highlight w:val="none"/>
              </w:rPr>
              <w:t>使用5至10种列入禁止使用目录的技术、工艺、材料和设备的；</w:t>
            </w:r>
            <w:r>
              <w:rPr>
                <w:rFonts w:hint="eastAsia" w:ascii="仿宋" w:hAnsi="仿宋" w:eastAsia="仿宋"/>
                <w:color w:val="auto"/>
                <w:kern w:val="0"/>
                <w:sz w:val="13"/>
                <w:szCs w:val="13"/>
                <w:highlight w:val="none"/>
              </w:rPr>
              <w:t>③</w:t>
            </w:r>
            <w:r>
              <w:rPr>
                <w:rFonts w:hint="eastAsia" w:ascii="仿宋_GB2312" w:hAnsi="宋体" w:eastAsia="仿宋_GB2312"/>
                <w:color w:val="auto"/>
                <w:kern w:val="0"/>
                <w:sz w:val="13"/>
                <w:szCs w:val="13"/>
                <w:highlight w:val="none"/>
              </w:rPr>
              <w:t>3次违反民用建筑节能强制性标准进行设计或者使用列入禁止使用目录的技术、工艺、材料和设备的。</w:t>
            </w:r>
          </w:p>
        </w:tc>
        <w:tc>
          <w:tcPr>
            <w:tcW w:w="3058" w:type="dxa"/>
            <w:tcBorders>
              <w:tl2br w:val="nil"/>
              <w:tr2bl w:val="nil"/>
            </w:tcBorders>
            <w:shd w:val="clear" w:color="000000" w:fill="FFFFFF"/>
            <w:tcMar>
              <w:top w:w="15" w:type="dxa"/>
              <w:left w:w="15" w:type="dxa"/>
              <w:bottom w:w="15" w:type="dxa"/>
              <w:right w:w="15" w:type="dxa"/>
            </w:tcMar>
            <w:vAlign w:val="center"/>
          </w:tcPr>
          <w:p w14:paraId="3EC56480">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处30万元罚款，由颁发资质证书的部门降低资质等级。</w:t>
            </w:r>
          </w:p>
        </w:tc>
      </w:tr>
      <w:tr w14:paraId="46EE65C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939" w:hRule="atLeast"/>
          <w:jc w:val="center"/>
        </w:trPr>
        <w:tc>
          <w:tcPr>
            <w:tcW w:w="443" w:type="dxa"/>
            <w:gridSpan w:val="2"/>
            <w:vMerge w:val="continue"/>
            <w:tcBorders>
              <w:tl2br w:val="nil"/>
              <w:tr2bl w:val="nil"/>
            </w:tcBorders>
            <w:vAlign w:val="center"/>
          </w:tcPr>
          <w:p w14:paraId="156517C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rPr>
                <w:rFonts w:ascii="仿宋_GB2312" w:eastAsia="仿宋_GB2312"/>
                <w:color w:val="auto"/>
                <w:sz w:val="13"/>
                <w:szCs w:val="13"/>
                <w:highlight w:val="none"/>
              </w:rPr>
            </w:pPr>
          </w:p>
        </w:tc>
        <w:tc>
          <w:tcPr>
            <w:tcW w:w="1550" w:type="dxa"/>
            <w:vMerge w:val="continue"/>
            <w:tcBorders>
              <w:tl2br w:val="nil"/>
              <w:tr2bl w:val="nil"/>
            </w:tcBorders>
            <w:vAlign w:val="center"/>
          </w:tcPr>
          <w:p w14:paraId="374DF62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sz w:val="13"/>
                <w:szCs w:val="13"/>
                <w:highlight w:val="none"/>
              </w:rPr>
            </w:pPr>
          </w:p>
        </w:tc>
        <w:tc>
          <w:tcPr>
            <w:tcW w:w="4820" w:type="dxa"/>
            <w:vMerge w:val="continue"/>
            <w:tcBorders>
              <w:tl2br w:val="nil"/>
              <w:tr2bl w:val="nil"/>
            </w:tcBorders>
            <w:vAlign w:val="center"/>
          </w:tcPr>
          <w:p w14:paraId="5BE24AF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823" w:type="dxa"/>
            <w:vMerge w:val="continue"/>
            <w:tcBorders>
              <w:tl2br w:val="nil"/>
              <w:tr2bl w:val="nil"/>
            </w:tcBorders>
            <w:tcMar>
              <w:top w:w="15" w:type="dxa"/>
              <w:left w:w="15" w:type="dxa"/>
              <w:bottom w:w="15" w:type="dxa"/>
              <w:right w:w="15" w:type="dxa"/>
            </w:tcMar>
            <w:vAlign w:val="center"/>
          </w:tcPr>
          <w:p w14:paraId="13B3986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3437" w:type="dxa"/>
            <w:gridSpan w:val="2"/>
            <w:tcBorders>
              <w:tl2br w:val="nil"/>
              <w:tr2bl w:val="nil"/>
            </w:tcBorders>
            <w:shd w:val="clear" w:color="000000" w:fill="FFFFFF"/>
            <w:tcMar>
              <w:top w:w="15" w:type="dxa"/>
              <w:left w:w="15" w:type="dxa"/>
              <w:bottom w:w="15" w:type="dxa"/>
              <w:right w:w="15" w:type="dxa"/>
            </w:tcMar>
            <w:vAlign w:val="center"/>
          </w:tcPr>
          <w:p w14:paraId="3BAED79F">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（3）</w:t>
            </w:r>
            <w:r>
              <w:rPr>
                <w:rFonts w:hint="eastAsia" w:ascii="仿宋" w:hAnsi="仿宋" w:eastAsia="仿宋"/>
                <w:color w:val="auto"/>
                <w:kern w:val="0"/>
                <w:sz w:val="13"/>
                <w:szCs w:val="13"/>
                <w:highlight w:val="none"/>
              </w:rPr>
              <w:t>①</w:t>
            </w:r>
            <w:r>
              <w:rPr>
                <w:rFonts w:hint="eastAsia" w:ascii="仿宋_GB2312" w:hAnsi="宋体" w:eastAsia="仿宋_GB2312"/>
                <w:color w:val="auto"/>
                <w:kern w:val="0"/>
                <w:sz w:val="13"/>
                <w:szCs w:val="13"/>
                <w:highlight w:val="none"/>
              </w:rPr>
              <w:t>同一项目中，未按照10条以上民用建筑节能强制性标准进行设计的；</w:t>
            </w:r>
            <w:r>
              <w:rPr>
                <w:rFonts w:hint="eastAsia" w:ascii="仿宋" w:hAnsi="仿宋" w:eastAsia="仿宋"/>
                <w:color w:val="auto"/>
                <w:kern w:val="0"/>
                <w:sz w:val="13"/>
                <w:szCs w:val="13"/>
                <w:highlight w:val="none"/>
              </w:rPr>
              <w:t>②</w:t>
            </w:r>
            <w:r>
              <w:rPr>
                <w:rFonts w:hint="eastAsia" w:ascii="仿宋_GB2312" w:hAnsi="宋体" w:eastAsia="仿宋_GB2312"/>
                <w:color w:val="auto"/>
                <w:kern w:val="0"/>
                <w:sz w:val="13"/>
                <w:szCs w:val="13"/>
                <w:highlight w:val="none"/>
              </w:rPr>
              <w:t>使用10种以上列入禁止使用目录的技术、工艺、材料和设备；</w:t>
            </w:r>
            <w:r>
              <w:rPr>
                <w:rFonts w:hint="eastAsia" w:ascii="仿宋" w:hAnsi="仿宋" w:eastAsia="仿宋"/>
                <w:color w:val="auto"/>
                <w:kern w:val="0"/>
                <w:sz w:val="13"/>
                <w:szCs w:val="13"/>
                <w:highlight w:val="none"/>
              </w:rPr>
              <w:t>③</w:t>
            </w:r>
            <w:r>
              <w:rPr>
                <w:rFonts w:hint="eastAsia" w:ascii="仿宋_GB2312" w:hAnsi="宋体" w:eastAsia="仿宋_GB2312"/>
                <w:color w:val="auto"/>
                <w:kern w:val="0"/>
                <w:sz w:val="13"/>
                <w:szCs w:val="13"/>
                <w:highlight w:val="none"/>
              </w:rPr>
              <w:t>4次以上违反民用建筑节能强制性标准进行设计或者使用列入禁止使用目录的技术、工艺、材料和设备的。</w:t>
            </w:r>
          </w:p>
        </w:tc>
        <w:tc>
          <w:tcPr>
            <w:tcW w:w="3058" w:type="dxa"/>
            <w:tcBorders>
              <w:tl2br w:val="nil"/>
              <w:tr2bl w:val="nil"/>
            </w:tcBorders>
            <w:shd w:val="clear" w:color="000000" w:fill="FFFFFF"/>
            <w:tcMar>
              <w:top w:w="15" w:type="dxa"/>
              <w:left w:w="15" w:type="dxa"/>
              <w:bottom w:w="15" w:type="dxa"/>
              <w:right w:w="15" w:type="dxa"/>
            </w:tcMar>
            <w:vAlign w:val="center"/>
          </w:tcPr>
          <w:p w14:paraId="2199D611">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处30万元罚款，吊销资质证书。</w:t>
            </w:r>
          </w:p>
        </w:tc>
      </w:tr>
      <w:tr w14:paraId="0B08C36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61" w:hRule="atLeast"/>
          <w:jc w:val="center"/>
        </w:trPr>
        <w:tc>
          <w:tcPr>
            <w:tcW w:w="443" w:type="dxa"/>
            <w:gridSpan w:val="2"/>
            <w:vMerge w:val="restart"/>
            <w:tcBorders>
              <w:tl2br w:val="nil"/>
              <w:tr2bl w:val="nil"/>
            </w:tcBorders>
            <w:tcMar>
              <w:top w:w="15" w:type="dxa"/>
              <w:left w:w="15" w:type="dxa"/>
              <w:bottom w:w="15" w:type="dxa"/>
              <w:right w:w="15" w:type="dxa"/>
            </w:tcMar>
            <w:vAlign w:val="center"/>
          </w:tcPr>
          <w:p w14:paraId="772D169B">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eastAsia="仿宋_GB2312"/>
                <w:color w:val="auto"/>
                <w:sz w:val="13"/>
                <w:szCs w:val="13"/>
                <w:highlight w:val="none"/>
                <w:lang w:val="en-US" w:eastAsia="zh-CN"/>
              </w:rPr>
            </w:pPr>
            <w:r>
              <w:rPr>
                <w:rFonts w:hint="eastAsia" w:ascii="仿宋_GB2312" w:eastAsia="仿宋_GB2312"/>
                <w:color w:val="auto"/>
                <w:sz w:val="13"/>
                <w:szCs w:val="13"/>
                <w:highlight w:val="none"/>
                <w:lang w:val="en-US" w:eastAsia="zh-CN"/>
              </w:rPr>
              <w:t>208</w:t>
            </w:r>
          </w:p>
        </w:tc>
        <w:tc>
          <w:tcPr>
            <w:tcW w:w="1550" w:type="dxa"/>
            <w:vMerge w:val="restart"/>
            <w:tcBorders>
              <w:tl2br w:val="nil"/>
              <w:tr2bl w:val="nil"/>
            </w:tcBorders>
            <w:tcMar>
              <w:top w:w="15" w:type="dxa"/>
              <w:left w:w="15" w:type="dxa"/>
              <w:bottom w:w="15" w:type="dxa"/>
              <w:right w:w="15" w:type="dxa"/>
            </w:tcMar>
            <w:vAlign w:val="center"/>
          </w:tcPr>
          <w:p w14:paraId="0667E59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sz w:val="13"/>
                <w:szCs w:val="13"/>
                <w:highlight w:val="none"/>
              </w:rPr>
            </w:pPr>
            <w:r>
              <w:rPr>
                <w:rFonts w:hint="eastAsia" w:ascii="仿宋_GB2312" w:hAnsi="宋体" w:eastAsia="仿宋_GB2312"/>
                <w:color w:val="auto"/>
                <w:kern w:val="0"/>
                <w:sz w:val="13"/>
                <w:szCs w:val="13"/>
                <w:highlight w:val="none"/>
              </w:rPr>
              <w:t>施工单位未按照民用建筑节能强制性标准进行施工的</w:t>
            </w:r>
          </w:p>
        </w:tc>
        <w:tc>
          <w:tcPr>
            <w:tcW w:w="4820" w:type="dxa"/>
            <w:vMerge w:val="restart"/>
            <w:tcBorders>
              <w:tl2br w:val="nil"/>
              <w:tr2bl w:val="nil"/>
            </w:tcBorders>
            <w:tcMar>
              <w:top w:w="15" w:type="dxa"/>
              <w:left w:w="15" w:type="dxa"/>
              <w:bottom w:w="15" w:type="dxa"/>
              <w:right w:w="15" w:type="dxa"/>
            </w:tcMar>
            <w:vAlign w:val="center"/>
          </w:tcPr>
          <w:p w14:paraId="745994F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民用建筑节能条例》第四十条违反本条例规定，施工单位未按照民用建筑节能强制性标准进行施工的，由县级以上地方人民政府建设主管部门责令改正，处民用建筑项目合同价款2%以上4%以下的罚款；情节严重的，由颁发资质证书的部门责令停业整顿，降低资质等级或者吊销资质证书；造成损失的，依法承担赔偿责任。</w:t>
            </w:r>
          </w:p>
        </w:tc>
        <w:tc>
          <w:tcPr>
            <w:tcW w:w="823" w:type="dxa"/>
            <w:tcBorders>
              <w:tl2br w:val="nil"/>
              <w:tr2bl w:val="nil"/>
            </w:tcBorders>
            <w:tcMar>
              <w:top w:w="15" w:type="dxa"/>
              <w:left w:w="15" w:type="dxa"/>
              <w:bottom w:w="15" w:type="dxa"/>
              <w:right w:w="15" w:type="dxa"/>
            </w:tcMar>
            <w:vAlign w:val="center"/>
          </w:tcPr>
          <w:p w14:paraId="458E08D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tcMar>
              <w:top w:w="15" w:type="dxa"/>
              <w:left w:w="15" w:type="dxa"/>
              <w:bottom w:w="15" w:type="dxa"/>
              <w:right w:w="15" w:type="dxa"/>
            </w:tcMar>
            <w:vAlign w:val="center"/>
          </w:tcPr>
          <w:p w14:paraId="3602145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sz w:val="13"/>
                <w:szCs w:val="13"/>
                <w:highlight w:val="none"/>
              </w:rPr>
            </w:pPr>
            <w:r>
              <w:rPr>
                <w:rFonts w:hint="eastAsia" w:ascii="仿宋_GB2312" w:hAnsi="宋体" w:eastAsia="仿宋_GB2312"/>
                <w:color w:val="auto"/>
                <w:kern w:val="0"/>
                <w:sz w:val="13"/>
                <w:szCs w:val="13"/>
                <w:highlight w:val="none"/>
              </w:rPr>
              <w:t>同一项目中，未按照1条民用建筑节能强制性标准进行施工的。</w:t>
            </w:r>
          </w:p>
        </w:tc>
        <w:tc>
          <w:tcPr>
            <w:tcW w:w="3058" w:type="dxa"/>
            <w:tcBorders>
              <w:tl2br w:val="nil"/>
              <w:tr2bl w:val="nil"/>
            </w:tcBorders>
            <w:tcMar>
              <w:top w:w="15" w:type="dxa"/>
              <w:left w:w="15" w:type="dxa"/>
              <w:bottom w:w="15" w:type="dxa"/>
              <w:right w:w="15" w:type="dxa"/>
            </w:tcMar>
            <w:vAlign w:val="center"/>
          </w:tcPr>
          <w:p w14:paraId="384F828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sz w:val="13"/>
                <w:szCs w:val="13"/>
                <w:highlight w:val="none"/>
              </w:rPr>
            </w:pPr>
            <w:r>
              <w:rPr>
                <w:rFonts w:hint="eastAsia" w:ascii="仿宋_GB2312" w:hAnsi="宋体" w:eastAsia="仿宋_GB2312"/>
                <w:color w:val="auto"/>
                <w:kern w:val="0"/>
                <w:sz w:val="13"/>
                <w:szCs w:val="13"/>
                <w:highlight w:val="none"/>
              </w:rPr>
              <w:t>责令改正，处民用建筑项目合同价款</w:t>
            </w:r>
            <w:r>
              <w:rPr>
                <w:rFonts w:hint="eastAsia" w:ascii="仿宋_GB2312" w:eastAsia="仿宋_GB2312"/>
                <w:color w:val="auto"/>
                <w:sz w:val="13"/>
                <w:szCs w:val="13"/>
                <w:highlight w:val="none"/>
              </w:rPr>
              <w:t>百分之</w:t>
            </w:r>
            <w:r>
              <w:rPr>
                <w:rFonts w:hint="eastAsia" w:ascii="仿宋_GB2312" w:eastAsia="仿宋_GB2312"/>
                <w:color w:val="auto"/>
                <w:sz w:val="13"/>
                <w:szCs w:val="13"/>
                <w:highlight w:val="none"/>
                <w:lang w:val="en-US" w:eastAsia="zh-CN"/>
              </w:rPr>
              <w:t>2</w:t>
            </w:r>
            <w:r>
              <w:rPr>
                <w:rFonts w:hint="eastAsia" w:ascii="仿宋_GB2312" w:hAnsi="宋体" w:eastAsia="仿宋_GB2312"/>
                <w:color w:val="auto"/>
                <w:sz w:val="13"/>
                <w:szCs w:val="13"/>
                <w:highlight w:val="none"/>
              </w:rPr>
              <w:t>的罚款。</w:t>
            </w:r>
          </w:p>
        </w:tc>
      </w:tr>
      <w:tr w14:paraId="2C39CF4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9" w:hRule="atLeast"/>
          <w:jc w:val="center"/>
        </w:trPr>
        <w:tc>
          <w:tcPr>
            <w:tcW w:w="443" w:type="dxa"/>
            <w:gridSpan w:val="2"/>
            <w:vMerge w:val="continue"/>
            <w:tcBorders>
              <w:tl2br w:val="nil"/>
              <w:tr2bl w:val="nil"/>
            </w:tcBorders>
            <w:vAlign w:val="center"/>
          </w:tcPr>
          <w:p w14:paraId="2868CD8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rPr>
                <w:rFonts w:ascii="仿宋_GB2312" w:eastAsia="仿宋_GB2312"/>
                <w:color w:val="auto"/>
                <w:sz w:val="13"/>
                <w:szCs w:val="13"/>
                <w:highlight w:val="none"/>
              </w:rPr>
            </w:pPr>
          </w:p>
        </w:tc>
        <w:tc>
          <w:tcPr>
            <w:tcW w:w="1550" w:type="dxa"/>
            <w:vMerge w:val="continue"/>
            <w:tcBorders>
              <w:tl2br w:val="nil"/>
              <w:tr2bl w:val="nil"/>
            </w:tcBorders>
            <w:vAlign w:val="center"/>
          </w:tcPr>
          <w:p w14:paraId="6B87E52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sz w:val="13"/>
                <w:szCs w:val="13"/>
                <w:highlight w:val="none"/>
              </w:rPr>
            </w:pPr>
          </w:p>
        </w:tc>
        <w:tc>
          <w:tcPr>
            <w:tcW w:w="4820" w:type="dxa"/>
            <w:vMerge w:val="continue"/>
            <w:tcBorders>
              <w:tl2br w:val="nil"/>
              <w:tr2bl w:val="nil"/>
            </w:tcBorders>
            <w:vAlign w:val="center"/>
          </w:tcPr>
          <w:p w14:paraId="587470F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823" w:type="dxa"/>
            <w:vMerge w:val="restart"/>
            <w:tcBorders>
              <w:tl2br w:val="nil"/>
              <w:tr2bl w:val="nil"/>
            </w:tcBorders>
            <w:tcMar>
              <w:top w:w="15" w:type="dxa"/>
              <w:left w:w="15" w:type="dxa"/>
              <w:bottom w:w="15" w:type="dxa"/>
              <w:right w:w="15" w:type="dxa"/>
            </w:tcMar>
            <w:vAlign w:val="center"/>
          </w:tcPr>
          <w:p w14:paraId="62095CF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一般情节</w:t>
            </w:r>
          </w:p>
        </w:tc>
        <w:tc>
          <w:tcPr>
            <w:tcW w:w="3437" w:type="dxa"/>
            <w:gridSpan w:val="2"/>
            <w:tcBorders>
              <w:tl2br w:val="nil"/>
              <w:tr2bl w:val="nil"/>
            </w:tcBorders>
            <w:tcMar>
              <w:top w:w="15" w:type="dxa"/>
              <w:left w:w="15" w:type="dxa"/>
              <w:bottom w:w="15" w:type="dxa"/>
              <w:right w:w="15" w:type="dxa"/>
            </w:tcMar>
            <w:vAlign w:val="center"/>
          </w:tcPr>
          <w:p w14:paraId="707B243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sz w:val="13"/>
                <w:szCs w:val="13"/>
                <w:highlight w:val="none"/>
              </w:rPr>
            </w:pPr>
            <w:r>
              <w:rPr>
                <w:rFonts w:hint="eastAsia" w:ascii="仿宋_GB2312" w:hAnsi="宋体" w:eastAsia="仿宋_GB2312"/>
                <w:color w:val="auto"/>
                <w:sz w:val="13"/>
                <w:szCs w:val="13"/>
                <w:highlight w:val="none"/>
              </w:rPr>
              <w:t>（1）同一项目中，未按照</w:t>
            </w:r>
            <w:r>
              <w:rPr>
                <w:rFonts w:ascii="仿宋_GB2312" w:hAnsi="宋体" w:eastAsia="仿宋_GB2312"/>
                <w:color w:val="auto"/>
                <w:sz w:val="13"/>
                <w:szCs w:val="13"/>
                <w:highlight w:val="none"/>
              </w:rPr>
              <w:t>2</w:t>
            </w:r>
            <w:r>
              <w:rPr>
                <w:rFonts w:hint="eastAsia" w:ascii="仿宋_GB2312" w:hAnsi="宋体" w:eastAsia="仿宋_GB2312"/>
                <w:color w:val="auto"/>
                <w:sz w:val="13"/>
                <w:szCs w:val="13"/>
                <w:highlight w:val="none"/>
              </w:rPr>
              <w:t>条民用建筑节能强制性标准进行施工的。</w:t>
            </w:r>
          </w:p>
        </w:tc>
        <w:tc>
          <w:tcPr>
            <w:tcW w:w="3058" w:type="dxa"/>
            <w:tcBorders>
              <w:tl2br w:val="nil"/>
              <w:tr2bl w:val="nil"/>
            </w:tcBorders>
            <w:tcMar>
              <w:top w:w="15" w:type="dxa"/>
              <w:left w:w="15" w:type="dxa"/>
              <w:bottom w:w="15" w:type="dxa"/>
              <w:right w:w="15" w:type="dxa"/>
            </w:tcMar>
            <w:vAlign w:val="center"/>
          </w:tcPr>
          <w:p w14:paraId="65EE16D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sz w:val="13"/>
                <w:szCs w:val="13"/>
                <w:highlight w:val="none"/>
              </w:rPr>
            </w:pPr>
            <w:r>
              <w:rPr>
                <w:rFonts w:hint="eastAsia" w:ascii="仿宋_GB2312" w:hAnsi="宋体" w:eastAsia="仿宋_GB2312"/>
                <w:color w:val="auto"/>
                <w:sz w:val="13"/>
                <w:szCs w:val="13"/>
                <w:highlight w:val="none"/>
              </w:rPr>
              <w:t>责令改正，处民用</w:t>
            </w:r>
            <w:r>
              <w:rPr>
                <w:rFonts w:hint="eastAsia" w:ascii="仿宋_GB2312" w:hAnsi="宋体" w:eastAsia="仿宋_GB2312"/>
                <w:color w:val="auto"/>
                <w:kern w:val="0"/>
                <w:sz w:val="13"/>
                <w:szCs w:val="13"/>
                <w:highlight w:val="none"/>
              </w:rPr>
              <w:t>建筑项目合同价款</w:t>
            </w:r>
            <w:r>
              <w:rPr>
                <w:rFonts w:ascii="仿宋_GB2312" w:eastAsia="仿宋_GB2312"/>
                <w:color w:val="auto"/>
                <w:sz w:val="13"/>
                <w:szCs w:val="13"/>
                <w:highlight w:val="none"/>
              </w:rPr>
              <w:t>百分之</w:t>
            </w:r>
            <w:r>
              <w:rPr>
                <w:rFonts w:hint="eastAsia" w:ascii="仿宋_GB2312" w:eastAsia="仿宋_GB2312"/>
                <w:color w:val="auto"/>
                <w:sz w:val="13"/>
                <w:szCs w:val="13"/>
                <w:highlight w:val="none"/>
                <w:lang w:val="en-US" w:eastAsia="zh-CN"/>
              </w:rPr>
              <w:t>2</w:t>
            </w:r>
            <w:r>
              <w:rPr>
                <w:rFonts w:hint="eastAsia" w:ascii="仿宋_GB2312" w:eastAsia="仿宋_GB2312"/>
                <w:color w:val="auto"/>
                <w:sz w:val="13"/>
                <w:szCs w:val="13"/>
                <w:highlight w:val="none"/>
              </w:rPr>
              <w:t>以上</w:t>
            </w:r>
            <w:r>
              <w:rPr>
                <w:rFonts w:ascii="仿宋_GB2312" w:eastAsia="仿宋_GB2312"/>
                <w:color w:val="auto"/>
                <w:sz w:val="13"/>
                <w:szCs w:val="13"/>
                <w:highlight w:val="none"/>
              </w:rPr>
              <w:t>百分之</w:t>
            </w:r>
            <w:r>
              <w:rPr>
                <w:rFonts w:hint="eastAsia" w:ascii="仿宋_GB2312" w:eastAsia="仿宋_GB2312"/>
                <w:color w:val="auto"/>
                <w:sz w:val="13"/>
                <w:szCs w:val="13"/>
                <w:highlight w:val="none"/>
                <w:lang w:val="en-US" w:eastAsia="zh-CN"/>
              </w:rPr>
              <w:t>3</w:t>
            </w:r>
            <w:r>
              <w:rPr>
                <w:rFonts w:hint="eastAsia" w:ascii="仿宋_GB2312" w:eastAsia="仿宋_GB2312"/>
                <w:color w:val="auto"/>
                <w:sz w:val="13"/>
                <w:szCs w:val="13"/>
                <w:highlight w:val="none"/>
              </w:rPr>
              <w:t>以下</w:t>
            </w:r>
            <w:r>
              <w:rPr>
                <w:rFonts w:hint="eastAsia" w:ascii="仿宋_GB2312" w:hAnsi="宋体" w:eastAsia="仿宋_GB2312"/>
                <w:color w:val="auto"/>
                <w:sz w:val="13"/>
                <w:szCs w:val="13"/>
                <w:highlight w:val="none"/>
              </w:rPr>
              <w:t>的罚款。</w:t>
            </w:r>
          </w:p>
        </w:tc>
      </w:tr>
      <w:tr w14:paraId="62C4883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9" w:hRule="atLeast"/>
          <w:jc w:val="center"/>
        </w:trPr>
        <w:tc>
          <w:tcPr>
            <w:tcW w:w="443" w:type="dxa"/>
            <w:gridSpan w:val="2"/>
            <w:vMerge w:val="continue"/>
            <w:tcBorders>
              <w:tl2br w:val="nil"/>
              <w:tr2bl w:val="nil"/>
            </w:tcBorders>
            <w:vAlign w:val="center"/>
          </w:tcPr>
          <w:p w14:paraId="3DE03CD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rPr>
                <w:rFonts w:ascii="仿宋_GB2312" w:eastAsia="仿宋_GB2312"/>
                <w:color w:val="auto"/>
                <w:sz w:val="13"/>
                <w:szCs w:val="13"/>
                <w:highlight w:val="none"/>
              </w:rPr>
            </w:pPr>
          </w:p>
        </w:tc>
        <w:tc>
          <w:tcPr>
            <w:tcW w:w="1550" w:type="dxa"/>
            <w:vMerge w:val="continue"/>
            <w:tcBorders>
              <w:tl2br w:val="nil"/>
              <w:tr2bl w:val="nil"/>
            </w:tcBorders>
            <w:vAlign w:val="center"/>
          </w:tcPr>
          <w:p w14:paraId="5EACD75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sz w:val="13"/>
                <w:szCs w:val="13"/>
                <w:highlight w:val="none"/>
              </w:rPr>
            </w:pPr>
          </w:p>
        </w:tc>
        <w:tc>
          <w:tcPr>
            <w:tcW w:w="4820" w:type="dxa"/>
            <w:vMerge w:val="continue"/>
            <w:tcBorders>
              <w:tl2br w:val="nil"/>
              <w:tr2bl w:val="nil"/>
            </w:tcBorders>
            <w:vAlign w:val="center"/>
          </w:tcPr>
          <w:p w14:paraId="029F821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823" w:type="dxa"/>
            <w:vMerge w:val="continue"/>
            <w:tcBorders>
              <w:tl2br w:val="nil"/>
              <w:tr2bl w:val="nil"/>
            </w:tcBorders>
            <w:tcMar>
              <w:top w:w="15" w:type="dxa"/>
              <w:left w:w="15" w:type="dxa"/>
              <w:bottom w:w="15" w:type="dxa"/>
              <w:right w:w="15" w:type="dxa"/>
            </w:tcMar>
            <w:vAlign w:val="center"/>
          </w:tcPr>
          <w:p w14:paraId="16809CB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olor w:val="auto"/>
                <w:kern w:val="0"/>
                <w:sz w:val="13"/>
                <w:szCs w:val="13"/>
                <w:highlight w:val="none"/>
              </w:rPr>
            </w:pPr>
          </w:p>
        </w:tc>
        <w:tc>
          <w:tcPr>
            <w:tcW w:w="3437" w:type="dxa"/>
            <w:gridSpan w:val="2"/>
            <w:tcBorders>
              <w:tl2br w:val="nil"/>
              <w:tr2bl w:val="nil"/>
            </w:tcBorders>
            <w:tcMar>
              <w:top w:w="15" w:type="dxa"/>
              <w:left w:w="15" w:type="dxa"/>
              <w:bottom w:w="15" w:type="dxa"/>
              <w:right w:w="15" w:type="dxa"/>
            </w:tcMar>
            <w:vAlign w:val="center"/>
          </w:tcPr>
          <w:p w14:paraId="02CAD6B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（2）同一项目中，未按照</w:t>
            </w:r>
            <w:r>
              <w:rPr>
                <w:rFonts w:ascii="仿宋_GB2312" w:hAnsi="宋体" w:eastAsia="仿宋_GB2312"/>
                <w:color w:val="auto"/>
                <w:kern w:val="0"/>
                <w:sz w:val="13"/>
                <w:szCs w:val="13"/>
                <w:highlight w:val="none"/>
              </w:rPr>
              <w:t>3</w:t>
            </w:r>
            <w:r>
              <w:rPr>
                <w:rFonts w:hint="eastAsia" w:ascii="仿宋_GB2312" w:hAnsi="宋体" w:eastAsia="仿宋_GB2312"/>
                <w:color w:val="auto"/>
                <w:kern w:val="0"/>
                <w:sz w:val="13"/>
                <w:szCs w:val="13"/>
                <w:highlight w:val="none"/>
              </w:rPr>
              <w:t>条民用建筑节能强制性标准进行施工的。</w:t>
            </w:r>
          </w:p>
        </w:tc>
        <w:tc>
          <w:tcPr>
            <w:tcW w:w="3058" w:type="dxa"/>
            <w:tcBorders>
              <w:tl2br w:val="nil"/>
              <w:tr2bl w:val="nil"/>
            </w:tcBorders>
            <w:tcMar>
              <w:top w:w="15" w:type="dxa"/>
              <w:left w:w="15" w:type="dxa"/>
              <w:bottom w:w="15" w:type="dxa"/>
              <w:right w:w="15" w:type="dxa"/>
            </w:tcMar>
            <w:vAlign w:val="center"/>
          </w:tcPr>
          <w:p w14:paraId="4DDA35A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sz w:val="13"/>
                <w:szCs w:val="13"/>
                <w:highlight w:val="none"/>
              </w:rPr>
            </w:pPr>
            <w:r>
              <w:rPr>
                <w:rFonts w:hint="eastAsia" w:ascii="仿宋_GB2312" w:hAnsi="宋体" w:eastAsia="仿宋_GB2312"/>
                <w:color w:val="auto"/>
                <w:sz w:val="13"/>
                <w:szCs w:val="13"/>
                <w:highlight w:val="none"/>
              </w:rPr>
              <w:t>责令改正，处民用建筑项目合同价款百分之</w:t>
            </w:r>
            <w:r>
              <w:rPr>
                <w:rFonts w:hint="eastAsia" w:ascii="仿宋_GB2312" w:hAnsi="宋体" w:eastAsia="仿宋_GB2312"/>
                <w:color w:val="auto"/>
                <w:sz w:val="13"/>
                <w:szCs w:val="13"/>
                <w:highlight w:val="none"/>
                <w:lang w:val="en-US" w:eastAsia="zh-CN"/>
              </w:rPr>
              <w:t>3</w:t>
            </w:r>
            <w:r>
              <w:rPr>
                <w:rFonts w:hint="eastAsia" w:ascii="仿宋_GB2312" w:hAnsi="宋体" w:eastAsia="仿宋_GB2312"/>
                <w:color w:val="auto"/>
                <w:sz w:val="13"/>
                <w:szCs w:val="13"/>
                <w:highlight w:val="none"/>
              </w:rPr>
              <w:t>以上百分之</w:t>
            </w:r>
            <w:r>
              <w:rPr>
                <w:rFonts w:hint="eastAsia" w:ascii="仿宋_GB2312" w:hAnsi="宋体" w:eastAsia="仿宋_GB2312"/>
                <w:color w:val="auto"/>
                <w:sz w:val="13"/>
                <w:szCs w:val="13"/>
                <w:highlight w:val="none"/>
                <w:lang w:val="en-US" w:eastAsia="zh-CN"/>
              </w:rPr>
              <w:t>4</w:t>
            </w:r>
            <w:r>
              <w:rPr>
                <w:rFonts w:hint="eastAsia" w:ascii="仿宋_GB2312" w:hAnsi="宋体" w:eastAsia="仿宋_GB2312"/>
                <w:color w:val="auto"/>
                <w:sz w:val="13"/>
                <w:szCs w:val="13"/>
                <w:highlight w:val="none"/>
              </w:rPr>
              <w:t>以下的罚款。</w:t>
            </w:r>
          </w:p>
        </w:tc>
      </w:tr>
      <w:tr w14:paraId="66695D6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448" w:hRule="atLeast"/>
          <w:jc w:val="center"/>
        </w:trPr>
        <w:tc>
          <w:tcPr>
            <w:tcW w:w="443" w:type="dxa"/>
            <w:gridSpan w:val="2"/>
            <w:vMerge w:val="continue"/>
            <w:tcBorders>
              <w:tl2br w:val="nil"/>
              <w:tr2bl w:val="nil"/>
            </w:tcBorders>
            <w:vAlign w:val="center"/>
          </w:tcPr>
          <w:p w14:paraId="42B9CED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rPr>
                <w:rFonts w:ascii="仿宋_GB2312" w:eastAsia="仿宋_GB2312"/>
                <w:color w:val="auto"/>
                <w:sz w:val="13"/>
                <w:szCs w:val="13"/>
                <w:highlight w:val="none"/>
              </w:rPr>
            </w:pPr>
          </w:p>
        </w:tc>
        <w:tc>
          <w:tcPr>
            <w:tcW w:w="1550" w:type="dxa"/>
            <w:vMerge w:val="continue"/>
            <w:tcBorders>
              <w:tl2br w:val="nil"/>
              <w:tr2bl w:val="nil"/>
            </w:tcBorders>
            <w:vAlign w:val="center"/>
          </w:tcPr>
          <w:p w14:paraId="52C47D7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sz w:val="13"/>
                <w:szCs w:val="13"/>
                <w:highlight w:val="none"/>
              </w:rPr>
            </w:pPr>
          </w:p>
        </w:tc>
        <w:tc>
          <w:tcPr>
            <w:tcW w:w="4820" w:type="dxa"/>
            <w:vMerge w:val="continue"/>
            <w:tcBorders>
              <w:tl2br w:val="nil"/>
              <w:tr2bl w:val="nil"/>
            </w:tcBorders>
            <w:vAlign w:val="center"/>
          </w:tcPr>
          <w:p w14:paraId="0008E84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823" w:type="dxa"/>
            <w:vMerge w:val="restart"/>
            <w:tcBorders>
              <w:tl2br w:val="nil"/>
              <w:tr2bl w:val="nil"/>
            </w:tcBorders>
            <w:tcMar>
              <w:top w:w="15" w:type="dxa"/>
              <w:left w:w="15" w:type="dxa"/>
              <w:bottom w:w="15" w:type="dxa"/>
              <w:right w:w="15" w:type="dxa"/>
            </w:tcMar>
            <w:vAlign w:val="center"/>
          </w:tcPr>
          <w:p w14:paraId="58A7CC9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从重情节</w:t>
            </w:r>
          </w:p>
        </w:tc>
        <w:tc>
          <w:tcPr>
            <w:tcW w:w="3437" w:type="dxa"/>
            <w:gridSpan w:val="2"/>
            <w:tcBorders>
              <w:tl2br w:val="nil"/>
              <w:tr2bl w:val="nil"/>
            </w:tcBorders>
            <w:tcMar>
              <w:top w:w="15" w:type="dxa"/>
              <w:left w:w="15" w:type="dxa"/>
              <w:bottom w:w="15" w:type="dxa"/>
              <w:right w:w="15" w:type="dxa"/>
            </w:tcMar>
            <w:vAlign w:val="center"/>
          </w:tcPr>
          <w:p w14:paraId="0959959A">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strike/>
                <w:color w:val="auto"/>
                <w:sz w:val="13"/>
                <w:szCs w:val="13"/>
                <w:highlight w:val="none"/>
              </w:rPr>
            </w:pPr>
            <w:r>
              <w:rPr>
                <w:rFonts w:hint="eastAsia" w:ascii="仿宋_GB2312" w:hAnsi="宋体" w:eastAsia="仿宋_GB2312"/>
                <w:color w:val="auto"/>
                <w:kern w:val="0"/>
                <w:sz w:val="13"/>
                <w:szCs w:val="13"/>
                <w:highlight w:val="none"/>
              </w:rPr>
              <w:t>（</w:t>
            </w:r>
            <w:r>
              <w:rPr>
                <w:rFonts w:ascii="仿宋_GB2312" w:hAnsi="宋体" w:eastAsia="仿宋_GB2312"/>
                <w:color w:val="auto"/>
                <w:kern w:val="0"/>
                <w:sz w:val="13"/>
                <w:szCs w:val="13"/>
                <w:highlight w:val="none"/>
              </w:rPr>
              <w:t>1</w:t>
            </w:r>
            <w:r>
              <w:rPr>
                <w:rFonts w:hint="eastAsia" w:ascii="仿宋_GB2312" w:hAnsi="宋体" w:eastAsia="仿宋_GB2312"/>
                <w:color w:val="auto"/>
                <w:kern w:val="0"/>
                <w:sz w:val="13"/>
                <w:szCs w:val="13"/>
                <w:highlight w:val="none"/>
              </w:rPr>
              <w:t>）</w:t>
            </w:r>
            <w:r>
              <w:rPr>
                <w:rFonts w:hint="eastAsia" w:ascii="仿宋" w:hAnsi="仿宋" w:eastAsia="仿宋"/>
                <w:color w:val="auto"/>
                <w:kern w:val="0"/>
                <w:sz w:val="13"/>
                <w:szCs w:val="13"/>
                <w:highlight w:val="none"/>
              </w:rPr>
              <w:t>①</w:t>
            </w:r>
            <w:r>
              <w:rPr>
                <w:rFonts w:hint="eastAsia" w:ascii="仿宋_GB2312" w:hAnsi="宋体" w:eastAsia="仿宋_GB2312"/>
                <w:color w:val="auto"/>
                <w:kern w:val="0"/>
                <w:sz w:val="13"/>
                <w:szCs w:val="13"/>
                <w:highlight w:val="none"/>
              </w:rPr>
              <w:t>同一项目中，未按照</w:t>
            </w:r>
            <w:r>
              <w:rPr>
                <w:rFonts w:hint="eastAsia" w:ascii="仿宋_GB2312" w:hAnsi="宋体" w:eastAsia="仿宋_GB2312"/>
                <w:color w:val="auto"/>
                <w:kern w:val="0"/>
                <w:sz w:val="13"/>
                <w:szCs w:val="13"/>
                <w:highlight w:val="none"/>
                <w:lang w:val="en-US" w:eastAsia="zh-CN"/>
              </w:rPr>
              <w:t>3</w:t>
            </w:r>
            <w:r>
              <w:rPr>
                <w:rFonts w:hint="eastAsia" w:ascii="仿宋_GB2312" w:hAnsi="宋体" w:eastAsia="仿宋_GB2312"/>
                <w:color w:val="auto"/>
                <w:kern w:val="0"/>
                <w:sz w:val="13"/>
                <w:szCs w:val="13"/>
                <w:highlight w:val="none"/>
              </w:rPr>
              <w:t>条以上5条以下民用建筑节能强制性标准进行施工的；</w:t>
            </w:r>
            <w:r>
              <w:rPr>
                <w:rFonts w:hint="eastAsia" w:ascii="仿宋" w:hAnsi="仿宋" w:eastAsia="仿宋"/>
                <w:color w:val="auto"/>
                <w:kern w:val="0"/>
                <w:sz w:val="13"/>
                <w:szCs w:val="13"/>
                <w:highlight w:val="none"/>
              </w:rPr>
              <w:t>②</w:t>
            </w:r>
            <w:r>
              <w:rPr>
                <w:rFonts w:hint="eastAsia" w:ascii="仿宋_GB2312" w:hAnsi="宋体" w:eastAsia="仿宋_GB2312"/>
                <w:color w:val="auto"/>
                <w:kern w:val="0"/>
                <w:sz w:val="13"/>
                <w:szCs w:val="13"/>
                <w:highlight w:val="none"/>
              </w:rPr>
              <w:t>2次违反民用建筑节能强制性标准进行施工的。</w:t>
            </w:r>
          </w:p>
        </w:tc>
        <w:tc>
          <w:tcPr>
            <w:tcW w:w="3058" w:type="dxa"/>
            <w:tcBorders>
              <w:tl2br w:val="nil"/>
              <w:tr2bl w:val="nil"/>
            </w:tcBorders>
            <w:tcMar>
              <w:top w:w="15" w:type="dxa"/>
              <w:left w:w="15" w:type="dxa"/>
              <w:bottom w:w="15" w:type="dxa"/>
              <w:right w:w="15" w:type="dxa"/>
            </w:tcMar>
            <w:vAlign w:val="center"/>
          </w:tcPr>
          <w:p w14:paraId="6A180D35">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strike/>
                <w:color w:val="auto"/>
                <w:sz w:val="13"/>
                <w:szCs w:val="13"/>
                <w:highlight w:val="none"/>
              </w:rPr>
            </w:pPr>
            <w:r>
              <w:rPr>
                <w:rFonts w:hint="eastAsia" w:ascii="仿宋_GB2312" w:hAnsi="宋体" w:eastAsia="仿宋_GB2312"/>
                <w:color w:val="auto"/>
                <w:sz w:val="13"/>
                <w:szCs w:val="13"/>
                <w:highlight w:val="none"/>
              </w:rPr>
              <w:t>处民用建筑项目合同价款百分之</w:t>
            </w:r>
            <w:r>
              <w:rPr>
                <w:rFonts w:hint="eastAsia" w:ascii="仿宋_GB2312" w:hAnsi="宋体" w:eastAsia="仿宋_GB2312"/>
                <w:color w:val="auto"/>
                <w:sz w:val="13"/>
                <w:szCs w:val="13"/>
                <w:highlight w:val="none"/>
                <w:lang w:val="en-US" w:eastAsia="zh-CN"/>
              </w:rPr>
              <w:t>4</w:t>
            </w:r>
            <w:r>
              <w:rPr>
                <w:rFonts w:hint="eastAsia" w:ascii="仿宋_GB2312" w:hAnsi="宋体" w:eastAsia="仿宋_GB2312"/>
                <w:color w:val="auto"/>
                <w:sz w:val="13"/>
                <w:szCs w:val="13"/>
                <w:highlight w:val="none"/>
              </w:rPr>
              <w:t>的罚款，由颁发资质证书的部门责令停业整顿</w:t>
            </w:r>
            <w:r>
              <w:rPr>
                <w:rFonts w:hint="eastAsia" w:ascii="仿宋_GB2312" w:hAnsi="宋体" w:eastAsia="仿宋_GB2312"/>
                <w:color w:val="auto"/>
                <w:sz w:val="13"/>
                <w:szCs w:val="13"/>
                <w:highlight w:val="none"/>
                <w:lang w:eastAsia="zh-CN"/>
              </w:rPr>
              <w:t>30日-</w:t>
            </w:r>
            <w:r>
              <w:rPr>
                <w:rFonts w:ascii="仿宋_GB2312" w:hAnsi="宋体" w:eastAsia="仿宋_GB2312"/>
                <w:color w:val="auto"/>
                <w:sz w:val="13"/>
                <w:szCs w:val="13"/>
                <w:highlight w:val="none"/>
              </w:rPr>
              <w:t>90</w:t>
            </w:r>
            <w:r>
              <w:rPr>
                <w:rFonts w:hint="eastAsia" w:ascii="仿宋_GB2312" w:hAnsi="宋体" w:eastAsia="仿宋_GB2312"/>
                <w:color w:val="auto"/>
                <w:sz w:val="13"/>
                <w:szCs w:val="13"/>
                <w:highlight w:val="none"/>
              </w:rPr>
              <w:t>日。</w:t>
            </w:r>
          </w:p>
        </w:tc>
      </w:tr>
      <w:tr w14:paraId="53737B1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25" w:hRule="atLeast"/>
          <w:jc w:val="center"/>
        </w:trPr>
        <w:tc>
          <w:tcPr>
            <w:tcW w:w="443" w:type="dxa"/>
            <w:gridSpan w:val="2"/>
            <w:vMerge w:val="continue"/>
            <w:tcBorders>
              <w:tl2br w:val="nil"/>
              <w:tr2bl w:val="nil"/>
            </w:tcBorders>
            <w:vAlign w:val="center"/>
          </w:tcPr>
          <w:p w14:paraId="4A80DB7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rPr>
                <w:rFonts w:ascii="仿宋_GB2312" w:eastAsia="仿宋_GB2312"/>
                <w:color w:val="auto"/>
                <w:sz w:val="13"/>
                <w:szCs w:val="13"/>
                <w:highlight w:val="none"/>
              </w:rPr>
            </w:pPr>
          </w:p>
        </w:tc>
        <w:tc>
          <w:tcPr>
            <w:tcW w:w="1550" w:type="dxa"/>
            <w:vMerge w:val="continue"/>
            <w:tcBorders>
              <w:tl2br w:val="nil"/>
              <w:tr2bl w:val="nil"/>
            </w:tcBorders>
            <w:vAlign w:val="center"/>
          </w:tcPr>
          <w:p w14:paraId="0B03342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sz w:val="13"/>
                <w:szCs w:val="13"/>
                <w:highlight w:val="none"/>
              </w:rPr>
            </w:pPr>
          </w:p>
        </w:tc>
        <w:tc>
          <w:tcPr>
            <w:tcW w:w="4820" w:type="dxa"/>
            <w:vMerge w:val="continue"/>
            <w:tcBorders>
              <w:tl2br w:val="nil"/>
              <w:tr2bl w:val="nil"/>
            </w:tcBorders>
            <w:vAlign w:val="center"/>
          </w:tcPr>
          <w:p w14:paraId="6EC0B7C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823" w:type="dxa"/>
            <w:vMerge w:val="continue"/>
            <w:tcBorders>
              <w:tl2br w:val="nil"/>
              <w:tr2bl w:val="nil"/>
            </w:tcBorders>
            <w:tcMar>
              <w:top w:w="15" w:type="dxa"/>
              <w:left w:w="15" w:type="dxa"/>
              <w:bottom w:w="15" w:type="dxa"/>
              <w:right w:w="15" w:type="dxa"/>
            </w:tcMar>
            <w:vAlign w:val="center"/>
          </w:tcPr>
          <w:p w14:paraId="68489DF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3437" w:type="dxa"/>
            <w:gridSpan w:val="2"/>
            <w:tcBorders>
              <w:tl2br w:val="nil"/>
              <w:tr2bl w:val="nil"/>
            </w:tcBorders>
            <w:tcMar>
              <w:top w:w="15" w:type="dxa"/>
              <w:left w:w="15" w:type="dxa"/>
              <w:bottom w:w="15" w:type="dxa"/>
              <w:right w:w="15" w:type="dxa"/>
            </w:tcMar>
            <w:vAlign w:val="center"/>
          </w:tcPr>
          <w:p w14:paraId="6C92828A">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w:t>
            </w:r>
            <w:r>
              <w:rPr>
                <w:rFonts w:ascii="仿宋_GB2312" w:hAnsi="宋体" w:eastAsia="仿宋_GB2312"/>
                <w:color w:val="auto"/>
                <w:kern w:val="0"/>
                <w:sz w:val="13"/>
                <w:szCs w:val="13"/>
                <w:highlight w:val="none"/>
              </w:rPr>
              <w:t>2</w:t>
            </w:r>
            <w:r>
              <w:rPr>
                <w:rFonts w:hint="eastAsia" w:ascii="仿宋_GB2312" w:hAnsi="宋体" w:eastAsia="仿宋_GB2312"/>
                <w:color w:val="auto"/>
                <w:kern w:val="0"/>
                <w:sz w:val="13"/>
                <w:szCs w:val="13"/>
                <w:highlight w:val="none"/>
              </w:rPr>
              <w:t>）</w:t>
            </w:r>
            <w:r>
              <w:rPr>
                <w:rFonts w:hint="eastAsia" w:ascii="仿宋" w:hAnsi="仿宋" w:eastAsia="仿宋"/>
                <w:color w:val="auto"/>
                <w:kern w:val="0"/>
                <w:sz w:val="13"/>
                <w:szCs w:val="13"/>
                <w:highlight w:val="none"/>
              </w:rPr>
              <w:t>①</w:t>
            </w:r>
            <w:r>
              <w:rPr>
                <w:rFonts w:hint="eastAsia" w:ascii="仿宋_GB2312" w:hAnsi="宋体" w:eastAsia="仿宋_GB2312"/>
                <w:color w:val="auto"/>
                <w:kern w:val="0"/>
                <w:sz w:val="13"/>
                <w:szCs w:val="13"/>
                <w:highlight w:val="none"/>
              </w:rPr>
              <w:t>同一项目中，未按照5条以上10条以下民用建筑节能强制性标准进行施工的；</w:t>
            </w:r>
            <w:r>
              <w:rPr>
                <w:rFonts w:hint="eastAsia" w:ascii="仿宋" w:hAnsi="仿宋" w:eastAsia="仿宋"/>
                <w:color w:val="auto"/>
                <w:kern w:val="0"/>
                <w:sz w:val="13"/>
                <w:szCs w:val="13"/>
                <w:highlight w:val="none"/>
              </w:rPr>
              <w:t>②</w:t>
            </w:r>
            <w:r>
              <w:rPr>
                <w:rFonts w:hint="eastAsia" w:ascii="仿宋_GB2312" w:hAnsi="宋体" w:eastAsia="仿宋_GB2312"/>
                <w:color w:val="auto"/>
                <w:kern w:val="0"/>
                <w:sz w:val="13"/>
                <w:szCs w:val="13"/>
                <w:highlight w:val="none"/>
              </w:rPr>
              <w:t>3次违反民用建筑节能强制性标准进行施工的。</w:t>
            </w:r>
          </w:p>
        </w:tc>
        <w:tc>
          <w:tcPr>
            <w:tcW w:w="3058" w:type="dxa"/>
            <w:tcBorders>
              <w:tl2br w:val="nil"/>
              <w:tr2bl w:val="nil"/>
            </w:tcBorders>
            <w:tcMar>
              <w:top w:w="15" w:type="dxa"/>
              <w:left w:w="15" w:type="dxa"/>
              <w:bottom w:w="15" w:type="dxa"/>
              <w:right w:w="15" w:type="dxa"/>
            </w:tcMar>
            <w:vAlign w:val="center"/>
          </w:tcPr>
          <w:p w14:paraId="67137937">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处民用建筑项目合同价款百分之</w:t>
            </w:r>
            <w:r>
              <w:rPr>
                <w:rFonts w:hint="eastAsia" w:ascii="仿宋_GB2312" w:hAnsi="宋体" w:eastAsia="仿宋_GB2312"/>
                <w:color w:val="auto"/>
                <w:kern w:val="0"/>
                <w:sz w:val="13"/>
                <w:szCs w:val="13"/>
                <w:highlight w:val="none"/>
                <w:lang w:val="en-US" w:eastAsia="zh-CN"/>
              </w:rPr>
              <w:t>4</w:t>
            </w:r>
            <w:r>
              <w:rPr>
                <w:rFonts w:hint="eastAsia" w:ascii="仿宋_GB2312" w:hAnsi="宋体" w:eastAsia="仿宋_GB2312"/>
                <w:color w:val="auto"/>
                <w:kern w:val="0"/>
                <w:sz w:val="13"/>
                <w:szCs w:val="13"/>
                <w:highlight w:val="none"/>
              </w:rPr>
              <w:t>的罚款，由颁发资质证书的部门降低资质等级。</w:t>
            </w:r>
          </w:p>
        </w:tc>
      </w:tr>
      <w:tr w14:paraId="6DDC054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25" w:hRule="atLeast"/>
          <w:jc w:val="center"/>
        </w:trPr>
        <w:tc>
          <w:tcPr>
            <w:tcW w:w="443" w:type="dxa"/>
            <w:gridSpan w:val="2"/>
            <w:vMerge w:val="continue"/>
            <w:tcBorders>
              <w:tl2br w:val="nil"/>
              <w:tr2bl w:val="nil"/>
            </w:tcBorders>
            <w:vAlign w:val="center"/>
          </w:tcPr>
          <w:p w14:paraId="4ECB3B2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rPr>
                <w:rFonts w:ascii="仿宋_GB2312" w:eastAsia="仿宋_GB2312"/>
                <w:color w:val="auto"/>
                <w:sz w:val="13"/>
                <w:szCs w:val="13"/>
                <w:highlight w:val="none"/>
              </w:rPr>
            </w:pPr>
          </w:p>
        </w:tc>
        <w:tc>
          <w:tcPr>
            <w:tcW w:w="1550" w:type="dxa"/>
            <w:vMerge w:val="continue"/>
            <w:tcBorders>
              <w:tl2br w:val="nil"/>
              <w:tr2bl w:val="nil"/>
            </w:tcBorders>
            <w:vAlign w:val="center"/>
          </w:tcPr>
          <w:p w14:paraId="5BE4E7F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sz w:val="13"/>
                <w:szCs w:val="13"/>
                <w:highlight w:val="none"/>
              </w:rPr>
            </w:pPr>
          </w:p>
        </w:tc>
        <w:tc>
          <w:tcPr>
            <w:tcW w:w="4820" w:type="dxa"/>
            <w:vMerge w:val="continue"/>
            <w:tcBorders>
              <w:tl2br w:val="nil"/>
              <w:tr2bl w:val="nil"/>
            </w:tcBorders>
            <w:vAlign w:val="center"/>
          </w:tcPr>
          <w:p w14:paraId="44D977C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sz w:val="13"/>
                <w:szCs w:val="13"/>
                <w:highlight w:val="none"/>
              </w:rPr>
            </w:pPr>
          </w:p>
        </w:tc>
        <w:tc>
          <w:tcPr>
            <w:tcW w:w="823" w:type="dxa"/>
            <w:vMerge w:val="continue"/>
            <w:tcBorders>
              <w:tl2br w:val="nil"/>
              <w:tr2bl w:val="nil"/>
            </w:tcBorders>
            <w:vAlign w:val="center"/>
          </w:tcPr>
          <w:p w14:paraId="5655059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sz w:val="13"/>
                <w:szCs w:val="13"/>
                <w:highlight w:val="none"/>
              </w:rPr>
            </w:pPr>
          </w:p>
        </w:tc>
        <w:tc>
          <w:tcPr>
            <w:tcW w:w="3437" w:type="dxa"/>
            <w:gridSpan w:val="2"/>
            <w:tcBorders>
              <w:tl2br w:val="nil"/>
              <w:tr2bl w:val="nil"/>
            </w:tcBorders>
            <w:tcMar>
              <w:top w:w="15" w:type="dxa"/>
              <w:left w:w="15" w:type="dxa"/>
              <w:bottom w:w="15" w:type="dxa"/>
              <w:right w:w="15" w:type="dxa"/>
            </w:tcMar>
            <w:vAlign w:val="center"/>
          </w:tcPr>
          <w:p w14:paraId="5F123F2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sz w:val="13"/>
                <w:szCs w:val="13"/>
                <w:highlight w:val="none"/>
              </w:rPr>
            </w:pPr>
            <w:r>
              <w:rPr>
                <w:rFonts w:hint="eastAsia" w:ascii="仿宋_GB2312" w:hAnsi="宋体" w:eastAsia="仿宋_GB2312"/>
                <w:color w:val="auto"/>
                <w:kern w:val="0"/>
                <w:sz w:val="13"/>
                <w:szCs w:val="13"/>
                <w:highlight w:val="none"/>
              </w:rPr>
              <w:t>（</w:t>
            </w:r>
            <w:r>
              <w:rPr>
                <w:rFonts w:ascii="仿宋_GB2312" w:hAnsi="宋体" w:eastAsia="仿宋_GB2312"/>
                <w:color w:val="auto"/>
                <w:kern w:val="0"/>
                <w:sz w:val="13"/>
                <w:szCs w:val="13"/>
                <w:highlight w:val="none"/>
              </w:rPr>
              <w:t>3</w:t>
            </w:r>
            <w:r>
              <w:rPr>
                <w:rFonts w:hint="eastAsia" w:ascii="仿宋_GB2312" w:hAnsi="宋体" w:eastAsia="仿宋_GB2312"/>
                <w:color w:val="auto"/>
                <w:kern w:val="0"/>
                <w:sz w:val="13"/>
                <w:szCs w:val="13"/>
                <w:highlight w:val="none"/>
              </w:rPr>
              <w:t>）</w:t>
            </w:r>
            <w:r>
              <w:rPr>
                <w:rFonts w:hint="eastAsia" w:ascii="仿宋" w:hAnsi="仿宋" w:eastAsia="仿宋"/>
                <w:color w:val="auto"/>
                <w:kern w:val="0"/>
                <w:sz w:val="13"/>
                <w:szCs w:val="13"/>
                <w:highlight w:val="none"/>
              </w:rPr>
              <w:t>①</w:t>
            </w:r>
            <w:r>
              <w:rPr>
                <w:rFonts w:hint="eastAsia" w:ascii="仿宋_GB2312" w:hAnsi="宋体" w:eastAsia="仿宋_GB2312"/>
                <w:color w:val="auto"/>
                <w:kern w:val="0"/>
                <w:sz w:val="13"/>
                <w:szCs w:val="13"/>
                <w:highlight w:val="none"/>
              </w:rPr>
              <w:t>同一项目中，未按照10条以上民用建筑节能强制性标准进行施工的；</w:t>
            </w:r>
            <w:r>
              <w:rPr>
                <w:rFonts w:hint="eastAsia" w:ascii="仿宋" w:hAnsi="仿宋" w:eastAsia="仿宋"/>
                <w:color w:val="auto"/>
                <w:kern w:val="0"/>
                <w:sz w:val="13"/>
                <w:szCs w:val="13"/>
                <w:highlight w:val="none"/>
              </w:rPr>
              <w:t>②</w:t>
            </w:r>
            <w:r>
              <w:rPr>
                <w:rFonts w:hint="eastAsia" w:ascii="仿宋_GB2312" w:hAnsi="宋体" w:eastAsia="仿宋_GB2312"/>
                <w:color w:val="auto"/>
                <w:kern w:val="0"/>
                <w:sz w:val="13"/>
                <w:szCs w:val="13"/>
                <w:highlight w:val="none"/>
              </w:rPr>
              <w:t>4次以上违反民用建筑节能强制性标准进行施工的。</w:t>
            </w:r>
          </w:p>
        </w:tc>
        <w:tc>
          <w:tcPr>
            <w:tcW w:w="3058" w:type="dxa"/>
            <w:tcBorders>
              <w:tl2br w:val="nil"/>
              <w:tr2bl w:val="nil"/>
            </w:tcBorders>
            <w:tcMar>
              <w:top w:w="15" w:type="dxa"/>
              <w:left w:w="15" w:type="dxa"/>
              <w:bottom w:w="15" w:type="dxa"/>
              <w:right w:w="15" w:type="dxa"/>
            </w:tcMar>
            <w:vAlign w:val="center"/>
          </w:tcPr>
          <w:p w14:paraId="7237E08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sz w:val="13"/>
                <w:szCs w:val="13"/>
                <w:highlight w:val="none"/>
              </w:rPr>
            </w:pPr>
            <w:r>
              <w:rPr>
                <w:rFonts w:hint="eastAsia" w:ascii="仿宋_GB2312" w:hAnsi="宋体" w:eastAsia="仿宋_GB2312"/>
                <w:color w:val="auto"/>
                <w:kern w:val="0"/>
                <w:sz w:val="13"/>
                <w:szCs w:val="13"/>
                <w:highlight w:val="none"/>
              </w:rPr>
              <w:t>处民用建筑项目合同价款百分之</w:t>
            </w:r>
            <w:r>
              <w:rPr>
                <w:rFonts w:hint="eastAsia" w:ascii="仿宋_GB2312" w:hAnsi="宋体" w:eastAsia="仿宋_GB2312"/>
                <w:color w:val="auto"/>
                <w:kern w:val="0"/>
                <w:sz w:val="13"/>
                <w:szCs w:val="13"/>
                <w:highlight w:val="none"/>
                <w:lang w:val="en-US" w:eastAsia="zh-CN"/>
              </w:rPr>
              <w:t>4</w:t>
            </w:r>
            <w:r>
              <w:rPr>
                <w:rFonts w:hint="eastAsia" w:ascii="仿宋_GB2312" w:hAnsi="宋体" w:eastAsia="仿宋_GB2312"/>
                <w:color w:val="auto"/>
                <w:kern w:val="0"/>
                <w:sz w:val="13"/>
                <w:szCs w:val="13"/>
                <w:highlight w:val="none"/>
              </w:rPr>
              <w:t>的罚款，由颁发资质证书的部门吊销资质证书。</w:t>
            </w:r>
          </w:p>
        </w:tc>
      </w:tr>
      <w:tr w14:paraId="2231882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47" w:hRule="atLeast"/>
          <w:jc w:val="center"/>
        </w:trPr>
        <w:tc>
          <w:tcPr>
            <w:tcW w:w="443" w:type="dxa"/>
            <w:gridSpan w:val="2"/>
            <w:vMerge w:val="restart"/>
            <w:tcBorders>
              <w:tl2br w:val="nil"/>
              <w:tr2bl w:val="nil"/>
            </w:tcBorders>
            <w:tcMar>
              <w:top w:w="15" w:type="dxa"/>
              <w:left w:w="15" w:type="dxa"/>
              <w:bottom w:w="15" w:type="dxa"/>
              <w:right w:w="15" w:type="dxa"/>
            </w:tcMar>
            <w:vAlign w:val="center"/>
          </w:tcPr>
          <w:p w14:paraId="5BE3B3A9">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eastAsia="仿宋_GB2312"/>
                <w:color w:val="auto"/>
                <w:sz w:val="13"/>
                <w:szCs w:val="13"/>
                <w:highlight w:val="none"/>
                <w:lang w:val="en-US" w:eastAsia="zh-CN"/>
              </w:rPr>
            </w:pPr>
            <w:r>
              <w:rPr>
                <w:rFonts w:hint="eastAsia" w:ascii="仿宋_GB2312" w:eastAsia="仿宋_GB2312"/>
                <w:color w:val="auto"/>
                <w:sz w:val="13"/>
                <w:szCs w:val="13"/>
                <w:highlight w:val="none"/>
                <w:lang w:val="en-US" w:eastAsia="zh-CN"/>
              </w:rPr>
              <w:t>209</w:t>
            </w:r>
          </w:p>
        </w:tc>
        <w:tc>
          <w:tcPr>
            <w:tcW w:w="1550" w:type="dxa"/>
            <w:vMerge w:val="restart"/>
            <w:tcBorders>
              <w:tl2br w:val="nil"/>
              <w:tr2bl w:val="nil"/>
            </w:tcBorders>
            <w:tcMar>
              <w:top w:w="15" w:type="dxa"/>
              <w:left w:w="15" w:type="dxa"/>
              <w:bottom w:w="15" w:type="dxa"/>
              <w:right w:w="15" w:type="dxa"/>
            </w:tcMar>
            <w:vAlign w:val="center"/>
          </w:tcPr>
          <w:p w14:paraId="17798FE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sz w:val="13"/>
                <w:szCs w:val="13"/>
                <w:highlight w:val="none"/>
              </w:rPr>
            </w:pPr>
            <w:r>
              <w:rPr>
                <w:rFonts w:hint="eastAsia" w:ascii="仿宋_GB2312" w:hAnsi="宋体" w:eastAsia="仿宋_GB2312"/>
                <w:color w:val="auto"/>
                <w:kern w:val="0"/>
                <w:sz w:val="13"/>
                <w:szCs w:val="13"/>
                <w:highlight w:val="none"/>
              </w:rPr>
              <w:t>施工单位有下列行为之一的：（一）未对进入施工现场的墙体材料、保温材料、门窗、采暖制冷系统和照明设备进行查验的；（二）使用不符合施工图设计文件要求的墙体材料、保温材料、门窗、采暖制冷系统和照明设备的；（三）使用列入禁止使用目录的技术、工艺、材料和设备的</w:t>
            </w:r>
          </w:p>
        </w:tc>
        <w:tc>
          <w:tcPr>
            <w:tcW w:w="4820" w:type="dxa"/>
            <w:vMerge w:val="restart"/>
            <w:tcBorders>
              <w:tl2br w:val="nil"/>
              <w:tr2bl w:val="nil"/>
            </w:tcBorders>
            <w:tcMar>
              <w:top w:w="15" w:type="dxa"/>
              <w:left w:w="15" w:type="dxa"/>
              <w:bottom w:w="15" w:type="dxa"/>
              <w:right w:w="15" w:type="dxa"/>
            </w:tcMar>
            <w:vAlign w:val="center"/>
          </w:tcPr>
          <w:p w14:paraId="696C904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民用建筑节能条例》第四十一条违反本条例规定，施工单位有下列行为之一的，由县级以上地方人民政府建设主管部门责令改正，处10万元以上20万元以下的罚款；情节严重的，由颁发资质证书的部门责令停业整顿，降低资质等级或者吊销资质证书；造成损失的，依法承担赔偿责任：</w:t>
            </w:r>
          </w:p>
          <w:p w14:paraId="647B4DA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（一）未对进入施工现场的墙体材料、保温材料、门窗、采暖制冷系统和照明设备进行查验的；</w:t>
            </w:r>
          </w:p>
          <w:p w14:paraId="25AAF9C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（二）使用不符合施工图设计文件要求的墙体材料、保温材料、门窗、采暖制冷系统和照明设备的；</w:t>
            </w:r>
          </w:p>
          <w:p w14:paraId="69A87CE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strike/>
                <w:color w:val="auto"/>
                <w:kern w:val="0"/>
                <w:sz w:val="13"/>
                <w:szCs w:val="13"/>
                <w:highlight w:val="none"/>
              </w:rPr>
            </w:pPr>
            <w:r>
              <w:rPr>
                <w:rFonts w:hint="eastAsia" w:ascii="仿宋_GB2312" w:hAnsi="宋体" w:eastAsia="仿宋_GB2312"/>
                <w:color w:val="auto"/>
                <w:kern w:val="0"/>
                <w:sz w:val="13"/>
                <w:szCs w:val="13"/>
                <w:highlight w:val="none"/>
              </w:rPr>
              <w:t>（三）使用列入禁止使用目录的技术、工艺、材料和设备的。</w:t>
            </w:r>
          </w:p>
        </w:tc>
        <w:tc>
          <w:tcPr>
            <w:tcW w:w="823" w:type="dxa"/>
            <w:tcBorders>
              <w:tl2br w:val="nil"/>
              <w:tr2bl w:val="nil"/>
            </w:tcBorders>
            <w:tcMar>
              <w:top w:w="15" w:type="dxa"/>
              <w:left w:w="15" w:type="dxa"/>
              <w:bottom w:w="15" w:type="dxa"/>
              <w:right w:w="15" w:type="dxa"/>
            </w:tcMar>
            <w:vAlign w:val="center"/>
          </w:tcPr>
          <w:p w14:paraId="75AA9B5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tcMar>
              <w:top w:w="15" w:type="dxa"/>
              <w:left w:w="15" w:type="dxa"/>
              <w:bottom w:w="15" w:type="dxa"/>
              <w:right w:w="15" w:type="dxa"/>
            </w:tcMar>
            <w:vAlign w:val="center"/>
          </w:tcPr>
          <w:p w14:paraId="53B2AAB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sz w:val="13"/>
                <w:szCs w:val="13"/>
                <w:highlight w:val="none"/>
              </w:rPr>
            </w:pPr>
            <w:r>
              <w:rPr>
                <w:rFonts w:hint="eastAsia" w:ascii="仿宋_GB2312" w:hAnsi="宋体" w:eastAsia="仿宋_GB2312"/>
                <w:color w:val="auto"/>
                <w:kern w:val="0"/>
                <w:sz w:val="13"/>
                <w:szCs w:val="13"/>
                <w:highlight w:val="none"/>
              </w:rPr>
              <w:t>同一项目中，1年内1次违反进场材料检验、施工图设计文件、使用材料等方面规定的。</w:t>
            </w:r>
          </w:p>
        </w:tc>
        <w:tc>
          <w:tcPr>
            <w:tcW w:w="3058" w:type="dxa"/>
            <w:tcBorders>
              <w:tl2br w:val="nil"/>
              <w:tr2bl w:val="nil"/>
            </w:tcBorders>
            <w:tcMar>
              <w:top w:w="15" w:type="dxa"/>
              <w:left w:w="15" w:type="dxa"/>
              <w:bottom w:w="15" w:type="dxa"/>
              <w:right w:w="15" w:type="dxa"/>
            </w:tcMar>
            <w:vAlign w:val="center"/>
          </w:tcPr>
          <w:p w14:paraId="6660CFC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sz w:val="13"/>
                <w:szCs w:val="13"/>
                <w:highlight w:val="none"/>
              </w:rPr>
            </w:pPr>
            <w:r>
              <w:rPr>
                <w:rFonts w:hint="eastAsia" w:ascii="仿宋_GB2312" w:hAnsi="宋体" w:eastAsia="仿宋_GB2312"/>
                <w:color w:val="auto"/>
                <w:kern w:val="0"/>
                <w:sz w:val="13"/>
                <w:szCs w:val="13"/>
                <w:highlight w:val="none"/>
              </w:rPr>
              <w:t>责令改正，处10万元罚款。</w:t>
            </w:r>
          </w:p>
        </w:tc>
      </w:tr>
      <w:tr w14:paraId="4B04412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47" w:hRule="atLeast"/>
          <w:jc w:val="center"/>
        </w:trPr>
        <w:tc>
          <w:tcPr>
            <w:tcW w:w="443" w:type="dxa"/>
            <w:gridSpan w:val="2"/>
            <w:vMerge w:val="continue"/>
            <w:tcBorders>
              <w:tl2br w:val="nil"/>
              <w:tr2bl w:val="nil"/>
            </w:tcBorders>
            <w:vAlign w:val="center"/>
          </w:tcPr>
          <w:p w14:paraId="7E12B5F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rPr>
                <w:rFonts w:ascii="仿宋_GB2312" w:eastAsia="仿宋_GB2312"/>
                <w:color w:val="auto"/>
                <w:sz w:val="13"/>
                <w:szCs w:val="13"/>
                <w:highlight w:val="none"/>
              </w:rPr>
            </w:pPr>
          </w:p>
        </w:tc>
        <w:tc>
          <w:tcPr>
            <w:tcW w:w="1550" w:type="dxa"/>
            <w:vMerge w:val="continue"/>
            <w:tcBorders>
              <w:tl2br w:val="nil"/>
              <w:tr2bl w:val="nil"/>
            </w:tcBorders>
            <w:vAlign w:val="center"/>
          </w:tcPr>
          <w:p w14:paraId="3C6C2B9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sz w:val="13"/>
                <w:szCs w:val="13"/>
                <w:highlight w:val="none"/>
              </w:rPr>
            </w:pPr>
          </w:p>
        </w:tc>
        <w:tc>
          <w:tcPr>
            <w:tcW w:w="4820" w:type="dxa"/>
            <w:vMerge w:val="continue"/>
            <w:tcBorders>
              <w:tl2br w:val="nil"/>
              <w:tr2bl w:val="nil"/>
            </w:tcBorders>
            <w:vAlign w:val="center"/>
          </w:tcPr>
          <w:p w14:paraId="7B57CFB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p>
        </w:tc>
        <w:tc>
          <w:tcPr>
            <w:tcW w:w="823" w:type="dxa"/>
            <w:tcBorders>
              <w:tl2br w:val="nil"/>
              <w:tr2bl w:val="nil"/>
            </w:tcBorders>
            <w:tcMar>
              <w:top w:w="15" w:type="dxa"/>
              <w:left w:w="15" w:type="dxa"/>
              <w:bottom w:w="15" w:type="dxa"/>
              <w:right w:w="15" w:type="dxa"/>
            </w:tcMar>
            <w:vAlign w:val="center"/>
          </w:tcPr>
          <w:p w14:paraId="59246D0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一般情节</w:t>
            </w:r>
          </w:p>
        </w:tc>
        <w:tc>
          <w:tcPr>
            <w:tcW w:w="3437" w:type="dxa"/>
            <w:gridSpan w:val="2"/>
            <w:tcBorders>
              <w:tl2br w:val="nil"/>
              <w:tr2bl w:val="nil"/>
            </w:tcBorders>
            <w:tcMar>
              <w:top w:w="15" w:type="dxa"/>
              <w:left w:w="15" w:type="dxa"/>
              <w:bottom w:w="15" w:type="dxa"/>
              <w:right w:w="15" w:type="dxa"/>
            </w:tcMar>
            <w:vAlign w:val="center"/>
          </w:tcPr>
          <w:p w14:paraId="40729DD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同一项目中，1年内2次违反进场材料检验、施工图设计文件、使用材料等方面规定的。</w:t>
            </w:r>
          </w:p>
        </w:tc>
        <w:tc>
          <w:tcPr>
            <w:tcW w:w="3058" w:type="dxa"/>
            <w:tcBorders>
              <w:tl2br w:val="nil"/>
              <w:tr2bl w:val="nil"/>
            </w:tcBorders>
            <w:tcMar>
              <w:top w:w="15" w:type="dxa"/>
              <w:left w:w="15" w:type="dxa"/>
              <w:bottom w:w="15" w:type="dxa"/>
              <w:right w:w="15" w:type="dxa"/>
            </w:tcMar>
            <w:vAlign w:val="center"/>
          </w:tcPr>
          <w:p w14:paraId="7FA50CB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责令改正，处1</w:t>
            </w:r>
            <w:r>
              <w:rPr>
                <w:rFonts w:ascii="仿宋_GB2312" w:hAnsi="宋体" w:eastAsia="仿宋_GB2312"/>
                <w:color w:val="auto"/>
                <w:kern w:val="0"/>
                <w:sz w:val="13"/>
                <w:szCs w:val="13"/>
                <w:highlight w:val="none"/>
              </w:rPr>
              <w:t>0</w:t>
            </w:r>
            <w:r>
              <w:rPr>
                <w:rFonts w:hint="eastAsia" w:ascii="仿宋_GB2312" w:hAnsi="宋体" w:eastAsia="仿宋_GB2312"/>
                <w:color w:val="auto"/>
                <w:kern w:val="0"/>
                <w:sz w:val="13"/>
                <w:szCs w:val="13"/>
                <w:highlight w:val="none"/>
              </w:rPr>
              <w:t>万元以上</w:t>
            </w:r>
            <w:r>
              <w:rPr>
                <w:rFonts w:ascii="仿宋_GB2312" w:hAnsi="宋体" w:eastAsia="仿宋_GB2312"/>
                <w:color w:val="auto"/>
                <w:kern w:val="0"/>
                <w:sz w:val="13"/>
                <w:szCs w:val="13"/>
                <w:highlight w:val="none"/>
              </w:rPr>
              <w:t>20</w:t>
            </w:r>
            <w:r>
              <w:rPr>
                <w:rFonts w:hint="eastAsia" w:ascii="仿宋_GB2312" w:hAnsi="宋体" w:eastAsia="仿宋_GB2312"/>
                <w:color w:val="auto"/>
                <w:kern w:val="0"/>
                <w:sz w:val="13"/>
                <w:szCs w:val="13"/>
                <w:highlight w:val="none"/>
              </w:rPr>
              <w:t>万元以下的罚款。</w:t>
            </w:r>
          </w:p>
        </w:tc>
      </w:tr>
      <w:tr w14:paraId="6230893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00" w:hRule="atLeast"/>
          <w:jc w:val="center"/>
        </w:trPr>
        <w:tc>
          <w:tcPr>
            <w:tcW w:w="443" w:type="dxa"/>
            <w:gridSpan w:val="2"/>
            <w:vMerge w:val="continue"/>
            <w:tcBorders>
              <w:tl2br w:val="nil"/>
              <w:tr2bl w:val="nil"/>
            </w:tcBorders>
            <w:vAlign w:val="center"/>
          </w:tcPr>
          <w:p w14:paraId="4280F25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rPr>
                <w:rFonts w:ascii="仿宋_GB2312" w:eastAsia="仿宋_GB2312"/>
                <w:color w:val="auto"/>
                <w:sz w:val="13"/>
                <w:szCs w:val="13"/>
                <w:highlight w:val="none"/>
              </w:rPr>
            </w:pPr>
          </w:p>
        </w:tc>
        <w:tc>
          <w:tcPr>
            <w:tcW w:w="1550" w:type="dxa"/>
            <w:vMerge w:val="continue"/>
            <w:tcBorders>
              <w:tl2br w:val="nil"/>
              <w:tr2bl w:val="nil"/>
            </w:tcBorders>
            <w:vAlign w:val="center"/>
          </w:tcPr>
          <w:p w14:paraId="24180A3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sz w:val="13"/>
                <w:szCs w:val="13"/>
                <w:highlight w:val="none"/>
              </w:rPr>
            </w:pPr>
          </w:p>
        </w:tc>
        <w:tc>
          <w:tcPr>
            <w:tcW w:w="4820" w:type="dxa"/>
            <w:vMerge w:val="continue"/>
            <w:tcBorders>
              <w:tl2br w:val="nil"/>
              <w:tr2bl w:val="nil"/>
            </w:tcBorders>
            <w:vAlign w:val="center"/>
          </w:tcPr>
          <w:p w14:paraId="4A05276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p>
        </w:tc>
        <w:tc>
          <w:tcPr>
            <w:tcW w:w="823" w:type="dxa"/>
            <w:vMerge w:val="restart"/>
            <w:tcBorders>
              <w:tl2br w:val="nil"/>
              <w:tr2bl w:val="nil"/>
            </w:tcBorders>
            <w:tcMar>
              <w:top w:w="15" w:type="dxa"/>
              <w:left w:w="15" w:type="dxa"/>
              <w:bottom w:w="15" w:type="dxa"/>
              <w:right w:w="15" w:type="dxa"/>
            </w:tcMar>
            <w:vAlign w:val="center"/>
          </w:tcPr>
          <w:p w14:paraId="1B1EA88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从重情节</w:t>
            </w:r>
          </w:p>
        </w:tc>
        <w:tc>
          <w:tcPr>
            <w:tcW w:w="3437" w:type="dxa"/>
            <w:gridSpan w:val="2"/>
            <w:tcBorders>
              <w:tl2br w:val="nil"/>
              <w:tr2bl w:val="nil"/>
            </w:tcBorders>
            <w:tcMar>
              <w:top w:w="15" w:type="dxa"/>
              <w:left w:w="15" w:type="dxa"/>
              <w:bottom w:w="15" w:type="dxa"/>
              <w:right w:w="15" w:type="dxa"/>
            </w:tcMar>
            <w:vAlign w:val="center"/>
          </w:tcPr>
          <w:p w14:paraId="363B8AAC">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w:t>
            </w:r>
            <w:r>
              <w:rPr>
                <w:rFonts w:ascii="仿宋_GB2312" w:hAnsi="宋体" w:eastAsia="仿宋_GB2312"/>
                <w:color w:val="auto"/>
                <w:kern w:val="0"/>
                <w:sz w:val="13"/>
                <w:szCs w:val="13"/>
                <w:highlight w:val="none"/>
              </w:rPr>
              <w:t>1</w:t>
            </w:r>
            <w:r>
              <w:rPr>
                <w:rFonts w:hint="eastAsia" w:ascii="仿宋_GB2312" w:hAnsi="宋体" w:eastAsia="仿宋_GB2312"/>
                <w:color w:val="auto"/>
                <w:kern w:val="0"/>
                <w:sz w:val="13"/>
                <w:szCs w:val="13"/>
                <w:highlight w:val="none"/>
              </w:rPr>
              <w:t>）同一项目中，1年内3次以上5次以下违反进场材料检验、施工图设计文件、使用材料等方面规定的。</w:t>
            </w:r>
          </w:p>
        </w:tc>
        <w:tc>
          <w:tcPr>
            <w:tcW w:w="3058" w:type="dxa"/>
            <w:tcBorders>
              <w:tl2br w:val="nil"/>
              <w:tr2bl w:val="nil"/>
            </w:tcBorders>
            <w:tcMar>
              <w:top w:w="15" w:type="dxa"/>
              <w:left w:w="15" w:type="dxa"/>
              <w:bottom w:w="15" w:type="dxa"/>
              <w:right w:w="15" w:type="dxa"/>
            </w:tcMar>
            <w:vAlign w:val="center"/>
          </w:tcPr>
          <w:p w14:paraId="32D2CE51">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处20万元罚款，由颁发资质证书的部门责令停业整顿</w:t>
            </w:r>
            <w:r>
              <w:rPr>
                <w:rFonts w:hint="eastAsia" w:ascii="仿宋_GB2312" w:hAnsi="宋体" w:eastAsia="仿宋_GB2312"/>
                <w:color w:val="auto"/>
                <w:kern w:val="0"/>
                <w:sz w:val="13"/>
                <w:szCs w:val="13"/>
                <w:highlight w:val="none"/>
                <w:lang w:eastAsia="zh-CN"/>
              </w:rPr>
              <w:t>30日-</w:t>
            </w:r>
            <w:r>
              <w:rPr>
                <w:rFonts w:ascii="仿宋_GB2312" w:hAnsi="宋体" w:eastAsia="仿宋_GB2312"/>
                <w:color w:val="auto"/>
                <w:kern w:val="0"/>
                <w:sz w:val="13"/>
                <w:szCs w:val="13"/>
                <w:highlight w:val="none"/>
              </w:rPr>
              <w:t>90</w:t>
            </w:r>
            <w:r>
              <w:rPr>
                <w:rFonts w:hint="eastAsia" w:ascii="仿宋_GB2312" w:hAnsi="宋体" w:eastAsia="仿宋_GB2312"/>
                <w:color w:val="auto"/>
                <w:kern w:val="0"/>
                <w:sz w:val="13"/>
                <w:szCs w:val="13"/>
                <w:highlight w:val="none"/>
              </w:rPr>
              <w:t>日。</w:t>
            </w:r>
          </w:p>
        </w:tc>
      </w:tr>
      <w:tr w14:paraId="7921703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47" w:hRule="atLeast"/>
          <w:jc w:val="center"/>
        </w:trPr>
        <w:tc>
          <w:tcPr>
            <w:tcW w:w="443" w:type="dxa"/>
            <w:gridSpan w:val="2"/>
            <w:vMerge w:val="continue"/>
            <w:tcBorders>
              <w:tl2br w:val="nil"/>
              <w:tr2bl w:val="nil"/>
            </w:tcBorders>
            <w:vAlign w:val="center"/>
          </w:tcPr>
          <w:p w14:paraId="156F167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rPr>
                <w:rFonts w:ascii="仿宋_GB2312" w:eastAsia="仿宋_GB2312"/>
                <w:color w:val="auto"/>
                <w:sz w:val="13"/>
                <w:szCs w:val="13"/>
                <w:highlight w:val="none"/>
              </w:rPr>
            </w:pPr>
          </w:p>
        </w:tc>
        <w:tc>
          <w:tcPr>
            <w:tcW w:w="1550" w:type="dxa"/>
            <w:vMerge w:val="continue"/>
            <w:tcBorders>
              <w:tl2br w:val="nil"/>
              <w:tr2bl w:val="nil"/>
            </w:tcBorders>
            <w:vAlign w:val="center"/>
          </w:tcPr>
          <w:p w14:paraId="26E0284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sz w:val="13"/>
                <w:szCs w:val="13"/>
                <w:highlight w:val="none"/>
              </w:rPr>
            </w:pPr>
          </w:p>
        </w:tc>
        <w:tc>
          <w:tcPr>
            <w:tcW w:w="4820" w:type="dxa"/>
            <w:vMerge w:val="continue"/>
            <w:tcBorders>
              <w:tl2br w:val="nil"/>
              <w:tr2bl w:val="nil"/>
            </w:tcBorders>
            <w:vAlign w:val="center"/>
          </w:tcPr>
          <w:p w14:paraId="2B8CC79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sz w:val="13"/>
                <w:szCs w:val="13"/>
                <w:highlight w:val="none"/>
              </w:rPr>
            </w:pPr>
          </w:p>
        </w:tc>
        <w:tc>
          <w:tcPr>
            <w:tcW w:w="823" w:type="dxa"/>
            <w:vMerge w:val="continue"/>
            <w:tcBorders>
              <w:tl2br w:val="nil"/>
              <w:tr2bl w:val="nil"/>
            </w:tcBorders>
            <w:vAlign w:val="center"/>
          </w:tcPr>
          <w:p w14:paraId="68DE523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sz w:val="13"/>
                <w:szCs w:val="13"/>
                <w:highlight w:val="none"/>
              </w:rPr>
            </w:pPr>
          </w:p>
        </w:tc>
        <w:tc>
          <w:tcPr>
            <w:tcW w:w="3437" w:type="dxa"/>
            <w:gridSpan w:val="2"/>
            <w:tcBorders>
              <w:tl2br w:val="nil"/>
              <w:tr2bl w:val="nil"/>
            </w:tcBorders>
            <w:shd w:val="clear" w:color="000000" w:fill="FFFFFF"/>
            <w:tcMar>
              <w:top w:w="15" w:type="dxa"/>
              <w:left w:w="15" w:type="dxa"/>
              <w:bottom w:w="15" w:type="dxa"/>
              <w:right w:w="15" w:type="dxa"/>
            </w:tcMar>
            <w:vAlign w:val="center"/>
          </w:tcPr>
          <w:p w14:paraId="091FF5BB">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w:t>
            </w:r>
            <w:r>
              <w:rPr>
                <w:rFonts w:ascii="仿宋_GB2312" w:hAnsi="宋体" w:eastAsia="仿宋_GB2312"/>
                <w:color w:val="auto"/>
                <w:kern w:val="0"/>
                <w:sz w:val="13"/>
                <w:szCs w:val="13"/>
                <w:highlight w:val="none"/>
              </w:rPr>
              <w:t>2</w:t>
            </w:r>
            <w:r>
              <w:rPr>
                <w:rFonts w:hint="eastAsia" w:ascii="仿宋_GB2312" w:hAnsi="宋体" w:eastAsia="仿宋_GB2312"/>
                <w:color w:val="auto"/>
                <w:kern w:val="0"/>
                <w:sz w:val="13"/>
                <w:szCs w:val="13"/>
                <w:highlight w:val="none"/>
              </w:rPr>
              <w:t>）同一项目中，1年内5次以上10次以下违反进场材料检验、施工图设计文件、使用材料等方面规定的。</w:t>
            </w:r>
          </w:p>
        </w:tc>
        <w:tc>
          <w:tcPr>
            <w:tcW w:w="3058" w:type="dxa"/>
            <w:tcBorders>
              <w:tl2br w:val="nil"/>
              <w:tr2bl w:val="nil"/>
            </w:tcBorders>
            <w:tcMar>
              <w:top w:w="15" w:type="dxa"/>
              <w:left w:w="15" w:type="dxa"/>
              <w:bottom w:w="15" w:type="dxa"/>
              <w:right w:w="15" w:type="dxa"/>
            </w:tcMar>
            <w:vAlign w:val="center"/>
          </w:tcPr>
          <w:p w14:paraId="24BD9A78">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处20万元罚款，由颁发资质证书的部门降低资质等级。</w:t>
            </w:r>
          </w:p>
        </w:tc>
      </w:tr>
      <w:tr w14:paraId="152D64C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47" w:hRule="atLeast"/>
          <w:jc w:val="center"/>
        </w:trPr>
        <w:tc>
          <w:tcPr>
            <w:tcW w:w="443" w:type="dxa"/>
            <w:gridSpan w:val="2"/>
            <w:vMerge w:val="continue"/>
            <w:tcBorders>
              <w:tl2br w:val="nil"/>
              <w:tr2bl w:val="nil"/>
            </w:tcBorders>
            <w:vAlign w:val="center"/>
          </w:tcPr>
          <w:p w14:paraId="05CE36A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rPr>
                <w:rFonts w:ascii="仿宋_GB2312" w:eastAsia="仿宋_GB2312"/>
                <w:color w:val="auto"/>
                <w:sz w:val="13"/>
                <w:szCs w:val="13"/>
                <w:highlight w:val="none"/>
              </w:rPr>
            </w:pPr>
          </w:p>
        </w:tc>
        <w:tc>
          <w:tcPr>
            <w:tcW w:w="1550" w:type="dxa"/>
            <w:vMerge w:val="continue"/>
            <w:tcBorders>
              <w:tl2br w:val="nil"/>
              <w:tr2bl w:val="nil"/>
            </w:tcBorders>
            <w:vAlign w:val="center"/>
          </w:tcPr>
          <w:p w14:paraId="657ED20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sz w:val="13"/>
                <w:szCs w:val="13"/>
                <w:highlight w:val="none"/>
              </w:rPr>
            </w:pPr>
          </w:p>
        </w:tc>
        <w:tc>
          <w:tcPr>
            <w:tcW w:w="4820" w:type="dxa"/>
            <w:vMerge w:val="continue"/>
            <w:tcBorders>
              <w:tl2br w:val="nil"/>
              <w:tr2bl w:val="nil"/>
            </w:tcBorders>
            <w:vAlign w:val="center"/>
          </w:tcPr>
          <w:p w14:paraId="2A50C68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sz w:val="13"/>
                <w:szCs w:val="13"/>
                <w:highlight w:val="none"/>
              </w:rPr>
            </w:pPr>
          </w:p>
        </w:tc>
        <w:tc>
          <w:tcPr>
            <w:tcW w:w="823" w:type="dxa"/>
            <w:vMerge w:val="continue"/>
            <w:tcBorders>
              <w:tl2br w:val="nil"/>
              <w:tr2bl w:val="nil"/>
            </w:tcBorders>
            <w:vAlign w:val="center"/>
          </w:tcPr>
          <w:p w14:paraId="5E67E13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sz w:val="13"/>
                <w:szCs w:val="13"/>
                <w:highlight w:val="none"/>
              </w:rPr>
            </w:pPr>
          </w:p>
        </w:tc>
        <w:tc>
          <w:tcPr>
            <w:tcW w:w="3437" w:type="dxa"/>
            <w:gridSpan w:val="2"/>
            <w:tcBorders>
              <w:tl2br w:val="nil"/>
              <w:tr2bl w:val="nil"/>
            </w:tcBorders>
            <w:tcMar>
              <w:top w:w="15" w:type="dxa"/>
              <w:left w:w="15" w:type="dxa"/>
              <w:bottom w:w="15" w:type="dxa"/>
              <w:right w:w="15" w:type="dxa"/>
            </w:tcMar>
            <w:vAlign w:val="center"/>
          </w:tcPr>
          <w:p w14:paraId="70DCB15E">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w:t>
            </w:r>
            <w:r>
              <w:rPr>
                <w:rFonts w:ascii="仿宋_GB2312" w:hAnsi="宋体" w:eastAsia="仿宋_GB2312"/>
                <w:color w:val="auto"/>
                <w:kern w:val="0"/>
                <w:sz w:val="13"/>
                <w:szCs w:val="13"/>
                <w:highlight w:val="none"/>
              </w:rPr>
              <w:t>3</w:t>
            </w:r>
            <w:r>
              <w:rPr>
                <w:rFonts w:hint="eastAsia" w:ascii="仿宋_GB2312" w:hAnsi="宋体" w:eastAsia="仿宋_GB2312"/>
                <w:color w:val="auto"/>
                <w:kern w:val="0"/>
                <w:sz w:val="13"/>
                <w:szCs w:val="13"/>
                <w:highlight w:val="none"/>
              </w:rPr>
              <w:t>）同一项目中，1年内10次以上违反进场材料检验、施工图设计文件、使用材料等方面规定的。</w:t>
            </w:r>
          </w:p>
        </w:tc>
        <w:tc>
          <w:tcPr>
            <w:tcW w:w="3058" w:type="dxa"/>
            <w:tcBorders>
              <w:tl2br w:val="nil"/>
              <w:tr2bl w:val="nil"/>
            </w:tcBorders>
            <w:tcMar>
              <w:top w:w="15" w:type="dxa"/>
              <w:left w:w="15" w:type="dxa"/>
              <w:bottom w:w="15" w:type="dxa"/>
              <w:right w:w="15" w:type="dxa"/>
            </w:tcMar>
            <w:vAlign w:val="center"/>
          </w:tcPr>
          <w:p w14:paraId="5BC0687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sz w:val="13"/>
                <w:szCs w:val="13"/>
                <w:highlight w:val="none"/>
              </w:rPr>
            </w:pPr>
            <w:r>
              <w:rPr>
                <w:rFonts w:hint="eastAsia" w:ascii="仿宋_GB2312" w:hAnsi="宋体" w:eastAsia="仿宋_GB2312"/>
                <w:color w:val="auto"/>
                <w:kern w:val="0"/>
                <w:sz w:val="13"/>
                <w:szCs w:val="13"/>
                <w:highlight w:val="none"/>
              </w:rPr>
              <w:t>处20万元罚款，由颁发资质证书的部门吊销资质证书。</w:t>
            </w:r>
          </w:p>
        </w:tc>
      </w:tr>
      <w:tr w14:paraId="1CC313A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91" w:hRule="atLeast"/>
          <w:jc w:val="center"/>
        </w:trPr>
        <w:tc>
          <w:tcPr>
            <w:tcW w:w="443" w:type="dxa"/>
            <w:gridSpan w:val="2"/>
            <w:vMerge w:val="restart"/>
            <w:tcBorders>
              <w:tl2br w:val="nil"/>
              <w:tr2bl w:val="nil"/>
            </w:tcBorders>
            <w:tcMar>
              <w:top w:w="15" w:type="dxa"/>
              <w:left w:w="15" w:type="dxa"/>
              <w:bottom w:w="15" w:type="dxa"/>
              <w:right w:w="15" w:type="dxa"/>
            </w:tcMar>
            <w:vAlign w:val="center"/>
          </w:tcPr>
          <w:p w14:paraId="64238AE8">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eastAsia="仿宋_GB2312"/>
                <w:color w:val="auto"/>
                <w:sz w:val="13"/>
                <w:szCs w:val="13"/>
                <w:highlight w:val="none"/>
                <w:lang w:val="en-US" w:eastAsia="zh-CN"/>
              </w:rPr>
            </w:pPr>
            <w:r>
              <w:rPr>
                <w:rFonts w:hint="eastAsia" w:ascii="仿宋_GB2312" w:eastAsia="仿宋_GB2312"/>
                <w:color w:val="auto"/>
                <w:sz w:val="13"/>
                <w:szCs w:val="13"/>
                <w:highlight w:val="none"/>
                <w:lang w:val="en-US" w:eastAsia="zh-CN"/>
              </w:rPr>
              <w:t>210</w:t>
            </w:r>
          </w:p>
        </w:tc>
        <w:tc>
          <w:tcPr>
            <w:tcW w:w="1550" w:type="dxa"/>
            <w:vMerge w:val="restart"/>
            <w:tcBorders>
              <w:tl2br w:val="nil"/>
              <w:tr2bl w:val="nil"/>
            </w:tcBorders>
            <w:tcMar>
              <w:top w:w="15" w:type="dxa"/>
              <w:left w:w="15" w:type="dxa"/>
              <w:bottom w:w="15" w:type="dxa"/>
              <w:right w:w="15" w:type="dxa"/>
            </w:tcMar>
            <w:vAlign w:val="center"/>
          </w:tcPr>
          <w:p w14:paraId="74D7D58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sz w:val="13"/>
                <w:szCs w:val="13"/>
                <w:highlight w:val="none"/>
              </w:rPr>
            </w:pPr>
            <w:r>
              <w:rPr>
                <w:rFonts w:hint="eastAsia" w:ascii="仿宋_GB2312" w:hAnsi="宋体" w:eastAsia="仿宋_GB2312"/>
                <w:color w:val="auto"/>
                <w:kern w:val="0"/>
                <w:sz w:val="13"/>
                <w:szCs w:val="13"/>
                <w:highlight w:val="none"/>
              </w:rPr>
              <w:t>工程监理单位未按照民用建筑节能强制性标准实施监理的</w:t>
            </w:r>
          </w:p>
        </w:tc>
        <w:tc>
          <w:tcPr>
            <w:tcW w:w="4820" w:type="dxa"/>
            <w:vMerge w:val="restart"/>
            <w:tcBorders>
              <w:tl2br w:val="nil"/>
              <w:tr2bl w:val="nil"/>
            </w:tcBorders>
            <w:tcMar>
              <w:top w:w="15" w:type="dxa"/>
              <w:left w:w="15" w:type="dxa"/>
              <w:bottom w:w="15" w:type="dxa"/>
              <w:right w:w="15" w:type="dxa"/>
            </w:tcMar>
            <w:vAlign w:val="center"/>
          </w:tcPr>
          <w:p w14:paraId="22B1A22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《民用建筑节能条例》第四十二条第一款</w:t>
            </w:r>
            <w:r>
              <w:rPr>
                <w:rFonts w:hint="eastAsia" w:ascii="仿宋_GB2312" w:hAnsi="宋体" w:eastAsia="仿宋_GB2312"/>
                <w:color w:val="auto"/>
                <w:kern w:val="0"/>
                <w:sz w:val="13"/>
                <w:szCs w:val="13"/>
                <w:highlight w:val="none"/>
                <w:lang w:eastAsia="zh-CN"/>
              </w:rPr>
              <w:t>（</w:t>
            </w:r>
            <w:r>
              <w:rPr>
                <w:rFonts w:hint="eastAsia" w:ascii="仿宋_GB2312" w:hAnsi="宋体" w:eastAsia="仿宋_GB2312"/>
                <w:color w:val="auto"/>
                <w:kern w:val="0"/>
                <w:sz w:val="13"/>
                <w:szCs w:val="13"/>
                <w:highlight w:val="none"/>
                <w:lang w:val="en-US" w:eastAsia="zh-CN"/>
              </w:rPr>
              <w:t>一</w:t>
            </w:r>
            <w:r>
              <w:rPr>
                <w:rFonts w:hint="eastAsia" w:ascii="仿宋_GB2312" w:hAnsi="宋体" w:eastAsia="仿宋_GB2312"/>
                <w:color w:val="auto"/>
                <w:kern w:val="0"/>
                <w:sz w:val="13"/>
                <w:szCs w:val="13"/>
                <w:highlight w:val="none"/>
                <w:lang w:eastAsia="zh-CN"/>
              </w:rPr>
              <w:t>）</w:t>
            </w:r>
            <w:r>
              <w:rPr>
                <w:rFonts w:hint="eastAsia" w:ascii="仿宋_GB2312" w:hAnsi="宋体" w:eastAsia="仿宋_GB2312"/>
                <w:color w:val="auto"/>
                <w:kern w:val="0"/>
                <w:sz w:val="13"/>
                <w:szCs w:val="13"/>
                <w:highlight w:val="none"/>
              </w:rPr>
              <w:t>项违反本条例规定，工程监理单位有下列行为之一的，由县级以上地方人民政府建设主管部门责令限期改正；逾期未改正的，处10万元以上30万元以下的罚款；情节严重的，由颁发资质证书的部门责令停业整顿，降低资质等级或者吊销资质证书；造成损失的，依法承担赔偿责任：</w:t>
            </w:r>
          </w:p>
          <w:p w14:paraId="5940DE3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0" w:firstLineChars="200"/>
              <w:jc w:val="left"/>
              <w:textAlignment w:val="center"/>
              <w:rPr>
                <w:rFonts w:ascii="仿宋_GB2312" w:hAnsi="宋体" w:eastAsia="仿宋_GB2312"/>
                <w:strike/>
                <w:color w:val="auto"/>
                <w:kern w:val="0"/>
                <w:sz w:val="13"/>
                <w:szCs w:val="13"/>
                <w:highlight w:val="none"/>
              </w:rPr>
            </w:pPr>
            <w:r>
              <w:rPr>
                <w:rFonts w:hint="eastAsia" w:ascii="仿宋_GB2312" w:hAnsi="宋体" w:eastAsia="仿宋_GB2312"/>
                <w:color w:val="auto"/>
                <w:kern w:val="0"/>
                <w:sz w:val="13"/>
                <w:szCs w:val="13"/>
                <w:highlight w:val="none"/>
              </w:rPr>
              <w:t>（一）未按照民用建筑节能强制性标准实施监理的。</w:t>
            </w:r>
          </w:p>
        </w:tc>
        <w:tc>
          <w:tcPr>
            <w:tcW w:w="823" w:type="dxa"/>
            <w:tcBorders>
              <w:tl2br w:val="nil"/>
              <w:tr2bl w:val="nil"/>
            </w:tcBorders>
            <w:tcMar>
              <w:top w:w="15" w:type="dxa"/>
              <w:left w:w="15" w:type="dxa"/>
              <w:bottom w:w="15" w:type="dxa"/>
              <w:right w:w="15" w:type="dxa"/>
            </w:tcMar>
            <w:vAlign w:val="center"/>
          </w:tcPr>
          <w:p w14:paraId="538DF29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tcMar>
              <w:top w:w="15" w:type="dxa"/>
              <w:left w:w="15" w:type="dxa"/>
              <w:bottom w:w="15" w:type="dxa"/>
              <w:right w:w="15" w:type="dxa"/>
            </w:tcMar>
            <w:vAlign w:val="center"/>
          </w:tcPr>
          <w:p w14:paraId="0A80E83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sz w:val="13"/>
                <w:szCs w:val="13"/>
                <w:highlight w:val="none"/>
              </w:rPr>
            </w:pPr>
            <w:r>
              <w:rPr>
                <w:rFonts w:hint="eastAsia" w:ascii="仿宋_GB2312" w:hAnsi="宋体" w:eastAsia="仿宋_GB2312"/>
                <w:color w:val="auto"/>
                <w:sz w:val="13"/>
                <w:szCs w:val="13"/>
                <w:highlight w:val="none"/>
              </w:rPr>
              <w:t>同一项目中，未按照1条民用建筑节能强制性标准实施监理的。</w:t>
            </w:r>
          </w:p>
        </w:tc>
        <w:tc>
          <w:tcPr>
            <w:tcW w:w="3058" w:type="dxa"/>
            <w:tcBorders>
              <w:tl2br w:val="nil"/>
              <w:tr2bl w:val="nil"/>
            </w:tcBorders>
            <w:tcMar>
              <w:top w:w="15" w:type="dxa"/>
              <w:left w:w="15" w:type="dxa"/>
              <w:bottom w:w="15" w:type="dxa"/>
              <w:right w:w="15" w:type="dxa"/>
            </w:tcMar>
            <w:vAlign w:val="center"/>
          </w:tcPr>
          <w:p w14:paraId="2FF0456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sz w:val="13"/>
                <w:szCs w:val="13"/>
                <w:highlight w:val="none"/>
              </w:rPr>
            </w:pPr>
            <w:r>
              <w:rPr>
                <w:rFonts w:hint="eastAsia" w:ascii="仿宋_GB2312" w:hAnsi="宋体" w:eastAsia="仿宋_GB2312"/>
                <w:color w:val="auto"/>
                <w:sz w:val="13"/>
                <w:szCs w:val="13"/>
                <w:highlight w:val="none"/>
              </w:rPr>
              <w:t>责令改正，处10万元罚款。</w:t>
            </w:r>
          </w:p>
        </w:tc>
      </w:tr>
      <w:tr w14:paraId="492A05F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25" w:hRule="atLeast"/>
          <w:jc w:val="center"/>
        </w:trPr>
        <w:tc>
          <w:tcPr>
            <w:tcW w:w="443" w:type="dxa"/>
            <w:gridSpan w:val="2"/>
            <w:vMerge w:val="continue"/>
            <w:tcBorders>
              <w:tl2br w:val="nil"/>
              <w:tr2bl w:val="nil"/>
            </w:tcBorders>
            <w:vAlign w:val="center"/>
          </w:tcPr>
          <w:p w14:paraId="2BA901C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rPr>
                <w:rFonts w:ascii="仿宋_GB2312" w:eastAsia="仿宋_GB2312"/>
                <w:color w:val="auto"/>
                <w:sz w:val="13"/>
                <w:szCs w:val="13"/>
                <w:highlight w:val="none"/>
              </w:rPr>
            </w:pPr>
          </w:p>
        </w:tc>
        <w:tc>
          <w:tcPr>
            <w:tcW w:w="1550" w:type="dxa"/>
            <w:vMerge w:val="continue"/>
            <w:tcBorders>
              <w:tl2br w:val="nil"/>
              <w:tr2bl w:val="nil"/>
            </w:tcBorders>
            <w:vAlign w:val="center"/>
          </w:tcPr>
          <w:p w14:paraId="6DFF464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sz w:val="13"/>
                <w:szCs w:val="13"/>
                <w:highlight w:val="none"/>
              </w:rPr>
            </w:pPr>
          </w:p>
        </w:tc>
        <w:tc>
          <w:tcPr>
            <w:tcW w:w="4820" w:type="dxa"/>
            <w:vMerge w:val="continue"/>
            <w:tcBorders>
              <w:tl2br w:val="nil"/>
              <w:tr2bl w:val="nil"/>
            </w:tcBorders>
            <w:vAlign w:val="center"/>
          </w:tcPr>
          <w:p w14:paraId="42E3C67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p>
        </w:tc>
        <w:tc>
          <w:tcPr>
            <w:tcW w:w="823" w:type="dxa"/>
            <w:tcBorders>
              <w:tl2br w:val="nil"/>
              <w:tr2bl w:val="nil"/>
            </w:tcBorders>
            <w:tcMar>
              <w:top w:w="15" w:type="dxa"/>
              <w:left w:w="15" w:type="dxa"/>
              <w:bottom w:w="15" w:type="dxa"/>
              <w:right w:w="15" w:type="dxa"/>
            </w:tcMar>
            <w:vAlign w:val="center"/>
          </w:tcPr>
          <w:p w14:paraId="3FA2A65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一般情节</w:t>
            </w:r>
          </w:p>
        </w:tc>
        <w:tc>
          <w:tcPr>
            <w:tcW w:w="3437" w:type="dxa"/>
            <w:gridSpan w:val="2"/>
            <w:tcBorders>
              <w:tl2br w:val="nil"/>
              <w:tr2bl w:val="nil"/>
            </w:tcBorders>
            <w:tcMar>
              <w:top w:w="15" w:type="dxa"/>
              <w:left w:w="15" w:type="dxa"/>
              <w:bottom w:w="15" w:type="dxa"/>
              <w:right w:w="15" w:type="dxa"/>
            </w:tcMar>
            <w:vAlign w:val="center"/>
          </w:tcPr>
          <w:p w14:paraId="6C0B019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sz w:val="13"/>
                <w:szCs w:val="13"/>
                <w:highlight w:val="none"/>
              </w:rPr>
            </w:pPr>
            <w:r>
              <w:rPr>
                <w:rFonts w:hint="eastAsia" w:ascii="仿宋_GB2312" w:hAnsi="宋体" w:eastAsia="仿宋_GB2312"/>
                <w:color w:val="auto"/>
                <w:sz w:val="13"/>
                <w:szCs w:val="13"/>
                <w:highlight w:val="none"/>
              </w:rPr>
              <w:t>（1）同一项目中，未按照</w:t>
            </w:r>
            <w:r>
              <w:rPr>
                <w:rFonts w:ascii="仿宋_GB2312" w:hAnsi="宋体" w:eastAsia="仿宋_GB2312"/>
                <w:color w:val="auto"/>
                <w:sz w:val="13"/>
                <w:szCs w:val="13"/>
                <w:highlight w:val="none"/>
              </w:rPr>
              <w:t>2</w:t>
            </w:r>
            <w:r>
              <w:rPr>
                <w:rFonts w:hint="eastAsia" w:ascii="仿宋_GB2312" w:hAnsi="宋体" w:eastAsia="仿宋_GB2312"/>
                <w:color w:val="auto"/>
                <w:sz w:val="13"/>
                <w:szCs w:val="13"/>
                <w:highlight w:val="none"/>
              </w:rPr>
              <w:t>条民用建筑节能强制性标准实施监理的；（2）</w:t>
            </w:r>
            <w:r>
              <w:rPr>
                <w:rFonts w:ascii="仿宋_GB2312" w:hAnsi="宋体" w:eastAsia="仿宋_GB2312"/>
                <w:color w:val="auto"/>
                <w:sz w:val="13"/>
                <w:szCs w:val="13"/>
                <w:highlight w:val="none"/>
              </w:rPr>
              <w:t>1</w:t>
            </w:r>
            <w:r>
              <w:rPr>
                <w:rFonts w:hint="eastAsia" w:ascii="仿宋_GB2312" w:hAnsi="宋体" w:eastAsia="仿宋_GB2312"/>
                <w:color w:val="auto"/>
                <w:sz w:val="13"/>
                <w:szCs w:val="13"/>
                <w:highlight w:val="none"/>
              </w:rPr>
              <w:t>次未按照民用建筑节能强制性标准进行监理的。</w:t>
            </w:r>
          </w:p>
        </w:tc>
        <w:tc>
          <w:tcPr>
            <w:tcW w:w="3058" w:type="dxa"/>
            <w:tcBorders>
              <w:tl2br w:val="nil"/>
              <w:tr2bl w:val="nil"/>
            </w:tcBorders>
            <w:tcMar>
              <w:top w:w="15" w:type="dxa"/>
              <w:left w:w="15" w:type="dxa"/>
              <w:bottom w:w="15" w:type="dxa"/>
              <w:right w:w="15" w:type="dxa"/>
            </w:tcMar>
            <w:vAlign w:val="center"/>
          </w:tcPr>
          <w:p w14:paraId="352DD89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sz w:val="13"/>
                <w:szCs w:val="13"/>
                <w:highlight w:val="none"/>
              </w:rPr>
            </w:pPr>
            <w:r>
              <w:rPr>
                <w:rFonts w:hint="eastAsia" w:ascii="仿宋_GB2312" w:hAnsi="宋体" w:eastAsia="仿宋_GB2312"/>
                <w:color w:val="auto"/>
                <w:kern w:val="0"/>
                <w:sz w:val="13"/>
                <w:szCs w:val="13"/>
                <w:highlight w:val="none"/>
              </w:rPr>
              <w:t>责令改正，处</w:t>
            </w:r>
            <w:r>
              <w:rPr>
                <w:rFonts w:ascii="仿宋_GB2312" w:hAnsi="宋体" w:eastAsia="仿宋_GB2312"/>
                <w:color w:val="auto"/>
                <w:kern w:val="0"/>
                <w:sz w:val="13"/>
                <w:szCs w:val="13"/>
                <w:highlight w:val="none"/>
              </w:rPr>
              <w:t>1</w:t>
            </w:r>
            <w:r>
              <w:rPr>
                <w:rFonts w:hint="eastAsia" w:ascii="仿宋_GB2312" w:hAnsi="宋体" w:eastAsia="仿宋_GB2312"/>
                <w:color w:val="auto"/>
                <w:kern w:val="0"/>
                <w:sz w:val="13"/>
                <w:szCs w:val="13"/>
                <w:highlight w:val="none"/>
              </w:rPr>
              <w:t>0万元以上</w:t>
            </w:r>
            <w:r>
              <w:rPr>
                <w:rFonts w:hint="eastAsia" w:ascii="仿宋_GB2312" w:eastAsia="仿宋_GB2312"/>
                <w:color w:val="auto"/>
                <w:sz w:val="13"/>
                <w:szCs w:val="13"/>
                <w:highlight w:val="none"/>
              </w:rPr>
              <w:t>30</w:t>
            </w:r>
            <w:r>
              <w:rPr>
                <w:rFonts w:hint="eastAsia" w:ascii="仿宋_GB2312" w:hAnsi="宋体" w:eastAsia="仿宋_GB2312"/>
                <w:color w:val="auto"/>
                <w:sz w:val="13"/>
                <w:szCs w:val="13"/>
                <w:highlight w:val="none"/>
              </w:rPr>
              <w:t>万元以下的罚款。</w:t>
            </w:r>
          </w:p>
        </w:tc>
      </w:tr>
      <w:tr w14:paraId="1FC8E63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426" w:hRule="atLeast"/>
          <w:jc w:val="center"/>
        </w:trPr>
        <w:tc>
          <w:tcPr>
            <w:tcW w:w="443" w:type="dxa"/>
            <w:gridSpan w:val="2"/>
            <w:vMerge w:val="continue"/>
            <w:tcBorders>
              <w:tl2br w:val="nil"/>
              <w:tr2bl w:val="nil"/>
            </w:tcBorders>
            <w:vAlign w:val="center"/>
          </w:tcPr>
          <w:p w14:paraId="33F3DDB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rPr>
                <w:rFonts w:ascii="仿宋_GB2312" w:eastAsia="仿宋_GB2312"/>
                <w:color w:val="auto"/>
                <w:sz w:val="13"/>
                <w:szCs w:val="13"/>
                <w:highlight w:val="none"/>
              </w:rPr>
            </w:pPr>
          </w:p>
        </w:tc>
        <w:tc>
          <w:tcPr>
            <w:tcW w:w="1550" w:type="dxa"/>
            <w:vMerge w:val="continue"/>
            <w:tcBorders>
              <w:tl2br w:val="nil"/>
              <w:tr2bl w:val="nil"/>
            </w:tcBorders>
            <w:vAlign w:val="center"/>
          </w:tcPr>
          <w:p w14:paraId="617BFAA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sz w:val="13"/>
                <w:szCs w:val="13"/>
                <w:highlight w:val="none"/>
              </w:rPr>
            </w:pPr>
          </w:p>
        </w:tc>
        <w:tc>
          <w:tcPr>
            <w:tcW w:w="4820" w:type="dxa"/>
            <w:vMerge w:val="continue"/>
            <w:tcBorders>
              <w:tl2br w:val="nil"/>
              <w:tr2bl w:val="nil"/>
            </w:tcBorders>
            <w:vAlign w:val="center"/>
          </w:tcPr>
          <w:p w14:paraId="2EA1E8D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p>
        </w:tc>
        <w:tc>
          <w:tcPr>
            <w:tcW w:w="823" w:type="dxa"/>
            <w:vMerge w:val="restart"/>
            <w:tcBorders>
              <w:tl2br w:val="nil"/>
              <w:tr2bl w:val="nil"/>
            </w:tcBorders>
            <w:tcMar>
              <w:top w:w="15" w:type="dxa"/>
              <w:left w:w="15" w:type="dxa"/>
              <w:bottom w:w="15" w:type="dxa"/>
              <w:right w:w="15" w:type="dxa"/>
            </w:tcMar>
            <w:vAlign w:val="center"/>
          </w:tcPr>
          <w:p w14:paraId="77D6DAA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从重情节</w:t>
            </w:r>
          </w:p>
        </w:tc>
        <w:tc>
          <w:tcPr>
            <w:tcW w:w="3437" w:type="dxa"/>
            <w:gridSpan w:val="2"/>
            <w:tcBorders>
              <w:tl2br w:val="nil"/>
              <w:tr2bl w:val="nil"/>
            </w:tcBorders>
            <w:tcMar>
              <w:top w:w="15" w:type="dxa"/>
              <w:left w:w="15" w:type="dxa"/>
              <w:bottom w:w="15" w:type="dxa"/>
              <w:right w:w="15" w:type="dxa"/>
            </w:tcMar>
            <w:vAlign w:val="center"/>
          </w:tcPr>
          <w:p w14:paraId="7CF7A5AC">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strike/>
                <w:color w:val="auto"/>
                <w:sz w:val="13"/>
                <w:szCs w:val="13"/>
                <w:highlight w:val="none"/>
              </w:rPr>
            </w:pPr>
            <w:r>
              <w:rPr>
                <w:rFonts w:hint="eastAsia" w:ascii="仿宋_GB2312" w:hAnsi="宋体" w:eastAsia="仿宋_GB2312"/>
                <w:color w:val="auto"/>
                <w:kern w:val="0"/>
                <w:sz w:val="13"/>
                <w:szCs w:val="13"/>
                <w:highlight w:val="none"/>
              </w:rPr>
              <w:t>（1）</w:t>
            </w:r>
            <w:r>
              <w:rPr>
                <w:rFonts w:hint="eastAsia" w:ascii="仿宋" w:hAnsi="仿宋" w:eastAsia="仿宋"/>
                <w:color w:val="auto"/>
                <w:kern w:val="0"/>
                <w:sz w:val="13"/>
                <w:szCs w:val="13"/>
                <w:highlight w:val="none"/>
              </w:rPr>
              <w:t>①</w:t>
            </w:r>
            <w:r>
              <w:rPr>
                <w:rFonts w:hint="eastAsia" w:ascii="仿宋_GB2312" w:hAnsi="宋体" w:eastAsia="仿宋_GB2312"/>
                <w:color w:val="auto"/>
                <w:sz w:val="13"/>
                <w:szCs w:val="13"/>
                <w:highlight w:val="none"/>
              </w:rPr>
              <w:t>同一项目中，未按照</w:t>
            </w:r>
            <w:r>
              <w:rPr>
                <w:rFonts w:ascii="仿宋_GB2312" w:hAnsi="宋体" w:eastAsia="仿宋_GB2312"/>
                <w:color w:val="auto"/>
                <w:sz w:val="13"/>
                <w:szCs w:val="13"/>
                <w:highlight w:val="none"/>
              </w:rPr>
              <w:t>3</w:t>
            </w:r>
            <w:r>
              <w:rPr>
                <w:rFonts w:hint="eastAsia" w:ascii="仿宋_GB2312" w:hAnsi="宋体" w:eastAsia="仿宋_GB2312"/>
                <w:color w:val="auto"/>
                <w:sz w:val="13"/>
                <w:szCs w:val="13"/>
                <w:highlight w:val="none"/>
              </w:rPr>
              <w:t>条以上5条以下民用建筑节能强制性标准进行监理的；</w:t>
            </w:r>
            <w:r>
              <w:rPr>
                <w:rFonts w:hint="eastAsia" w:ascii="仿宋" w:hAnsi="仿宋" w:eastAsia="仿宋"/>
                <w:color w:val="auto"/>
                <w:sz w:val="13"/>
                <w:szCs w:val="13"/>
                <w:highlight w:val="none"/>
              </w:rPr>
              <w:t>②</w:t>
            </w:r>
            <w:r>
              <w:rPr>
                <w:rFonts w:hint="eastAsia" w:ascii="仿宋_GB2312" w:hAnsi="宋体" w:eastAsia="仿宋_GB2312"/>
                <w:color w:val="auto"/>
                <w:sz w:val="13"/>
                <w:szCs w:val="13"/>
                <w:highlight w:val="none"/>
              </w:rPr>
              <w:t>2次未按照民用建筑节能强制性标准进行监理的。</w:t>
            </w:r>
          </w:p>
        </w:tc>
        <w:tc>
          <w:tcPr>
            <w:tcW w:w="3058" w:type="dxa"/>
            <w:tcBorders>
              <w:tl2br w:val="nil"/>
              <w:tr2bl w:val="nil"/>
            </w:tcBorders>
            <w:tcMar>
              <w:top w:w="15" w:type="dxa"/>
              <w:left w:w="15" w:type="dxa"/>
              <w:bottom w:w="15" w:type="dxa"/>
              <w:right w:w="15" w:type="dxa"/>
            </w:tcMar>
            <w:vAlign w:val="center"/>
          </w:tcPr>
          <w:p w14:paraId="4499D245">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strike/>
                <w:color w:val="auto"/>
                <w:sz w:val="13"/>
                <w:szCs w:val="13"/>
                <w:highlight w:val="none"/>
              </w:rPr>
            </w:pPr>
            <w:r>
              <w:rPr>
                <w:rFonts w:hint="eastAsia" w:ascii="仿宋_GB2312" w:hAnsi="宋体" w:eastAsia="仿宋_GB2312"/>
                <w:color w:val="auto"/>
                <w:kern w:val="0"/>
                <w:sz w:val="13"/>
                <w:szCs w:val="13"/>
                <w:highlight w:val="none"/>
              </w:rPr>
              <w:t>处30万元罚款，由颁发资质证书的部门责令停业整顿</w:t>
            </w:r>
            <w:r>
              <w:rPr>
                <w:rFonts w:hint="eastAsia" w:ascii="仿宋_GB2312" w:hAnsi="宋体" w:eastAsia="仿宋_GB2312"/>
                <w:color w:val="auto"/>
                <w:kern w:val="0"/>
                <w:sz w:val="13"/>
                <w:szCs w:val="13"/>
                <w:highlight w:val="none"/>
                <w:lang w:eastAsia="zh-CN"/>
              </w:rPr>
              <w:t>30日-</w:t>
            </w:r>
            <w:r>
              <w:rPr>
                <w:rFonts w:ascii="仿宋_GB2312" w:hAnsi="宋体" w:eastAsia="仿宋_GB2312"/>
                <w:color w:val="auto"/>
                <w:kern w:val="0"/>
                <w:sz w:val="13"/>
                <w:szCs w:val="13"/>
                <w:highlight w:val="none"/>
              </w:rPr>
              <w:t>90日</w:t>
            </w:r>
            <w:r>
              <w:rPr>
                <w:rFonts w:hint="eastAsia" w:ascii="仿宋_GB2312" w:hAnsi="宋体" w:eastAsia="仿宋_GB2312"/>
                <w:color w:val="auto"/>
                <w:kern w:val="0"/>
                <w:sz w:val="13"/>
                <w:szCs w:val="13"/>
                <w:highlight w:val="none"/>
              </w:rPr>
              <w:t>。</w:t>
            </w:r>
          </w:p>
        </w:tc>
      </w:tr>
      <w:tr w14:paraId="79C3C72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25" w:hRule="atLeast"/>
          <w:jc w:val="center"/>
        </w:trPr>
        <w:tc>
          <w:tcPr>
            <w:tcW w:w="443" w:type="dxa"/>
            <w:gridSpan w:val="2"/>
            <w:vMerge w:val="continue"/>
            <w:tcBorders>
              <w:tl2br w:val="nil"/>
              <w:tr2bl w:val="nil"/>
            </w:tcBorders>
            <w:vAlign w:val="center"/>
          </w:tcPr>
          <w:p w14:paraId="4A37314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rPr>
                <w:rFonts w:ascii="仿宋_GB2312" w:eastAsia="仿宋_GB2312"/>
                <w:color w:val="auto"/>
                <w:sz w:val="13"/>
                <w:szCs w:val="13"/>
                <w:highlight w:val="none"/>
              </w:rPr>
            </w:pPr>
          </w:p>
        </w:tc>
        <w:tc>
          <w:tcPr>
            <w:tcW w:w="1550" w:type="dxa"/>
            <w:vMerge w:val="continue"/>
            <w:tcBorders>
              <w:tl2br w:val="nil"/>
              <w:tr2bl w:val="nil"/>
            </w:tcBorders>
            <w:vAlign w:val="center"/>
          </w:tcPr>
          <w:p w14:paraId="0C0788D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sz w:val="13"/>
                <w:szCs w:val="13"/>
                <w:highlight w:val="none"/>
              </w:rPr>
            </w:pPr>
          </w:p>
        </w:tc>
        <w:tc>
          <w:tcPr>
            <w:tcW w:w="4820" w:type="dxa"/>
            <w:vMerge w:val="continue"/>
            <w:tcBorders>
              <w:tl2br w:val="nil"/>
              <w:tr2bl w:val="nil"/>
            </w:tcBorders>
            <w:vAlign w:val="center"/>
          </w:tcPr>
          <w:p w14:paraId="1E5C91F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p>
        </w:tc>
        <w:tc>
          <w:tcPr>
            <w:tcW w:w="823" w:type="dxa"/>
            <w:vMerge w:val="continue"/>
            <w:tcBorders>
              <w:tl2br w:val="nil"/>
              <w:tr2bl w:val="nil"/>
            </w:tcBorders>
            <w:tcMar>
              <w:top w:w="15" w:type="dxa"/>
              <w:left w:w="15" w:type="dxa"/>
              <w:bottom w:w="15" w:type="dxa"/>
              <w:right w:w="15" w:type="dxa"/>
            </w:tcMar>
            <w:vAlign w:val="center"/>
          </w:tcPr>
          <w:p w14:paraId="64FBC1C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3437" w:type="dxa"/>
            <w:gridSpan w:val="2"/>
            <w:tcBorders>
              <w:tl2br w:val="nil"/>
              <w:tr2bl w:val="nil"/>
            </w:tcBorders>
            <w:tcMar>
              <w:top w:w="15" w:type="dxa"/>
              <w:left w:w="15" w:type="dxa"/>
              <w:bottom w:w="15" w:type="dxa"/>
              <w:right w:w="15" w:type="dxa"/>
            </w:tcMar>
            <w:vAlign w:val="center"/>
          </w:tcPr>
          <w:p w14:paraId="1EC12D08">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w:t>
            </w:r>
            <w:r>
              <w:rPr>
                <w:rFonts w:ascii="仿宋_GB2312" w:hAnsi="宋体" w:eastAsia="仿宋_GB2312"/>
                <w:color w:val="auto"/>
                <w:kern w:val="0"/>
                <w:sz w:val="13"/>
                <w:szCs w:val="13"/>
                <w:highlight w:val="none"/>
              </w:rPr>
              <w:t>2</w:t>
            </w:r>
            <w:r>
              <w:rPr>
                <w:rFonts w:hint="eastAsia" w:ascii="仿宋_GB2312" w:hAnsi="宋体" w:eastAsia="仿宋_GB2312"/>
                <w:color w:val="auto"/>
                <w:kern w:val="0"/>
                <w:sz w:val="13"/>
                <w:szCs w:val="13"/>
                <w:highlight w:val="none"/>
              </w:rPr>
              <w:t>）</w:t>
            </w:r>
            <w:r>
              <w:rPr>
                <w:rFonts w:hint="eastAsia" w:ascii="仿宋" w:hAnsi="仿宋" w:eastAsia="仿宋"/>
                <w:color w:val="auto"/>
                <w:kern w:val="0"/>
                <w:sz w:val="13"/>
                <w:szCs w:val="13"/>
                <w:highlight w:val="none"/>
              </w:rPr>
              <w:t>①</w:t>
            </w:r>
            <w:r>
              <w:rPr>
                <w:rFonts w:hint="eastAsia" w:ascii="仿宋_GB2312" w:hAnsi="宋体" w:eastAsia="仿宋_GB2312"/>
                <w:color w:val="auto"/>
                <w:kern w:val="0"/>
                <w:sz w:val="13"/>
                <w:szCs w:val="13"/>
                <w:highlight w:val="none"/>
              </w:rPr>
              <w:t>同一项目中，未按照5条以上10条以下民用建筑节能强制性标准进行监理的；</w:t>
            </w:r>
            <w:r>
              <w:rPr>
                <w:rFonts w:hint="eastAsia" w:ascii="仿宋" w:hAnsi="仿宋" w:eastAsia="仿宋"/>
                <w:color w:val="auto"/>
                <w:kern w:val="0"/>
                <w:sz w:val="13"/>
                <w:szCs w:val="13"/>
                <w:highlight w:val="none"/>
              </w:rPr>
              <w:t>②</w:t>
            </w:r>
            <w:r>
              <w:rPr>
                <w:rFonts w:hint="eastAsia" w:ascii="仿宋_GB2312" w:hAnsi="宋体" w:eastAsia="仿宋_GB2312"/>
                <w:color w:val="auto"/>
                <w:kern w:val="0"/>
                <w:sz w:val="13"/>
                <w:szCs w:val="13"/>
                <w:highlight w:val="none"/>
              </w:rPr>
              <w:t>3次未按照民用建筑节能强制性标准进行监理的。</w:t>
            </w:r>
          </w:p>
        </w:tc>
        <w:tc>
          <w:tcPr>
            <w:tcW w:w="3058" w:type="dxa"/>
            <w:tcBorders>
              <w:tl2br w:val="nil"/>
              <w:tr2bl w:val="nil"/>
            </w:tcBorders>
            <w:tcMar>
              <w:top w:w="15" w:type="dxa"/>
              <w:left w:w="15" w:type="dxa"/>
              <w:bottom w:w="15" w:type="dxa"/>
              <w:right w:w="15" w:type="dxa"/>
            </w:tcMar>
            <w:vAlign w:val="center"/>
          </w:tcPr>
          <w:p w14:paraId="1512D3FF">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处30万元罚款，由颁发资质证书的部门降低资质等级。</w:t>
            </w:r>
          </w:p>
        </w:tc>
      </w:tr>
      <w:tr w14:paraId="24F8007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25" w:hRule="atLeast"/>
          <w:jc w:val="center"/>
        </w:trPr>
        <w:tc>
          <w:tcPr>
            <w:tcW w:w="443" w:type="dxa"/>
            <w:gridSpan w:val="2"/>
            <w:vMerge w:val="continue"/>
            <w:tcBorders>
              <w:tl2br w:val="nil"/>
              <w:tr2bl w:val="nil"/>
            </w:tcBorders>
            <w:vAlign w:val="center"/>
          </w:tcPr>
          <w:p w14:paraId="357149E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rPr>
                <w:rFonts w:ascii="仿宋_GB2312" w:eastAsia="仿宋_GB2312"/>
                <w:color w:val="auto"/>
                <w:sz w:val="13"/>
                <w:szCs w:val="13"/>
                <w:highlight w:val="none"/>
              </w:rPr>
            </w:pPr>
          </w:p>
        </w:tc>
        <w:tc>
          <w:tcPr>
            <w:tcW w:w="1550" w:type="dxa"/>
            <w:vMerge w:val="continue"/>
            <w:tcBorders>
              <w:tl2br w:val="nil"/>
              <w:tr2bl w:val="nil"/>
            </w:tcBorders>
            <w:vAlign w:val="center"/>
          </w:tcPr>
          <w:p w14:paraId="1F7A33F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sz w:val="13"/>
                <w:szCs w:val="13"/>
                <w:highlight w:val="none"/>
              </w:rPr>
            </w:pPr>
          </w:p>
        </w:tc>
        <w:tc>
          <w:tcPr>
            <w:tcW w:w="4820" w:type="dxa"/>
            <w:vMerge w:val="continue"/>
            <w:tcBorders>
              <w:tl2br w:val="nil"/>
              <w:tr2bl w:val="nil"/>
            </w:tcBorders>
            <w:vAlign w:val="center"/>
          </w:tcPr>
          <w:p w14:paraId="40B485B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sz w:val="13"/>
                <w:szCs w:val="13"/>
                <w:highlight w:val="none"/>
              </w:rPr>
            </w:pPr>
          </w:p>
        </w:tc>
        <w:tc>
          <w:tcPr>
            <w:tcW w:w="823" w:type="dxa"/>
            <w:vMerge w:val="continue"/>
            <w:tcBorders>
              <w:tl2br w:val="nil"/>
              <w:tr2bl w:val="nil"/>
            </w:tcBorders>
            <w:vAlign w:val="center"/>
          </w:tcPr>
          <w:p w14:paraId="02F8CAE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sz w:val="13"/>
                <w:szCs w:val="13"/>
                <w:highlight w:val="none"/>
              </w:rPr>
            </w:pPr>
          </w:p>
        </w:tc>
        <w:tc>
          <w:tcPr>
            <w:tcW w:w="3437" w:type="dxa"/>
            <w:gridSpan w:val="2"/>
            <w:tcBorders>
              <w:tl2br w:val="nil"/>
              <w:tr2bl w:val="nil"/>
            </w:tcBorders>
            <w:tcMar>
              <w:top w:w="15" w:type="dxa"/>
              <w:left w:w="15" w:type="dxa"/>
              <w:bottom w:w="15" w:type="dxa"/>
              <w:right w:w="15" w:type="dxa"/>
            </w:tcMar>
            <w:vAlign w:val="center"/>
          </w:tcPr>
          <w:p w14:paraId="38AE0B0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sz w:val="13"/>
                <w:szCs w:val="13"/>
                <w:highlight w:val="none"/>
              </w:rPr>
            </w:pPr>
            <w:r>
              <w:rPr>
                <w:rFonts w:hint="eastAsia" w:ascii="仿宋_GB2312" w:hAnsi="宋体" w:eastAsia="仿宋_GB2312"/>
                <w:color w:val="auto"/>
                <w:kern w:val="0"/>
                <w:sz w:val="13"/>
                <w:szCs w:val="13"/>
                <w:highlight w:val="none"/>
              </w:rPr>
              <w:t>（</w:t>
            </w:r>
            <w:r>
              <w:rPr>
                <w:rFonts w:ascii="仿宋_GB2312" w:hAnsi="宋体" w:eastAsia="仿宋_GB2312"/>
                <w:color w:val="auto"/>
                <w:kern w:val="0"/>
                <w:sz w:val="13"/>
                <w:szCs w:val="13"/>
                <w:highlight w:val="none"/>
              </w:rPr>
              <w:t>3</w:t>
            </w:r>
            <w:r>
              <w:rPr>
                <w:rFonts w:hint="eastAsia" w:ascii="仿宋_GB2312" w:hAnsi="宋体" w:eastAsia="仿宋_GB2312"/>
                <w:color w:val="auto"/>
                <w:kern w:val="0"/>
                <w:sz w:val="13"/>
                <w:szCs w:val="13"/>
                <w:highlight w:val="none"/>
              </w:rPr>
              <w:t>）</w:t>
            </w:r>
            <w:r>
              <w:rPr>
                <w:rFonts w:hint="eastAsia" w:ascii="仿宋" w:hAnsi="仿宋" w:eastAsia="仿宋"/>
                <w:color w:val="auto"/>
                <w:kern w:val="0"/>
                <w:sz w:val="13"/>
                <w:szCs w:val="13"/>
                <w:highlight w:val="none"/>
              </w:rPr>
              <w:t>①</w:t>
            </w:r>
            <w:r>
              <w:rPr>
                <w:rFonts w:hint="eastAsia" w:ascii="仿宋_GB2312" w:hAnsi="宋体" w:eastAsia="仿宋_GB2312"/>
                <w:color w:val="auto"/>
                <w:kern w:val="0"/>
                <w:sz w:val="13"/>
                <w:szCs w:val="13"/>
                <w:highlight w:val="none"/>
              </w:rPr>
              <w:t>同一项目中，未按照10条以上民用建筑节能强制性标准进行监理的；</w:t>
            </w:r>
            <w:r>
              <w:rPr>
                <w:rFonts w:hint="eastAsia" w:ascii="仿宋" w:hAnsi="仿宋" w:eastAsia="仿宋"/>
                <w:color w:val="auto"/>
                <w:kern w:val="0"/>
                <w:sz w:val="13"/>
                <w:szCs w:val="13"/>
                <w:highlight w:val="none"/>
              </w:rPr>
              <w:t>②</w:t>
            </w:r>
            <w:r>
              <w:rPr>
                <w:rFonts w:hint="eastAsia" w:ascii="仿宋_GB2312" w:hAnsi="宋体" w:eastAsia="仿宋_GB2312"/>
                <w:color w:val="auto"/>
                <w:kern w:val="0"/>
                <w:sz w:val="13"/>
                <w:szCs w:val="13"/>
                <w:highlight w:val="none"/>
              </w:rPr>
              <w:t>4次以上未按照民用建筑节能强制性标准进行监理的。</w:t>
            </w:r>
          </w:p>
        </w:tc>
        <w:tc>
          <w:tcPr>
            <w:tcW w:w="3058" w:type="dxa"/>
            <w:tcBorders>
              <w:tl2br w:val="nil"/>
              <w:tr2bl w:val="nil"/>
            </w:tcBorders>
            <w:tcMar>
              <w:top w:w="15" w:type="dxa"/>
              <w:left w:w="15" w:type="dxa"/>
              <w:bottom w:w="15" w:type="dxa"/>
              <w:right w:w="15" w:type="dxa"/>
            </w:tcMar>
            <w:vAlign w:val="center"/>
          </w:tcPr>
          <w:p w14:paraId="24B78B6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sz w:val="13"/>
                <w:szCs w:val="13"/>
                <w:highlight w:val="none"/>
              </w:rPr>
            </w:pPr>
            <w:r>
              <w:rPr>
                <w:rFonts w:hint="eastAsia" w:ascii="仿宋_GB2312" w:hAnsi="宋体" w:eastAsia="仿宋_GB2312"/>
                <w:color w:val="auto"/>
                <w:kern w:val="0"/>
                <w:sz w:val="13"/>
                <w:szCs w:val="13"/>
                <w:highlight w:val="none"/>
              </w:rPr>
              <w:t>处30万元罚款，由颁发资质证书的部门吊销资质证书。</w:t>
            </w:r>
          </w:p>
        </w:tc>
      </w:tr>
      <w:tr w14:paraId="04F651B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9" w:hRule="atLeast"/>
          <w:jc w:val="center"/>
        </w:trPr>
        <w:tc>
          <w:tcPr>
            <w:tcW w:w="443" w:type="dxa"/>
            <w:gridSpan w:val="2"/>
            <w:vMerge w:val="restart"/>
            <w:tcBorders>
              <w:tl2br w:val="nil"/>
              <w:tr2bl w:val="nil"/>
            </w:tcBorders>
            <w:vAlign w:val="center"/>
          </w:tcPr>
          <w:p w14:paraId="561F2BA8">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eastAsia="仿宋_GB2312"/>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211</w:t>
            </w:r>
          </w:p>
        </w:tc>
        <w:tc>
          <w:tcPr>
            <w:tcW w:w="1550" w:type="dxa"/>
            <w:vMerge w:val="restart"/>
            <w:tcBorders>
              <w:tl2br w:val="nil"/>
              <w:tr2bl w:val="nil"/>
            </w:tcBorders>
            <w:vAlign w:val="center"/>
          </w:tcPr>
          <w:p w14:paraId="42C1D1C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sz w:val="13"/>
                <w:szCs w:val="13"/>
                <w:highlight w:val="none"/>
              </w:rPr>
            </w:pPr>
            <w:r>
              <w:rPr>
                <w:rFonts w:hint="eastAsia" w:ascii="仿宋_GB2312" w:hAnsi="宋体" w:eastAsia="仿宋_GB2312"/>
                <w:color w:val="auto"/>
                <w:sz w:val="13"/>
                <w:szCs w:val="13"/>
                <w:highlight w:val="none"/>
              </w:rPr>
              <w:t>墙体、屋面的保温工程施工时，工程监理单位未采取旁站、巡视和平行检验等形式实施监理的</w:t>
            </w:r>
          </w:p>
        </w:tc>
        <w:tc>
          <w:tcPr>
            <w:tcW w:w="4820" w:type="dxa"/>
            <w:vMerge w:val="restart"/>
            <w:tcBorders>
              <w:tl2br w:val="nil"/>
              <w:tr2bl w:val="nil"/>
            </w:tcBorders>
            <w:vAlign w:val="center"/>
          </w:tcPr>
          <w:p w14:paraId="1E523B4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sz w:val="13"/>
                <w:szCs w:val="13"/>
                <w:highlight w:val="none"/>
              </w:rPr>
            </w:pPr>
            <w:r>
              <w:rPr>
                <w:rFonts w:hint="eastAsia" w:ascii="仿宋_GB2312" w:hAnsi="宋体" w:eastAsia="仿宋_GB2312"/>
                <w:color w:val="auto"/>
                <w:sz w:val="13"/>
                <w:szCs w:val="13"/>
                <w:highlight w:val="none"/>
              </w:rPr>
              <w:t>《民用建筑节能条例》第四十二条第一款</w:t>
            </w:r>
            <w:r>
              <w:rPr>
                <w:rFonts w:hint="eastAsia" w:ascii="仿宋_GB2312" w:hAnsi="宋体" w:eastAsia="仿宋_GB2312"/>
                <w:color w:val="auto"/>
                <w:sz w:val="13"/>
                <w:szCs w:val="13"/>
                <w:highlight w:val="none"/>
                <w:lang w:eastAsia="zh-CN"/>
              </w:rPr>
              <w:t>（</w:t>
            </w:r>
            <w:r>
              <w:rPr>
                <w:rFonts w:hint="eastAsia" w:ascii="仿宋_GB2312" w:hAnsi="宋体" w:eastAsia="仿宋_GB2312"/>
                <w:color w:val="auto"/>
                <w:sz w:val="13"/>
                <w:szCs w:val="13"/>
                <w:highlight w:val="none"/>
                <w:lang w:val="en-US" w:eastAsia="zh-CN"/>
              </w:rPr>
              <w:t>二</w:t>
            </w:r>
            <w:r>
              <w:rPr>
                <w:rFonts w:hint="eastAsia" w:ascii="仿宋_GB2312" w:hAnsi="宋体" w:eastAsia="仿宋_GB2312"/>
                <w:color w:val="auto"/>
                <w:sz w:val="13"/>
                <w:szCs w:val="13"/>
                <w:highlight w:val="none"/>
                <w:lang w:eastAsia="zh-CN"/>
              </w:rPr>
              <w:t>）</w:t>
            </w:r>
            <w:r>
              <w:rPr>
                <w:rFonts w:hint="eastAsia" w:ascii="仿宋_GB2312" w:hAnsi="宋体" w:eastAsia="仿宋_GB2312"/>
                <w:color w:val="auto"/>
                <w:sz w:val="13"/>
                <w:szCs w:val="13"/>
                <w:highlight w:val="none"/>
              </w:rPr>
              <w:t>项</w:t>
            </w:r>
          </w:p>
          <w:p w14:paraId="2121303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hint="eastAsia" w:ascii="仿宋_GB2312" w:hAnsi="宋体" w:eastAsia="仿宋_GB2312"/>
                <w:color w:val="auto"/>
                <w:sz w:val="13"/>
                <w:szCs w:val="13"/>
                <w:highlight w:val="none"/>
              </w:rPr>
            </w:pPr>
            <w:r>
              <w:rPr>
                <w:rFonts w:hint="eastAsia" w:ascii="仿宋_GB2312" w:hAnsi="宋体" w:eastAsia="仿宋_GB2312"/>
                <w:color w:val="auto"/>
                <w:sz w:val="13"/>
                <w:szCs w:val="13"/>
                <w:highlight w:val="none"/>
              </w:rPr>
              <w:t>违反本条例规定，工程监理单位有下列行为之一的，由县级以上地方人民政府建设主管部门责令限期改正；逾期未改正的，处10万元以上30万元以下的罚款；情节严重的，由颁发资质证书的部门责令停业整顿，降低资质等级或者吊销资质证书；造成损失的，依法承担赔偿责任：</w:t>
            </w:r>
          </w:p>
          <w:p w14:paraId="6ACA504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strike/>
                <w:color w:val="auto"/>
                <w:kern w:val="0"/>
                <w:sz w:val="13"/>
                <w:szCs w:val="13"/>
                <w:highlight w:val="none"/>
              </w:rPr>
            </w:pPr>
            <w:r>
              <w:rPr>
                <w:rFonts w:hint="eastAsia" w:ascii="仿宋_GB2312" w:hAnsi="宋体" w:eastAsia="仿宋_GB2312"/>
                <w:color w:val="auto"/>
                <w:sz w:val="13"/>
                <w:szCs w:val="13"/>
                <w:highlight w:val="none"/>
              </w:rPr>
              <w:t>（二）墙体、屋面的保温工程施工时，未采取旁站、巡视和平行检验等形式实施监理的。</w:t>
            </w:r>
          </w:p>
        </w:tc>
        <w:tc>
          <w:tcPr>
            <w:tcW w:w="823" w:type="dxa"/>
            <w:tcBorders>
              <w:tl2br w:val="nil"/>
              <w:tr2bl w:val="nil"/>
            </w:tcBorders>
            <w:vAlign w:val="center"/>
          </w:tcPr>
          <w:p w14:paraId="4A1BA60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tcMar>
              <w:top w:w="15" w:type="dxa"/>
              <w:left w:w="15" w:type="dxa"/>
              <w:bottom w:w="15" w:type="dxa"/>
              <w:right w:w="15" w:type="dxa"/>
            </w:tcMar>
            <w:vAlign w:val="center"/>
          </w:tcPr>
          <w:p w14:paraId="6B75929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sz w:val="13"/>
                <w:szCs w:val="13"/>
                <w:highlight w:val="none"/>
              </w:rPr>
            </w:pPr>
            <w:r>
              <w:rPr>
                <w:rFonts w:hint="eastAsia" w:ascii="仿宋_GB2312" w:hAnsi="宋体" w:eastAsia="仿宋_GB2312"/>
                <w:color w:val="auto"/>
                <w:kern w:val="0"/>
                <w:sz w:val="13"/>
                <w:szCs w:val="13"/>
                <w:highlight w:val="none"/>
              </w:rPr>
              <w:t>初次违法，逾期未改正的，未造成严重社会影响的。</w:t>
            </w:r>
          </w:p>
        </w:tc>
        <w:tc>
          <w:tcPr>
            <w:tcW w:w="3058" w:type="dxa"/>
            <w:tcBorders>
              <w:tl2br w:val="nil"/>
              <w:tr2bl w:val="nil"/>
            </w:tcBorders>
            <w:tcMar>
              <w:top w:w="15" w:type="dxa"/>
              <w:left w:w="15" w:type="dxa"/>
              <w:bottom w:w="15" w:type="dxa"/>
              <w:right w:w="15" w:type="dxa"/>
            </w:tcMar>
            <w:vAlign w:val="center"/>
          </w:tcPr>
          <w:p w14:paraId="6A7840D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sz w:val="13"/>
                <w:szCs w:val="13"/>
                <w:highlight w:val="none"/>
              </w:rPr>
            </w:pPr>
            <w:r>
              <w:rPr>
                <w:rFonts w:hint="eastAsia" w:ascii="仿宋_GB2312" w:hAnsi="宋体" w:eastAsia="仿宋_GB2312"/>
                <w:color w:val="auto"/>
                <w:kern w:val="0"/>
                <w:sz w:val="13"/>
                <w:szCs w:val="13"/>
                <w:highlight w:val="none"/>
              </w:rPr>
              <w:t>责令改正，</w:t>
            </w:r>
            <w:r>
              <w:rPr>
                <w:rFonts w:hint="eastAsia" w:ascii="仿宋_GB2312" w:hAnsi="宋体" w:eastAsia="仿宋_GB2312"/>
                <w:color w:val="auto"/>
                <w:sz w:val="13"/>
                <w:szCs w:val="13"/>
                <w:highlight w:val="none"/>
              </w:rPr>
              <w:t>处10万元罚款。</w:t>
            </w:r>
          </w:p>
        </w:tc>
      </w:tr>
      <w:tr w14:paraId="035E702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47" w:hRule="atLeast"/>
          <w:jc w:val="center"/>
        </w:trPr>
        <w:tc>
          <w:tcPr>
            <w:tcW w:w="443" w:type="dxa"/>
            <w:gridSpan w:val="2"/>
            <w:vMerge w:val="continue"/>
            <w:tcBorders>
              <w:tl2br w:val="nil"/>
              <w:tr2bl w:val="nil"/>
            </w:tcBorders>
            <w:vAlign w:val="center"/>
          </w:tcPr>
          <w:p w14:paraId="3962725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rPr>
                <w:rFonts w:ascii="仿宋_GB2312" w:eastAsia="仿宋_GB2312"/>
                <w:color w:val="auto"/>
                <w:sz w:val="13"/>
                <w:szCs w:val="13"/>
                <w:highlight w:val="none"/>
              </w:rPr>
            </w:pPr>
          </w:p>
        </w:tc>
        <w:tc>
          <w:tcPr>
            <w:tcW w:w="1550" w:type="dxa"/>
            <w:vMerge w:val="continue"/>
            <w:tcBorders>
              <w:tl2br w:val="nil"/>
              <w:tr2bl w:val="nil"/>
            </w:tcBorders>
            <w:vAlign w:val="center"/>
          </w:tcPr>
          <w:p w14:paraId="218C6E2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sz w:val="13"/>
                <w:szCs w:val="13"/>
                <w:highlight w:val="none"/>
              </w:rPr>
            </w:pPr>
          </w:p>
        </w:tc>
        <w:tc>
          <w:tcPr>
            <w:tcW w:w="4820" w:type="dxa"/>
            <w:vMerge w:val="continue"/>
            <w:tcBorders>
              <w:tl2br w:val="nil"/>
              <w:tr2bl w:val="nil"/>
            </w:tcBorders>
            <w:vAlign w:val="center"/>
          </w:tcPr>
          <w:p w14:paraId="3480165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p>
        </w:tc>
        <w:tc>
          <w:tcPr>
            <w:tcW w:w="823" w:type="dxa"/>
            <w:tcBorders>
              <w:tl2br w:val="nil"/>
              <w:tr2bl w:val="nil"/>
            </w:tcBorders>
            <w:vAlign w:val="center"/>
          </w:tcPr>
          <w:p w14:paraId="690A51A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一般情节</w:t>
            </w:r>
          </w:p>
        </w:tc>
        <w:tc>
          <w:tcPr>
            <w:tcW w:w="3437" w:type="dxa"/>
            <w:gridSpan w:val="2"/>
            <w:tcBorders>
              <w:tl2br w:val="nil"/>
              <w:tr2bl w:val="nil"/>
            </w:tcBorders>
            <w:tcMar>
              <w:top w:w="15" w:type="dxa"/>
              <w:left w:w="15" w:type="dxa"/>
              <w:bottom w:w="15" w:type="dxa"/>
              <w:right w:w="15" w:type="dxa"/>
            </w:tcMar>
            <w:vAlign w:val="center"/>
          </w:tcPr>
          <w:p w14:paraId="1E35208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sz w:val="13"/>
                <w:szCs w:val="13"/>
                <w:highlight w:val="none"/>
              </w:rPr>
            </w:pPr>
            <w:r>
              <w:rPr>
                <w:rFonts w:hint="eastAsia" w:ascii="仿宋_GB2312" w:hAnsi="宋体" w:eastAsia="仿宋_GB2312"/>
                <w:color w:val="auto"/>
                <w:sz w:val="13"/>
                <w:szCs w:val="13"/>
                <w:highlight w:val="none"/>
              </w:rPr>
              <w:t>同一项目中，</w:t>
            </w:r>
            <w:r>
              <w:rPr>
                <w:rFonts w:ascii="仿宋_GB2312" w:hAnsi="宋体" w:eastAsia="仿宋_GB2312"/>
                <w:color w:val="auto"/>
                <w:sz w:val="13"/>
                <w:szCs w:val="13"/>
                <w:highlight w:val="none"/>
              </w:rPr>
              <w:t>2</w:t>
            </w:r>
            <w:r>
              <w:rPr>
                <w:rFonts w:hint="eastAsia" w:ascii="仿宋_GB2312" w:hAnsi="宋体" w:eastAsia="仿宋_GB2312"/>
                <w:color w:val="auto"/>
                <w:sz w:val="13"/>
                <w:szCs w:val="13"/>
                <w:highlight w:val="none"/>
              </w:rPr>
              <w:t>次在墙体、屋面的保温工程施工时，未采取旁站、巡视和平行检验等形式实施监理的。</w:t>
            </w:r>
          </w:p>
        </w:tc>
        <w:tc>
          <w:tcPr>
            <w:tcW w:w="3058" w:type="dxa"/>
            <w:tcBorders>
              <w:tl2br w:val="nil"/>
              <w:tr2bl w:val="nil"/>
            </w:tcBorders>
            <w:tcMar>
              <w:top w:w="15" w:type="dxa"/>
              <w:left w:w="15" w:type="dxa"/>
              <w:bottom w:w="15" w:type="dxa"/>
              <w:right w:w="15" w:type="dxa"/>
            </w:tcMar>
            <w:vAlign w:val="center"/>
          </w:tcPr>
          <w:p w14:paraId="3508D81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sz w:val="13"/>
                <w:szCs w:val="13"/>
                <w:highlight w:val="none"/>
              </w:rPr>
            </w:pPr>
            <w:r>
              <w:rPr>
                <w:rFonts w:hint="eastAsia" w:ascii="仿宋_GB2312" w:hAnsi="宋体" w:eastAsia="仿宋_GB2312"/>
                <w:color w:val="auto"/>
                <w:kern w:val="0"/>
                <w:sz w:val="13"/>
                <w:szCs w:val="13"/>
                <w:highlight w:val="none"/>
              </w:rPr>
              <w:t>责令改正，处</w:t>
            </w:r>
            <w:r>
              <w:rPr>
                <w:rFonts w:ascii="仿宋_GB2312" w:hAnsi="宋体" w:eastAsia="仿宋_GB2312"/>
                <w:color w:val="auto"/>
                <w:kern w:val="0"/>
                <w:sz w:val="13"/>
                <w:szCs w:val="13"/>
                <w:highlight w:val="none"/>
              </w:rPr>
              <w:t>1</w:t>
            </w:r>
            <w:r>
              <w:rPr>
                <w:rFonts w:hint="eastAsia" w:ascii="仿宋_GB2312" w:hAnsi="宋体" w:eastAsia="仿宋_GB2312"/>
                <w:color w:val="auto"/>
                <w:kern w:val="0"/>
                <w:sz w:val="13"/>
                <w:szCs w:val="13"/>
                <w:highlight w:val="none"/>
              </w:rPr>
              <w:t>0万元以上</w:t>
            </w:r>
            <w:r>
              <w:rPr>
                <w:rFonts w:hint="eastAsia" w:ascii="仿宋_GB2312" w:eastAsia="仿宋_GB2312"/>
                <w:color w:val="auto"/>
                <w:sz w:val="13"/>
                <w:szCs w:val="13"/>
                <w:highlight w:val="none"/>
              </w:rPr>
              <w:t>30</w:t>
            </w:r>
            <w:r>
              <w:rPr>
                <w:rFonts w:hint="eastAsia" w:ascii="仿宋_GB2312" w:hAnsi="宋体" w:eastAsia="仿宋_GB2312"/>
                <w:color w:val="auto"/>
                <w:sz w:val="13"/>
                <w:szCs w:val="13"/>
                <w:highlight w:val="none"/>
              </w:rPr>
              <w:t>万元以下罚款。</w:t>
            </w:r>
          </w:p>
        </w:tc>
      </w:tr>
      <w:tr w14:paraId="07D4AB7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64" w:hRule="atLeast"/>
          <w:jc w:val="center"/>
        </w:trPr>
        <w:tc>
          <w:tcPr>
            <w:tcW w:w="443" w:type="dxa"/>
            <w:gridSpan w:val="2"/>
            <w:vMerge w:val="continue"/>
            <w:tcBorders>
              <w:tl2br w:val="nil"/>
              <w:tr2bl w:val="nil"/>
            </w:tcBorders>
            <w:vAlign w:val="center"/>
          </w:tcPr>
          <w:p w14:paraId="337F1BE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rPr>
                <w:rFonts w:ascii="仿宋_GB2312" w:eastAsia="仿宋_GB2312"/>
                <w:color w:val="auto"/>
                <w:sz w:val="13"/>
                <w:szCs w:val="13"/>
                <w:highlight w:val="none"/>
              </w:rPr>
            </w:pPr>
          </w:p>
        </w:tc>
        <w:tc>
          <w:tcPr>
            <w:tcW w:w="1550" w:type="dxa"/>
            <w:vMerge w:val="continue"/>
            <w:tcBorders>
              <w:tl2br w:val="nil"/>
              <w:tr2bl w:val="nil"/>
            </w:tcBorders>
            <w:vAlign w:val="center"/>
          </w:tcPr>
          <w:p w14:paraId="1E93020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sz w:val="13"/>
                <w:szCs w:val="13"/>
                <w:highlight w:val="none"/>
              </w:rPr>
            </w:pPr>
          </w:p>
        </w:tc>
        <w:tc>
          <w:tcPr>
            <w:tcW w:w="4820" w:type="dxa"/>
            <w:vMerge w:val="continue"/>
            <w:tcBorders>
              <w:tl2br w:val="nil"/>
              <w:tr2bl w:val="nil"/>
            </w:tcBorders>
            <w:vAlign w:val="center"/>
          </w:tcPr>
          <w:p w14:paraId="5DCB9FF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p>
        </w:tc>
        <w:tc>
          <w:tcPr>
            <w:tcW w:w="823" w:type="dxa"/>
            <w:vMerge w:val="restart"/>
            <w:tcBorders>
              <w:tl2br w:val="nil"/>
              <w:tr2bl w:val="nil"/>
            </w:tcBorders>
            <w:vAlign w:val="center"/>
          </w:tcPr>
          <w:p w14:paraId="3937337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从重情节</w:t>
            </w:r>
          </w:p>
        </w:tc>
        <w:tc>
          <w:tcPr>
            <w:tcW w:w="3437" w:type="dxa"/>
            <w:gridSpan w:val="2"/>
            <w:tcBorders>
              <w:tl2br w:val="nil"/>
              <w:tr2bl w:val="nil"/>
            </w:tcBorders>
            <w:tcMar>
              <w:top w:w="15" w:type="dxa"/>
              <w:left w:w="15" w:type="dxa"/>
              <w:bottom w:w="15" w:type="dxa"/>
              <w:right w:w="15" w:type="dxa"/>
            </w:tcMar>
            <w:vAlign w:val="center"/>
          </w:tcPr>
          <w:p w14:paraId="51433E5A">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strike/>
                <w:color w:val="auto"/>
                <w:sz w:val="13"/>
                <w:szCs w:val="13"/>
                <w:highlight w:val="none"/>
              </w:rPr>
            </w:pPr>
            <w:r>
              <w:rPr>
                <w:rFonts w:hint="eastAsia" w:ascii="仿宋_GB2312" w:hAnsi="宋体" w:eastAsia="仿宋_GB2312"/>
                <w:color w:val="auto"/>
                <w:sz w:val="13"/>
                <w:szCs w:val="13"/>
                <w:highlight w:val="none"/>
              </w:rPr>
              <w:t>（</w:t>
            </w:r>
            <w:r>
              <w:rPr>
                <w:rFonts w:ascii="仿宋_GB2312" w:hAnsi="宋体" w:eastAsia="仿宋_GB2312"/>
                <w:color w:val="auto"/>
                <w:sz w:val="13"/>
                <w:szCs w:val="13"/>
                <w:highlight w:val="none"/>
              </w:rPr>
              <w:t>1</w:t>
            </w:r>
            <w:r>
              <w:rPr>
                <w:rFonts w:hint="eastAsia" w:ascii="仿宋_GB2312" w:hAnsi="宋体" w:eastAsia="仿宋_GB2312"/>
                <w:color w:val="auto"/>
                <w:sz w:val="13"/>
                <w:szCs w:val="13"/>
                <w:highlight w:val="none"/>
              </w:rPr>
              <w:t>）同一项目中，3次以上5次以下在墙体、屋面的保温工程施工时，未采取旁站、巡视和平行检验等形式实施监理的。</w:t>
            </w:r>
          </w:p>
        </w:tc>
        <w:tc>
          <w:tcPr>
            <w:tcW w:w="3058" w:type="dxa"/>
            <w:tcBorders>
              <w:tl2br w:val="nil"/>
              <w:tr2bl w:val="nil"/>
            </w:tcBorders>
            <w:tcMar>
              <w:top w:w="15" w:type="dxa"/>
              <w:left w:w="15" w:type="dxa"/>
              <w:bottom w:w="15" w:type="dxa"/>
              <w:right w:w="15" w:type="dxa"/>
            </w:tcMar>
            <w:vAlign w:val="center"/>
          </w:tcPr>
          <w:p w14:paraId="3427E834">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strike/>
                <w:color w:val="auto"/>
                <w:sz w:val="13"/>
                <w:szCs w:val="13"/>
                <w:highlight w:val="none"/>
              </w:rPr>
            </w:pPr>
            <w:r>
              <w:rPr>
                <w:rFonts w:hint="eastAsia" w:ascii="仿宋_GB2312" w:hAnsi="宋体" w:eastAsia="仿宋_GB2312"/>
                <w:color w:val="auto"/>
                <w:kern w:val="0"/>
                <w:sz w:val="13"/>
                <w:szCs w:val="13"/>
                <w:highlight w:val="none"/>
              </w:rPr>
              <w:t>处30万元罚款，责令停业整顿</w:t>
            </w:r>
            <w:r>
              <w:rPr>
                <w:rFonts w:hint="eastAsia" w:ascii="仿宋_GB2312" w:hAnsi="宋体" w:eastAsia="仿宋_GB2312"/>
                <w:color w:val="auto"/>
                <w:kern w:val="0"/>
                <w:sz w:val="13"/>
                <w:szCs w:val="13"/>
                <w:highlight w:val="none"/>
                <w:lang w:eastAsia="zh-CN"/>
              </w:rPr>
              <w:t>30日-</w:t>
            </w:r>
            <w:r>
              <w:rPr>
                <w:rFonts w:ascii="仿宋_GB2312" w:hAnsi="宋体" w:eastAsia="仿宋_GB2312"/>
                <w:color w:val="auto"/>
                <w:kern w:val="0"/>
                <w:sz w:val="13"/>
                <w:szCs w:val="13"/>
                <w:highlight w:val="none"/>
              </w:rPr>
              <w:t>90日</w:t>
            </w:r>
            <w:r>
              <w:rPr>
                <w:rFonts w:hint="eastAsia" w:ascii="仿宋_GB2312" w:hAnsi="宋体" w:eastAsia="仿宋_GB2312"/>
                <w:color w:val="auto"/>
                <w:kern w:val="0"/>
                <w:sz w:val="13"/>
                <w:szCs w:val="13"/>
                <w:highlight w:val="none"/>
              </w:rPr>
              <w:t>。</w:t>
            </w:r>
          </w:p>
        </w:tc>
      </w:tr>
      <w:tr w14:paraId="102AFE4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47" w:hRule="atLeast"/>
          <w:jc w:val="center"/>
        </w:trPr>
        <w:tc>
          <w:tcPr>
            <w:tcW w:w="443" w:type="dxa"/>
            <w:gridSpan w:val="2"/>
            <w:vMerge w:val="continue"/>
            <w:tcBorders>
              <w:tl2br w:val="nil"/>
              <w:tr2bl w:val="nil"/>
            </w:tcBorders>
            <w:vAlign w:val="center"/>
          </w:tcPr>
          <w:p w14:paraId="4CA9F8E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rPr>
                <w:rFonts w:ascii="仿宋_GB2312" w:eastAsia="仿宋_GB2312"/>
                <w:color w:val="auto"/>
                <w:sz w:val="13"/>
                <w:szCs w:val="13"/>
                <w:highlight w:val="none"/>
              </w:rPr>
            </w:pPr>
          </w:p>
        </w:tc>
        <w:tc>
          <w:tcPr>
            <w:tcW w:w="1550" w:type="dxa"/>
            <w:vMerge w:val="continue"/>
            <w:tcBorders>
              <w:tl2br w:val="nil"/>
              <w:tr2bl w:val="nil"/>
            </w:tcBorders>
            <w:vAlign w:val="center"/>
          </w:tcPr>
          <w:p w14:paraId="6276171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sz w:val="13"/>
                <w:szCs w:val="13"/>
                <w:highlight w:val="none"/>
              </w:rPr>
            </w:pPr>
          </w:p>
        </w:tc>
        <w:tc>
          <w:tcPr>
            <w:tcW w:w="4820" w:type="dxa"/>
            <w:vMerge w:val="continue"/>
            <w:tcBorders>
              <w:tl2br w:val="nil"/>
              <w:tr2bl w:val="nil"/>
            </w:tcBorders>
            <w:vAlign w:val="center"/>
          </w:tcPr>
          <w:p w14:paraId="6ABD7D2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sz w:val="13"/>
                <w:szCs w:val="13"/>
                <w:highlight w:val="none"/>
              </w:rPr>
            </w:pPr>
          </w:p>
        </w:tc>
        <w:tc>
          <w:tcPr>
            <w:tcW w:w="823" w:type="dxa"/>
            <w:vMerge w:val="continue"/>
            <w:tcBorders>
              <w:tl2br w:val="nil"/>
              <w:tr2bl w:val="nil"/>
            </w:tcBorders>
            <w:vAlign w:val="center"/>
          </w:tcPr>
          <w:p w14:paraId="1FAE6C0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sz w:val="13"/>
                <w:szCs w:val="13"/>
                <w:highlight w:val="none"/>
              </w:rPr>
            </w:pPr>
          </w:p>
        </w:tc>
        <w:tc>
          <w:tcPr>
            <w:tcW w:w="3437" w:type="dxa"/>
            <w:gridSpan w:val="2"/>
            <w:tcBorders>
              <w:tl2br w:val="nil"/>
              <w:tr2bl w:val="nil"/>
            </w:tcBorders>
            <w:tcMar>
              <w:top w:w="15" w:type="dxa"/>
              <w:left w:w="15" w:type="dxa"/>
              <w:bottom w:w="15" w:type="dxa"/>
              <w:right w:w="15" w:type="dxa"/>
            </w:tcMar>
            <w:vAlign w:val="center"/>
          </w:tcPr>
          <w:p w14:paraId="2BCDC71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（2）同一项目中，5次以上10次以下在墙体、屋面的保温工程施工时，未采取旁站、巡视和平行检验等形式实施监理的。</w:t>
            </w:r>
          </w:p>
        </w:tc>
        <w:tc>
          <w:tcPr>
            <w:tcW w:w="3058" w:type="dxa"/>
            <w:tcBorders>
              <w:tl2br w:val="nil"/>
              <w:tr2bl w:val="nil"/>
            </w:tcBorders>
            <w:tcMar>
              <w:top w:w="15" w:type="dxa"/>
              <w:left w:w="15" w:type="dxa"/>
              <w:bottom w:w="15" w:type="dxa"/>
              <w:right w:w="15" w:type="dxa"/>
            </w:tcMar>
            <w:vAlign w:val="center"/>
          </w:tcPr>
          <w:p w14:paraId="50ED2AEB">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处30万元罚款，降低资质等级。</w:t>
            </w:r>
          </w:p>
        </w:tc>
      </w:tr>
      <w:tr w14:paraId="53503DD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47" w:hRule="atLeast"/>
          <w:jc w:val="center"/>
        </w:trPr>
        <w:tc>
          <w:tcPr>
            <w:tcW w:w="443" w:type="dxa"/>
            <w:gridSpan w:val="2"/>
            <w:vMerge w:val="continue"/>
            <w:tcBorders>
              <w:tl2br w:val="nil"/>
              <w:tr2bl w:val="nil"/>
            </w:tcBorders>
            <w:vAlign w:val="center"/>
          </w:tcPr>
          <w:p w14:paraId="092B93A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rPr>
                <w:rFonts w:ascii="仿宋_GB2312" w:eastAsia="仿宋_GB2312"/>
                <w:color w:val="auto"/>
                <w:sz w:val="13"/>
                <w:szCs w:val="13"/>
                <w:highlight w:val="none"/>
              </w:rPr>
            </w:pPr>
          </w:p>
        </w:tc>
        <w:tc>
          <w:tcPr>
            <w:tcW w:w="1550" w:type="dxa"/>
            <w:vMerge w:val="continue"/>
            <w:tcBorders>
              <w:tl2br w:val="nil"/>
              <w:tr2bl w:val="nil"/>
            </w:tcBorders>
            <w:vAlign w:val="center"/>
          </w:tcPr>
          <w:p w14:paraId="345ABA2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sz w:val="13"/>
                <w:szCs w:val="13"/>
                <w:highlight w:val="none"/>
              </w:rPr>
            </w:pPr>
          </w:p>
        </w:tc>
        <w:tc>
          <w:tcPr>
            <w:tcW w:w="4820" w:type="dxa"/>
            <w:vMerge w:val="continue"/>
            <w:tcBorders>
              <w:tl2br w:val="nil"/>
              <w:tr2bl w:val="nil"/>
            </w:tcBorders>
            <w:vAlign w:val="center"/>
          </w:tcPr>
          <w:p w14:paraId="4F652D0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sz w:val="13"/>
                <w:szCs w:val="13"/>
                <w:highlight w:val="none"/>
              </w:rPr>
            </w:pPr>
          </w:p>
        </w:tc>
        <w:tc>
          <w:tcPr>
            <w:tcW w:w="823" w:type="dxa"/>
            <w:vMerge w:val="continue"/>
            <w:tcBorders>
              <w:tl2br w:val="nil"/>
              <w:tr2bl w:val="nil"/>
            </w:tcBorders>
            <w:vAlign w:val="center"/>
          </w:tcPr>
          <w:p w14:paraId="030ACE7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sz w:val="13"/>
                <w:szCs w:val="13"/>
                <w:highlight w:val="none"/>
              </w:rPr>
            </w:pPr>
          </w:p>
        </w:tc>
        <w:tc>
          <w:tcPr>
            <w:tcW w:w="3437" w:type="dxa"/>
            <w:gridSpan w:val="2"/>
            <w:tcBorders>
              <w:tl2br w:val="nil"/>
              <w:tr2bl w:val="nil"/>
            </w:tcBorders>
            <w:tcMar>
              <w:top w:w="15" w:type="dxa"/>
              <w:left w:w="15" w:type="dxa"/>
              <w:bottom w:w="15" w:type="dxa"/>
              <w:right w:w="15" w:type="dxa"/>
            </w:tcMar>
            <w:vAlign w:val="center"/>
          </w:tcPr>
          <w:p w14:paraId="3AE9D6F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（3）同一项目中，10次以上在墙体、屋面的保温工程施工时，未采取旁站、巡视和平行检验等形式实施监理的。</w:t>
            </w:r>
          </w:p>
        </w:tc>
        <w:tc>
          <w:tcPr>
            <w:tcW w:w="3058" w:type="dxa"/>
            <w:tcBorders>
              <w:tl2br w:val="nil"/>
              <w:tr2bl w:val="nil"/>
            </w:tcBorders>
            <w:tcMar>
              <w:top w:w="15" w:type="dxa"/>
              <w:left w:w="15" w:type="dxa"/>
              <w:bottom w:w="15" w:type="dxa"/>
              <w:right w:w="15" w:type="dxa"/>
            </w:tcMar>
            <w:vAlign w:val="center"/>
          </w:tcPr>
          <w:p w14:paraId="00C031B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sz w:val="13"/>
                <w:szCs w:val="13"/>
                <w:highlight w:val="none"/>
              </w:rPr>
            </w:pPr>
            <w:r>
              <w:rPr>
                <w:rFonts w:hint="eastAsia" w:ascii="仿宋_GB2312" w:hAnsi="宋体" w:eastAsia="仿宋_GB2312"/>
                <w:color w:val="auto"/>
                <w:kern w:val="0"/>
                <w:sz w:val="13"/>
                <w:szCs w:val="13"/>
                <w:highlight w:val="none"/>
              </w:rPr>
              <w:t>处30万元罚款，吊销资质证书。</w:t>
            </w:r>
          </w:p>
        </w:tc>
      </w:tr>
      <w:tr w14:paraId="7A35B6E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47" w:hRule="atLeast"/>
          <w:jc w:val="center"/>
        </w:trPr>
        <w:tc>
          <w:tcPr>
            <w:tcW w:w="443" w:type="dxa"/>
            <w:gridSpan w:val="2"/>
            <w:vMerge w:val="restart"/>
            <w:tcBorders>
              <w:tl2br w:val="nil"/>
              <w:tr2bl w:val="nil"/>
            </w:tcBorders>
            <w:vAlign w:val="center"/>
          </w:tcPr>
          <w:p w14:paraId="45769BF0">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eastAsia="仿宋_GB2312"/>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212</w:t>
            </w:r>
          </w:p>
        </w:tc>
        <w:tc>
          <w:tcPr>
            <w:tcW w:w="1550" w:type="dxa"/>
            <w:vMerge w:val="restart"/>
            <w:tcBorders>
              <w:tl2br w:val="nil"/>
              <w:tr2bl w:val="nil"/>
            </w:tcBorders>
            <w:vAlign w:val="center"/>
          </w:tcPr>
          <w:p w14:paraId="35B9FBC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sz w:val="13"/>
                <w:szCs w:val="13"/>
                <w:highlight w:val="none"/>
              </w:rPr>
            </w:pPr>
            <w:r>
              <w:rPr>
                <w:rFonts w:hint="eastAsia" w:ascii="仿宋_GB2312" w:hAnsi="宋体" w:eastAsia="仿宋_GB2312"/>
                <w:color w:val="auto"/>
                <w:sz w:val="13"/>
                <w:szCs w:val="13"/>
                <w:highlight w:val="none"/>
              </w:rPr>
              <w:t>对不符合施工图设计文件要求的墙体材料、保温材料、门窗、采暖制冷系统和照明设备，按照符合施工图设计文件要求签字的</w:t>
            </w:r>
          </w:p>
        </w:tc>
        <w:tc>
          <w:tcPr>
            <w:tcW w:w="4820" w:type="dxa"/>
            <w:vMerge w:val="restart"/>
            <w:tcBorders>
              <w:tl2br w:val="nil"/>
              <w:tr2bl w:val="nil"/>
            </w:tcBorders>
            <w:vAlign w:val="center"/>
          </w:tcPr>
          <w:p w14:paraId="1D886AE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hint="eastAsia" w:ascii="仿宋_GB2312" w:hAnsi="宋体" w:eastAsia="仿宋_GB2312"/>
                <w:color w:val="auto"/>
                <w:sz w:val="13"/>
                <w:szCs w:val="13"/>
                <w:highlight w:val="none"/>
              </w:rPr>
            </w:pPr>
            <w:r>
              <w:rPr>
                <w:rFonts w:hint="eastAsia" w:ascii="仿宋_GB2312" w:hAnsi="宋体" w:eastAsia="仿宋_GB2312"/>
                <w:color w:val="auto"/>
                <w:sz w:val="13"/>
                <w:szCs w:val="13"/>
                <w:highlight w:val="none"/>
              </w:rPr>
              <w:t>《民用建筑节能条例》第四十二条第二款对不符合施工图设计文件要求的墙体材料、保温材料、门窗、采暖制冷系统和照明设备，按照符合施工图设计文件要求签字的，依照《建设工程质量管理条例》第六十七条的规定处罚。</w:t>
            </w:r>
          </w:p>
          <w:p w14:paraId="3B83A6D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hint="eastAsia" w:ascii="仿宋_GB2312" w:hAnsi="宋体" w:eastAsia="仿宋_GB2312"/>
                <w:color w:val="auto"/>
                <w:sz w:val="13"/>
                <w:szCs w:val="13"/>
                <w:highlight w:val="none"/>
              </w:rPr>
            </w:pPr>
          </w:p>
          <w:p w14:paraId="47FFB36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sz w:val="13"/>
                <w:szCs w:val="13"/>
                <w:highlight w:val="none"/>
              </w:rPr>
            </w:pPr>
            <w:r>
              <w:rPr>
                <w:rFonts w:hint="eastAsia" w:ascii="仿宋_GB2312" w:hAnsi="宋体" w:eastAsia="仿宋_GB2312"/>
                <w:color w:val="auto"/>
                <w:sz w:val="13"/>
                <w:szCs w:val="13"/>
                <w:highlight w:val="none"/>
              </w:rPr>
              <w:t>《建设工程质量管理条例》第六十七条</w:t>
            </w:r>
            <w:r>
              <w:rPr>
                <w:rFonts w:hint="eastAsia" w:ascii="仿宋_GB2312" w:hAnsi="宋体" w:eastAsia="仿宋_GB2312"/>
                <w:color w:val="auto"/>
                <w:sz w:val="13"/>
                <w:szCs w:val="13"/>
                <w:highlight w:val="none"/>
                <w:lang w:eastAsia="zh-CN"/>
              </w:rPr>
              <w:t>（</w:t>
            </w:r>
            <w:r>
              <w:rPr>
                <w:rFonts w:hint="eastAsia" w:ascii="仿宋_GB2312" w:hAnsi="宋体" w:eastAsia="仿宋_GB2312"/>
                <w:color w:val="auto"/>
                <w:sz w:val="13"/>
                <w:szCs w:val="13"/>
                <w:highlight w:val="none"/>
                <w:lang w:val="en-US" w:eastAsia="zh-CN"/>
              </w:rPr>
              <w:t>二</w:t>
            </w:r>
            <w:r>
              <w:rPr>
                <w:rFonts w:hint="eastAsia" w:ascii="仿宋_GB2312" w:hAnsi="宋体" w:eastAsia="仿宋_GB2312"/>
                <w:color w:val="auto"/>
                <w:sz w:val="13"/>
                <w:szCs w:val="13"/>
                <w:highlight w:val="none"/>
                <w:lang w:eastAsia="zh-CN"/>
              </w:rPr>
              <w:t>）</w:t>
            </w:r>
            <w:r>
              <w:rPr>
                <w:rFonts w:hint="eastAsia" w:ascii="仿宋_GB2312" w:hAnsi="宋体" w:eastAsia="仿宋_GB2312"/>
                <w:color w:val="auto"/>
                <w:sz w:val="13"/>
                <w:szCs w:val="13"/>
                <w:highlight w:val="none"/>
              </w:rPr>
              <w:t>项</w:t>
            </w:r>
          </w:p>
          <w:p w14:paraId="42BDB6A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sz w:val="13"/>
                <w:szCs w:val="13"/>
                <w:highlight w:val="none"/>
              </w:rPr>
            </w:pPr>
            <w:r>
              <w:rPr>
                <w:rFonts w:hint="eastAsia" w:ascii="仿宋_GB2312" w:hAnsi="宋体" w:eastAsia="仿宋_GB2312"/>
                <w:color w:val="auto"/>
                <w:sz w:val="13"/>
                <w:szCs w:val="13"/>
                <w:highlight w:val="none"/>
              </w:rPr>
              <w:t>工程监理单位有下列行为之一的，责令改正，处50万元以上100万元以下的罚款，降低资质等级或者吊销资质证书；有违法所得的，予以没收；造成损失的，承担连带赔偿责任：</w:t>
            </w:r>
          </w:p>
          <w:p w14:paraId="44AEFC87">
            <w:pPr>
              <w:keepNext w:val="0"/>
              <w:keepLines w:val="0"/>
              <w:pageBreakBefore w:val="0"/>
              <w:widowControl/>
              <w:numPr>
                <w:ilvl w:val="0"/>
                <w:numId w:val="3"/>
              </w:numPr>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hint="eastAsia" w:ascii="仿宋_GB2312" w:hAnsi="宋体" w:eastAsia="仿宋_GB2312"/>
                <w:color w:val="auto"/>
                <w:sz w:val="13"/>
                <w:szCs w:val="13"/>
                <w:highlight w:val="none"/>
              </w:rPr>
            </w:pPr>
            <w:r>
              <w:rPr>
                <w:rFonts w:hint="eastAsia" w:ascii="仿宋_GB2312" w:hAnsi="宋体" w:eastAsia="仿宋_GB2312"/>
                <w:color w:val="auto"/>
                <w:sz w:val="13"/>
                <w:szCs w:val="13"/>
                <w:highlight w:val="none"/>
              </w:rPr>
              <w:t>将不合格的建设工程、建筑材料、建筑构配件和设备按照合格签字的。</w:t>
            </w:r>
          </w:p>
          <w:p w14:paraId="7BA76FAB">
            <w:pPr>
              <w:keepNext w:val="0"/>
              <w:keepLines w:val="0"/>
              <w:pageBreakBefore w:val="0"/>
              <w:widowControl/>
              <w:numPr>
                <w:ilvl w:val="0"/>
                <w:numId w:val="0"/>
              </w:numPr>
              <w:kinsoku/>
              <w:overflowPunct/>
              <w:topLinePunct w:val="0"/>
              <w:autoSpaceDE/>
              <w:autoSpaceDN/>
              <w:bidi w:val="0"/>
              <w:adjustRightInd/>
              <w:snapToGrid/>
              <w:spacing w:beforeAutospacing="0" w:afterAutospacing="0" w:line="260" w:lineRule="exact"/>
              <w:ind w:left="0" w:leftChars="0" w:right="0" w:rightChars="0"/>
              <w:jc w:val="left"/>
              <w:rPr>
                <w:rFonts w:hint="eastAsia" w:ascii="仿宋_GB2312" w:hAnsi="宋体" w:eastAsia="仿宋_GB2312"/>
                <w:color w:val="auto"/>
                <w:sz w:val="13"/>
                <w:szCs w:val="13"/>
                <w:highlight w:val="none"/>
              </w:rPr>
            </w:pPr>
          </w:p>
          <w:p w14:paraId="0311CE3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r>
              <w:rPr>
                <w:rFonts w:hint="eastAsia" w:ascii="仿宋_GB2312" w:hAnsi="宋体" w:eastAsia="仿宋_GB2312"/>
                <w:color w:val="auto"/>
                <w:sz w:val="13"/>
                <w:szCs w:val="13"/>
                <w:highlight w:val="none"/>
              </w:rPr>
              <w:t>《建设工程质量管理条例》第七十三条依照本条例规定，给予单位罚款处罚的，对单位直接负责的主管人员和其他直接责任人员处单位罚款数额百分之五以上百分之十以下的罚款。</w:t>
            </w:r>
          </w:p>
        </w:tc>
        <w:tc>
          <w:tcPr>
            <w:tcW w:w="823" w:type="dxa"/>
            <w:tcBorders>
              <w:tl2br w:val="nil"/>
              <w:tr2bl w:val="nil"/>
            </w:tcBorders>
            <w:vAlign w:val="center"/>
          </w:tcPr>
          <w:p w14:paraId="0967E3A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tcMar>
              <w:top w:w="15" w:type="dxa"/>
              <w:left w:w="15" w:type="dxa"/>
              <w:bottom w:w="15" w:type="dxa"/>
              <w:right w:w="15" w:type="dxa"/>
            </w:tcMar>
            <w:vAlign w:val="center"/>
          </w:tcPr>
          <w:p w14:paraId="197E499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sz w:val="13"/>
                <w:szCs w:val="13"/>
                <w:highlight w:val="none"/>
              </w:rPr>
            </w:pPr>
            <w:r>
              <w:rPr>
                <w:rFonts w:hint="eastAsia" w:ascii="仿宋_GB2312" w:hAnsi="宋体" w:eastAsia="仿宋_GB2312"/>
                <w:color w:val="auto"/>
                <w:kern w:val="0"/>
                <w:sz w:val="13"/>
                <w:szCs w:val="13"/>
                <w:highlight w:val="none"/>
              </w:rPr>
              <w:t>初次违法，危害后果轻微，主动消除或减轻危害后果的。</w:t>
            </w:r>
          </w:p>
        </w:tc>
        <w:tc>
          <w:tcPr>
            <w:tcW w:w="3058" w:type="dxa"/>
            <w:tcBorders>
              <w:tl2br w:val="nil"/>
              <w:tr2bl w:val="nil"/>
            </w:tcBorders>
            <w:tcMar>
              <w:top w:w="15" w:type="dxa"/>
              <w:left w:w="15" w:type="dxa"/>
              <w:bottom w:w="15" w:type="dxa"/>
              <w:right w:w="15" w:type="dxa"/>
            </w:tcMar>
            <w:vAlign w:val="center"/>
          </w:tcPr>
          <w:p w14:paraId="7C6B941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sz w:val="13"/>
                <w:szCs w:val="13"/>
                <w:highlight w:val="none"/>
              </w:rPr>
            </w:pPr>
            <w:r>
              <w:rPr>
                <w:rFonts w:hint="eastAsia" w:ascii="仿宋_GB2312" w:hAnsi="宋体" w:eastAsia="仿宋_GB2312"/>
                <w:color w:val="auto"/>
                <w:kern w:val="0"/>
                <w:sz w:val="13"/>
                <w:szCs w:val="13"/>
                <w:highlight w:val="none"/>
              </w:rPr>
              <w:t>责令改正，处</w:t>
            </w:r>
            <w:r>
              <w:rPr>
                <w:rFonts w:hint="eastAsia" w:ascii="仿宋_GB2312" w:eastAsia="仿宋_GB2312"/>
                <w:color w:val="auto"/>
                <w:sz w:val="13"/>
                <w:szCs w:val="13"/>
                <w:highlight w:val="none"/>
              </w:rPr>
              <w:t>50</w:t>
            </w:r>
            <w:r>
              <w:rPr>
                <w:rFonts w:hint="eastAsia" w:ascii="仿宋_GB2312" w:hAnsi="宋体" w:eastAsia="仿宋_GB2312"/>
                <w:color w:val="auto"/>
                <w:sz w:val="13"/>
                <w:szCs w:val="13"/>
                <w:highlight w:val="none"/>
              </w:rPr>
              <w:t>万元罚款，对单位直接负责的主管人员和其他直接责任人员处单位罚款数额百分之五的罚款；有违法所得的，予以没收。</w:t>
            </w:r>
          </w:p>
        </w:tc>
      </w:tr>
      <w:tr w14:paraId="1ED1AA2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25" w:hRule="atLeast"/>
          <w:jc w:val="center"/>
        </w:trPr>
        <w:tc>
          <w:tcPr>
            <w:tcW w:w="443" w:type="dxa"/>
            <w:gridSpan w:val="2"/>
            <w:vMerge w:val="continue"/>
            <w:tcBorders>
              <w:tl2br w:val="nil"/>
              <w:tr2bl w:val="nil"/>
            </w:tcBorders>
            <w:vAlign w:val="center"/>
          </w:tcPr>
          <w:p w14:paraId="6418009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rPr>
                <w:rFonts w:ascii="仿宋_GB2312" w:eastAsia="仿宋_GB2312"/>
                <w:color w:val="auto"/>
                <w:sz w:val="13"/>
                <w:szCs w:val="13"/>
                <w:highlight w:val="none"/>
              </w:rPr>
            </w:pPr>
          </w:p>
        </w:tc>
        <w:tc>
          <w:tcPr>
            <w:tcW w:w="1550" w:type="dxa"/>
            <w:vMerge w:val="continue"/>
            <w:tcBorders>
              <w:tl2br w:val="nil"/>
              <w:tr2bl w:val="nil"/>
            </w:tcBorders>
            <w:vAlign w:val="center"/>
          </w:tcPr>
          <w:p w14:paraId="3C43D1A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sz w:val="13"/>
                <w:szCs w:val="13"/>
                <w:highlight w:val="none"/>
              </w:rPr>
            </w:pPr>
          </w:p>
        </w:tc>
        <w:tc>
          <w:tcPr>
            <w:tcW w:w="4820" w:type="dxa"/>
            <w:vMerge w:val="continue"/>
            <w:tcBorders>
              <w:tl2br w:val="nil"/>
              <w:tr2bl w:val="nil"/>
            </w:tcBorders>
            <w:vAlign w:val="center"/>
          </w:tcPr>
          <w:p w14:paraId="237C4A4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p>
        </w:tc>
        <w:tc>
          <w:tcPr>
            <w:tcW w:w="823" w:type="dxa"/>
            <w:tcBorders>
              <w:tl2br w:val="nil"/>
              <w:tr2bl w:val="nil"/>
            </w:tcBorders>
            <w:vAlign w:val="center"/>
          </w:tcPr>
          <w:p w14:paraId="7E221FF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一般情节</w:t>
            </w:r>
          </w:p>
        </w:tc>
        <w:tc>
          <w:tcPr>
            <w:tcW w:w="3437" w:type="dxa"/>
            <w:gridSpan w:val="2"/>
            <w:tcBorders>
              <w:tl2br w:val="nil"/>
              <w:tr2bl w:val="nil"/>
            </w:tcBorders>
            <w:tcMar>
              <w:top w:w="15" w:type="dxa"/>
              <w:left w:w="15" w:type="dxa"/>
              <w:bottom w:w="15" w:type="dxa"/>
              <w:right w:w="15" w:type="dxa"/>
            </w:tcMar>
            <w:vAlign w:val="center"/>
          </w:tcPr>
          <w:p w14:paraId="4A75C17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不具有从轻、</w:t>
            </w:r>
            <w:r>
              <w:rPr>
                <w:rFonts w:hint="eastAsia" w:ascii="仿宋_GB2312" w:hAnsi="宋体" w:eastAsia="仿宋_GB2312"/>
                <w:color w:val="auto"/>
                <w:kern w:val="0"/>
                <w:sz w:val="13"/>
                <w:szCs w:val="13"/>
                <w:highlight w:val="none"/>
                <w:lang w:eastAsia="zh-CN"/>
              </w:rPr>
              <w:t>从重情节</w:t>
            </w:r>
            <w:r>
              <w:rPr>
                <w:rFonts w:hint="eastAsia" w:ascii="仿宋_GB2312" w:hAnsi="宋体" w:eastAsia="仿宋_GB2312"/>
                <w:color w:val="auto"/>
                <w:kern w:val="0"/>
                <w:sz w:val="13"/>
                <w:szCs w:val="13"/>
                <w:highlight w:val="none"/>
              </w:rPr>
              <w:t>的。</w:t>
            </w:r>
          </w:p>
        </w:tc>
        <w:tc>
          <w:tcPr>
            <w:tcW w:w="3058" w:type="dxa"/>
            <w:tcBorders>
              <w:tl2br w:val="nil"/>
              <w:tr2bl w:val="nil"/>
            </w:tcBorders>
            <w:tcMar>
              <w:top w:w="15" w:type="dxa"/>
              <w:left w:w="15" w:type="dxa"/>
              <w:bottom w:w="15" w:type="dxa"/>
              <w:right w:w="15" w:type="dxa"/>
            </w:tcMar>
            <w:vAlign w:val="center"/>
          </w:tcPr>
          <w:p w14:paraId="3A914AF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sz w:val="13"/>
                <w:szCs w:val="13"/>
                <w:highlight w:val="none"/>
              </w:rPr>
            </w:pPr>
            <w:r>
              <w:rPr>
                <w:rFonts w:hint="eastAsia" w:ascii="仿宋_GB2312" w:hAnsi="宋体" w:eastAsia="仿宋_GB2312"/>
                <w:color w:val="auto"/>
                <w:sz w:val="13"/>
                <w:szCs w:val="13"/>
                <w:highlight w:val="none"/>
              </w:rPr>
              <w:t>责令改正，处50万元以上75万元以下的罚款，对单位直接负责的主管人员和其他直接责任人员处单位罚款数额百分之五以上百分之七点五以下的罚款；有违法所得的，予以没收。</w:t>
            </w:r>
          </w:p>
        </w:tc>
      </w:tr>
      <w:tr w14:paraId="168E88D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25" w:hRule="atLeast"/>
          <w:jc w:val="center"/>
        </w:trPr>
        <w:tc>
          <w:tcPr>
            <w:tcW w:w="443" w:type="dxa"/>
            <w:gridSpan w:val="2"/>
            <w:vMerge w:val="continue"/>
            <w:tcBorders>
              <w:tl2br w:val="nil"/>
              <w:tr2bl w:val="nil"/>
            </w:tcBorders>
            <w:vAlign w:val="center"/>
          </w:tcPr>
          <w:p w14:paraId="7809A5B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rPr>
                <w:rFonts w:ascii="仿宋_GB2312" w:eastAsia="仿宋_GB2312"/>
                <w:color w:val="auto"/>
                <w:sz w:val="13"/>
                <w:szCs w:val="13"/>
                <w:highlight w:val="none"/>
              </w:rPr>
            </w:pPr>
          </w:p>
        </w:tc>
        <w:tc>
          <w:tcPr>
            <w:tcW w:w="1550" w:type="dxa"/>
            <w:vMerge w:val="continue"/>
            <w:tcBorders>
              <w:tl2br w:val="nil"/>
              <w:tr2bl w:val="nil"/>
            </w:tcBorders>
            <w:vAlign w:val="center"/>
          </w:tcPr>
          <w:p w14:paraId="4C94B3E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sz w:val="13"/>
                <w:szCs w:val="13"/>
                <w:highlight w:val="none"/>
              </w:rPr>
            </w:pPr>
          </w:p>
        </w:tc>
        <w:tc>
          <w:tcPr>
            <w:tcW w:w="4820" w:type="dxa"/>
            <w:vMerge w:val="continue"/>
            <w:tcBorders>
              <w:tl2br w:val="nil"/>
              <w:tr2bl w:val="nil"/>
            </w:tcBorders>
            <w:vAlign w:val="center"/>
          </w:tcPr>
          <w:p w14:paraId="6C0E40E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p>
        </w:tc>
        <w:tc>
          <w:tcPr>
            <w:tcW w:w="823" w:type="dxa"/>
            <w:vMerge w:val="restart"/>
            <w:tcBorders>
              <w:tl2br w:val="nil"/>
              <w:tr2bl w:val="nil"/>
            </w:tcBorders>
            <w:vAlign w:val="center"/>
          </w:tcPr>
          <w:p w14:paraId="67625F02">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sz w:val="13"/>
                <w:szCs w:val="13"/>
                <w:highlight w:val="none"/>
                <w:lang w:eastAsia="zh-CN"/>
              </w:rPr>
              <w:t>从重情节</w:t>
            </w:r>
          </w:p>
        </w:tc>
        <w:tc>
          <w:tcPr>
            <w:tcW w:w="3437" w:type="dxa"/>
            <w:gridSpan w:val="2"/>
            <w:tcBorders>
              <w:tl2br w:val="nil"/>
              <w:tr2bl w:val="nil"/>
            </w:tcBorders>
            <w:tcMar>
              <w:top w:w="15" w:type="dxa"/>
              <w:left w:w="15" w:type="dxa"/>
              <w:bottom w:w="15" w:type="dxa"/>
              <w:right w:w="15" w:type="dxa"/>
            </w:tcMar>
            <w:vAlign w:val="center"/>
          </w:tcPr>
          <w:p w14:paraId="4DAEE63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（1）造成一般质量事故的。</w:t>
            </w:r>
          </w:p>
        </w:tc>
        <w:tc>
          <w:tcPr>
            <w:tcW w:w="3058" w:type="dxa"/>
            <w:tcBorders>
              <w:tl2br w:val="nil"/>
              <w:tr2bl w:val="nil"/>
            </w:tcBorders>
            <w:tcMar>
              <w:top w:w="15" w:type="dxa"/>
              <w:left w:w="15" w:type="dxa"/>
              <w:bottom w:w="15" w:type="dxa"/>
              <w:right w:w="15" w:type="dxa"/>
            </w:tcMar>
            <w:vAlign w:val="center"/>
          </w:tcPr>
          <w:p w14:paraId="1201FBA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责令改正，处</w:t>
            </w:r>
            <w:r>
              <w:rPr>
                <w:rFonts w:ascii="仿宋_GB2312" w:hAnsi="宋体" w:eastAsia="仿宋_GB2312"/>
                <w:color w:val="auto"/>
                <w:kern w:val="0"/>
                <w:sz w:val="13"/>
                <w:szCs w:val="13"/>
                <w:highlight w:val="none"/>
              </w:rPr>
              <w:t>75</w:t>
            </w:r>
            <w:r>
              <w:rPr>
                <w:rFonts w:hint="eastAsia" w:ascii="仿宋_GB2312" w:hAnsi="宋体" w:eastAsia="仿宋_GB2312"/>
                <w:color w:val="auto"/>
                <w:kern w:val="0"/>
                <w:sz w:val="13"/>
                <w:szCs w:val="13"/>
                <w:highlight w:val="none"/>
              </w:rPr>
              <w:t>万元以上</w:t>
            </w:r>
            <w:r>
              <w:rPr>
                <w:rFonts w:ascii="仿宋_GB2312" w:eastAsia="仿宋_GB2312"/>
                <w:color w:val="auto"/>
                <w:sz w:val="13"/>
                <w:szCs w:val="13"/>
                <w:highlight w:val="none"/>
              </w:rPr>
              <w:t>100</w:t>
            </w:r>
            <w:r>
              <w:rPr>
                <w:rFonts w:hint="eastAsia" w:ascii="仿宋_GB2312" w:hAnsi="宋体" w:eastAsia="仿宋_GB2312"/>
                <w:color w:val="auto"/>
                <w:sz w:val="13"/>
                <w:szCs w:val="13"/>
                <w:highlight w:val="none"/>
              </w:rPr>
              <w:t>万元以下的罚款，对单位直接负责的主管人员和其他直接责任人员处单位罚款数额百分之七点五以上百分之十以下的罚款；有违法所得的，予以没收。</w:t>
            </w:r>
          </w:p>
        </w:tc>
      </w:tr>
      <w:tr w14:paraId="3A443F5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47" w:hRule="atLeast"/>
          <w:jc w:val="center"/>
        </w:trPr>
        <w:tc>
          <w:tcPr>
            <w:tcW w:w="443" w:type="dxa"/>
            <w:gridSpan w:val="2"/>
            <w:vMerge w:val="continue"/>
            <w:tcBorders>
              <w:tl2br w:val="nil"/>
              <w:tr2bl w:val="nil"/>
            </w:tcBorders>
            <w:vAlign w:val="center"/>
          </w:tcPr>
          <w:p w14:paraId="6FD7DEE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rPr>
                <w:rFonts w:ascii="仿宋_GB2312" w:eastAsia="仿宋_GB2312"/>
                <w:color w:val="auto"/>
                <w:sz w:val="13"/>
                <w:szCs w:val="13"/>
                <w:highlight w:val="none"/>
              </w:rPr>
            </w:pPr>
          </w:p>
        </w:tc>
        <w:tc>
          <w:tcPr>
            <w:tcW w:w="1550" w:type="dxa"/>
            <w:vMerge w:val="continue"/>
            <w:tcBorders>
              <w:tl2br w:val="nil"/>
              <w:tr2bl w:val="nil"/>
            </w:tcBorders>
            <w:vAlign w:val="center"/>
          </w:tcPr>
          <w:p w14:paraId="2FDA844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sz w:val="13"/>
                <w:szCs w:val="13"/>
                <w:highlight w:val="none"/>
              </w:rPr>
            </w:pPr>
          </w:p>
        </w:tc>
        <w:tc>
          <w:tcPr>
            <w:tcW w:w="4820" w:type="dxa"/>
            <w:vMerge w:val="continue"/>
            <w:tcBorders>
              <w:tl2br w:val="nil"/>
              <w:tr2bl w:val="nil"/>
            </w:tcBorders>
            <w:vAlign w:val="center"/>
          </w:tcPr>
          <w:p w14:paraId="33C81F2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sz w:val="13"/>
                <w:szCs w:val="13"/>
                <w:highlight w:val="none"/>
              </w:rPr>
            </w:pPr>
          </w:p>
        </w:tc>
        <w:tc>
          <w:tcPr>
            <w:tcW w:w="823" w:type="dxa"/>
            <w:vMerge w:val="continue"/>
            <w:tcBorders>
              <w:tl2br w:val="nil"/>
              <w:tr2bl w:val="nil"/>
            </w:tcBorders>
            <w:vAlign w:val="center"/>
          </w:tcPr>
          <w:p w14:paraId="48B8033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sz w:val="13"/>
                <w:szCs w:val="13"/>
                <w:highlight w:val="none"/>
              </w:rPr>
            </w:pPr>
          </w:p>
        </w:tc>
        <w:tc>
          <w:tcPr>
            <w:tcW w:w="3437" w:type="dxa"/>
            <w:gridSpan w:val="2"/>
            <w:tcBorders>
              <w:tl2br w:val="nil"/>
              <w:tr2bl w:val="nil"/>
            </w:tcBorders>
            <w:tcMar>
              <w:top w:w="15" w:type="dxa"/>
              <w:left w:w="15" w:type="dxa"/>
              <w:bottom w:w="15" w:type="dxa"/>
              <w:right w:w="15" w:type="dxa"/>
            </w:tcMar>
            <w:vAlign w:val="center"/>
          </w:tcPr>
          <w:p w14:paraId="2CE277D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（2）造成较大质量事故的。</w:t>
            </w:r>
          </w:p>
        </w:tc>
        <w:tc>
          <w:tcPr>
            <w:tcW w:w="3058" w:type="dxa"/>
            <w:tcBorders>
              <w:tl2br w:val="nil"/>
              <w:tr2bl w:val="nil"/>
            </w:tcBorders>
            <w:tcMar>
              <w:top w:w="15" w:type="dxa"/>
              <w:left w:w="15" w:type="dxa"/>
              <w:bottom w:w="15" w:type="dxa"/>
              <w:right w:w="15" w:type="dxa"/>
            </w:tcMar>
            <w:vAlign w:val="center"/>
          </w:tcPr>
          <w:p w14:paraId="29F2590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sz w:val="13"/>
                <w:szCs w:val="13"/>
                <w:highlight w:val="none"/>
              </w:rPr>
            </w:pPr>
            <w:r>
              <w:rPr>
                <w:rFonts w:ascii="仿宋_GB2312" w:hAnsi="宋体" w:eastAsia="仿宋_GB2312"/>
                <w:color w:val="auto"/>
                <w:kern w:val="0"/>
                <w:sz w:val="13"/>
                <w:szCs w:val="13"/>
                <w:highlight w:val="none"/>
              </w:rPr>
              <w:t>责令改正</w:t>
            </w:r>
            <w:r>
              <w:rPr>
                <w:rFonts w:hint="eastAsia" w:ascii="仿宋_GB2312" w:hAnsi="宋体" w:eastAsia="仿宋_GB2312"/>
                <w:color w:val="auto"/>
                <w:kern w:val="0"/>
                <w:sz w:val="13"/>
                <w:szCs w:val="13"/>
                <w:highlight w:val="none"/>
              </w:rPr>
              <w:t>，处</w:t>
            </w:r>
            <w:r>
              <w:rPr>
                <w:rFonts w:hint="eastAsia" w:ascii="仿宋_GB2312" w:eastAsia="仿宋_GB2312"/>
                <w:color w:val="auto"/>
                <w:sz w:val="13"/>
                <w:szCs w:val="13"/>
                <w:highlight w:val="none"/>
              </w:rPr>
              <w:t>100</w:t>
            </w:r>
            <w:r>
              <w:rPr>
                <w:rFonts w:hint="eastAsia" w:ascii="仿宋_GB2312" w:hAnsi="宋体" w:eastAsia="仿宋_GB2312"/>
                <w:color w:val="auto"/>
                <w:sz w:val="13"/>
                <w:szCs w:val="13"/>
                <w:highlight w:val="none"/>
              </w:rPr>
              <w:t>万元罚款，对单位直接负责的主管人员和其他直接责任人员处单位罚款数额百分之十的罚款；有违法所得的，予以没收。</w:t>
            </w:r>
          </w:p>
        </w:tc>
      </w:tr>
      <w:tr w14:paraId="576FAEB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475" w:hRule="atLeast"/>
          <w:jc w:val="center"/>
        </w:trPr>
        <w:tc>
          <w:tcPr>
            <w:tcW w:w="443" w:type="dxa"/>
            <w:gridSpan w:val="2"/>
            <w:vMerge w:val="continue"/>
            <w:tcBorders>
              <w:tl2br w:val="nil"/>
              <w:tr2bl w:val="nil"/>
            </w:tcBorders>
            <w:vAlign w:val="center"/>
          </w:tcPr>
          <w:p w14:paraId="4466027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rPr>
                <w:rFonts w:ascii="仿宋_GB2312" w:eastAsia="仿宋_GB2312"/>
                <w:color w:val="auto"/>
                <w:sz w:val="13"/>
                <w:szCs w:val="13"/>
                <w:highlight w:val="none"/>
              </w:rPr>
            </w:pPr>
          </w:p>
        </w:tc>
        <w:tc>
          <w:tcPr>
            <w:tcW w:w="1550" w:type="dxa"/>
            <w:vMerge w:val="continue"/>
            <w:tcBorders>
              <w:tl2br w:val="nil"/>
              <w:tr2bl w:val="nil"/>
            </w:tcBorders>
            <w:vAlign w:val="center"/>
          </w:tcPr>
          <w:p w14:paraId="57713C3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sz w:val="13"/>
                <w:szCs w:val="13"/>
                <w:highlight w:val="none"/>
              </w:rPr>
            </w:pPr>
          </w:p>
        </w:tc>
        <w:tc>
          <w:tcPr>
            <w:tcW w:w="4820" w:type="dxa"/>
            <w:vMerge w:val="continue"/>
            <w:tcBorders>
              <w:tl2br w:val="nil"/>
              <w:tr2bl w:val="nil"/>
            </w:tcBorders>
            <w:vAlign w:val="center"/>
          </w:tcPr>
          <w:p w14:paraId="6E96AE9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sz w:val="13"/>
                <w:szCs w:val="13"/>
                <w:highlight w:val="none"/>
              </w:rPr>
            </w:pPr>
          </w:p>
        </w:tc>
        <w:tc>
          <w:tcPr>
            <w:tcW w:w="823" w:type="dxa"/>
            <w:vMerge w:val="continue"/>
            <w:tcBorders>
              <w:tl2br w:val="nil"/>
              <w:tr2bl w:val="nil"/>
            </w:tcBorders>
            <w:vAlign w:val="center"/>
          </w:tcPr>
          <w:p w14:paraId="0858C31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sz w:val="13"/>
                <w:szCs w:val="13"/>
                <w:highlight w:val="none"/>
              </w:rPr>
            </w:pPr>
          </w:p>
        </w:tc>
        <w:tc>
          <w:tcPr>
            <w:tcW w:w="3437" w:type="dxa"/>
            <w:gridSpan w:val="2"/>
            <w:tcBorders>
              <w:tl2br w:val="nil"/>
              <w:tr2bl w:val="nil"/>
            </w:tcBorders>
            <w:tcMar>
              <w:top w:w="15" w:type="dxa"/>
              <w:left w:w="15" w:type="dxa"/>
              <w:bottom w:w="15" w:type="dxa"/>
              <w:right w:w="15" w:type="dxa"/>
            </w:tcMar>
            <w:vAlign w:val="center"/>
          </w:tcPr>
          <w:p w14:paraId="412DCDCC">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sz w:val="13"/>
                <w:szCs w:val="13"/>
                <w:highlight w:val="none"/>
              </w:rPr>
              <w:t>（3）</w:t>
            </w:r>
            <w:r>
              <w:rPr>
                <w:rFonts w:hint="eastAsia" w:ascii="仿宋" w:hAnsi="仿宋" w:eastAsia="仿宋"/>
                <w:color w:val="auto"/>
                <w:sz w:val="13"/>
                <w:szCs w:val="13"/>
                <w:highlight w:val="none"/>
              </w:rPr>
              <w:t>①</w:t>
            </w:r>
            <w:r>
              <w:rPr>
                <w:rFonts w:hint="eastAsia" w:ascii="仿宋_GB2312" w:hAnsi="宋体" w:eastAsia="仿宋_GB2312"/>
                <w:color w:val="auto"/>
                <w:sz w:val="13"/>
                <w:szCs w:val="13"/>
                <w:highlight w:val="none"/>
              </w:rPr>
              <w:t>造成重大质量事故的；</w:t>
            </w:r>
            <w:r>
              <w:rPr>
                <w:rFonts w:hint="eastAsia" w:ascii="仿宋" w:hAnsi="仿宋" w:eastAsia="仿宋"/>
                <w:color w:val="auto"/>
                <w:sz w:val="13"/>
                <w:szCs w:val="13"/>
                <w:highlight w:val="none"/>
              </w:rPr>
              <w:t>②</w:t>
            </w:r>
            <w:r>
              <w:rPr>
                <w:rFonts w:hint="eastAsia" w:ascii="仿宋_GB2312" w:hAnsi="宋体" w:eastAsia="仿宋_GB2312"/>
                <w:color w:val="auto"/>
                <w:sz w:val="13"/>
                <w:szCs w:val="13"/>
                <w:highlight w:val="none"/>
              </w:rPr>
              <w:t>造成分部工程存在严重缺陷，经返修和加固处理仍不能满足安全使用要求的。</w:t>
            </w:r>
          </w:p>
        </w:tc>
        <w:tc>
          <w:tcPr>
            <w:tcW w:w="3058" w:type="dxa"/>
            <w:tcBorders>
              <w:tl2br w:val="nil"/>
              <w:tr2bl w:val="nil"/>
            </w:tcBorders>
            <w:tcMar>
              <w:top w:w="15" w:type="dxa"/>
              <w:left w:w="15" w:type="dxa"/>
              <w:bottom w:w="15" w:type="dxa"/>
              <w:right w:w="15" w:type="dxa"/>
            </w:tcMar>
            <w:vAlign w:val="center"/>
          </w:tcPr>
          <w:p w14:paraId="3C6DFA6A">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sz w:val="13"/>
                <w:szCs w:val="13"/>
                <w:highlight w:val="none"/>
              </w:rPr>
              <w:t>处100万元罚款，对单位直接负责的主管人员和其他直接责任人员处单位罚款数额百分之十的罚款，降低资质等级；有违法所得的，予以没收。</w:t>
            </w:r>
          </w:p>
        </w:tc>
      </w:tr>
      <w:tr w14:paraId="0AD1C1F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91" w:hRule="atLeast"/>
          <w:jc w:val="center"/>
        </w:trPr>
        <w:tc>
          <w:tcPr>
            <w:tcW w:w="443" w:type="dxa"/>
            <w:gridSpan w:val="2"/>
            <w:vMerge w:val="continue"/>
            <w:tcBorders>
              <w:tl2br w:val="nil"/>
              <w:tr2bl w:val="nil"/>
            </w:tcBorders>
            <w:vAlign w:val="center"/>
          </w:tcPr>
          <w:p w14:paraId="7556597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rPr>
                <w:rFonts w:ascii="仿宋_GB2312" w:eastAsia="仿宋_GB2312"/>
                <w:color w:val="auto"/>
                <w:sz w:val="13"/>
                <w:szCs w:val="13"/>
                <w:highlight w:val="none"/>
              </w:rPr>
            </w:pPr>
          </w:p>
        </w:tc>
        <w:tc>
          <w:tcPr>
            <w:tcW w:w="1550" w:type="dxa"/>
            <w:vMerge w:val="continue"/>
            <w:tcBorders>
              <w:tl2br w:val="nil"/>
              <w:tr2bl w:val="nil"/>
            </w:tcBorders>
            <w:vAlign w:val="center"/>
          </w:tcPr>
          <w:p w14:paraId="61B069A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sz w:val="13"/>
                <w:szCs w:val="13"/>
                <w:highlight w:val="none"/>
              </w:rPr>
            </w:pPr>
          </w:p>
        </w:tc>
        <w:tc>
          <w:tcPr>
            <w:tcW w:w="4820" w:type="dxa"/>
            <w:vMerge w:val="continue"/>
            <w:tcBorders>
              <w:tl2br w:val="nil"/>
              <w:tr2bl w:val="nil"/>
            </w:tcBorders>
            <w:vAlign w:val="center"/>
          </w:tcPr>
          <w:p w14:paraId="7CEC244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sz w:val="13"/>
                <w:szCs w:val="13"/>
                <w:highlight w:val="none"/>
              </w:rPr>
            </w:pPr>
          </w:p>
        </w:tc>
        <w:tc>
          <w:tcPr>
            <w:tcW w:w="823" w:type="dxa"/>
            <w:vMerge w:val="continue"/>
            <w:tcBorders>
              <w:tl2br w:val="nil"/>
              <w:tr2bl w:val="nil"/>
            </w:tcBorders>
            <w:vAlign w:val="center"/>
          </w:tcPr>
          <w:p w14:paraId="0D33639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sz w:val="13"/>
                <w:szCs w:val="13"/>
                <w:highlight w:val="none"/>
              </w:rPr>
            </w:pPr>
          </w:p>
        </w:tc>
        <w:tc>
          <w:tcPr>
            <w:tcW w:w="3437" w:type="dxa"/>
            <w:gridSpan w:val="2"/>
            <w:tcBorders>
              <w:tl2br w:val="nil"/>
              <w:tr2bl w:val="nil"/>
            </w:tcBorders>
            <w:tcMar>
              <w:top w:w="15" w:type="dxa"/>
              <w:left w:w="15" w:type="dxa"/>
              <w:bottom w:w="15" w:type="dxa"/>
              <w:right w:w="15" w:type="dxa"/>
            </w:tcMar>
            <w:vAlign w:val="center"/>
          </w:tcPr>
          <w:p w14:paraId="4013F69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sz w:val="13"/>
                <w:szCs w:val="13"/>
                <w:highlight w:val="none"/>
              </w:rPr>
            </w:pPr>
            <w:r>
              <w:rPr>
                <w:rFonts w:hint="eastAsia" w:ascii="仿宋_GB2312" w:hAnsi="宋体" w:eastAsia="仿宋_GB2312"/>
                <w:color w:val="auto"/>
                <w:kern w:val="0"/>
                <w:sz w:val="13"/>
                <w:szCs w:val="13"/>
                <w:highlight w:val="none"/>
              </w:rPr>
              <w:t>（4）</w:t>
            </w:r>
            <w:r>
              <w:rPr>
                <w:rFonts w:hint="eastAsia" w:ascii="仿宋" w:hAnsi="仿宋" w:eastAsia="仿宋"/>
                <w:color w:val="auto"/>
                <w:kern w:val="0"/>
                <w:sz w:val="13"/>
                <w:szCs w:val="13"/>
                <w:highlight w:val="none"/>
              </w:rPr>
              <w:t>①</w:t>
            </w:r>
            <w:r>
              <w:rPr>
                <w:rFonts w:hint="eastAsia" w:ascii="仿宋_GB2312" w:hAnsi="宋体" w:eastAsia="仿宋_GB2312"/>
                <w:color w:val="auto"/>
                <w:kern w:val="0"/>
                <w:sz w:val="13"/>
                <w:szCs w:val="13"/>
                <w:highlight w:val="none"/>
              </w:rPr>
              <w:t>造成特别重大质量事故的；</w:t>
            </w:r>
            <w:r>
              <w:rPr>
                <w:rFonts w:hint="eastAsia" w:ascii="仿宋" w:hAnsi="仿宋" w:eastAsia="仿宋"/>
                <w:color w:val="auto"/>
                <w:kern w:val="0"/>
                <w:sz w:val="13"/>
                <w:szCs w:val="13"/>
                <w:highlight w:val="none"/>
              </w:rPr>
              <w:t>②</w:t>
            </w:r>
            <w:r>
              <w:rPr>
                <w:rFonts w:hint="eastAsia" w:ascii="仿宋_GB2312" w:hAnsi="宋体" w:eastAsia="仿宋_GB2312"/>
                <w:color w:val="auto"/>
                <w:kern w:val="0"/>
                <w:sz w:val="13"/>
                <w:szCs w:val="13"/>
                <w:highlight w:val="none"/>
              </w:rPr>
              <w:t>造成单位（子单位）工程存在严重缺陷，经返修和加固处理仍不能满足安全使用要求的。</w:t>
            </w:r>
          </w:p>
        </w:tc>
        <w:tc>
          <w:tcPr>
            <w:tcW w:w="3058" w:type="dxa"/>
            <w:tcBorders>
              <w:tl2br w:val="nil"/>
              <w:tr2bl w:val="nil"/>
            </w:tcBorders>
            <w:tcMar>
              <w:top w:w="15" w:type="dxa"/>
              <w:left w:w="15" w:type="dxa"/>
              <w:bottom w:w="15" w:type="dxa"/>
              <w:right w:w="15" w:type="dxa"/>
            </w:tcMar>
            <w:vAlign w:val="center"/>
          </w:tcPr>
          <w:p w14:paraId="311563E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sz w:val="13"/>
                <w:szCs w:val="13"/>
                <w:highlight w:val="none"/>
              </w:rPr>
            </w:pPr>
            <w:r>
              <w:rPr>
                <w:rFonts w:hint="eastAsia" w:ascii="仿宋_GB2312" w:hAnsi="宋体" w:eastAsia="仿宋_GB2312"/>
                <w:color w:val="auto"/>
                <w:kern w:val="0"/>
                <w:sz w:val="13"/>
                <w:szCs w:val="13"/>
                <w:highlight w:val="none"/>
              </w:rPr>
              <w:t>处</w:t>
            </w:r>
            <w:r>
              <w:rPr>
                <w:rFonts w:hint="eastAsia" w:ascii="仿宋_GB2312" w:eastAsia="仿宋_GB2312"/>
                <w:color w:val="auto"/>
                <w:sz w:val="13"/>
                <w:szCs w:val="13"/>
                <w:highlight w:val="none"/>
              </w:rPr>
              <w:t>100</w:t>
            </w:r>
            <w:r>
              <w:rPr>
                <w:rFonts w:hint="eastAsia" w:ascii="仿宋_GB2312" w:hAnsi="宋体" w:eastAsia="仿宋_GB2312"/>
                <w:color w:val="auto"/>
                <w:sz w:val="13"/>
                <w:szCs w:val="13"/>
                <w:highlight w:val="none"/>
              </w:rPr>
              <w:t>万元罚款，对单位直接负责的主管人员和其他直接责任人员处单位罚款数额百分之十的罚款，吊销资质证书；有违法所得的，予以没收。</w:t>
            </w:r>
          </w:p>
        </w:tc>
      </w:tr>
      <w:tr w14:paraId="35B16B9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79" w:hRule="atLeast"/>
          <w:jc w:val="center"/>
        </w:trPr>
        <w:tc>
          <w:tcPr>
            <w:tcW w:w="443" w:type="dxa"/>
            <w:gridSpan w:val="2"/>
            <w:vMerge w:val="restart"/>
            <w:tcBorders>
              <w:tl2br w:val="nil"/>
              <w:tr2bl w:val="nil"/>
            </w:tcBorders>
            <w:vAlign w:val="center"/>
          </w:tcPr>
          <w:p w14:paraId="537720D0">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eastAsia="仿宋_GB2312"/>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213</w:t>
            </w:r>
          </w:p>
        </w:tc>
        <w:tc>
          <w:tcPr>
            <w:tcW w:w="1550" w:type="dxa"/>
            <w:vMerge w:val="restart"/>
            <w:tcBorders>
              <w:tl2br w:val="nil"/>
              <w:tr2bl w:val="nil"/>
            </w:tcBorders>
            <w:vAlign w:val="center"/>
          </w:tcPr>
          <w:p w14:paraId="3D186BC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sz w:val="13"/>
                <w:szCs w:val="13"/>
                <w:highlight w:val="none"/>
              </w:rPr>
            </w:pPr>
            <w:r>
              <w:rPr>
                <w:rFonts w:hint="eastAsia" w:ascii="仿宋_GB2312" w:hAnsi="宋体" w:eastAsia="仿宋_GB2312"/>
                <w:color w:val="auto"/>
                <w:sz w:val="13"/>
                <w:szCs w:val="13"/>
                <w:highlight w:val="none"/>
              </w:rPr>
              <w:t>房地产开发企业在销售房屋时未向购买人明示所售房屋的节能措施、保温工程保修期等信息的</w:t>
            </w:r>
          </w:p>
        </w:tc>
        <w:tc>
          <w:tcPr>
            <w:tcW w:w="4820" w:type="dxa"/>
            <w:vMerge w:val="restart"/>
            <w:tcBorders>
              <w:tl2br w:val="nil"/>
              <w:tr2bl w:val="nil"/>
            </w:tcBorders>
            <w:vAlign w:val="center"/>
          </w:tcPr>
          <w:p w14:paraId="71E4C25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sz w:val="13"/>
                <w:szCs w:val="13"/>
                <w:highlight w:val="none"/>
              </w:rPr>
            </w:pPr>
            <w:r>
              <w:rPr>
                <w:rFonts w:hint="eastAsia" w:ascii="仿宋_GB2312" w:hAnsi="宋体" w:eastAsia="仿宋_GB2312"/>
                <w:color w:val="auto"/>
                <w:sz w:val="13"/>
                <w:szCs w:val="13"/>
                <w:highlight w:val="none"/>
              </w:rPr>
              <w:t>《节约能源法》第八十条房地产开发企业违反本法规定，在销售房屋时未向购买人明示所售房屋的节能措施、保温工程保修期等信息的，由建设主管部门责令限期改正，逾期不改正的，处三万元以上五万元以下罚款；对以上信息作虚假宣传的，由建设主管部门责令改正，处五万元以上二十万元以下罚款。</w:t>
            </w:r>
          </w:p>
        </w:tc>
        <w:tc>
          <w:tcPr>
            <w:tcW w:w="823" w:type="dxa"/>
            <w:tcBorders>
              <w:tl2br w:val="nil"/>
              <w:tr2bl w:val="nil"/>
            </w:tcBorders>
            <w:vAlign w:val="center"/>
          </w:tcPr>
          <w:p w14:paraId="6B42B3A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sz w:val="13"/>
                <w:szCs w:val="13"/>
                <w:highlight w:val="none"/>
                <w:lang w:eastAsia="zh-CN"/>
              </w:rPr>
              <w:t>从轻情节</w:t>
            </w:r>
          </w:p>
        </w:tc>
        <w:tc>
          <w:tcPr>
            <w:tcW w:w="3437" w:type="dxa"/>
            <w:gridSpan w:val="2"/>
            <w:tcBorders>
              <w:tl2br w:val="nil"/>
              <w:tr2bl w:val="nil"/>
            </w:tcBorders>
            <w:tcMar>
              <w:top w:w="15" w:type="dxa"/>
              <w:left w:w="15" w:type="dxa"/>
              <w:bottom w:w="15" w:type="dxa"/>
              <w:right w:w="15" w:type="dxa"/>
            </w:tcMar>
            <w:vAlign w:val="center"/>
          </w:tcPr>
          <w:p w14:paraId="18A4A7A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sz w:val="13"/>
                <w:szCs w:val="13"/>
                <w:highlight w:val="none"/>
              </w:rPr>
            </w:pPr>
            <w:r>
              <w:rPr>
                <w:rFonts w:hint="eastAsia" w:ascii="仿宋_GB2312" w:hAnsi="宋体" w:eastAsia="仿宋_GB2312"/>
                <w:color w:val="auto"/>
                <w:kern w:val="0"/>
                <w:sz w:val="13"/>
                <w:szCs w:val="13"/>
                <w:highlight w:val="none"/>
              </w:rPr>
              <w:t>初次违法，逾期不改</w:t>
            </w:r>
            <w:r>
              <w:rPr>
                <w:rFonts w:hint="eastAsia"/>
                <w:color w:val="auto"/>
                <w:sz w:val="13"/>
                <w:szCs w:val="13"/>
                <w:highlight w:val="none"/>
              </w:rPr>
              <w:t>正</w:t>
            </w:r>
            <w:r>
              <w:rPr>
                <w:rFonts w:hint="eastAsia" w:ascii="仿宋_GB2312" w:hAnsi="宋体" w:eastAsia="仿宋_GB2312"/>
                <w:color w:val="auto"/>
                <w:kern w:val="0"/>
                <w:sz w:val="13"/>
                <w:szCs w:val="13"/>
                <w:highlight w:val="none"/>
              </w:rPr>
              <w:t>，未造成严重社会影响的。</w:t>
            </w:r>
          </w:p>
        </w:tc>
        <w:tc>
          <w:tcPr>
            <w:tcW w:w="3058" w:type="dxa"/>
            <w:tcBorders>
              <w:tl2br w:val="nil"/>
              <w:tr2bl w:val="nil"/>
            </w:tcBorders>
            <w:tcMar>
              <w:top w:w="15" w:type="dxa"/>
              <w:left w:w="15" w:type="dxa"/>
              <w:bottom w:w="15" w:type="dxa"/>
              <w:right w:w="15" w:type="dxa"/>
            </w:tcMar>
            <w:vAlign w:val="center"/>
          </w:tcPr>
          <w:p w14:paraId="61FBDAC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sz w:val="13"/>
                <w:szCs w:val="13"/>
                <w:highlight w:val="none"/>
              </w:rPr>
            </w:pPr>
            <w:r>
              <w:rPr>
                <w:rFonts w:hint="eastAsia" w:ascii="仿宋_GB2312" w:hAnsi="宋体" w:eastAsia="仿宋_GB2312"/>
                <w:color w:val="auto"/>
                <w:kern w:val="0"/>
                <w:sz w:val="13"/>
                <w:szCs w:val="13"/>
                <w:highlight w:val="none"/>
              </w:rPr>
              <w:t>责令改正,处3万元罚款；对这些信息作虚假宣传的，处5万元罚款。</w:t>
            </w:r>
          </w:p>
        </w:tc>
      </w:tr>
      <w:tr w14:paraId="6A0E27E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8" w:hRule="atLeast"/>
          <w:jc w:val="center"/>
        </w:trPr>
        <w:tc>
          <w:tcPr>
            <w:tcW w:w="443" w:type="dxa"/>
            <w:gridSpan w:val="2"/>
            <w:vMerge w:val="continue"/>
            <w:tcBorders>
              <w:tl2br w:val="nil"/>
              <w:tr2bl w:val="nil"/>
            </w:tcBorders>
            <w:vAlign w:val="center"/>
          </w:tcPr>
          <w:p w14:paraId="10F5315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rPr>
                <w:rFonts w:ascii="仿宋_GB2312" w:eastAsia="仿宋_GB2312"/>
                <w:color w:val="auto"/>
                <w:sz w:val="13"/>
                <w:szCs w:val="13"/>
                <w:highlight w:val="none"/>
              </w:rPr>
            </w:pPr>
          </w:p>
        </w:tc>
        <w:tc>
          <w:tcPr>
            <w:tcW w:w="1550" w:type="dxa"/>
            <w:vMerge w:val="continue"/>
            <w:tcBorders>
              <w:tl2br w:val="nil"/>
              <w:tr2bl w:val="nil"/>
            </w:tcBorders>
            <w:vAlign w:val="center"/>
          </w:tcPr>
          <w:p w14:paraId="19B2AF1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sz w:val="13"/>
                <w:szCs w:val="13"/>
                <w:highlight w:val="none"/>
              </w:rPr>
            </w:pPr>
          </w:p>
        </w:tc>
        <w:tc>
          <w:tcPr>
            <w:tcW w:w="4820" w:type="dxa"/>
            <w:vMerge w:val="continue"/>
            <w:tcBorders>
              <w:tl2br w:val="nil"/>
              <w:tr2bl w:val="nil"/>
            </w:tcBorders>
            <w:vAlign w:val="center"/>
          </w:tcPr>
          <w:p w14:paraId="7118350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sz w:val="13"/>
                <w:szCs w:val="13"/>
                <w:highlight w:val="none"/>
              </w:rPr>
            </w:pPr>
          </w:p>
        </w:tc>
        <w:tc>
          <w:tcPr>
            <w:tcW w:w="823" w:type="dxa"/>
            <w:tcBorders>
              <w:tl2br w:val="nil"/>
              <w:tr2bl w:val="nil"/>
            </w:tcBorders>
            <w:vAlign w:val="center"/>
          </w:tcPr>
          <w:p w14:paraId="48B2BD1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sz w:val="13"/>
                <w:szCs w:val="13"/>
                <w:highlight w:val="none"/>
                <w:lang w:eastAsia="zh-CN"/>
              </w:rPr>
              <w:t>一般情节</w:t>
            </w:r>
          </w:p>
        </w:tc>
        <w:tc>
          <w:tcPr>
            <w:tcW w:w="3437" w:type="dxa"/>
            <w:gridSpan w:val="2"/>
            <w:tcBorders>
              <w:tl2br w:val="nil"/>
              <w:tr2bl w:val="nil"/>
            </w:tcBorders>
            <w:tcMar>
              <w:top w:w="15" w:type="dxa"/>
              <w:left w:w="15" w:type="dxa"/>
              <w:bottom w:w="15" w:type="dxa"/>
              <w:right w:w="15" w:type="dxa"/>
            </w:tcMar>
            <w:vAlign w:val="center"/>
          </w:tcPr>
          <w:p w14:paraId="5DDC59F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sz w:val="13"/>
                <w:szCs w:val="13"/>
                <w:highlight w:val="none"/>
              </w:rPr>
            </w:pPr>
            <w:r>
              <w:rPr>
                <w:rFonts w:hint="eastAsia" w:ascii="仿宋_GB2312" w:hAnsi="宋体" w:eastAsia="仿宋_GB2312"/>
                <w:color w:val="auto"/>
                <w:kern w:val="0"/>
                <w:sz w:val="13"/>
                <w:szCs w:val="13"/>
                <w:highlight w:val="none"/>
              </w:rPr>
              <w:t>逾期不改正，不具有从轻、</w:t>
            </w:r>
            <w:r>
              <w:rPr>
                <w:rFonts w:hint="eastAsia" w:ascii="仿宋_GB2312" w:hAnsi="宋体" w:eastAsia="仿宋_GB2312"/>
                <w:color w:val="auto"/>
                <w:kern w:val="0"/>
                <w:sz w:val="13"/>
                <w:szCs w:val="13"/>
                <w:highlight w:val="none"/>
                <w:lang w:eastAsia="zh-CN"/>
              </w:rPr>
              <w:t>从重情节</w:t>
            </w:r>
            <w:r>
              <w:rPr>
                <w:rFonts w:hint="eastAsia" w:ascii="仿宋_GB2312" w:hAnsi="宋体" w:eastAsia="仿宋_GB2312"/>
                <w:color w:val="auto"/>
                <w:kern w:val="0"/>
                <w:sz w:val="13"/>
                <w:szCs w:val="13"/>
                <w:highlight w:val="none"/>
              </w:rPr>
              <w:t>的。</w:t>
            </w:r>
          </w:p>
        </w:tc>
        <w:tc>
          <w:tcPr>
            <w:tcW w:w="3058" w:type="dxa"/>
            <w:tcBorders>
              <w:tl2br w:val="nil"/>
              <w:tr2bl w:val="nil"/>
            </w:tcBorders>
            <w:tcMar>
              <w:top w:w="15" w:type="dxa"/>
              <w:left w:w="15" w:type="dxa"/>
              <w:bottom w:w="15" w:type="dxa"/>
              <w:right w:w="15" w:type="dxa"/>
            </w:tcMar>
            <w:vAlign w:val="center"/>
          </w:tcPr>
          <w:p w14:paraId="4D687EA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责令改正，处3万元以上4</w:t>
            </w:r>
            <w:r>
              <w:rPr>
                <w:rFonts w:ascii="仿宋_GB2312" w:hAnsi="宋体" w:eastAsia="仿宋_GB2312"/>
                <w:color w:val="auto"/>
                <w:kern w:val="0"/>
                <w:sz w:val="13"/>
                <w:szCs w:val="13"/>
                <w:highlight w:val="none"/>
              </w:rPr>
              <w:t>万元</w:t>
            </w:r>
            <w:r>
              <w:rPr>
                <w:rFonts w:hint="eastAsia" w:ascii="仿宋_GB2312" w:hAnsi="宋体" w:eastAsia="仿宋_GB2312"/>
                <w:color w:val="auto"/>
                <w:kern w:val="0"/>
                <w:sz w:val="13"/>
                <w:szCs w:val="13"/>
                <w:highlight w:val="none"/>
              </w:rPr>
              <w:t>以下罚款；对这些信息作虚假宣传的，处5万元以上10</w:t>
            </w:r>
            <w:r>
              <w:rPr>
                <w:rFonts w:ascii="仿宋_GB2312" w:hAnsi="宋体" w:eastAsia="仿宋_GB2312"/>
                <w:color w:val="auto"/>
                <w:kern w:val="0"/>
                <w:sz w:val="13"/>
                <w:szCs w:val="13"/>
                <w:highlight w:val="none"/>
              </w:rPr>
              <w:t>万元以下罚款</w:t>
            </w:r>
            <w:r>
              <w:rPr>
                <w:rFonts w:hint="eastAsia" w:ascii="仿宋_GB2312" w:hAnsi="宋体" w:eastAsia="仿宋_GB2312"/>
                <w:color w:val="auto"/>
                <w:kern w:val="0"/>
                <w:sz w:val="13"/>
                <w:szCs w:val="13"/>
                <w:highlight w:val="none"/>
              </w:rPr>
              <w:t>。</w:t>
            </w:r>
          </w:p>
        </w:tc>
      </w:tr>
      <w:tr w14:paraId="15C9C4D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58" w:hRule="atLeast"/>
          <w:jc w:val="center"/>
        </w:trPr>
        <w:tc>
          <w:tcPr>
            <w:tcW w:w="443" w:type="dxa"/>
            <w:gridSpan w:val="2"/>
            <w:vMerge w:val="continue"/>
            <w:tcBorders>
              <w:tl2br w:val="nil"/>
              <w:tr2bl w:val="nil"/>
            </w:tcBorders>
            <w:vAlign w:val="center"/>
          </w:tcPr>
          <w:p w14:paraId="082606F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rPr>
                <w:rFonts w:ascii="仿宋_GB2312" w:eastAsia="仿宋_GB2312"/>
                <w:color w:val="auto"/>
                <w:sz w:val="13"/>
                <w:szCs w:val="13"/>
                <w:highlight w:val="none"/>
              </w:rPr>
            </w:pPr>
          </w:p>
        </w:tc>
        <w:tc>
          <w:tcPr>
            <w:tcW w:w="1550" w:type="dxa"/>
            <w:vMerge w:val="continue"/>
            <w:tcBorders>
              <w:tl2br w:val="nil"/>
              <w:tr2bl w:val="nil"/>
            </w:tcBorders>
            <w:vAlign w:val="center"/>
          </w:tcPr>
          <w:p w14:paraId="7A64325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sz w:val="13"/>
                <w:szCs w:val="13"/>
                <w:highlight w:val="none"/>
              </w:rPr>
            </w:pPr>
          </w:p>
        </w:tc>
        <w:tc>
          <w:tcPr>
            <w:tcW w:w="4820" w:type="dxa"/>
            <w:vMerge w:val="continue"/>
            <w:tcBorders>
              <w:tl2br w:val="nil"/>
              <w:tr2bl w:val="nil"/>
            </w:tcBorders>
            <w:vAlign w:val="center"/>
          </w:tcPr>
          <w:p w14:paraId="3CBF954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sz w:val="13"/>
                <w:szCs w:val="13"/>
                <w:highlight w:val="none"/>
              </w:rPr>
            </w:pPr>
          </w:p>
        </w:tc>
        <w:tc>
          <w:tcPr>
            <w:tcW w:w="823" w:type="dxa"/>
            <w:vMerge w:val="restart"/>
            <w:tcBorders>
              <w:tl2br w:val="nil"/>
              <w:tr2bl w:val="nil"/>
            </w:tcBorders>
            <w:vAlign w:val="center"/>
          </w:tcPr>
          <w:p w14:paraId="79B0AA6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sz w:val="13"/>
                <w:szCs w:val="13"/>
                <w:highlight w:val="none"/>
                <w:lang w:eastAsia="zh-CN"/>
              </w:rPr>
              <w:t>从重情节</w:t>
            </w:r>
          </w:p>
        </w:tc>
        <w:tc>
          <w:tcPr>
            <w:tcW w:w="3437" w:type="dxa"/>
            <w:gridSpan w:val="2"/>
            <w:tcBorders>
              <w:tl2br w:val="nil"/>
              <w:tr2bl w:val="nil"/>
            </w:tcBorders>
            <w:tcMar>
              <w:top w:w="15" w:type="dxa"/>
              <w:left w:w="15" w:type="dxa"/>
              <w:bottom w:w="15" w:type="dxa"/>
              <w:right w:w="15" w:type="dxa"/>
            </w:tcMar>
            <w:vAlign w:val="center"/>
          </w:tcPr>
          <w:p w14:paraId="029AD32C">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（1）</w:t>
            </w:r>
            <w:r>
              <w:rPr>
                <w:rFonts w:hint="eastAsia" w:ascii="仿宋" w:hAnsi="仿宋" w:eastAsia="仿宋"/>
                <w:color w:val="auto"/>
                <w:kern w:val="0"/>
                <w:sz w:val="13"/>
                <w:szCs w:val="13"/>
                <w:highlight w:val="none"/>
              </w:rPr>
              <w:t>①</w:t>
            </w:r>
            <w:r>
              <w:rPr>
                <w:rFonts w:hint="eastAsia" w:ascii="仿宋_GB2312" w:hAnsi="宋体" w:eastAsia="仿宋_GB2312"/>
                <w:color w:val="auto"/>
                <w:kern w:val="0"/>
                <w:sz w:val="13"/>
                <w:szCs w:val="13"/>
                <w:highlight w:val="none"/>
              </w:rPr>
              <w:t>2年内2次及以上同类型违法的；</w:t>
            </w:r>
            <w:r>
              <w:rPr>
                <w:rFonts w:hint="eastAsia" w:ascii="仿宋" w:hAnsi="仿宋" w:eastAsia="仿宋"/>
                <w:color w:val="auto"/>
                <w:kern w:val="0"/>
                <w:sz w:val="13"/>
                <w:szCs w:val="13"/>
                <w:highlight w:val="none"/>
              </w:rPr>
              <w:t>②</w:t>
            </w:r>
            <w:r>
              <w:rPr>
                <w:rFonts w:hint="eastAsia" w:ascii="仿宋_GB2312" w:hAnsi="宋体" w:eastAsia="仿宋_GB2312"/>
                <w:color w:val="auto"/>
                <w:kern w:val="0"/>
                <w:sz w:val="13"/>
                <w:szCs w:val="13"/>
                <w:highlight w:val="none"/>
              </w:rPr>
              <w:t>经责令改正后，拒绝采取措施改正的。</w:t>
            </w:r>
          </w:p>
        </w:tc>
        <w:tc>
          <w:tcPr>
            <w:tcW w:w="3058" w:type="dxa"/>
            <w:tcBorders>
              <w:tl2br w:val="nil"/>
              <w:tr2bl w:val="nil"/>
            </w:tcBorders>
            <w:tcMar>
              <w:top w:w="15" w:type="dxa"/>
              <w:left w:w="15" w:type="dxa"/>
              <w:bottom w:w="15" w:type="dxa"/>
              <w:right w:w="15" w:type="dxa"/>
            </w:tcMar>
            <w:vAlign w:val="center"/>
          </w:tcPr>
          <w:p w14:paraId="3492C5B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责令改正，处4万元以上5万元以下罚款；对这些信息作虚假宣传的，处10万元以上20万元以下罚款。</w:t>
            </w:r>
          </w:p>
        </w:tc>
      </w:tr>
      <w:tr w14:paraId="6E3504F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42" w:hRule="atLeast"/>
          <w:jc w:val="center"/>
        </w:trPr>
        <w:tc>
          <w:tcPr>
            <w:tcW w:w="443" w:type="dxa"/>
            <w:gridSpan w:val="2"/>
            <w:vMerge w:val="continue"/>
            <w:tcBorders>
              <w:tl2br w:val="nil"/>
              <w:tr2bl w:val="nil"/>
            </w:tcBorders>
            <w:vAlign w:val="center"/>
          </w:tcPr>
          <w:p w14:paraId="4275270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rPr>
                <w:rFonts w:ascii="仿宋_GB2312" w:eastAsia="仿宋_GB2312"/>
                <w:color w:val="auto"/>
                <w:sz w:val="13"/>
                <w:szCs w:val="13"/>
                <w:highlight w:val="none"/>
              </w:rPr>
            </w:pPr>
          </w:p>
        </w:tc>
        <w:tc>
          <w:tcPr>
            <w:tcW w:w="1550" w:type="dxa"/>
            <w:vMerge w:val="continue"/>
            <w:tcBorders>
              <w:tl2br w:val="nil"/>
              <w:tr2bl w:val="nil"/>
            </w:tcBorders>
            <w:vAlign w:val="center"/>
          </w:tcPr>
          <w:p w14:paraId="31C66A9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sz w:val="13"/>
                <w:szCs w:val="13"/>
                <w:highlight w:val="none"/>
              </w:rPr>
            </w:pPr>
          </w:p>
        </w:tc>
        <w:tc>
          <w:tcPr>
            <w:tcW w:w="4820" w:type="dxa"/>
            <w:vMerge w:val="continue"/>
            <w:tcBorders>
              <w:tl2br w:val="nil"/>
              <w:tr2bl w:val="nil"/>
            </w:tcBorders>
            <w:vAlign w:val="center"/>
          </w:tcPr>
          <w:p w14:paraId="141FFDF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sz w:val="13"/>
                <w:szCs w:val="13"/>
                <w:highlight w:val="none"/>
              </w:rPr>
            </w:pPr>
          </w:p>
        </w:tc>
        <w:tc>
          <w:tcPr>
            <w:tcW w:w="823" w:type="dxa"/>
            <w:vMerge w:val="continue"/>
            <w:tcBorders>
              <w:tl2br w:val="nil"/>
              <w:tr2bl w:val="nil"/>
            </w:tcBorders>
            <w:vAlign w:val="center"/>
          </w:tcPr>
          <w:p w14:paraId="73EC0D1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sz w:val="13"/>
                <w:szCs w:val="13"/>
                <w:highlight w:val="none"/>
              </w:rPr>
            </w:pPr>
          </w:p>
        </w:tc>
        <w:tc>
          <w:tcPr>
            <w:tcW w:w="3437" w:type="dxa"/>
            <w:gridSpan w:val="2"/>
            <w:tcBorders>
              <w:tl2br w:val="nil"/>
              <w:tr2bl w:val="nil"/>
            </w:tcBorders>
            <w:tcMar>
              <w:top w:w="15" w:type="dxa"/>
              <w:left w:w="15" w:type="dxa"/>
              <w:bottom w:w="15" w:type="dxa"/>
              <w:right w:w="15" w:type="dxa"/>
            </w:tcMar>
            <w:vAlign w:val="center"/>
          </w:tcPr>
          <w:p w14:paraId="5BE24934">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w:t>
            </w:r>
            <w:r>
              <w:rPr>
                <w:rFonts w:ascii="仿宋_GB2312" w:hAnsi="宋体" w:eastAsia="仿宋_GB2312"/>
                <w:color w:val="auto"/>
                <w:kern w:val="0"/>
                <w:sz w:val="13"/>
                <w:szCs w:val="13"/>
                <w:highlight w:val="none"/>
              </w:rPr>
              <w:t>2</w:t>
            </w:r>
            <w:r>
              <w:rPr>
                <w:rFonts w:hint="eastAsia" w:ascii="仿宋_GB2312" w:hAnsi="宋体" w:eastAsia="仿宋_GB2312"/>
                <w:color w:val="auto"/>
                <w:kern w:val="0"/>
                <w:sz w:val="13"/>
                <w:szCs w:val="13"/>
                <w:highlight w:val="none"/>
              </w:rPr>
              <w:t>）造成较大以上安全事故的。</w:t>
            </w:r>
          </w:p>
        </w:tc>
        <w:tc>
          <w:tcPr>
            <w:tcW w:w="3058" w:type="dxa"/>
            <w:tcBorders>
              <w:tl2br w:val="nil"/>
              <w:tr2bl w:val="nil"/>
            </w:tcBorders>
            <w:tcMar>
              <w:top w:w="15" w:type="dxa"/>
              <w:left w:w="15" w:type="dxa"/>
              <w:bottom w:w="15" w:type="dxa"/>
              <w:right w:w="15" w:type="dxa"/>
            </w:tcMar>
            <w:vAlign w:val="center"/>
          </w:tcPr>
          <w:p w14:paraId="0972D55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责令改正，处5万元罚款；对这些信息作虚假宣传的，处20万元罚款。</w:t>
            </w:r>
          </w:p>
        </w:tc>
      </w:tr>
      <w:tr w14:paraId="73FFAAA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56" w:hRule="atLeast"/>
          <w:jc w:val="center"/>
        </w:trPr>
        <w:tc>
          <w:tcPr>
            <w:tcW w:w="443" w:type="dxa"/>
            <w:gridSpan w:val="2"/>
            <w:vMerge w:val="restart"/>
            <w:tcBorders>
              <w:tl2br w:val="nil"/>
              <w:tr2bl w:val="nil"/>
            </w:tcBorders>
            <w:tcMar>
              <w:top w:w="15" w:type="dxa"/>
              <w:left w:w="15" w:type="dxa"/>
              <w:bottom w:w="15" w:type="dxa"/>
              <w:right w:w="15" w:type="dxa"/>
            </w:tcMar>
            <w:vAlign w:val="center"/>
          </w:tcPr>
          <w:p w14:paraId="241A003F">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eastAsia="仿宋_GB2312"/>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214</w:t>
            </w:r>
          </w:p>
        </w:tc>
        <w:tc>
          <w:tcPr>
            <w:tcW w:w="1550" w:type="dxa"/>
            <w:vMerge w:val="restart"/>
            <w:tcBorders>
              <w:tl2br w:val="nil"/>
              <w:tr2bl w:val="nil"/>
            </w:tcBorders>
            <w:tcMar>
              <w:top w:w="15" w:type="dxa"/>
              <w:left w:w="15" w:type="dxa"/>
              <w:bottom w:w="15" w:type="dxa"/>
              <w:right w:w="15" w:type="dxa"/>
            </w:tcMar>
            <w:vAlign w:val="center"/>
          </w:tcPr>
          <w:p w14:paraId="4B70483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sz w:val="13"/>
                <w:szCs w:val="13"/>
                <w:highlight w:val="none"/>
              </w:rPr>
            </w:pPr>
            <w:r>
              <w:rPr>
                <w:rFonts w:hint="eastAsia" w:ascii="仿宋_GB2312" w:hAnsi="宋体" w:eastAsia="仿宋_GB2312"/>
                <w:color w:val="auto"/>
                <w:kern w:val="0"/>
                <w:sz w:val="13"/>
                <w:szCs w:val="13"/>
                <w:highlight w:val="none"/>
              </w:rPr>
              <w:t>房地产开发企业销售商品房，未向购买人明示所售商品房的能源消耗指标、节能措施和保护要求、保温工程保修期等信息，或者向购买人明示的所售商品房能源消耗指标与实际能源消耗不符的</w:t>
            </w:r>
          </w:p>
        </w:tc>
        <w:tc>
          <w:tcPr>
            <w:tcW w:w="4820" w:type="dxa"/>
            <w:vMerge w:val="restart"/>
            <w:tcBorders>
              <w:tl2br w:val="nil"/>
              <w:tr2bl w:val="nil"/>
            </w:tcBorders>
            <w:tcMar>
              <w:top w:w="15" w:type="dxa"/>
              <w:left w:w="15" w:type="dxa"/>
              <w:bottom w:w="15" w:type="dxa"/>
              <w:right w:w="15" w:type="dxa"/>
            </w:tcMar>
            <w:vAlign w:val="center"/>
          </w:tcPr>
          <w:p w14:paraId="58C74FE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strike/>
                <w:color w:val="auto"/>
                <w:kern w:val="0"/>
                <w:sz w:val="13"/>
                <w:szCs w:val="13"/>
                <w:highlight w:val="none"/>
              </w:rPr>
            </w:pPr>
            <w:r>
              <w:rPr>
                <w:rFonts w:hint="eastAsia" w:ascii="仿宋_GB2312" w:hAnsi="宋体" w:eastAsia="仿宋_GB2312"/>
                <w:color w:val="auto"/>
                <w:kern w:val="0"/>
                <w:sz w:val="13"/>
                <w:szCs w:val="13"/>
                <w:highlight w:val="none"/>
              </w:rPr>
              <w:t>《民用建筑节能条例》第四十三条违反本条例规定，房地产开发企业销售商品房，未向购买人明示所售商品房的能源消耗指标、节能措施和保护要求、保温工程保修期等信息，或者向购买人明示的所售商品房能源消耗指标与实际能源消耗不符的，依法承担民事责任；由县级以上地方人民政府建设主管部门责令限期改正；逾期未改正的，处交付使用的房屋销售总额2%以下的罚款；情节严重的，由颁发资质证书的部门降低资质等级或者吊销资质证书。</w:t>
            </w:r>
          </w:p>
        </w:tc>
        <w:tc>
          <w:tcPr>
            <w:tcW w:w="823" w:type="dxa"/>
            <w:tcBorders>
              <w:tl2br w:val="nil"/>
              <w:tr2bl w:val="nil"/>
            </w:tcBorders>
            <w:tcMar>
              <w:top w:w="15" w:type="dxa"/>
              <w:left w:w="15" w:type="dxa"/>
              <w:bottom w:w="15" w:type="dxa"/>
              <w:right w:w="15" w:type="dxa"/>
            </w:tcMar>
            <w:vAlign w:val="center"/>
          </w:tcPr>
          <w:p w14:paraId="169BACE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tcMar>
              <w:top w:w="15" w:type="dxa"/>
              <w:left w:w="15" w:type="dxa"/>
              <w:bottom w:w="15" w:type="dxa"/>
              <w:right w:w="15" w:type="dxa"/>
            </w:tcMar>
            <w:vAlign w:val="center"/>
          </w:tcPr>
          <w:p w14:paraId="08134E0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sz w:val="13"/>
                <w:szCs w:val="13"/>
                <w:highlight w:val="none"/>
              </w:rPr>
            </w:pPr>
            <w:r>
              <w:rPr>
                <w:rFonts w:hint="eastAsia" w:ascii="仿宋_GB2312" w:hAnsi="宋体" w:eastAsia="仿宋_GB2312"/>
                <w:color w:val="auto"/>
                <w:kern w:val="0"/>
                <w:sz w:val="13"/>
                <w:szCs w:val="13"/>
                <w:highlight w:val="none"/>
              </w:rPr>
              <w:t>初次违法，逾期未改</w:t>
            </w:r>
            <w:r>
              <w:rPr>
                <w:rFonts w:hint="eastAsia"/>
                <w:color w:val="auto"/>
                <w:sz w:val="13"/>
                <w:szCs w:val="13"/>
                <w:highlight w:val="none"/>
              </w:rPr>
              <w:t>正</w:t>
            </w:r>
            <w:r>
              <w:rPr>
                <w:rFonts w:hint="eastAsia" w:ascii="仿宋_GB2312" w:hAnsi="宋体" w:eastAsia="仿宋_GB2312"/>
                <w:color w:val="auto"/>
                <w:kern w:val="0"/>
                <w:sz w:val="13"/>
                <w:szCs w:val="13"/>
                <w:highlight w:val="none"/>
              </w:rPr>
              <w:t>，未造成严重社会影响的。</w:t>
            </w:r>
          </w:p>
        </w:tc>
        <w:tc>
          <w:tcPr>
            <w:tcW w:w="3058" w:type="dxa"/>
            <w:tcBorders>
              <w:tl2br w:val="nil"/>
              <w:tr2bl w:val="nil"/>
            </w:tcBorders>
            <w:tcMar>
              <w:top w:w="15" w:type="dxa"/>
              <w:left w:w="15" w:type="dxa"/>
              <w:bottom w:w="15" w:type="dxa"/>
              <w:right w:w="15" w:type="dxa"/>
            </w:tcMar>
            <w:vAlign w:val="center"/>
          </w:tcPr>
          <w:p w14:paraId="01EBE38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责令改正,处交付使用的房屋销售总额百分之</w:t>
            </w:r>
            <w:r>
              <w:rPr>
                <w:rFonts w:hint="eastAsia" w:ascii="仿宋_GB2312" w:hAnsi="宋体" w:eastAsia="仿宋_GB2312"/>
                <w:color w:val="auto"/>
                <w:kern w:val="0"/>
                <w:sz w:val="13"/>
                <w:szCs w:val="13"/>
                <w:highlight w:val="none"/>
                <w:lang w:val="en-US" w:eastAsia="zh-CN"/>
              </w:rPr>
              <w:t>1</w:t>
            </w:r>
            <w:r>
              <w:rPr>
                <w:rFonts w:hint="eastAsia" w:ascii="仿宋_GB2312" w:hAnsi="宋体" w:eastAsia="仿宋_GB2312"/>
                <w:color w:val="auto"/>
                <w:kern w:val="0"/>
                <w:sz w:val="13"/>
                <w:szCs w:val="13"/>
                <w:highlight w:val="none"/>
              </w:rPr>
              <w:t>的罚款。</w:t>
            </w:r>
          </w:p>
        </w:tc>
      </w:tr>
      <w:tr w14:paraId="758448A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89" w:hRule="atLeast"/>
          <w:jc w:val="center"/>
        </w:trPr>
        <w:tc>
          <w:tcPr>
            <w:tcW w:w="443" w:type="dxa"/>
            <w:gridSpan w:val="2"/>
            <w:vMerge w:val="continue"/>
            <w:tcBorders>
              <w:tl2br w:val="nil"/>
              <w:tr2bl w:val="nil"/>
            </w:tcBorders>
            <w:vAlign w:val="center"/>
          </w:tcPr>
          <w:p w14:paraId="75578E8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rPr>
                <w:rFonts w:ascii="仿宋_GB2312" w:eastAsia="仿宋_GB2312"/>
                <w:color w:val="auto"/>
                <w:sz w:val="13"/>
                <w:szCs w:val="13"/>
                <w:highlight w:val="none"/>
              </w:rPr>
            </w:pPr>
          </w:p>
        </w:tc>
        <w:tc>
          <w:tcPr>
            <w:tcW w:w="1550" w:type="dxa"/>
            <w:vMerge w:val="continue"/>
            <w:tcBorders>
              <w:tl2br w:val="nil"/>
              <w:tr2bl w:val="nil"/>
            </w:tcBorders>
            <w:vAlign w:val="center"/>
          </w:tcPr>
          <w:p w14:paraId="4E6F334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sz w:val="13"/>
                <w:szCs w:val="13"/>
                <w:highlight w:val="none"/>
              </w:rPr>
            </w:pPr>
          </w:p>
        </w:tc>
        <w:tc>
          <w:tcPr>
            <w:tcW w:w="4820" w:type="dxa"/>
            <w:vMerge w:val="continue"/>
            <w:tcBorders>
              <w:tl2br w:val="nil"/>
              <w:tr2bl w:val="nil"/>
            </w:tcBorders>
            <w:vAlign w:val="center"/>
          </w:tcPr>
          <w:p w14:paraId="5A02B9A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p>
        </w:tc>
        <w:tc>
          <w:tcPr>
            <w:tcW w:w="823" w:type="dxa"/>
            <w:tcBorders>
              <w:tl2br w:val="nil"/>
              <w:tr2bl w:val="nil"/>
            </w:tcBorders>
            <w:tcMar>
              <w:top w:w="15" w:type="dxa"/>
              <w:left w:w="15" w:type="dxa"/>
              <w:bottom w:w="15" w:type="dxa"/>
              <w:right w:w="15" w:type="dxa"/>
            </w:tcMar>
            <w:vAlign w:val="center"/>
          </w:tcPr>
          <w:p w14:paraId="512EF63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一般情节</w:t>
            </w:r>
          </w:p>
        </w:tc>
        <w:tc>
          <w:tcPr>
            <w:tcW w:w="3437" w:type="dxa"/>
            <w:gridSpan w:val="2"/>
            <w:tcBorders>
              <w:tl2br w:val="nil"/>
              <w:tr2bl w:val="nil"/>
            </w:tcBorders>
            <w:tcMar>
              <w:top w:w="15" w:type="dxa"/>
              <w:left w:w="15" w:type="dxa"/>
              <w:bottom w:w="15" w:type="dxa"/>
              <w:right w:w="15" w:type="dxa"/>
            </w:tcMar>
            <w:vAlign w:val="center"/>
          </w:tcPr>
          <w:p w14:paraId="4B9848B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逾期未改正，不具有从轻、</w:t>
            </w:r>
            <w:r>
              <w:rPr>
                <w:rFonts w:hint="eastAsia" w:ascii="仿宋_GB2312" w:hAnsi="宋体" w:eastAsia="仿宋_GB2312"/>
                <w:color w:val="auto"/>
                <w:kern w:val="0"/>
                <w:sz w:val="13"/>
                <w:szCs w:val="13"/>
                <w:highlight w:val="none"/>
                <w:lang w:eastAsia="zh-CN"/>
              </w:rPr>
              <w:t>从重情节</w:t>
            </w:r>
            <w:r>
              <w:rPr>
                <w:rFonts w:hint="eastAsia" w:ascii="仿宋_GB2312" w:hAnsi="宋体" w:eastAsia="仿宋_GB2312"/>
                <w:color w:val="auto"/>
                <w:kern w:val="0"/>
                <w:sz w:val="13"/>
                <w:szCs w:val="13"/>
                <w:highlight w:val="none"/>
              </w:rPr>
              <w:t>的。</w:t>
            </w:r>
          </w:p>
        </w:tc>
        <w:tc>
          <w:tcPr>
            <w:tcW w:w="3058" w:type="dxa"/>
            <w:tcBorders>
              <w:tl2br w:val="nil"/>
              <w:tr2bl w:val="nil"/>
            </w:tcBorders>
            <w:tcMar>
              <w:top w:w="15" w:type="dxa"/>
              <w:left w:w="15" w:type="dxa"/>
              <w:bottom w:w="15" w:type="dxa"/>
              <w:right w:w="15" w:type="dxa"/>
            </w:tcMar>
            <w:vAlign w:val="center"/>
          </w:tcPr>
          <w:p w14:paraId="7C97A6D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r>
              <w:rPr>
                <w:rFonts w:ascii="仿宋_GB2312" w:hAnsi="宋体" w:eastAsia="仿宋_GB2312"/>
                <w:color w:val="auto"/>
                <w:kern w:val="0"/>
                <w:sz w:val="13"/>
                <w:szCs w:val="13"/>
                <w:highlight w:val="none"/>
              </w:rPr>
              <w:t>责令改正</w:t>
            </w:r>
            <w:r>
              <w:rPr>
                <w:rFonts w:hint="eastAsia" w:ascii="仿宋_GB2312" w:hAnsi="宋体" w:eastAsia="仿宋_GB2312"/>
                <w:color w:val="auto"/>
                <w:kern w:val="0"/>
                <w:sz w:val="13"/>
                <w:szCs w:val="13"/>
                <w:highlight w:val="none"/>
              </w:rPr>
              <w:t>，处交付使用的房屋销售总额百分之</w:t>
            </w:r>
            <w:r>
              <w:rPr>
                <w:rFonts w:hint="eastAsia" w:ascii="仿宋_GB2312" w:hAnsi="宋体" w:eastAsia="仿宋_GB2312"/>
                <w:color w:val="auto"/>
                <w:kern w:val="0"/>
                <w:sz w:val="13"/>
                <w:szCs w:val="13"/>
                <w:highlight w:val="none"/>
                <w:lang w:val="en-US" w:eastAsia="zh-CN"/>
              </w:rPr>
              <w:t>1</w:t>
            </w:r>
            <w:r>
              <w:rPr>
                <w:rFonts w:hint="eastAsia" w:ascii="仿宋_GB2312" w:hAnsi="宋体" w:eastAsia="仿宋_GB2312"/>
                <w:color w:val="auto"/>
                <w:kern w:val="0"/>
                <w:sz w:val="13"/>
                <w:szCs w:val="13"/>
                <w:highlight w:val="none"/>
              </w:rPr>
              <w:t>以上百分之</w:t>
            </w:r>
            <w:r>
              <w:rPr>
                <w:rFonts w:hint="eastAsia" w:ascii="仿宋_GB2312" w:hAnsi="宋体" w:eastAsia="仿宋_GB2312"/>
                <w:color w:val="auto"/>
                <w:kern w:val="0"/>
                <w:sz w:val="13"/>
                <w:szCs w:val="13"/>
                <w:highlight w:val="none"/>
                <w:lang w:val="en-US" w:eastAsia="zh-CN"/>
              </w:rPr>
              <w:t>2</w:t>
            </w:r>
            <w:r>
              <w:rPr>
                <w:rFonts w:hint="eastAsia" w:ascii="仿宋_GB2312" w:hAnsi="宋体" w:eastAsia="仿宋_GB2312"/>
                <w:color w:val="auto"/>
                <w:kern w:val="0"/>
                <w:sz w:val="13"/>
                <w:szCs w:val="13"/>
                <w:highlight w:val="none"/>
              </w:rPr>
              <w:t>以下的罚款。</w:t>
            </w:r>
          </w:p>
        </w:tc>
      </w:tr>
      <w:tr w14:paraId="2A649F5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21" w:hRule="atLeast"/>
          <w:jc w:val="center"/>
        </w:trPr>
        <w:tc>
          <w:tcPr>
            <w:tcW w:w="443" w:type="dxa"/>
            <w:gridSpan w:val="2"/>
            <w:vMerge w:val="continue"/>
            <w:tcBorders>
              <w:tl2br w:val="nil"/>
              <w:tr2bl w:val="nil"/>
            </w:tcBorders>
            <w:vAlign w:val="center"/>
          </w:tcPr>
          <w:p w14:paraId="365757B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rPr>
                <w:rFonts w:ascii="仿宋_GB2312" w:eastAsia="仿宋_GB2312"/>
                <w:color w:val="auto"/>
                <w:sz w:val="13"/>
                <w:szCs w:val="13"/>
                <w:highlight w:val="none"/>
              </w:rPr>
            </w:pPr>
          </w:p>
        </w:tc>
        <w:tc>
          <w:tcPr>
            <w:tcW w:w="1550" w:type="dxa"/>
            <w:vMerge w:val="continue"/>
            <w:tcBorders>
              <w:tl2br w:val="nil"/>
              <w:tr2bl w:val="nil"/>
            </w:tcBorders>
            <w:vAlign w:val="center"/>
          </w:tcPr>
          <w:p w14:paraId="10B380B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sz w:val="13"/>
                <w:szCs w:val="13"/>
                <w:highlight w:val="none"/>
              </w:rPr>
            </w:pPr>
          </w:p>
        </w:tc>
        <w:tc>
          <w:tcPr>
            <w:tcW w:w="4820" w:type="dxa"/>
            <w:vMerge w:val="continue"/>
            <w:tcBorders>
              <w:tl2br w:val="nil"/>
              <w:tr2bl w:val="nil"/>
            </w:tcBorders>
            <w:vAlign w:val="center"/>
          </w:tcPr>
          <w:p w14:paraId="09464D7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p>
        </w:tc>
        <w:tc>
          <w:tcPr>
            <w:tcW w:w="823" w:type="dxa"/>
            <w:vMerge w:val="restart"/>
            <w:tcBorders>
              <w:tl2br w:val="nil"/>
              <w:tr2bl w:val="nil"/>
            </w:tcBorders>
            <w:tcMar>
              <w:top w:w="15" w:type="dxa"/>
              <w:left w:w="15" w:type="dxa"/>
              <w:bottom w:w="15" w:type="dxa"/>
              <w:right w:w="15" w:type="dxa"/>
            </w:tcMar>
            <w:vAlign w:val="center"/>
          </w:tcPr>
          <w:p w14:paraId="5FC5724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从重情节</w:t>
            </w:r>
          </w:p>
        </w:tc>
        <w:tc>
          <w:tcPr>
            <w:tcW w:w="3437" w:type="dxa"/>
            <w:gridSpan w:val="2"/>
            <w:tcBorders>
              <w:tl2br w:val="nil"/>
              <w:tr2bl w:val="nil"/>
            </w:tcBorders>
            <w:tcMar>
              <w:top w:w="15" w:type="dxa"/>
              <w:left w:w="15" w:type="dxa"/>
              <w:bottom w:w="15" w:type="dxa"/>
              <w:right w:w="15" w:type="dxa"/>
            </w:tcMar>
            <w:vAlign w:val="center"/>
          </w:tcPr>
          <w:p w14:paraId="2C870BF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2年内2次及以上同类型违法的；</w:t>
            </w:r>
            <w:r>
              <w:rPr>
                <w:rFonts w:hint="eastAsia" w:ascii="仿宋" w:hAnsi="仿宋" w:eastAsia="仿宋"/>
                <w:color w:val="auto"/>
                <w:kern w:val="0"/>
                <w:sz w:val="13"/>
                <w:szCs w:val="13"/>
                <w:highlight w:val="none"/>
                <w:lang w:val="en-US" w:eastAsia="zh-CN"/>
              </w:rPr>
              <w:t>或</w:t>
            </w:r>
            <w:r>
              <w:rPr>
                <w:rFonts w:hint="eastAsia" w:ascii="仿宋_GB2312" w:hAnsi="宋体" w:eastAsia="仿宋_GB2312"/>
                <w:color w:val="auto"/>
                <w:kern w:val="0"/>
                <w:sz w:val="13"/>
                <w:szCs w:val="13"/>
                <w:highlight w:val="none"/>
              </w:rPr>
              <w:t>经责令改正后，拒绝采取措施改正的。</w:t>
            </w:r>
          </w:p>
        </w:tc>
        <w:tc>
          <w:tcPr>
            <w:tcW w:w="3058" w:type="dxa"/>
            <w:tcBorders>
              <w:tl2br w:val="nil"/>
              <w:tr2bl w:val="nil"/>
            </w:tcBorders>
            <w:tcMar>
              <w:top w:w="15" w:type="dxa"/>
              <w:left w:w="15" w:type="dxa"/>
              <w:bottom w:w="15" w:type="dxa"/>
              <w:right w:w="15" w:type="dxa"/>
            </w:tcMar>
            <w:vAlign w:val="center"/>
          </w:tcPr>
          <w:p w14:paraId="76442DF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sz w:val="13"/>
                <w:szCs w:val="13"/>
                <w:highlight w:val="none"/>
              </w:rPr>
            </w:pPr>
            <w:r>
              <w:rPr>
                <w:rFonts w:hint="eastAsia" w:ascii="仿宋_GB2312" w:hAnsi="宋体" w:eastAsia="仿宋_GB2312"/>
                <w:color w:val="auto"/>
                <w:kern w:val="0"/>
                <w:sz w:val="13"/>
                <w:szCs w:val="13"/>
                <w:highlight w:val="none"/>
              </w:rPr>
              <w:t>处交付使用的房屋销售总额</w:t>
            </w:r>
            <w:r>
              <w:rPr>
                <w:rFonts w:hint="eastAsia" w:ascii="仿宋_GB2312" w:eastAsia="仿宋_GB2312"/>
                <w:color w:val="auto"/>
                <w:sz w:val="13"/>
                <w:szCs w:val="13"/>
                <w:highlight w:val="none"/>
              </w:rPr>
              <w:t>百分之</w:t>
            </w:r>
            <w:r>
              <w:rPr>
                <w:rFonts w:hint="eastAsia" w:ascii="仿宋_GB2312" w:eastAsia="仿宋_GB2312"/>
                <w:color w:val="auto"/>
                <w:sz w:val="13"/>
                <w:szCs w:val="13"/>
                <w:highlight w:val="none"/>
                <w:lang w:val="en-US" w:eastAsia="zh-CN"/>
              </w:rPr>
              <w:t>2</w:t>
            </w:r>
            <w:r>
              <w:rPr>
                <w:rFonts w:hint="eastAsia" w:ascii="仿宋_GB2312" w:hAnsi="宋体" w:eastAsia="仿宋_GB2312"/>
                <w:color w:val="auto"/>
                <w:sz w:val="13"/>
                <w:szCs w:val="13"/>
                <w:highlight w:val="none"/>
              </w:rPr>
              <w:t>的罚款，由颁发资质证书的部门</w:t>
            </w:r>
            <w:r>
              <w:rPr>
                <w:rFonts w:hint="eastAsia" w:ascii="仿宋_GB2312" w:hAnsi="宋体" w:eastAsia="仿宋_GB2312"/>
                <w:color w:val="auto"/>
                <w:kern w:val="0"/>
                <w:sz w:val="13"/>
                <w:szCs w:val="13"/>
                <w:highlight w:val="none"/>
              </w:rPr>
              <w:t>降低资质等级。</w:t>
            </w:r>
          </w:p>
        </w:tc>
      </w:tr>
      <w:tr w14:paraId="2C98AF3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30" w:hRule="atLeast"/>
          <w:jc w:val="center"/>
        </w:trPr>
        <w:tc>
          <w:tcPr>
            <w:tcW w:w="443" w:type="dxa"/>
            <w:gridSpan w:val="2"/>
            <w:vMerge w:val="continue"/>
            <w:tcBorders>
              <w:tl2br w:val="nil"/>
              <w:tr2bl w:val="nil"/>
            </w:tcBorders>
            <w:vAlign w:val="center"/>
          </w:tcPr>
          <w:p w14:paraId="67EEFD0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rPr>
                <w:rFonts w:ascii="仿宋_GB2312" w:eastAsia="仿宋_GB2312"/>
                <w:color w:val="auto"/>
                <w:sz w:val="13"/>
                <w:szCs w:val="13"/>
                <w:highlight w:val="none"/>
              </w:rPr>
            </w:pPr>
          </w:p>
        </w:tc>
        <w:tc>
          <w:tcPr>
            <w:tcW w:w="1550" w:type="dxa"/>
            <w:vMerge w:val="continue"/>
            <w:tcBorders>
              <w:tl2br w:val="nil"/>
              <w:tr2bl w:val="nil"/>
            </w:tcBorders>
            <w:vAlign w:val="center"/>
          </w:tcPr>
          <w:p w14:paraId="2C2ACAC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sz w:val="13"/>
                <w:szCs w:val="13"/>
                <w:highlight w:val="none"/>
              </w:rPr>
            </w:pPr>
          </w:p>
        </w:tc>
        <w:tc>
          <w:tcPr>
            <w:tcW w:w="4820" w:type="dxa"/>
            <w:vMerge w:val="continue"/>
            <w:tcBorders>
              <w:tl2br w:val="nil"/>
              <w:tr2bl w:val="nil"/>
            </w:tcBorders>
            <w:vAlign w:val="center"/>
          </w:tcPr>
          <w:p w14:paraId="00D8323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sz w:val="13"/>
                <w:szCs w:val="13"/>
                <w:highlight w:val="none"/>
              </w:rPr>
            </w:pPr>
          </w:p>
        </w:tc>
        <w:tc>
          <w:tcPr>
            <w:tcW w:w="823" w:type="dxa"/>
            <w:vMerge w:val="continue"/>
            <w:tcBorders>
              <w:tl2br w:val="nil"/>
              <w:tr2bl w:val="nil"/>
            </w:tcBorders>
            <w:vAlign w:val="center"/>
          </w:tcPr>
          <w:p w14:paraId="15E9942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sz w:val="13"/>
                <w:szCs w:val="13"/>
                <w:highlight w:val="none"/>
              </w:rPr>
            </w:pPr>
          </w:p>
        </w:tc>
        <w:tc>
          <w:tcPr>
            <w:tcW w:w="3437" w:type="dxa"/>
            <w:gridSpan w:val="2"/>
            <w:tcBorders>
              <w:tl2br w:val="nil"/>
              <w:tr2bl w:val="nil"/>
            </w:tcBorders>
            <w:tcMar>
              <w:top w:w="15" w:type="dxa"/>
              <w:left w:w="15" w:type="dxa"/>
              <w:bottom w:w="15" w:type="dxa"/>
              <w:right w:w="15" w:type="dxa"/>
            </w:tcMar>
            <w:vAlign w:val="center"/>
          </w:tcPr>
          <w:p w14:paraId="257E887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hint="default" w:ascii="仿宋_GB2312" w:hAnsi="宋体" w:eastAsia="仿宋_GB2312"/>
                <w:color w:val="auto"/>
                <w:sz w:val="13"/>
                <w:szCs w:val="13"/>
                <w:highlight w:val="none"/>
                <w:lang w:val="en-US" w:eastAsia="zh-CN"/>
              </w:rPr>
            </w:pPr>
            <w:r>
              <w:rPr>
                <w:rFonts w:hint="eastAsia" w:ascii="仿宋_GB2312" w:hAnsi="宋体" w:eastAsia="仿宋_GB2312"/>
                <w:color w:val="auto"/>
                <w:kern w:val="0"/>
                <w:sz w:val="13"/>
                <w:szCs w:val="13"/>
                <w:highlight w:val="none"/>
              </w:rPr>
              <w:t>造成较大以上安全事故的</w:t>
            </w:r>
            <w:r>
              <w:rPr>
                <w:rFonts w:hint="eastAsia" w:ascii="仿宋_GB2312" w:hAnsi="宋体" w:eastAsia="仿宋_GB2312"/>
                <w:color w:val="auto"/>
                <w:kern w:val="0"/>
                <w:sz w:val="13"/>
                <w:szCs w:val="13"/>
                <w:highlight w:val="none"/>
                <w:lang w:eastAsia="zh-CN"/>
              </w:rPr>
              <w:t>；</w:t>
            </w:r>
            <w:r>
              <w:rPr>
                <w:rFonts w:hint="eastAsia" w:ascii="仿宋_GB2312" w:hAnsi="宋体" w:eastAsia="仿宋_GB2312"/>
                <w:color w:val="auto"/>
                <w:kern w:val="0"/>
                <w:sz w:val="13"/>
                <w:szCs w:val="13"/>
                <w:highlight w:val="none"/>
                <w:lang w:val="en-US" w:eastAsia="zh-CN"/>
              </w:rPr>
              <w:t>或造成比较严重社会影响的。</w:t>
            </w:r>
          </w:p>
        </w:tc>
        <w:tc>
          <w:tcPr>
            <w:tcW w:w="3058" w:type="dxa"/>
            <w:tcBorders>
              <w:tl2br w:val="nil"/>
              <w:tr2bl w:val="nil"/>
            </w:tcBorders>
            <w:tcMar>
              <w:top w:w="15" w:type="dxa"/>
              <w:left w:w="15" w:type="dxa"/>
              <w:bottom w:w="15" w:type="dxa"/>
              <w:right w:w="15" w:type="dxa"/>
            </w:tcMar>
            <w:vAlign w:val="center"/>
          </w:tcPr>
          <w:p w14:paraId="5CDA4A7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sz w:val="13"/>
                <w:szCs w:val="13"/>
                <w:highlight w:val="none"/>
              </w:rPr>
            </w:pPr>
            <w:r>
              <w:rPr>
                <w:rFonts w:hint="eastAsia" w:ascii="仿宋_GB2312" w:hAnsi="宋体" w:eastAsia="仿宋_GB2312"/>
                <w:color w:val="auto"/>
                <w:kern w:val="0"/>
                <w:sz w:val="13"/>
                <w:szCs w:val="13"/>
                <w:highlight w:val="none"/>
              </w:rPr>
              <w:t>处交付使用的房屋销售总额百分之二的罚款，由颁发资质证书的部门吊销资质证书。</w:t>
            </w:r>
          </w:p>
        </w:tc>
      </w:tr>
      <w:tr w14:paraId="62D6744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3" w:hRule="atLeast"/>
          <w:jc w:val="center"/>
        </w:trPr>
        <w:tc>
          <w:tcPr>
            <w:tcW w:w="443" w:type="dxa"/>
            <w:gridSpan w:val="2"/>
            <w:vMerge w:val="restart"/>
            <w:tcBorders>
              <w:tl2br w:val="nil"/>
              <w:tr2bl w:val="nil"/>
            </w:tcBorders>
            <w:tcMar>
              <w:top w:w="15" w:type="dxa"/>
              <w:left w:w="15" w:type="dxa"/>
              <w:bottom w:w="15" w:type="dxa"/>
              <w:right w:w="15" w:type="dxa"/>
            </w:tcMar>
            <w:vAlign w:val="center"/>
          </w:tcPr>
          <w:p w14:paraId="7633C7AF">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eastAsia="仿宋_GB2312"/>
                <w:color w:val="auto"/>
                <w:sz w:val="13"/>
                <w:szCs w:val="13"/>
                <w:highlight w:val="none"/>
                <w:lang w:val="en-US"/>
              </w:rPr>
            </w:pPr>
            <w:r>
              <w:rPr>
                <w:rFonts w:hint="default" w:ascii="仿宋_GB2312" w:hAnsi="宋体" w:eastAsia="仿宋_GB2312" w:cs="仿宋_GB2312"/>
                <w:i w:val="0"/>
                <w:color w:val="auto"/>
                <w:kern w:val="0"/>
                <w:sz w:val="13"/>
                <w:szCs w:val="13"/>
                <w:highlight w:val="none"/>
                <w:u w:val="none"/>
                <w:lang w:val="en-US" w:eastAsia="zh-CN" w:bidi="ar"/>
              </w:rPr>
              <w:t>2</w:t>
            </w:r>
            <w:r>
              <w:rPr>
                <w:rFonts w:hint="eastAsia" w:ascii="仿宋_GB2312" w:hAnsi="宋体" w:eastAsia="仿宋_GB2312" w:cs="仿宋_GB2312"/>
                <w:i w:val="0"/>
                <w:color w:val="auto"/>
                <w:kern w:val="0"/>
                <w:sz w:val="13"/>
                <w:szCs w:val="13"/>
                <w:highlight w:val="none"/>
                <w:u w:val="none"/>
                <w:lang w:val="en-US" w:eastAsia="zh-CN" w:bidi="ar"/>
              </w:rPr>
              <w:t>15</w:t>
            </w:r>
          </w:p>
        </w:tc>
        <w:tc>
          <w:tcPr>
            <w:tcW w:w="1550" w:type="dxa"/>
            <w:vMerge w:val="restart"/>
            <w:tcBorders>
              <w:tl2br w:val="nil"/>
              <w:tr2bl w:val="nil"/>
            </w:tcBorders>
            <w:tcMar>
              <w:top w:w="15" w:type="dxa"/>
              <w:left w:w="15" w:type="dxa"/>
              <w:bottom w:w="15" w:type="dxa"/>
              <w:right w:w="15" w:type="dxa"/>
            </w:tcMar>
            <w:vAlign w:val="center"/>
          </w:tcPr>
          <w:p w14:paraId="50A87B7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sz w:val="13"/>
                <w:szCs w:val="13"/>
                <w:highlight w:val="none"/>
              </w:rPr>
            </w:pPr>
            <w:r>
              <w:rPr>
                <w:rFonts w:hint="eastAsia" w:ascii="仿宋_GB2312" w:hAnsi="宋体" w:eastAsia="仿宋_GB2312"/>
                <w:color w:val="auto"/>
                <w:kern w:val="0"/>
                <w:sz w:val="13"/>
                <w:szCs w:val="13"/>
                <w:highlight w:val="none"/>
              </w:rPr>
              <w:t>注册执业人员未执行民用建筑节能强制性标准的</w:t>
            </w:r>
          </w:p>
        </w:tc>
        <w:tc>
          <w:tcPr>
            <w:tcW w:w="4820" w:type="dxa"/>
            <w:vMerge w:val="restart"/>
            <w:tcBorders>
              <w:tl2br w:val="nil"/>
              <w:tr2bl w:val="nil"/>
            </w:tcBorders>
            <w:tcMar>
              <w:top w:w="15" w:type="dxa"/>
              <w:left w:w="15" w:type="dxa"/>
              <w:bottom w:w="15" w:type="dxa"/>
              <w:right w:w="15" w:type="dxa"/>
            </w:tcMar>
            <w:vAlign w:val="center"/>
          </w:tcPr>
          <w:p w14:paraId="6EAE4BB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民用建筑节能条例》第四十四条违反本条例规定，注册执业人员未执行民用建筑节能强制性标准的，由县级以上人民政府建设主管部门责令停止执业3个月以上1年以下；情节严重的，由颁发资格证书的部门吊销执业资格证书，5年内不予注册。</w:t>
            </w:r>
          </w:p>
          <w:p w14:paraId="401E64A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hint="eastAsia" w:ascii="仿宋_GB2312" w:hAnsi="宋体" w:eastAsia="仿宋_GB2312"/>
                <w:color w:val="auto"/>
                <w:kern w:val="0"/>
                <w:sz w:val="13"/>
                <w:szCs w:val="13"/>
                <w:highlight w:val="none"/>
              </w:rPr>
            </w:pPr>
          </w:p>
          <w:p w14:paraId="429F610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strike/>
                <w:color w:val="auto"/>
                <w:kern w:val="0"/>
                <w:sz w:val="13"/>
                <w:szCs w:val="13"/>
                <w:highlight w:val="none"/>
              </w:rPr>
            </w:pPr>
            <w:r>
              <w:rPr>
                <w:rFonts w:hint="eastAsia" w:ascii="仿宋_GB2312" w:hAnsi="宋体" w:eastAsia="仿宋_GB2312"/>
                <w:color w:val="auto"/>
                <w:sz w:val="13"/>
                <w:szCs w:val="13"/>
                <w:highlight w:val="none"/>
              </w:rPr>
              <w:t>《建设工程安全生产管理条例》第五十八条注册执业人员未执行法律、法规和工程建设强制性标准的，责令停止执业3个月以上1年以下；情节严重的，吊销执业资格证书，5年内不予注册；造成重大安全事故的，终身不予注册；构成犯罪的，依照刑法有关规定追究刑事责任。</w:t>
            </w:r>
          </w:p>
        </w:tc>
        <w:tc>
          <w:tcPr>
            <w:tcW w:w="823" w:type="dxa"/>
            <w:tcBorders>
              <w:tl2br w:val="nil"/>
              <w:tr2bl w:val="nil"/>
            </w:tcBorders>
            <w:tcMar>
              <w:top w:w="15" w:type="dxa"/>
              <w:left w:w="15" w:type="dxa"/>
              <w:bottom w:w="15" w:type="dxa"/>
              <w:right w:w="15" w:type="dxa"/>
            </w:tcMar>
            <w:vAlign w:val="center"/>
          </w:tcPr>
          <w:p w14:paraId="670F6C5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tcMar>
              <w:top w:w="15" w:type="dxa"/>
              <w:left w:w="15" w:type="dxa"/>
              <w:bottom w:w="15" w:type="dxa"/>
              <w:right w:w="15" w:type="dxa"/>
            </w:tcMar>
            <w:vAlign w:val="center"/>
          </w:tcPr>
          <w:p w14:paraId="17354CA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sz w:val="13"/>
                <w:szCs w:val="13"/>
                <w:highlight w:val="none"/>
              </w:rPr>
            </w:pPr>
            <w:r>
              <w:rPr>
                <w:rFonts w:hint="eastAsia" w:ascii="仿宋_GB2312" w:hAnsi="宋体" w:eastAsia="仿宋_GB2312"/>
                <w:color w:val="auto"/>
                <w:kern w:val="0"/>
                <w:sz w:val="13"/>
                <w:szCs w:val="13"/>
                <w:highlight w:val="none"/>
              </w:rPr>
              <w:t>初次违法，主动消除或减轻危害后果的。</w:t>
            </w:r>
          </w:p>
        </w:tc>
        <w:tc>
          <w:tcPr>
            <w:tcW w:w="3058" w:type="dxa"/>
            <w:tcBorders>
              <w:tl2br w:val="nil"/>
              <w:tr2bl w:val="nil"/>
            </w:tcBorders>
            <w:tcMar>
              <w:top w:w="15" w:type="dxa"/>
              <w:left w:w="15" w:type="dxa"/>
              <w:bottom w:w="15" w:type="dxa"/>
              <w:right w:w="15" w:type="dxa"/>
            </w:tcMar>
            <w:vAlign w:val="center"/>
          </w:tcPr>
          <w:p w14:paraId="5FD51AD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color w:val="auto"/>
                <w:sz w:val="13"/>
                <w:szCs w:val="13"/>
                <w:highlight w:val="none"/>
              </w:rPr>
            </w:pPr>
            <w:r>
              <w:rPr>
                <w:rFonts w:hint="eastAsia" w:ascii="仿宋_GB2312" w:hAnsi="宋体" w:eastAsia="仿宋_GB2312"/>
                <w:color w:val="auto"/>
                <w:kern w:val="0"/>
                <w:sz w:val="13"/>
                <w:szCs w:val="13"/>
                <w:highlight w:val="none"/>
              </w:rPr>
              <w:t>责令停止执业</w:t>
            </w:r>
            <w:r>
              <w:rPr>
                <w:rFonts w:hint="eastAsia" w:ascii="仿宋_GB2312" w:eastAsia="仿宋_GB2312"/>
                <w:color w:val="auto"/>
                <w:sz w:val="13"/>
                <w:szCs w:val="13"/>
                <w:highlight w:val="none"/>
              </w:rPr>
              <w:t>3</w:t>
            </w:r>
            <w:r>
              <w:rPr>
                <w:rFonts w:hint="eastAsia" w:ascii="仿宋_GB2312" w:hAnsi="宋体" w:eastAsia="仿宋_GB2312"/>
                <w:color w:val="auto"/>
                <w:sz w:val="13"/>
                <w:szCs w:val="13"/>
                <w:highlight w:val="none"/>
              </w:rPr>
              <w:t>个月。</w:t>
            </w:r>
          </w:p>
        </w:tc>
      </w:tr>
      <w:tr w14:paraId="4E065B9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29" w:hRule="atLeast"/>
          <w:jc w:val="center"/>
        </w:trPr>
        <w:tc>
          <w:tcPr>
            <w:tcW w:w="443" w:type="dxa"/>
            <w:gridSpan w:val="2"/>
            <w:vMerge w:val="continue"/>
            <w:tcBorders>
              <w:tl2br w:val="nil"/>
              <w:tr2bl w:val="nil"/>
            </w:tcBorders>
            <w:vAlign w:val="center"/>
          </w:tcPr>
          <w:p w14:paraId="3457B5A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rPr>
                <w:rFonts w:ascii="仿宋_GB2312" w:eastAsia="仿宋_GB2312"/>
                <w:color w:val="auto"/>
                <w:sz w:val="13"/>
                <w:szCs w:val="13"/>
                <w:highlight w:val="none"/>
              </w:rPr>
            </w:pPr>
          </w:p>
        </w:tc>
        <w:tc>
          <w:tcPr>
            <w:tcW w:w="1550" w:type="dxa"/>
            <w:vMerge w:val="continue"/>
            <w:tcBorders>
              <w:tl2br w:val="nil"/>
              <w:tr2bl w:val="nil"/>
            </w:tcBorders>
            <w:vAlign w:val="center"/>
          </w:tcPr>
          <w:p w14:paraId="231D37B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sz w:val="13"/>
                <w:szCs w:val="13"/>
                <w:highlight w:val="none"/>
              </w:rPr>
            </w:pPr>
          </w:p>
        </w:tc>
        <w:tc>
          <w:tcPr>
            <w:tcW w:w="4820" w:type="dxa"/>
            <w:vMerge w:val="continue"/>
            <w:tcBorders>
              <w:tl2br w:val="nil"/>
              <w:tr2bl w:val="nil"/>
            </w:tcBorders>
            <w:vAlign w:val="center"/>
          </w:tcPr>
          <w:p w14:paraId="7D72672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p>
        </w:tc>
        <w:tc>
          <w:tcPr>
            <w:tcW w:w="823" w:type="dxa"/>
            <w:vMerge w:val="restart"/>
            <w:tcBorders>
              <w:tl2br w:val="nil"/>
              <w:tr2bl w:val="nil"/>
            </w:tcBorders>
            <w:tcMar>
              <w:top w:w="15" w:type="dxa"/>
              <w:left w:w="15" w:type="dxa"/>
              <w:bottom w:w="15" w:type="dxa"/>
              <w:right w:w="15" w:type="dxa"/>
            </w:tcMar>
            <w:vAlign w:val="center"/>
          </w:tcPr>
          <w:p w14:paraId="7FFAFDF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一般情节</w:t>
            </w:r>
          </w:p>
        </w:tc>
        <w:tc>
          <w:tcPr>
            <w:tcW w:w="3437" w:type="dxa"/>
            <w:gridSpan w:val="2"/>
            <w:tcBorders>
              <w:tl2br w:val="nil"/>
              <w:tr2bl w:val="nil"/>
            </w:tcBorders>
            <w:tcMar>
              <w:top w:w="15" w:type="dxa"/>
              <w:left w:w="15" w:type="dxa"/>
              <w:bottom w:w="15" w:type="dxa"/>
              <w:right w:w="15" w:type="dxa"/>
            </w:tcMar>
            <w:vAlign w:val="center"/>
          </w:tcPr>
          <w:p w14:paraId="6868E99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（1）未造成安全事故，不具有从轻、</w:t>
            </w:r>
            <w:r>
              <w:rPr>
                <w:rFonts w:hint="eastAsia" w:ascii="仿宋_GB2312" w:hAnsi="宋体" w:eastAsia="仿宋_GB2312"/>
                <w:color w:val="auto"/>
                <w:kern w:val="0"/>
                <w:sz w:val="13"/>
                <w:szCs w:val="13"/>
                <w:highlight w:val="none"/>
                <w:lang w:eastAsia="zh-CN"/>
              </w:rPr>
              <w:t>从重情节</w:t>
            </w:r>
            <w:r>
              <w:rPr>
                <w:rFonts w:hint="eastAsia" w:ascii="仿宋_GB2312" w:hAnsi="宋体" w:eastAsia="仿宋_GB2312"/>
                <w:color w:val="auto"/>
                <w:kern w:val="0"/>
                <w:sz w:val="13"/>
                <w:szCs w:val="13"/>
                <w:highlight w:val="none"/>
              </w:rPr>
              <w:t>的。</w:t>
            </w:r>
          </w:p>
        </w:tc>
        <w:tc>
          <w:tcPr>
            <w:tcW w:w="3058" w:type="dxa"/>
            <w:tcBorders>
              <w:tl2br w:val="nil"/>
              <w:tr2bl w:val="nil"/>
            </w:tcBorders>
            <w:tcMar>
              <w:top w:w="15" w:type="dxa"/>
              <w:left w:w="15" w:type="dxa"/>
              <w:bottom w:w="15" w:type="dxa"/>
              <w:right w:w="15" w:type="dxa"/>
            </w:tcMar>
            <w:vAlign w:val="center"/>
          </w:tcPr>
          <w:p w14:paraId="69295C6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责令停止执业</w:t>
            </w:r>
            <w:r>
              <w:rPr>
                <w:rFonts w:ascii="仿宋_GB2312" w:hAnsi="宋体" w:eastAsia="仿宋_GB2312"/>
                <w:color w:val="auto"/>
                <w:kern w:val="0"/>
                <w:sz w:val="13"/>
                <w:szCs w:val="13"/>
                <w:highlight w:val="none"/>
              </w:rPr>
              <w:t>3</w:t>
            </w:r>
            <w:r>
              <w:rPr>
                <w:rFonts w:hint="eastAsia" w:ascii="仿宋_GB2312" w:hAnsi="宋体" w:eastAsia="仿宋_GB2312"/>
                <w:color w:val="auto"/>
                <w:kern w:val="0"/>
                <w:sz w:val="13"/>
                <w:szCs w:val="13"/>
                <w:highlight w:val="none"/>
              </w:rPr>
              <w:t>个月以上</w:t>
            </w:r>
            <w:r>
              <w:rPr>
                <w:rFonts w:ascii="仿宋_GB2312" w:hAnsi="宋体" w:eastAsia="仿宋_GB2312"/>
                <w:color w:val="auto"/>
                <w:kern w:val="0"/>
                <w:sz w:val="13"/>
                <w:szCs w:val="13"/>
                <w:highlight w:val="none"/>
              </w:rPr>
              <w:t>6个月</w:t>
            </w:r>
            <w:r>
              <w:rPr>
                <w:rFonts w:hint="eastAsia" w:ascii="仿宋_GB2312" w:hAnsi="宋体" w:eastAsia="仿宋_GB2312"/>
                <w:color w:val="auto"/>
                <w:kern w:val="0"/>
                <w:sz w:val="13"/>
                <w:szCs w:val="13"/>
                <w:highlight w:val="none"/>
              </w:rPr>
              <w:t>以下。</w:t>
            </w:r>
          </w:p>
        </w:tc>
      </w:tr>
      <w:tr w14:paraId="0D4FC38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97" w:hRule="atLeast"/>
          <w:jc w:val="center"/>
        </w:trPr>
        <w:tc>
          <w:tcPr>
            <w:tcW w:w="443" w:type="dxa"/>
            <w:gridSpan w:val="2"/>
            <w:vMerge w:val="continue"/>
            <w:tcBorders>
              <w:tl2br w:val="nil"/>
              <w:tr2bl w:val="nil"/>
            </w:tcBorders>
            <w:vAlign w:val="center"/>
          </w:tcPr>
          <w:p w14:paraId="64CDA35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rPr>
                <w:rFonts w:ascii="仿宋_GB2312" w:eastAsia="仿宋_GB2312"/>
                <w:color w:val="auto"/>
                <w:sz w:val="13"/>
                <w:szCs w:val="13"/>
                <w:highlight w:val="none"/>
              </w:rPr>
            </w:pPr>
          </w:p>
        </w:tc>
        <w:tc>
          <w:tcPr>
            <w:tcW w:w="1550" w:type="dxa"/>
            <w:vMerge w:val="continue"/>
            <w:tcBorders>
              <w:tl2br w:val="nil"/>
              <w:tr2bl w:val="nil"/>
            </w:tcBorders>
            <w:vAlign w:val="center"/>
          </w:tcPr>
          <w:p w14:paraId="6B3F179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sz w:val="13"/>
                <w:szCs w:val="13"/>
                <w:highlight w:val="none"/>
              </w:rPr>
            </w:pPr>
          </w:p>
        </w:tc>
        <w:tc>
          <w:tcPr>
            <w:tcW w:w="4820" w:type="dxa"/>
            <w:vMerge w:val="continue"/>
            <w:tcBorders>
              <w:tl2br w:val="nil"/>
              <w:tr2bl w:val="nil"/>
            </w:tcBorders>
            <w:vAlign w:val="center"/>
          </w:tcPr>
          <w:p w14:paraId="7ECAFB2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p>
        </w:tc>
        <w:tc>
          <w:tcPr>
            <w:tcW w:w="823" w:type="dxa"/>
            <w:vMerge w:val="continue"/>
            <w:tcBorders>
              <w:tl2br w:val="nil"/>
              <w:tr2bl w:val="nil"/>
            </w:tcBorders>
            <w:tcMar>
              <w:top w:w="15" w:type="dxa"/>
              <w:left w:w="15" w:type="dxa"/>
              <w:bottom w:w="15" w:type="dxa"/>
              <w:right w:w="15" w:type="dxa"/>
            </w:tcMar>
            <w:vAlign w:val="center"/>
          </w:tcPr>
          <w:p w14:paraId="12C2511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olor w:val="auto"/>
                <w:kern w:val="0"/>
                <w:sz w:val="13"/>
                <w:szCs w:val="13"/>
                <w:highlight w:val="none"/>
              </w:rPr>
            </w:pPr>
          </w:p>
        </w:tc>
        <w:tc>
          <w:tcPr>
            <w:tcW w:w="3437" w:type="dxa"/>
            <w:gridSpan w:val="2"/>
            <w:tcBorders>
              <w:tl2br w:val="nil"/>
              <w:tr2bl w:val="nil"/>
            </w:tcBorders>
            <w:tcMar>
              <w:top w:w="15" w:type="dxa"/>
              <w:left w:w="15" w:type="dxa"/>
              <w:bottom w:w="15" w:type="dxa"/>
              <w:right w:w="15" w:type="dxa"/>
            </w:tcMar>
            <w:vAlign w:val="center"/>
          </w:tcPr>
          <w:p w14:paraId="4EF86C0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（2）造成一般安全事故或者其他较严重后果的。</w:t>
            </w:r>
          </w:p>
        </w:tc>
        <w:tc>
          <w:tcPr>
            <w:tcW w:w="3058" w:type="dxa"/>
            <w:tcBorders>
              <w:tl2br w:val="nil"/>
              <w:tr2bl w:val="nil"/>
            </w:tcBorders>
            <w:tcMar>
              <w:top w:w="15" w:type="dxa"/>
              <w:left w:w="15" w:type="dxa"/>
              <w:bottom w:w="15" w:type="dxa"/>
              <w:right w:w="15" w:type="dxa"/>
            </w:tcMar>
            <w:vAlign w:val="center"/>
          </w:tcPr>
          <w:p w14:paraId="5699479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责令停止执业6个月以上1年以下（含1年）。</w:t>
            </w:r>
          </w:p>
        </w:tc>
      </w:tr>
      <w:tr w14:paraId="54BBFC5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51" w:hRule="atLeast"/>
          <w:jc w:val="center"/>
        </w:trPr>
        <w:tc>
          <w:tcPr>
            <w:tcW w:w="443" w:type="dxa"/>
            <w:gridSpan w:val="2"/>
            <w:vMerge w:val="continue"/>
            <w:tcBorders>
              <w:tl2br w:val="nil"/>
              <w:tr2bl w:val="nil"/>
            </w:tcBorders>
            <w:vAlign w:val="center"/>
          </w:tcPr>
          <w:p w14:paraId="5CECFF0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rPr>
                <w:rFonts w:ascii="仿宋_GB2312" w:eastAsia="仿宋_GB2312"/>
                <w:color w:val="auto"/>
                <w:sz w:val="13"/>
                <w:szCs w:val="13"/>
                <w:highlight w:val="none"/>
              </w:rPr>
            </w:pPr>
          </w:p>
        </w:tc>
        <w:tc>
          <w:tcPr>
            <w:tcW w:w="1550" w:type="dxa"/>
            <w:vMerge w:val="continue"/>
            <w:tcBorders>
              <w:tl2br w:val="nil"/>
              <w:tr2bl w:val="nil"/>
            </w:tcBorders>
            <w:vAlign w:val="center"/>
          </w:tcPr>
          <w:p w14:paraId="77D4B1B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sz w:val="13"/>
                <w:szCs w:val="13"/>
                <w:highlight w:val="none"/>
              </w:rPr>
            </w:pPr>
          </w:p>
        </w:tc>
        <w:tc>
          <w:tcPr>
            <w:tcW w:w="4820" w:type="dxa"/>
            <w:vMerge w:val="continue"/>
            <w:tcBorders>
              <w:tl2br w:val="nil"/>
              <w:tr2bl w:val="nil"/>
            </w:tcBorders>
            <w:vAlign w:val="center"/>
          </w:tcPr>
          <w:p w14:paraId="7AA579A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p>
        </w:tc>
        <w:tc>
          <w:tcPr>
            <w:tcW w:w="823" w:type="dxa"/>
            <w:vMerge w:val="restart"/>
            <w:tcBorders>
              <w:tl2br w:val="nil"/>
              <w:tr2bl w:val="nil"/>
            </w:tcBorders>
            <w:tcMar>
              <w:top w:w="15" w:type="dxa"/>
              <w:left w:w="15" w:type="dxa"/>
              <w:bottom w:w="15" w:type="dxa"/>
              <w:right w:w="15" w:type="dxa"/>
            </w:tcMar>
            <w:vAlign w:val="center"/>
          </w:tcPr>
          <w:p w14:paraId="446DDC2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从重情节</w:t>
            </w:r>
          </w:p>
        </w:tc>
        <w:tc>
          <w:tcPr>
            <w:tcW w:w="3437" w:type="dxa"/>
            <w:gridSpan w:val="2"/>
            <w:tcBorders>
              <w:tl2br w:val="nil"/>
              <w:tr2bl w:val="nil"/>
            </w:tcBorders>
            <w:tcMar>
              <w:top w:w="15" w:type="dxa"/>
              <w:left w:w="15" w:type="dxa"/>
              <w:bottom w:w="15" w:type="dxa"/>
              <w:right w:w="15" w:type="dxa"/>
            </w:tcMar>
            <w:vAlign w:val="center"/>
          </w:tcPr>
          <w:p w14:paraId="7764C0A0">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strike/>
                <w:color w:val="auto"/>
                <w:sz w:val="13"/>
                <w:szCs w:val="13"/>
                <w:highlight w:val="none"/>
              </w:rPr>
            </w:pPr>
            <w:r>
              <w:rPr>
                <w:rFonts w:hint="eastAsia" w:ascii="仿宋_GB2312" w:hAnsi="宋体" w:eastAsia="仿宋_GB2312"/>
                <w:color w:val="auto"/>
                <w:kern w:val="0"/>
                <w:sz w:val="13"/>
                <w:szCs w:val="13"/>
                <w:highlight w:val="none"/>
              </w:rPr>
              <w:t>（</w:t>
            </w:r>
            <w:r>
              <w:rPr>
                <w:rFonts w:ascii="仿宋_GB2312" w:hAnsi="宋体" w:eastAsia="仿宋_GB2312"/>
                <w:color w:val="auto"/>
                <w:kern w:val="0"/>
                <w:sz w:val="13"/>
                <w:szCs w:val="13"/>
                <w:highlight w:val="none"/>
              </w:rPr>
              <w:t>1</w:t>
            </w:r>
            <w:r>
              <w:rPr>
                <w:rFonts w:hint="eastAsia" w:ascii="仿宋_GB2312" w:hAnsi="宋体" w:eastAsia="仿宋_GB2312"/>
                <w:color w:val="auto"/>
                <w:kern w:val="0"/>
                <w:sz w:val="13"/>
                <w:szCs w:val="13"/>
                <w:highlight w:val="none"/>
              </w:rPr>
              <w:t>）造成较大安全事故或者其他严重后果的。</w:t>
            </w:r>
          </w:p>
        </w:tc>
        <w:tc>
          <w:tcPr>
            <w:tcW w:w="3058" w:type="dxa"/>
            <w:tcBorders>
              <w:tl2br w:val="nil"/>
              <w:tr2bl w:val="nil"/>
            </w:tcBorders>
            <w:tcMar>
              <w:top w:w="15" w:type="dxa"/>
              <w:left w:w="15" w:type="dxa"/>
              <w:bottom w:w="15" w:type="dxa"/>
              <w:right w:w="15" w:type="dxa"/>
            </w:tcMar>
            <w:vAlign w:val="center"/>
          </w:tcPr>
          <w:p w14:paraId="7057163C">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strike/>
                <w:color w:val="auto"/>
                <w:sz w:val="13"/>
                <w:szCs w:val="13"/>
                <w:highlight w:val="none"/>
              </w:rPr>
            </w:pPr>
            <w:r>
              <w:rPr>
                <w:rFonts w:hint="eastAsia" w:ascii="仿宋_GB2312" w:hAnsi="宋体" w:eastAsia="仿宋_GB2312"/>
                <w:color w:val="auto"/>
                <w:kern w:val="0"/>
                <w:sz w:val="13"/>
                <w:szCs w:val="13"/>
                <w:highlight w:val="none"/>
              </w:rPr>
              <w:t>由颁发资格证书的部门吊销执业资格证书，</w:t>
            </w:r>
            <w:r>
              <w:rPr>
                <w:rFonts w:hint="eastAsia" w:ascii="仿宋_GB2312" w:eastAsia="仿宋_GB2312"/>
                <w:color w:val="auto"/>
                <w:sz w:val="13"/>
                <w:szCs w:val="13"/>
                <w:highlight w:val="none"/>
              </w:rPr>
              <w:t>5</w:t>
            </w:r>
            <w:r>
              <w:rPr>
                <w:rFonts w:hint="eastAsia" w:ascii="仿宋_GB2312" w:hAnsi="宋体" w:eastAsia="仿宋_GB2312"/>
                <w:color w:val="auto"/>
                <w:sz w:val="13"/>
                <w:szCs w:val="13"/>
                <w:highlight w:val="none"/>
              </w:rPr>
              <w:t>年内不予注册。</w:t>
            </w:r>
          </w:p>
        </w:tc>
      </w:tr>
      <w:tr w14:paraId="161DDE2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78" w:hRule="atLeast"/>
          <w:jc w:val="center"/>
        </w:trPr>
        <w:tc>
          <w:tcPr>
            <w:tcW w:w="443" w:type="dxa"/>
            <w:gridSpan w:val="2"/>
            <w:vMerge w:val="continue"/>
            <w:tcBorders>
              <w:tl2br w:val="nil"/>
              <w:tr2bl w:val="nil"/>
            </w:tcBorders>
            <w:vAlign w:val="center"/>
          </w:tcPr>
          <w:p w14:paraId="0671737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rPr>
                <w:rFonts w:ascii="仿宋_GB2312" w:eastAsia="仿宋_GB2312"/>
                <w:color w:val="auto"/>
                <w:sz w:val="13"/>
                <w:szCs w:val="13"/>
                <w:highlight w:val="none"/>
              </w:rPr>
            </w:pPr>
          </w:p>
        </w:tc>
        <w:tc>
          <w:tcPr>
            <w:tcW w:w="1550" w:type="dxa"/>
            <w:vMerge w:val="continue"/>
            <w:tcBorders>
              <w:tl2br w:val="nil"/>
              <w:tr2bl w:val="nil"/>
            </w:tcBorders>
            <w:vAlign w:val="center"/>
          </w:tcPr>
          <w:p w14:paraId="67E764A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sz w:val="13"/>
                <w:szCs w:val="13"/>
                <w:highlight w:val="none"/>
              </w:rPr>
            </w:pPr>
          </w:p>
        </w:tc>
        <w:tc>
          <w:tcPr>
            <w:tcW w:w="4820" w:type="dxa"/>
            <w:vMerge w:val="continue"/>
            <w:tcBorders>
              <w:tl2br w:val="nil"/>
              <w:tr2bl w:val="nil"/>
            </w:tcBorders>
            <w:vAlign w:val="center"/>
          </w:tcPr>
          <w:p w14:paraId="3F29622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p>
        </w:tc>
        <w:tc>
          <w:tcPr>
            <w:tcW w:w="823" w:type="dxa"/>
            <w:vMerge w:val="continue"/>
            <w:tcBorders>
              <w:tl2br w:val="nil"/>
              <w:tr2bl w:val="nil"/>
            </w:tcBorders>
            <w:tcMar>
              <w:top w:w="15" w:type="dxa"/>
              <w:left w:w="15" w:type="dxa"/>
              <w:bottom w:w="15" w:type="dxa"/>
              <w:right w:w="15" w:type="dxa"/>
            </w:tcMar>
            <w:vAlign w:val="center"/>
          </w:tcPr>
          <w:p w14:paraId="4B4B406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3437" w:type="dxa"/>
            <w:gridSpan w:val="2"/>
            <w:tcBorders>
              <w:tl2br w:val="nil"/>
              <w:tr2bl w:val="nil"/>
            </w:tcBorders>
            <w:tcMar>
              <w:top w:w="15" w:type="dxa"/>
              <w:left w:w="15" w:type="dxa"/>
              <w:bottom w:w="15" w:type="dxa"/>
              <w:right w:w="15" w:type="dxa"/>
            </w:tcMar>
            <w:vAlign w:val="center"/>
          </w:tcPr>
          <w:p w14:paraId="2832FC64">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w:t>
            </w:r>
            <w:r>
              <w:rPr>
                <w:rFonts w:ascii="仿宋_GB2312" w:hAnsi="宋体" w:eastAsia="仿宋_GB2312"/>
                <w:color w:val="auto"/>
                <w:kern w:val="0"/>
                <w:sz w:val="13"/>
                <w:szCs w:val="13"/>
                <w:highlight w:val="none"/>
              </w:rPr>
              <w:t>2</w:t>
            </w:r>
            <w:r>
              <w:rPr>
                <w:rFonts w:hint="eastAsia" w:ascii="仿宋_GB2312" w:hAnsi="宋体" w:eastAsia="仿宋_GB2312"/>
                <w:color w:val="auto"/>
                <w:kern w:val="0"/>
                <w:sz w:val="13"/>
                <w:szCs w:val="13"/>
                <w:highlight w:val="none"/>
              </w:rPr>
              <w:t>）造成重大、特别重大安全事故或其他特别严重后果的。</w:t>
            </w:r>
          </w:p>
        </w:tc>
        <w:tc>
          <w:tcPr>
            <w:tcW w:w="3058" w:type="dxa"/>
            <w:tcBorders>
              <w:tl2br w:val="nil"/>
              <w:tr2bl w:val="nil"/>
            </w:tcBorders>
            <w:tcMar>
              <w:top w:w="15" w:type="dxa"/>
              <w:left w:w="15" w:type="dxa"/>
              <w:bottom w:w="15" w:type="dxa"/>
              <w:right w:w="15" w:type="dxa"/>
            </w:tcMar>
            <w:vAlign w:val="center"/>
          </w:tcPr>
          <w:p w14:paraId="3F33F25C">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由颁发资格证书的部门吊销执业资格证书，终身不予注册。</w:t>
            </w:r>
          </w:p>
        </w:tc>
      </w:tr>
      <w:tr w14:paraId="6118198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78" w:hRule="atLeast"/>
          <w:jc w:val="center"/>
        </w:trPr>
        <w:tc>
          <w:tcPr>
            <w:tcW w:w="14131" w:type="dxa"/>
            <w:gridSpan w:val="8"/>
            <w:tcBorders>
              <w:tl2br w:val="nil"/>
              <w:tr2bl w:val="nil"/>
            </w:tcBorders>
            <w:vAlign w:val="center"/>
          </w:tcPr>
          <w:p w14:paraId="0576B4BF">
            <w:pPr>
              <w:pStyle w:val="10"/>
              <w:bidi w:val="0"/>
              <w:jc w:val="center"/>
              <w:rPr>
                <w:rFonts w:hint="eastAsia"/>
                <w:color w:val="auto"/>
              </w:rPr>
            </w:pPr>
            <w:bookmarkStart w:id="8" w:name="_Toc10425"/>
            <w:bookmarkStart w:id="9" w:name="_Toc18805"/>
            <w:r>
              <w:rPr>
                <w:rFonts w:hint="eastAsia"/>
                <w:color w:val="auto"/>
                <w:lang w:val="en-US" w:eastAsia="zh-CN"/>
              </w:rPr>
              <w:t>五、</w:t>
            </w:r>
            <w:r>
              <w:rPr>
                <w:rFonts w:hint="eastAsia"/>
                <w:color w:val="auto"/>
              </w:rPr>
              <w:t>勘察设计管理类（</w:t>
            </w:r>
            <w:r>
              <w:rPr>
                <w:rFonts w:hint="eastAsia"/>
                <w:color w:val="auto"/>
                <w:lang w:val="en-US" w:eastAsia="zh-CN"/>
              </w:rPr>
              <w:t>16</w:t>
            </w:r>
            <w:r>
              <w:rPr>
                <w:rFonts w:hint="eastAsia"/>
                <w:color w:val="auto"/>
              </w:rPr>
              <w:t>项）</w:t>
            </w:r>
            <w:bookmarkEnd w:id="8"/>
            <w:bookmarkEnd w:id="9"/>
          </w:p>
        </w:tc>
      </w:tr>
      <w:tr w14:paraId="29610C0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9" w:hRule="atLeast"/>
          <w:jc w:val="center"/>
        </w:trPr>
        <w:tc>
          <w:tcPr>
            <w:tcW w:w="443" w:type="dxa"/>
            <w:gridSpan w:val="2"/>
            <w:vMerge w:val="restart"/>
            <w:tcBorders>
              <w:tl2br w:val="nil"/>
              <w:tr2bl w:val="nil"/>
            </w:tcBorders>
            <w:vAlign w:val="center"/>
          </w:tcPr>
          <w:p w14:paraId="31FDB3AA">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Times New Roman"/>
                <w:color w:val="auto"/>
                <w:sz w:val="13"/>
                <w:szCs w:val="13"/>
                <w:highlight w:val="none"/>
                <w:lang w:val="en-US"/>
              </w:rPr>
            </w:pPr>
            <w:r>
              <w:rPr>
                <w:rFonts w:hint="default" w:ascii="仿宋_GB2312" w:hAnsi="宋体" w:eastAsia="仿宋_GB2312" w:cs="仿宋_GB2312"/>
                <w:i w:val="0"/>
                <w:color w:val="auto"/>
                <w:kern w:val="0"/>
                <w:sz w:val="13"/>
                <w:szCs w:val="13"/>
                <w:highlight w:val="none"/>
                <w:u w:val="none"/>
                <w:lang w:val="en-US" w:eastAsia="zh-CN" w:bidi="ar"/>
              </w:rPr>
              <w:t>2</w:t>
            </w:r>
            <w:r>
              <w:rPr>
                <w:rFonts w:hint="eastAsia" w:ascii="仿宋_GB2312" w:hAnsi="宋体" w:eastAsia="仿宋_GB2312" w:cs="仿宋_GB2312"/>
                <w:i w:val="0"/>
                <w:color w:val="auto"/>
                <w:kern w:val="0"/>
                <w:sz w:val="13"/>
                <w:szCs w:val="13"/>
                <w:highlight w:val="none"/>
                <w:u w:val="none"/>
                <w:lang w:val="en-US" w:eastAsia="zh-CN" w:bidi="ar"/>
              </w:rPr>
              <w:t>16</w:t>
            </w:r>
          </w:p>
        </w:tc>
        <w:tc>
          <w:tcPr>
            <w:tcW w:w="1550" w:type="dxa"/>
            <w:vMerge w:val="restart"/>
            <w:tcBorders>
              <w:tl2br w:val="nil"/>
              <w:tr2bl w:val="nil"/>
            </w:tcBorders>
            <w:vAlign w:val="center"/>
          </w:tcPr>
          <w:p w14:paraId="7C19668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rPr>
                <w:rFonts w:ascii="仿宋_GB2312" w:hAnsi="宋体" w:eastAsia="仿宋_GB2312" w:cs="Times New Roman"/>
                <w:color w:val="auto"/>
                <w:sz w:val="13"/>
                <w:szCs w:val="13"/>
                <w:highlight w:val="none"/>
              </w:rPr>
            </w:pPr>
            <w:r>
              <w:rPr>
                <w:rFonts w:hint="eastAsia" w:ascii="仿宋_GB2312" w:hAnsi="宋体" w:eastAsia="仿宋_GB2312"/>
                <w:color w:val="auto"/>
                <w:sz w:val="13"/>
                <w:szCs w:val="13"/>
                <w:highlight w:val="none"/>
              </w:rPr>
              <w:t>建设工程勘察、设计单位超越其资质等级许可的范围或者以其他建设工程勘察、设计单位的名义承揽建设工程勘察、设计业务的；建设工程勘察、设计单位允许其他单位或者个人以本单位的名义承揽建设工程勘察、设计业务的</w:t>
            </w:r>
          </w:p>
        </w:tc>
        <w:tc>
          <w:tcPr>
            <w:tcW w:w="4820" w:type="dxa"/>
            <w:vMerge w:val="restart"/>
            <w:tcBorders>
              <w:tl2br w:val="nil"/>
              <w:tr2bl w:val="nil"/>
            </w:tcBorders>
            <w:vAlign w:val="center"/>
          </w:tcPr>
          <w:p w14:paraId="124AC64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olor w:val="auto"/>
                <w:kern w:val="0"/>
                <w:sz w:val="13"/>
                <w:szCs w:val="13"/>
                <w:highlight w:val="none"/>
              </w:rPr>
              <w:t>《</w:t>
            </w:r>
            <w:r>
              <w:rPr>
                <w:rFonts w:hint="eastAsia" w:ascii="仿宋_GB2312" w:hAnsi="宋体" w:eastAsia="仿宋_GB2312"/>
                <w:color w:val="auto"/>
                <w:sz w:val="13"/>
                <w:szCs w:val="13"/>
                <w:highlight w:val="none"/>
              </w:rPr>
              <w:t>建设工程勘察设计管理条例》第三十五条第一款违反本条例第八条规定的，责令停止违法行为，处合同约定的勘察费、设计费1倍以上2倍以下的罚款，有违法所得的，予以没收；可以责令停业整顿，降低资质等级；情节严重的，吊销资质证书。</w:t>
            </w:r>
          </w:p>
        </w:tc>
        <w:tc>
          <w:tcPr>
            <w:tcW w:w="823" w:type="dxa"/>
            <w:tcBorders>
              <w:tl2br w:val="nil"/>
              <w:tr2bl w:val="nil"/>
            </w:tcBorders>
            <w:tcMar>
              <w:top w:w="15" w:type="dxa"/>
              <w:left w:w="15" w:type="dxa"/>
              <w:bottom w:w="15" w:type="dxa"/>
              <w:right w:w="15" w:type="dxa"/>
            </w:tcMar>
            <w:vAlign w:val="center"/>
          </w:tcPr>
          <w:p w14:paraId="34B128B9">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Times New Roman"/>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tcMar>
              <w:top w:w="15" w:type="dxa"/>
              <w:left w:w="15" w:type="dxa"/>
              <w:bottom w:w="15" w:type="dxa"/>
              <w:right w:w="15" w:type="dxa"/>
            </w:tcMar>
            <w:vAlign w:val="center"/>
          </w:tcPr>
          <w:p w14:paraId="70E0E3C9">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s="Times New Roman"/>
                <w:color w:val="auto"/>
                <w:sz w:val="13"/>
                <w:szCs w:val="13"/>
                <w:highlight w:val="none"/>
              </w:rPr>
            </w:pPr>
            <w:r>
              <w:rPr>
                <w:rFonts w:hint="eastAsia" w:ascii="仿宋_GB2312" w:hAnsi="宋体" w:eastAsia="仿宋_GB2312"/>
                <w:color w:val="auto"/>
                <w:kern w:val="0"/>
                <w:sz w:val="13"/>
                <w:szCs w:val="13"/>
                <w:highlight w:val="none"/>
              </w:rPr>
              <w:t>初次违法，主动消除或减轻违法行为危害后果的。</w:t>
            </w:r>
          </w:p>
        </w:tc>
        <w:tc>
          <w:tcPr>
            <w:tcW w:w="3058" w:type="dxa"/>
            <w:tcBorders>
              <w:tl2br w:val="nil"/>
              <w:tr2bl w:val="nil"/>
            </w:tcBorders>
            <w:tcMar>
              <w:top w:w="15" w:type="dxa"/>
              <w:left w:w="15" w:type="dxa"/>
              <w:bottom w:w="15" w:type="dxa"/>
              <w:right w:w="15" w:type="dxa"/>
            </w:tcMar>
            <w:vAlign w:val="center"/>
          </w:tcPr>
          <w:p w14:paraId="5244789C">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s="Times New Roman"/>
                <w:color w:val="auto"/>
                <w:sz w:val="13"/>
                <w:szCs w:val="13"/>
                <w:highlight w:val="none"/>
              </w:rPr>
            </w:pPr>
            <w:r>
              <w:rPr>
                <w:rFonts w:hint="eastAsia" w:ascii="仿宋_GB2312" w:hAnsi="宋体" w:eastAsia="仿宋_GB2312" w:cs="Times New Roman"/>
                <w:color w:val="auto"/>
                <w:kern w:val="0"/>
                <w:sz w:val="13"/>
                <w:szCs w:val="13"/>
                <w:highlight w:val="none"/>
              </w:rPr>
              <w:t>责令改正，处合同约定的勘察费、设计费1倍的罚款，有违法所得的，予以没收。</w:t>
            </w:r>
          </w:p>
        </w:tc>
      </w:tr>
      <w:tr w14:paraId="59DD029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67" w:hRule="atLeast"/>
          <w:jc w:val="center"/>
        </w:trPr>
        <w:tc>
          <w:tcPr>
            <w:tcW w:w="443" w:type="dxa"/>
            <w:gridSpan w:val="2"/>
            <w:vMerge w:val="continue"/>
            <w:tcBorders>
              <w:tl2br w:val="nil"/>
              <w:tr2bl w:val="nil"/>
            </w:tcBorders>
            <w:vAlign w:val="center"/>
          </w:tcPr>
          <w:p w14:paraId="00A76BE2">
            <w:pPr>
              <w:pStyle w:val="37"/>
              <w:keepNext w:val="0"/>
              <w:keepLines w:val="0"/>
              <w:pageBreakBefore w:val="0"/>
              <w:widowControl/>
              <w:numPr>
                <w:ilvl w:val="0"/>
                <w:numId w:val="4"/>
              </w:numPr>
              <w:kinsoku/>
              <w:overflowPunct/>
              <w:topLinePunct w:val="0"/>
              <w:autoSpaceDE/>
              <w:autoSpaceDN/>
              <w:bidi w:val="0"/>
              <w:adjustRightInd/>
              <w:snapToGrid/>
              <w:spacing w:beforeAutospacing="0" w:afterAutospacing="0" w:line="260" w:lineRule="exact"/>
              <w:ind w:left="0" w:leftChars="0" w:right="0" w:rightChars="0" w:firstLineChars="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706B13D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s="Times New Roman"/>
                <w:color w:val="auto"/>
                <w:sz w:val="13"/>
                <w:szCs w:val="13"/>
                <w:highlight w:val="none"/>
              </w:rPr>
            </w:pPr>
          </w:p>
        </w:tc>
        <w:tc>
          <w:tcPr>
            <w:tcW w:w="4820" w:type="dxa"/>
            <w:vMerge w:val="continue"/>
            <w:tcBorders>
              <w:tl2br w:val="nil"/>
              <w:tr2bl w:val="nil"/>
            </w:tcBorders>
            <w:vAlign w:val="center"/>
          </w:tcPr>
          <w:p w14:paraId="51E23B9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s="Times New Roman"/>
                <w:color w:val="auto"/>
                <w:kern w:val="0"/>
                <w:sz w:val="13"/>
                <w:szCs w:val="13"/>
                <w:highlight w:val="none"/>
              </w:rPr>
            </w:pPr>
          </w:p>
        </w:tc>
        <w:tc>
          <w:tcPr>
            <w:tcW w:w="823" w:type="dxa"/>
            <w:tcBorders>
              <w:tl2br w:val="nil"/>
              <w:tr2bl w:val="nil"/>
            </w:tcBorders>
            <w:tcMar>
              <w:top w:w="15" w:type="dxa"/>
              <w:left w:w="15" w:type="dxa"/>
              <w:bottom w:w="15" w:type="dxa"/>
              <w:right w:w="15" w:type="dxa"/>
            </w:tcMar>
            <w:vAlign w:val="center"/>
          </w:tcPr>
          <w:p w14:paraId="3E563E3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Times New Roman"/>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一般情节</w:t>
            </w:r>
          </w:p>
        </w:tc>
        <w:tc>
          <w:tcPr>
            <w:tcW w:w="3437" w:type="dxa"/>
            <w:gridSpan w:val="2"/>
            <w:tcBorders>
              <w:tl2br w:val="nil"/>
              <w:tr2bl w:val="nil"/>
            </w:tcBorders>
            <w:tcMar>
              <w:top w:w="15" w:type="dxa"/>
              <w:left w:w="15" w:type="dxa"/>
              <w:bottom w:w="15" w:type="dxa"/>
              <w:right w:w="15" w:type="dxa"/>
            </w:tcMar>
            <w:vAlign w:val="center"/>
          </w:tcPr>
          <w:p w14:paraId="267D1E4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s="Times New Roman"/>
                <w:color w:val="auto"/>
                <w:sz w:val="13"/>
                <w:szCs w:val="13"/>
                <w:highlight w:val="none"/>
              </w:rPr>
            </w:pPr>
            <w:r>
              <w:rPr>
                <w:rFonts w:hint="eastAsia" w:ascii="仿宋_GB2312" w:hAnsi="宋体" w:eastAsia="仿宋_GB2312"/>
                <w:color w:val="auto"/>
                <w:kern w:val="0"/>
                <w:sz w:val="13"/>
                <w:szCs w:val="13"/>
                <w:highlight w:val="none"/>
              </w:rPr>
              <w:t>未造成质量事故，不具有从轻、</w:t>
            </w:r>
            <w:r>
              <w:rPr>
                <w:rFonts w:hint="eastAsia" w:ascii="仿宋_GB2312" w:hAnsi="宋体" w:eastAsia="仿宋_GB2312"/>
                <w:color w:val="auto"/>
                <w:kern w:val="0"/>
                <w:sz w:val="13"/>
                <w:szCs w:val="13"/>
                <w:highlight w:val="none"/>
                <w:lang w:eastAsia="zh-CN"/>
              </w:rPr>
              <w:t>从重情节</w:t>
            </w:r>
            <w:r>
              <w:rPr>
                <w:rFonts w:hint="eastAsia" w:ascii="仿宋_GB2312" w:hAnsi="宋体" w:eastAsia="仿宋_GB2312"/>
                <w:color w:val="auto"/>
                <w:kern w:val="0"/>
                <w:sz w:val="13"/>
                <w:szCs w:val="13"/>
                <w:highlight w:val="none"/>
              </w:rPr>
              <w:t>的。</w:t>
            </w:r>
          </w:p>
        </w:tc>
        <w:tc>
          <w:tcPr>
            <w:tcW w:w="3058" w:type="dxa"/>
            <w:tcBorders>
              <w:tl2br w:val="nil"/>
              <w:tr2bl w:val="nil"/>
            </w:tcBorders>
            <w:tcMar>
              <w:top w:w="15" w:type="dxa"/>
              <w:left w:w="15" w:type="dxa"/>
              <w:bottom w:w="15" w:type="dxa"/>
              <w:right w:w="15" w:type="dxa"/>
            </w:tcMar>
            <w:vAlign w:val="center"/>
          </w:tcPr>
          <w:p w14:paraId="630E778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s="Times New Roman"/>
                <w:color w:val="auto"/>
                <w:sz w:val="13"/>
                <w:szCs w:val="13"/>
                <w:highlight w:val="none"/>
              </w:rPr>
            </w:pPr>
            <w:r>
              <w:rPr>
                <w:rFonts w:hint="eastAsia" w:ascii="仿宋_GB2312" w:hAnsi="宋体" w:eastAsia="仿宋_GB2312" w:cs="Times New Roman"/>
                <w:color w:val="auto"/>
                <w:kern w:val="0"/>
                <w:sz w:val="13"/>
                <w:szCs w:val="13"/>
                <w:highlight w:val="none"/>
              </w:rPr>
              <w:t>责令改正，处合同约定的勘察费、设计费1倍以上1.5倍以下的罚款，有违法所得的，予以没收。</w:t>
            </w:r>
          </w:p>
        </w:tc>
      </w:tr>
      <w:tr w14:paraId="304793E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9" w:hRule="atLeast"/>
          <w:jc w:val="center"/>
        </w:trPr>
        <w:tc>
          <w:tcPr>
            <w:tcW w:w="443" w:type="dxa"/>
            <w:gridSpan w:val="2"/>
            <w:vMerge w:val="continue"/>
            <w:tcBorders>
              <w:tl2br w:val="nil"/>
              <w:tr2bl w:val="nil"/>
            </w:tcBorders>
            <w:vAlign w:val="center"/>
          </w:tcPr>
          <w:p w14:paraId="1E531B98">
            <w:pPr>
              <w:pStyle w:val="37"/>
              <w:keepNext w:val="0"/>
              <w:keepLines w:val="0"/>
              <w:pageBreakBefore w:val="0"/>
              <w:widowControl/>
              <w:numPr>
                <w:ilvl w:val="0"/>
                <w:numId w:val="4"/>
              </w:numPr>
              <w:kinsoku/>
              <w:overflowPunct/>
              <w:topLinePunct w:val="0"/>
              <w:autoSpaceDE/>
              <w:autoSpaceDN/>
              <w:bidi w:val="0"/>
              <w:adjustRightInd/>
              <w:snapToGrid/>
              <w:spacing w:beforeAutospacing="0" w:afterAutospacing="0" w:line="260" w:lineRule="exact"/>
              <w:ind w:left="0" w:leftChars="0" w:right="0" w:rightChars="0" w:firstLineChars="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76902D8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s="Times New Roman"/>
                <w:color w:val="auto"/>
                <w:sz w:val="13"/>
                <w:szCs w:val="13"/>
                <w:highlight w:val="none"/>
              </w:rPr>
            </w:pPr>
          </w:p>
        </w:tc>
        <w:tc>
          <w:tcPr>
            <w:tcW w:w="4820" w:type="dxa"/>
            <w:vMerge w:val="continue"/>
            <w:tcBorders>
              <w:tl2br w:val="nil"/>
              <w:tr2bl w:val="nil"/>
            </w:tcBorders>
            <w:vAlign w:val="center"/>
          </w:tcPr>
          <w:p w14:paraId="4907387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s="Times New Roman"/>
                <w:color w:val="auto"/>
                <w:kern w:val="0"/>
                <w:sz w:val="13"/>
                <w:szCs w:val="13"/>
                <w:highlight w:val="none"/>
              </w:rPr>
            </w:pPr>
          </w:p>
        </w:tc>
        <w:tc>
          <w:tcPr>
            <w:tcW w:w="823" w:type="dxa"/>
            <w:vMerge w:val="restart"/>
            <w:tcBorders>
              <w:tl2br w:val="nil"/>
              <w:tr2bl w:val="nil"/>
            </w:tcBorders>
            <w:tcMar>
              <w:top w:w="15" w:type="dxa"/>
              <w:left w:w="15" w:type="dxa"/>
              <w:bottom w:w="15" w:type="dxa"/>
              <w:right w:w="15" w:type="dxa"/>
            </w:tcMar>
            <w:vAlign w:val="center"/>
          </w:tcPr>
          <w:p w14:paraId="34A646F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Times New Roman"/>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从重情节</w:t>
            </w:r>
          </w:p>
        </w:tc>
        <w:tc>
          <w:tcPr>
            <w:tcW w:w="3437" w:type="dxa"/>
            <w:gridSpan w:val="2"/>
            <w:tcBorders>
              <w:tl2br w:val="nil"/>
              <w:tr2bl w:val="nil"/>
            </w:tcBorders>
            <w:tcMar>
              <w:top w:w="15" w:type="dxa"/>
              <w:left w:w="15" w:type="dxa"/>
              <w:bottom w:w="15" w:type="dxa"/>
              <w:right w:w="15" w:type="dxa"/>
            </w:tcMar>
            <w:vAlign w:val="center"/>
          </w:tcPr>
          <w:p w14:paraId="1817C75B">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s="Times New Roman"/>
                <w:color w:val="auto"/>
                <w:kern w:val="0"/>
                <w:sz w:val="13"/>
                <w:szCs w:val="13"/>
                <w:highlight w:val="none"/>
              </w:rPr>
            </w:pPr>
            <w:r>
              <w:rPr>
                <w:rFonts w:hint="eastAsia" w:ascii="仿宋_GB2312" w:hAnsi="宋体" w:eastAsia="仿宋_GB2312"/>
                <w:color w:val="auto"/>
                <w:kern w:val="0"/>
                <w:sz w:val="13"/>
                <w:szCs w:val="13"/>
                <w:highlight w:val="none"/>
              </w:rPr>
              <w:t>（1）2年内2次及以上同类型违法的。</w:t>
            </w:r>
          </w:p>
        </w:tc>
        <w:tc>
          <w:tcPr>
            <w:tcW w:w="3058" w:type="dxa"/>
            <w:tcBorders>
              <w:tl2br w:val="nil"/>
              <w:tr2bl w:val="nil"/>
            </w:tcBorders>
            <w:tcMar>
              <w:top w:w="15" w:type="dxa"/>
              <w:left w:w="15" w:type="dxa"/>
              <w:bottom w:w="15" w:type="dxa"/>
              <w:right w:w="15" w:type="dxa"/>
            </w:tcMar>
            <w:vAlign w:val="center"/>
          </w:tcPr>
          <w:p w14:paraId="3138BA27">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处合同约定的勘察费、设计费1</w:t>
            </w:r>
            <w:r>
              <w:rPr>
                <w:rFonts w:ascii="仿宋_GB2312" w:hAnsi="宋体" w:eastAsia="仿宋_GB2312" w:cs="Times New Roman"/>
                <w:color w:val="auto"/>
                <w:kern w:val="0"/>
                <w:sz w:val="13"/>
                <w:szCs w:val="13"/>
                <w:highlight w:val="none"/>
              </w:rPr>
              <w:t>.</w:t>
            </w:r>
            <w:r>
              <w:rPr>
                <w:rFonts w:hint="eastAsia" w:ascii="仿宋_GB2312" w:hAnsi="宋体" w:eastAsia="仿宋_GB2312" w:cs="Times New Roman"/>
                <w:color w:val="auto"/>
                <w:kern w:val="0"/>
                <w:sz w:val="13"/>
                <w:szCs w:val="13"/>
                <w:highlight w:val="none"/>
              </w:rPr>
              <w:t>5倍的罚款，有违法所得的，予以没收；责令停业整顿</w:t>
            </w:r>
            <w:r>
              <w:rPr>
                <w:rFonts w:hint="eastAsia" w:ascii="仿宋_GB2312" w:hAnsi="宋体" w:eastAsia="仿宋_GB2312" w:cs="Times New Roman"/>
                <w:color w:val="auto"/>
                <w:kern w:val="0"/>
                <w:sz w:val="13"/>
                <w:szCs w:val="13"/>
                <w:highlight w:val="none"/>
                <w:lang w:eastAsia="zh-CN"/>
              </w:rPr>
              <w:t>30日-</w:t>
            </w:r>
            <w:r>
              <w:rPr>
                <w:rFonts w:hint="eastAsia" w:ascii="仿宋_GB2312" w:hAnsi="宋体" w:eastAsia="仿宋_GB2312" w:cs="Times New Roman"/>
                <w:color w:val="auto"/>
                <w:kern w:val="0"/>
                <w:sz w:val="13"/>
                <w:szCs w:val="13"/>
                <w:highlight w:val="none"/>
              </w:rPr>
              <w:t>60日。</w:t>
            </w:r>
          </w:p>
        </w:tc>
      </w:tr>
      <w:tr w14:paraId="55EC9A9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47" w:hRule="atLeast"/>
          <w:jc w:val="center"/>
        </w:trPr>
        <w:tc>
          <w:tcPr>
            <w:tcW w:w="443" w:type="dxa"/>
            <w:gridSpan w:val="2"/>
            <w:vMerge w:val="continue"/>
            <w:tcBorders>
              <w:tl2br w:val="nil"/>
              <w:tr2bl w:val="nil"/>
            </w:tcBorders>
            <w:vAlign w:val="center"/>
          </w:tcPr>
          <w:p w14:paraId="791E8453">
            <w:pPr>
              <w:pStyle w:val="37"/>
              <w:keepNext w:val="0"/>
              <w:keepLines w:val="0"/>
              <w:pageBreakBefore w:val="0"/>
              <w:widowControl/>
              <w:numPr>
                <w:ilvl w:val="0"/>
                <w:numId w:val="4"/>
              </w:numPr>
              <w:kinsoku/>
              <w:overflowPunct/>
              <w:topLinePunct w:val="0"/>
              <w:autoSpaceDE/>
              <w:autoSpaceDN/>
              <w:bidi w:val="0"/>
              <w:adjustRightInd/>
              <w:snapToGrid/>
              <w:spacing w:beforeAutospacing="0" w:afterAutospacing="0" w:line="260" w:lineRule="exact"/>
              <w:ind w:left="0" w:leftChars="0" w:right="0" w:rightChars="0" w:firstLineChars="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1158784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s="Times New Roman"/>
                <w:color w:val="auto"/>
                <w:sz w:val="13"/>
                <w:szCs w:val="13"/>
                <w:highlight w:val="none"/>
              </w:rPr>
            </w:pPr>
          </w:p>
        </w:tc>
        <w:tc>
          <w:tcPr>
            <w:tcW w:w="4820" w:type="dxa"/>
            <w:vMerge w:val="continue"/>
            <w:tcBorders>
              <w:tl2br w:val="nil"/>
              <w:tr2bl w:val="nil"/>
            </w:tcBorders>
            <w:vAlign w:val="center"/>
          </w:tcPr>
          <w:p w14:paraId="434BA63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s="Times New Roman"/>
                <w:color w:val="auto"/>
                <w:kern w:val="0"/>
                <w:sz w:val="13"/>
                <w:szCs w:val="13"/>
                <w:highlight w:val="none"/>
              </w:rPr>
            </w:pPr>
          </w:p>
        </w:tc>
        <w:tc>
          <w:tcPr>
            <w:tcW w:w="823" w:type="dxa"/>
            <w:vMerge w:val="continue"/>
            <w:tcBorders>
              <w:tl2br w:val="nil"/>
              <w:tr2bl w:val="nil"/>
            </w:tcBorders>
            <w:tcMar>
              <w:top w:w="15" w:type="dxa"/>
              <w:left w:w="15" w:type="dxa"/>
              <w:bottom w:w="15" w:type="dxa"/>
              <w:right w:w="15" w:type="dxa"/>
            </w:tcMar>
            <w:vAlign w:val="center"/>
          </w:tcPr>
          <w:p w14:paraId="4DB3A9C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color w:val="auto"/>
                <w:kern w:val="0"/>
                <w:sz w:val="13"/>
                <w:szCs w:val="13"/>
                <w:highlight w:val="none"/>
              </w:rPr>
            </w:pPr>
          </w:p>
        </w:tc>
        <w:tc>
          <w:tcPr>
            <w:tcW w:w="3437" w:type="dxa"/>
            <w:gridSpan w:val="2"/>
            <w:tcBorders>
              <w:tl2br w:val="nil"/>
              <w:tr2bl w:val="nil"/>
            </w:tcBorders>
            <w:tcMar>
              <w:top w:w="15" w:type="dxa"/>
              <w:left w:w="15" w:type="dxa"/>
              <w:bottom w:w="15" w:type="dxa"/>
              <w:right w:w="15" w:type="dxa"/>
            </w:tcMar>
            <w:vAlign w:val="center"/>
          </w:tcPr>
          <w:p w14:paraId="3D4FE355">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s="Times New Roman"/>
                <w:color w:val="auto"/>
                <w:kern w:val="0"/>
                <w:sz w:val="13"/>
                <w:szCs w:val="13"/>
                <w:highlight w:val="none"/>
              </w:rPr>
            </w:pPr>
            <w:r>
              <w:rPr>
                <w:rFonts w:hint="eastAsia" w:ascii="仿宋_GB2312" w:hAnsi="宋体" w:eastAsia="仿宋_GB2312"/>
                <w:color w:val="auto"/>
                <w:kern w:val="0"/>
                <w:sz w:val="13"/>
                <w:szCs w:val="13"/>
                <w:highlight w:val="none"/>
              </w:rPr>
              <w:t>（2）造成3人以下死亡，或者10人以下重伤，或者1000万元以下直接经济损失的。</w:t>
            </w:r>
          </w:p>
        </w:tc>
        <w:tc>
          <w:tcPr>
            <w:tcW w:w="3058" w:type="dxa"/>
            <w:tcBorders>
              <w:tl2br w:val="nil"/>
              <w:tr2bl w:val="nil"/>
            </w:tcBorders>
            <w:tcMar>
              <w:top w:w="15" w:type="dxa"/>
              <w:left w:w="15" w:type="dxa"/>
              <w:bottom w:w="15" w:type="dxa"/>
              <w:right w:w="15" w:type="dxa"/>
            </w:tcMar>
            <w:vAlign w:val="center"/>
          </w:tcPr>
          <w:p w14:paraId="481BBD7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处合同约定的勘察费、设计费1</w:t>
            </w:r>
            <w:r>
              <w:rPr>
                <w:rFonts w:ascii="仿宋_GB2312" w:hAnsi="宋体" w:eastAsia="仿宋_GB2312" w:cs="Times New Roman"/>
                <w:color w:val="auto"/>
                <w:kern w:val="0"/>
                <w:sz w:val="13"/>
                <w:szCs w:val="13"/>
                <w:highlight w:val="none"/>
              </w:rPr>
              <w:t>.</w:t>
            </w:r>
            <w:r>
              <w:rPr>
                <w:rFonts w:hint="eastAsia" w:ascii="仿宋_GB2312" w:hAnsi="宋体" w:eastAsia="仿宋_GB2312" w:cs="Times New Roman"/>
                <w:color w:val="auto"/>
                <w:kern w:val="0"/>
                <w:sz w:val="13"/>
                <w:szCs w:val="13"/>
                <w:highlight w:val="none"/>
              </w:rPr>
              <w:t>5倍以上2倍以下的罚款，有违法所得的，予以没收；责令停业整顿</w:t>
            </w:r>
            <w:r>
              <w:rPr>
                <w:rFonts w:hint="eastAsia" w:ascii="仿宋_GB2312" w:hAnsi="宋体" w:eastAsia="仿宋_GB2312" w:cs="Times New Roman"/>
                <w:color w:val="auto"/>
                <w:kern w:val="0"/>
                <w:sz w:val="13"/>
                <w:szCs w:val="13"/>
                <w:highlight w:val="none"/>
                <w:lang w:eastAsia="zh-CN"/>
              </w:rPr>
              <w:t>30日-</w:t>
            </w:r>
            <w:r>
              <w:rPr>
                <w:rFonts w:hint="eastAsia" w:ascii="仿宋_GB2312" w:hAnsi="宋体" w:eastAsia="仿宋_GB2312" w:cs="Times New Roman"/>
                <w:color w:val="auto"/>
                <w:kern w:val="0"/>
                <w:sz w:val="13"/>
                <w:szCs w:val="13"/>
                <w:highlight w:val="none"/>
              </w:rPr>
              <w:t>60日。</w:t>
            </w:r>
          </w:p>
        </w:tc>
      </w:tr>
      <w:tr w14:paraId="2FC535B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47" w:hRule="atLeast"/>
          <w:jc w:val="center"/>
        </w:trPr>
        <w:tc>
          <w:tcPr>
            <w:tcW w:w="443" w:type="dxa"/>
            <w:gridSpan w:val="2"/>
            <w:vMerge w:val="continue"/>
            <w:tcBorders>
              <w:tl2br w:val="nil"/>
              <w:tr2bl w:val="nil"/>
            </w:tcBorders>
            <w:vAlign w:val="center"/>
          </w:tcPr>
          <w:p w14:paraId="67FDD703">
            <w:pPr>
              <w:pStyle w:val="37"/>
              <w:keepNext w:val="0"/>
              <w:keepLines w:val="0"/>
              <w:pageBreakBefore w:val="0"/>
              <w:widowControl/>
              <w:numPr>
                <w:ilvl w:val="0"/>
                <w:numId w:val="4"/>
              </w:numPr>
              <w:kinsoku/>
              <w:overflowPunct/>
              <w:topLinePunct w:val="0"/>
              <w:autoSpaceDE/>
              <w:autoSpaceDN/>
              <w:bidi w:val="0"/>
              <w:adjustRightInd/>
              <w:snapToGrid/>
              <w:spacing w:beforeAutospacing="0" w:afterAutospacing="0" w:line="260" w:lineRule="exact"/>
              <w:ind w:left="0" w:leftChars="0" w:right="0" w:rightChars="0" w:firstLineChars="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2196F9F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s="Times New Roman"/>
                <w:color w:val="auto"/>
                <w:sz w:val="13"/>
                <w:szCs w:val="13"/>
                <w:highlight w:val="none"/>
              </w:rPr>
            </w:pPr>
          </w:p>
        </w:tc>
        <w:tc>
          <w:tcPr>
            <w:tcW w:w="4820" w:type="dxa"/>
            <w:vMerge w:val="continue"/>
            <w:tcBorders>
              <w:tl2br w:val="nil"/>
              <w:tr2bl w:val="nil"/>
            </w:tcBorders>
            <w:vAlign w:val="center"/>
          </w:tcPr>
          <w:p w14:paraId="343CE3E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s="Times New Roman"/>
                <w:color w:val="auto"/>
                <w:kern w:val="0"/>
                <w:sz w:val="13"/>
                <w:szCs w:val="13"/>
                <w:highlight w:val="none"/>
              </w:rPr>
            </w:pPr>
          </w:p>
        </w:tc>
        <w:tc>
          <w:tcPr>
            <w:tcW w:w="823" w:type="dxa"/>
            <w:vMerge w:val="continue"/>
            <w:tcBorders>
              <w:tl2br w:val="nil"/>
              <w:tr2bl w:val="nil"/>
            </w:tcBorders>
            <w:tcMar>
              <w:top w:w="15" w:type="dxa"/>
              <w:left w:w="15" w:type="dxa"/>
              <w:bottom w:w="15" w:type="dxa"/>
              <w:right w:w="15" w:type="dxa"/>
            </w:tcMar>
            <w:vAlign w:val="center"/>
          </w:tcPr>
          <w:p w14:paraId="0ED51EA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color w:val="auto"/>
                <w:kern w:val="0"/>
                <w:sz w:val="13"/>
                <w:szCs w:val="13"/>
                <w:highlight w:val="none"/>
              </w:rPr>
            </w:pPr>
          </w:p>
        </w:tc>
        <w:tc>
          <w:tcPr>
            <w:tcW w:w="3437" w:type="dxa"/>
            <w:gridSpan w:val="2"/>
            <w:tcBorders>
              <w:tl2br w:val="nil"/>
              <w:tr2bl w:val="nil"/>
            </w:tcBorders>
            <w:tcMar>
              <w:top w:w="15" w:type="dxa"/>
              <w:left w:w="15" w:type="dxa"/>
              <w:bottom w:w="15" w:type="dxa"/>
              <w:right w:w="15" w:type="dxa"/>
            </w:tcMar>
            <w:vAlign w:val="center"/>
          </w:tcPr>
          <w:p w14:paraId="2FF78F18">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s="Times New Roman"/>
                <w:color w:val="auto"/>
                <w:kern w:val="0"/>
                <w:sz w:val="13"/>
                <w:szCs w:val="13"/>
                <w:highlight w:val="none"/>
              </w:rPr>
            </w:pPr>
            <w:r>
              <w:rPr>
                <w:rFonts w:hint="eastAsia" w:ascii="仿宋_GB2312" w:hAnsi="宋体" w:eastAsia="仿宋_GB2312"/>
                <w:color w:val="auto"/>
                <w:kern w:val="0"/>
                <w:sz w:val="13"/>
                <w:szCs w:val="13"/>
                <w:highlight w:val="none"/>
              </w:rPr>
              <w:t>（3）造成3人以上5人以下死亡，或者10人以上20人以下重伤，或者1000万元以上2000万元以下直接经济损失的。</w:t>
            </w:r>
          </w:p>
        </w:tc>
        <w:tc>
          <w:tcPr>
            <w:tcW w:w="3058" w:type="dxa"/>
            <w:tcBorders>
              <w:tl2br w:val="nil"/>
              <w:tr2bl w:val="nil"/>
            </w:tcBorders>
            <w:tcMar>
              <w:top w:w="15" w:type="dxa"/>
              <w:left w:w="15" w:type="dxa"/>
              <w:bottom w:w="15" w:type="dxa"/>
              <w:right w:w="15" w:type="dxa"/>
            </w:tcMar>
            <w:vAlign w:val="center"/>
          </w:tcPr>
          <w:p w14:paraId="4BCBBD1A">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处合同约定的勘察费、设计费1</w:t>
            </w:r>
            <w:r>
              <w:rPr>
                <w:rFonts w:ascii="仿宋_GB2312" w:hAnsi="宋体" w:eastAsia="仿宋_GB2312" w:cs="Times New Roman"/>
                <w:color w:val="auto"/>
                <w:kern w:val="0"/>
                <w:sz w:val="13"/>
                <w:szCs w:val="13"/>
                <w:highlight w:val="none"/>
              </w:rPr>
              <w:t>.</w:t>
            </w:r>
            <w:r>
              <w:rPr>
                <w:rFonts w:hint="eastAsia" w:ascii="仿宋_GB2312" w:hAnsi="宋体" w:eastAsia="仿宋_GB2312" w:cs="Times New Roman"/>
                <w:color w:val="auto"/>
                <w:kern w:val="0"/>
                <w:sz w:val="13"/>
                <w:szCs w:val="13"/>
                <w:highlight w:val="none"/>
              </w:rPr>
              <w:t>5倍以上2倍以下的罚款，有违法所得的，予以没收；责令停业整顿</w:t>
            </w:r>
            <w:r>
              <w:rPr>
                <w:rFonts w:hint="eastAsia" w:ascii="仿宋_GB2312" w:hAnsi="宋体" w:eastAsia="仿宋_GB2312" w:cs="Times New Roman"/>
                <w:color w:val="auto"/>
                <w:kern w:val="0"/>
                <w:sz w:val="13"/>
                <w:szCs w:val="13"/>
                <w:highlight w:val="none"/>
                <w:lang w:eastAsia="zh-CN"/>
              </w:rPr>
              <w:t>60日-</w:t>
            </w:r>
            <w:r>
              <w:rPr>
                <w:rFonts w:hint="eastAsia" w:ascii="仿宋_GB2312" w:hAnsi="宋体" w:eastAsia="仿宋_GB2312" w:cs="Times New Roman"/>
                <w:color w:val="auto"/>
                <w:kern w:val="0"/>
                <w:sz w:val="13"/>
                <w:szCs w:val="13"/>
                <w:highlight w:val="none"/>
              </w:rPr>
              <w:t>90日。</w:t>
            </w:r>
          </w:p>
        </w:tc>
      </w:tr>
      <w:tr w14:paraId="06AFD24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47" w:hRule="atLeast"/>
          <w:jc w:val="center"/>
        </w:trPr>
        <w:tc>
          <w:tcPr>
            <w:tcW w:w="443" w:type="dxa"/>
            <w:gridSpan w:val="2"/>
            <w:vMerge w:val="continue"/>
            <w:tcBorders>
              <w:tl2br w:val="nil"/>
              <w:tr2bl w:val="nil"/>
            </w:tcBorders>
            <w:vAlign w:val="center"/>
          </w:tcPr>
          <w:p w14:paraId="288E8787">
            <w:pPr>
              <w:pStyle w:val="37"/>
              <w:keepNext w:val="0"/>
              <w:keepLines w:val="0"/>
              <w:pageBreakBefore w:val="0"/>
              <w:widowControl/>
              <w:numPr>
                <w:ilvl w:val="0"/>
                <w:numId w:val="4"/>
              </w:numPr>
              <w:kinsoku/>
              <w:overflowPunct/>
              <w:topLinePunct w:val="0"/>
              <w:autoSpaceDE/>
              <w:autoSpaceDN/>
              <w:bidi w:val="0"/>
              <w:adjustRightInd/>
              <w:snapToGrid/>
              <w:spacing w:beforeAutospacing="0" w:afterAutospacing="0" w:line="260" w:lineRule="exact"/>
              <w:ind w:left="0" w:leftChars="0" w:right="0" w:rightChars="0" w:firstLineChars="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60D9B82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s="Times New Roman"/>
                <w:color w:val="auto"/>
                <w:sz w:val="13"/>
                <w:szCs w:val="13"/>
                <w:highlight w:val="none"/>
              </w:rPr>
            </w:pPr>
          </w:p>
        </w:tc>
        <w:tc>
          <w:tcPr>
            <w:tcW w:w="4820" w:type="dxa"/>
            <w:vMerge w:val="continue"/>
            <w:tcBorders>
              <w:tl2br w:val="nil"/>
              <w:tr2bl w:val="nil"/>
            </w:tcBorders>
            <w:vAlign w:val="center"/>
          </w:tcPr>
          <w:p w14:paraId="438D845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s="Times New Roman"/>
                <w:color w:val="auto"/>
                <w:kern w:val="0"/>
                <w:sz w:val="13"/>
                <w:szCs w:val="13"/>
                <w:highlight w:val="none"/>
              </w:rPr>
            </w:pPr>
          </w:p>
        </w:tc>
        <w:tc>
          <w:tcPr>
            <w:tcW w:w="823" w:type="dxa"/>
            <w:vMerge w:val="continue"/>
            <w:tcBorders>
              <w:tl2br w:val="nil"/>
              <w:tr2bl w:val="nil"/>
            </w:tcBorders>
            <w:tcMar>
              <w:top w:w="15" w:type="dxa"/>
              <w:left w:w="15" w:type="dxa"/>
              <w:bottom w:w="15" w:type="dxa"/>
              <w:right w:w="15" w:type="dxa"/>
            </w:tcMar>
            <w:vAlign w:val="center"/>
          </w:tcPr>
          <w:p w14:paraId="5663280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color w:val="auto"/>
                <w:kern w:val="0"/>
                <w:sz w:val="13"/>
                <w:szCs w:val="13"/>
                <w:highlight w:val="none"/>
              </w:rPr>
            </w:pPr>
          </w:p>
        </w:tc>
        <w:tc>
          <w:tcPr>
            <w:tcW w:w="3437" w:type="dxa"/>
            <w:gridSpan w:val="2"/>
            <w:tcBorders>
              <w:tl2br w:val="nil"/>
              <w:tr2bl w:val="nil"/>
            </w:tcBorders>
            <w:tcMar>
              <w:top w:w="15" w:type="dxa"/>
              <w:left w:w="15" w:type="dxa"/>
              <w:bottom w:w="15" w:type="dxa"/>
              <w:right w:w="15" w:type="dxa"/>
            </w:tcMar>
            <w:vAlign w:val="center"/>
          </w:tcPr>
          <w:p w14:paraId="05449170">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s="Times New Roman"/>
                <w:color w:val="auto"/>
                <w:kern w:val="0"/>
                <w:sz w:val="13"/>
                <w:szCs w:val="13"/>
                <w:highlight w:val="none"/>
              </w:rPr>
            </w:pPr>
            <w:r>
              <w:rPr>
                <w:rFonts w:hint="eastAsia" w:ascii="仿宋_GB2312" w:hAnsi="宋体" w:eastAsia="仿宋_GB2312"/>
                <w:color w:val="auto"/>
                <w:kern w:val="0"/>
                <w:sz w:val="13"/>
                <w:szCs w:val="13"/>
                <w:highlight w:val="none"/>
              </w:rPr>
              <w:t>（</w:t>
            </w:r>
            <w:r>
              <w:rPr>
                <w:rFonts w:ascii="仿宋_GB2312" w:hAnsi="宋体" w:eastAsia="仿宋_GB2312"/>
                <w:color w:val="auto"/>
                <w:kern w:val="0"/>
                <w:sz w:val="13"/>
                <w:szCs w:val="13"/>
                <w:highlight w:val="none"/>
              </w:rPr>
              <w:t>4</w:t>
            </w:r>
            <w:r>
              <w:rPr>
                <w:rFonts w:hint="eastAsia" w:ascii="仿宋_GB2312" w:hAnsi="宋体" w:eastAsia="仿宋_GB2312"/>
                <w:color w:val="auto"/>
                <w:kern w:val="0"/>
                <w:sz w:val="13"/>
                <w:szCs w:val="13"/>
                <w:highlight w:val="none"/>
              </w:rPr>
              <w:t>）造成5人以上7人以下死亡，或者20人以上30人以下重伤，或者2000万元以上3000万元以下直接经济损失的。</w:t>
            </w:r>
          </w:p>
        </w:tc>
        <w:tc>
          <w:tcPr>
            <w:tcW w:w="3058" w:type="dxa"/>
            <w:tcBorders>
              <w:tl2br w:val="nil"/>
              <w:tr2bl w:val="nil"/>
            </w:tcBorders>
            <w:tcMar>
              <w:top w:w="15" w:type="dxa"/>
              <w:left w:w="15" w:type="dxa"/>
              <w:bottom w:w="15" w:type="dxa"/>
              <w:right w:w="15" w:type="dxa"/>
            </w:tcMar>
            <w:vAlign w:val="center"/>
          </w:tcPr>
          <w:p w14:paraId="1D8924F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处合同约定的勘察费、设计费1</w:t>
            </w:r>
            <w:r>
              <w:rPr>
                <w:rFonts w:ascii="仿宋_GB2312" w:hAnsi="宋体" w:eastAsia="仿宋_GB2312" w:cs="Times New Roman"/>
                <w:color w:val="auto"/>
                <w:kern w:val="0"/>
                <w:sz w:val="13"/>
                <w:szCs w:val="13"/>
                <w:highlight w:val="none"/>
              </w:rPr>
              <w:t>.</w:t>
            </w:r>
            <w:r>
              <w:rPr>
                <w:rFonts w:hint="eastAsia" w:ascii="仿宋_GB2312" w:hAnsi="宋体" w:eastAsia="仿宋_GB2312" w:cs="Times New Roman"/>
                <w:color w:val="auto"/>
                <w:kern w:val="0"/>
                <w:sz w:val="13"/>
                <w:szCs w:val="13"/>
                <w:highlight w:val="none"/>
              </w:rPr>
              <w:t>5倍以上2倍以下的罚款，有违法所得的，予以没收；责令停业整顿</w:t>
            </w:r>
            <w:r>
              <w:rPr>
                <w:rFonts w:hint="eastAsia" w:ascii="仿宋_GB2312" w:hAnsi="宋体" w:eastAsia="仿宋_GB2312" w:cs="Times New Roman"/>
                <w:color w:val="auto"/>
                <w:kern w:val="0"/>
                <w:sz w:val="13"/>
                <w:szCs w:val="13"/>
                <w:highlight w:val="none"/>
                <w:lang w:eastAsia="zh-CN"/>
              </w:rPr>
              <w:t>90日-</w:t>
            </w:r>
            <w:r>
              <w:rPr>
                <w:rFonts w:hint="eastAsia" w:ascii="仿宋_GB2312" w:hAnsi="宋体" w:eastAsia="仿宋_GB2312" w:cs="Times New Roman"/>
                <w:color w:val="auto"/>
                <w:kern w:val="0"/>
                <w:sz w:val="13"/>
                <w:szCs w:val="13"/>
                <w:highlight w:val="none"/>
              </w:rPr>
              <w:t>120日。</w:t>
            </w:r>
          </w:p>
        </w:tc>
      </w:tr>
      <w:tr w14:paraId="51FE505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47" w:hRule="atLeast"/>
          <w:jc w:val="center"/>
        </w:trPr>
        <w:tc>
          <w:tcPr>
            <w:tcW w:w="443" w:type="dxa"/>
            <w:gridSpan w:val="2"/>
            <w:vMerge w:val="continue"/>
            <w:tcBorders>
              <w:tl2br w:val="nil"/>
              <w:tr2bl w:val="nil"/>
            </w:tcBorders>
            <w:vAlign w:val="center"/>
          </w:tcPr>
          <w:p w14:paraId="6F6E9E84">
            <w:pPr>
              <w:pStyle w:val="37"/>
              <w:keepNext w:val="0"/>
              <w:keepLines w:val="0"/>
              <w:pageBreakBefore w:val="0"/>
              <w:widowControl/>
              <w:numPr>
                <w:ilvl w:val="0"/>
                <w:numId w:val="4"/>
              </w:numPr>
              <w:kinsoku/>
              <w:overflowPunct/>
              <w:topLinePunct w:val="0"/>
              <w:autoSpaceDE/>
              <w:autoSpaceDN/>
              <w:bidi w:val="0"/>
              <w:adjustRightInd/>
              <w:snapToGrid/>
              <w:spacing w:beforeAutospacing="0" w:afterAutospacing="0" w:line="260" w:lineRule="exact"/>
              <w:ind w:left="0" w:leftChars="0" w:right="0" w:rightChars="0" w:firstLineChars="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3ACAA5C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s="Times New Roman"/>
                <w:color w:val="auto"/>
                <w:sz w:val="13"/>
                <w:szCs w:val="13"/>
                <w:highlight w:val="none"/>
              </w:rPr>
            </w:pPr>
          </w:p>
        </w:tc>
        <w:tc>
          <w:tcPr>
            <w:tcW w:w="4820" w:type="dxa"/>
            <w:vMerge w:val="continue"/>
            <w:tcBorders>
              <w:tl2br w:val="nil"/>
              <w:tr2bl w:val="nil"/>
            </w:tcBorders>
            <w:vAlign w:val="center"/>
          </w:tcPr>
          <w:p w14:paraId="1953D45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s="Times New Roman"/>
                <w:color w:val="auto"/>
                <w:kern w:val="0"/>
                <w:sz w:val="13"/>
                <w:szCs w:val="13"/>
                <w:highlight w:val="none"/>
              </w:rPr>
            </w:pPr>
          </w:p>
        </w:tc>
        <w:tc>
          <w:tcPr>
            <w:tcW w:w="823" w:type="dxa"/>
            <w:vMerge w:val="continue"/>
            <w:tcBorders>
              <w:tl2br w:val="nil"/>
              <w:tr2bl w:val="nil"/>
            </w:tcBorders>
            <w:tcMar>
              <w:top w:w="15" w:type="dxa"/>
              <w:left w:w="15" w:type="dxa"/>
              <w:bottom w:w="15" w:type="dxa"/>
              <w:right w:w="15" w:type="dxa"/>
            </w:tcMar>
            <w:vAlign w:val="center"/>
          </w:tcPr>
          <w:p w14:paraId="47F8AAF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color w:val="auto"/>
                <w:kern w:val="0"/>
                <w:sz w:val="13"/>
                <w:szCs w:val="13"/>
                <w:highlight w:val="none"/>
              </w:rPr>
            </w:pPr>
          </w:p>
        </w:tc>
        <w:tc>
          <w:tcPr>
            <w:tcW w:w="3437" w:type="dxa"/>
            <w:gridSpan w:val="2"/>
            <w:tcBorders>
              <w:tl2br w:val="nil"/>
              <w:tr2bl w:val="nil"/>
            </w:tcBorders>
            <w:tcMar>
              <w:top w:w="15" w:type="dxa"/>
              <w:left w:w="15" w:type="dxa"/>
              <w:bottom w:w="15" w:type="dxa"/>
              <w:right w:w="15" w:type="dxa"/>
            </w:tcMar>
            <w:vAlign w:val="center"/>
          </w:tcPr>
          <w:p w14:paraId="1827E590">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s="Times New Roman"/>
                <w:color w:val="auto"/>
                <w:kern w:val="0"/>
                <w:sz w:val="13"/>
                <w:szCs w:val="13"/>
                <w:highlight w:val="none"/>
              </w:rPr>
            </w:pPr>
            <w:r>
              <w:rPr>
                <w:rFonts w:hint="eastAsia" w:ascii="仿宋_GB2312" w:hAnsi="宋体" w:eastAsia="仿宋_GB2312"/>
                <w:color w:val="auto"/>
                <w:kern w:val="0"/>
                <w:sz w:val="13"/>
                <w:szCs w:val="13"/>
                <w:highlight w:val="none"/>
              </w:rPr>
              <w:t>（5）造成7人以上10人以下死亡，或者30人以上50人以下重伤，或者3000万元以上5000万元以下直接经济损失的。</w:t>
            </w:r>
          </w:p>
        </w:tc>
        <w:tc>
          <w:tcPr>
            <w:tcW w:w="3058" w:type="dxa"/>
            <w:tcBorders>
              <w:tl2br w:val="nil"/>
              <w:tr2bl w:val="nil"/>
            </w:tcBorders>
            <w:tcMar>
              <w:top w:w="15" w:type="dxa"/>
              <w:left w:w="15" w:type="dxa"/>
              <w:bottom w:w="15" w:type="dxa"/>
              <w:right w:w="15" w:type="dxa"/>
            </w:tcMar>
            <w:vAlign w:val="center"/>
          </w:tcPr>
          <w:p w14:paraId="510AF850">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处合同约定的勘察费、设计费2倍的罚款，有违法所得的，予以没收；责令停业整顿</w:t>
            </w:r>
            <w:r>
              <w:rPr>
                <w:rFonts w:hint="eastAsia" w:ascii="仿宋_GB2312" w:hAnsi="宋体" w:eastAsia="仿宋_GB2312" w:cs="Times New Roman"/>
                <w:color w:val="auto"/>
                <w:kern w:val="0"/>
                <w:sz w:val="13"/>
                <w:szCs w:val="13"/>
                <w:highlight w:val="none"/>
                <w:lang w:eastAsia="zh-CN"/>
              </w:rPr>
              <w:t>120日-</w:t>
            </w:r>
            <w:r>
              <w:rPr>
                <w:rFonts w:hint="eastAsia" w:ascii="仿宋_GB2312" w:hAnsi="宋体" w:eastAsia="仿宋_GB2312" w:cs="Times New Roman"/>
                <w:color w:val="auto"/>
                <w:kern w:val="0"/>
                <w:sz w:val="13"/>
                <w:szCs w:val="13"/>
                <w:highlight w:val="none"/>
              </w:rPr>
              <w:t>180日。</w:t>
            </w:r>
          </w:p>
        </w:tc>
      </w:tr>
      <w:tr w14:paraId="254AA57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25" w:hRule="atLeast"/>
          <w:jc w:val="center"/>
        </w:trPr>
        <w:tc>
          <w:tcPr>
            <w:tcW w:w="443" w:type="dxa"/>
            <w:gridSpan w:val="2"/>
            <w:vMerge w:val="continue"/>
            <w:tcBorders>
              <w:tl2br w:val="nil"/>
              <w:tr2bl w:val="nil"/>
            </w:tcBorders>
            <w:vAlign w:val="center"/>
          </w:tcPr>
          <w:p w14:paraId="37C19CF0">
            <w:pPr>
              <w:pStyle w:val="37"/>
              <w:keepNext w:val="0"/>
              <w:keepLines w:val="0"/>
              <w:pageBreakBefore w:val="0"/>
              <w:widowControl/>
              <w:numPr>
                <w:ilvl w:val="0"/>
                <w:numId w:val="4"/>
              </w:numPr>
              <w:kinsoku/>
              <w:overflowPunct/>
              <w:topLinePunct w:val="0"/>
              <w:autoSpaceDE/>
              <w:autoSpaceDN/>
              <w:bidi w:val="0"/>
              <w:adjustRightInd/>
              <w:snapToGrid/>
              <w:spacing w:beforeAutospacing="0" w:afterAutospacing="0" w:line="260" w:lineRule="exact"/>
              <w:ind w:left="0" w:leftChars="0" w:right="0" w:rightChars="0" w:firstLineChars="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199193F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s="Times New Roman"/>
                <w:color w:val="auto"/>
                <w:sz w:val="13"/>
                <w:szCs w:val="13"/>
                <w:highlight w:val="none"/>
              </w:rPr>
            </w:pPr>
          </w:p>
        </w:tc>
        <w:tc>
          <w:tcPr>
            <w:tcW w:w="4820" w:type="dxa"/>
            <w:vMerge w:val="continue"/>
            <w:tcBorders>
              <w:tl2br w:val="nil"/>
              <w:tr2bl w:val="nil"/>
            </w:tcBorders>
            <w:vAlign w:val="center"/>
          </w:tcPr>
          <w:p w14:paraId="32E259C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s="Times New Roman"/>
                <w:color w:val="auto"/>
                <w:kern w:val="0"/>
                <w:sz w:val="13"/>
                <w:szCs w:val="13"/>
                <w:highlight w:val="none"/>
              </w:rPr>
            </w:pPr>
          </w:p>
        </w:tc>
        <w:tc>
          <w:tcPr>
            <w:tcW w:w="823" w:type="dxa"/>
            <w:vMerge w:val="continue"/>
            <w:tcBorders>
              <w:tl2br w:val="nil"/>
              <w:tr2bl w:val="nil"/>
            </w:tcBorders>
            <w:tcMar>
              <w:top w:w="15" w:type="dxa"/>
              <w:left w:w="15" w:type="dxa"/>
              <w:bottom w:w="15" w:type="dxa"/>
              <w:right w:w="15" w:type="dxa"/>
            </w:tcMar>
            <w:vAlign w:val="center"/>
          </w:tcPr>
          <w:p w14:paraId="0AB930B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color w:val="auto"/>
                <w:kern w:val="0"/>
                <w:sz w:val="13"/>
                <w:szCs w:val="13"/>
                <w:highlight w:val="none"/>
              </w:rPr>
            </w:pPr>
          </w:p>
        </w:tc>
        <w:tc>
          <w:tcPr>
            <w:tcW w:w="3437" w:type="dxa"/>
            <w:gridSpan w:val="2"/>
            <w:tcBorders>
              <w:tl2br w:val="nil"/>
              <w:tr2bl w:val="nil"/>
            </w:tcBorders>
            <w:tcMar>
              <w:top w:w="15" w:type="dxa"/>
              <w:left w:w="15" w:type="dxa"/>
              <w:bottom w:w="15" w:type="dxa"/>
              <w:right w:w="15" w:type="dxa"/>
            </w:tcMar>
            <w:vAlign w:val="center"/>
          </w:tcPr>
          <w:p w14:paraId="364D50AD">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default" w:ascii="仿宋_GB2312" w:hAnsi="宋体" w:eastAsia="仿宋_GB2312" w:cs="Times New Roman"/>
                <w:color w:val="auto"/>
                <w:kern w:val="0"/>
                <w:sz w:val="13"/>
                <w:szCs w:val="13"/>
                <w:highlight w:val="none"/>
                <w:lang w:val="en-US" w:eastAsia="zh-CN"/>
              </w:rPr>
            </w:pPr>
            <w:r>
              <w:rPr>
                <w:rFonts w:hint="eastAsia" w:ascii="仿宋_GB2312" w:hAnsi="宋体" w:eastAsia="仿宋_GB2312"/>
                <w:color w:val="auto"/>
                <w:kern w:val="0"/>
                <w:sz w:val="13"/>
                <w:szCs w:val="13"/>
                <w:highlight w:val="none"/>
              </w:rPr>
              <w:t>（6）造成重大质量安全事故的；</w:t>
            </w:r>
            <w:r>
              <w:rPr>
                <w:rFonts w:hint="eastAsia" w:ascii="仿宋" w:hAnsi="仿宋" w:eastAsia="仿宋"/>
                <w:color w:val="auto"/>
                <w:kern w:val="0"/>
                <w:sz w:val="13"/>
                <w:szCs w:val="13"/>
                <w:highlight w:val="none"/>
                <w:lang w:val="en-US" w:eastAsia="zh-CN"/>
              </w:rPr>
              <w:t>或</w:t>
            </w:r>
            <w:r>
              <w:rPr>
                <w:rFonts w:hint="eastAsia" w:ascii="仿宋_GB2312" w:hAnsi="宋体" w:eastAsia="仿宋_GB2312"/>
                <w:color w:val="auto"/>
                <w:kern w:val="0"/>
                <w:sz w:val="13"/>
                <w:szCs w:val="13"/>
                <w:highlight w:val="none"/>
              </w:rPr>
              <w:t>造成分部工程存在严重缺陷，经返修和加固处理仍不能满足安全使用要求的</w:t>
            </w:r>
            <w:r>
              <w:rPr>
                <w:rFonts w:hint="eastAsia" w:ascii="仿宋_GB2312" w:hAnsi="宋体" w:eastAsia="仿宋_GB2312"/>
                <w:color w:val="auto"/>
                <w:kern w:val="0"/>
                <w:sz w:val="13"/>
                <w:szCs w:val="13"/>
                <w:highlight w:val="none"/>
                <w:lang w:eastAsia="zh-CN"/>
              </w:rPr>
              <w:t>；</w:t>
            </w:r>
            <w:r>
              <w:rPr>
                <w:rFonts w:hint="eastAsia" w:ascii="仿宋_GB2312" w:hAnsi="宋体" w:eastAsia="仿宋_GB2312"/>
                <w:color w:val="auto"/>
                <w:kern w:val="0"/>
                <w:sz w:val="13"/>
                <w:szCs w:val="13"/>
                <w:highlight w:val="none"/>
                <w:lang w:val="en-US" w:eastAsia="zh-CN"/>
              </w:rPr>
              <w:t>或造成特别严重社会影响。</w:t>
            </w:r>
          </w:p>
        </w:tc>
        <w:tc>
          <w:tcPr>
            <w:tcW w:w="3058" w:type="dxa"/>
            <w:tcBorders>
              <w:tl2br w:val="nil"/>
              <w:tr2bl w:val="nil"/>
            </w:tcBorders>
            <w:tcMar>
              <w:top w:w="15" w:type="dxa"/>
              <w:left w:w="15" w:type="dxa"/>
              <w:bottom w:w="15" w:type="dxa"/>
              <w:right w:w="15" w:type="dxa"/>
            </w:tcMar>
            <w:vAlign w:val="center"/>
          </w:tcPr>
          <w:p w14:paraId="5EEF46C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处合同约定的勘察费、设计费2倍的罚款，有违法所得的，予以没收；降低资质等级。</w:t>
            </w:r>
          </w:p>
        </w:tc>
      </w:tr>
      <w:tr w14:paraId="4CD2B1F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25" w:hRule="atLeast"/>
          <w:jc w:val="center"/>
        </w:trPr>
        <w:tc>
          <w:tcPr>
            <w:tcW w:w="443" w:type="dxa"/>
            <w:gridSpan w:val="2"/>
            <w:vMerge w:val="continue"/>
            <w:tcBorders>
              <w:tl2br w:val="nil"/>
              <w:tr2bl w:val="nil"/>
            </w:tcBorders>
            <w:vAlign w:val="center"/>
          </w:tcPr>
          <w:p w14:paraId="21ED57E1">
            <w:pPr>
              <w:pStyle w:val="37"/>
              <w:keepNext w:val="0"/>
              <w:keepLines w:val="0"/>
              <w:pageBreakBefore w:val="0"/>
              <w:widowControl/>
              <w:numPr>
                <w:ilvl w:val="0"/>
                <w:numId w:val="4"/>
              </w:numPr>
              <w:kinsoku/>
              <w:overflowPunct/>
              <w:topLinePunct w:val="0"/>
              <w:autoSpaceDE/>
              <w:autoSpaceDN/>
              <w:bidi w:val="0"/>
              <w:adjustRightInd/>
              <w:snapToGrid/>
              <w:spacing w:beforeAutospacing="0" w:afterAutospacing="0" w:line="260" w:lineRule="exact"/>
              <w:ind w:left="0" w:leftChars="0" w:right="0" w:rightChars="0" w:firstLineChars="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56FB014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s="Times New Roman"/>
                <w:color w:val="auto"/>
                <w:sz w:val="13"/>
                <w:szCs w:val="13"/>
                <w:highlight w:val="none"/>
              </w:rPr>
            </w:pPr>
          </w:p>
        </w:tc>
        <w:tc>
          <w:tcPr>
            <w:tcW w:w="4820" w:type="dxa"/>
            <w:vMerge w:val="continue"/>
            <w:tcBorders>
              <w:tl2br w:val="nil"/>
              <w:tr2bl w:val="nil"/>
            </w:tcBorders>
            <w:vAlign w:val="center"/>
          </w:tcPr>
          <w:p w14:paraId="0694477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s="Times New Roman"/>
                <w:color w:val="auto"/>
                <w:kern w:val="0"/>
                <w:sz w:val="13"/>
                <w:szCs w:val="13"/>
                <w:highlight w:val="none"/>
              </w:rPr>
            </w:pPr>
          </w:p>
        </w:tc>
        <w:tc>
          <w:tcPr>
            <w:tcW w:w="823" w:type="dxa"/>
            <w:vMerge w:val="continue"/>
            <w:tcBorders>
              <w:tl2br w:val="nil"/>
              <w:tr2bl w:val="nil"/>
            </w:tcBorders>
            <w:tcMar>
              <w:top w:w="15" w:type="dxa"/>
              <w:left w:w="15" w:type="dxa"/>
              <w:bottom w:w="15" w:type="dxa"/>
              <w:right w:w="15" w:type="dxa"/>
            </w:tcMar>
            <w:vAlign w:val="center"/>
          </w:tcPr>
          <w:p w14:paraId="19B8730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color w:val="auto"/>
                <w:kern w:val="0"/>
                <w:sz w:val="13"/>
                <w:szCs w:val="13"/>
                <w:highlight w:val="none"/>
              </w:rPr>
            </w:pPr>
          </w:p>
        </w:tc>
        <w:tc>
          <w:tcPr>
            <w:tcW w:w="3437" w:type="dxa"/>
            <w:gridSpan w:val="2"/>
            <w:tcBorders>
              <w:tl2br w:val="nil"/>
              <w:tr2bl w:val="nil"/>
            </w:tcBorders>
            <w:tcMar>
              <w:top w:w="15" w:type="dxa"/>
              <w:left w:w="15" w:type="dxa"/>
              <w:bottom w:w="15" w:type="dxa"/>
              <w:right w:w="15" w:type="dxa"/>
            </w:tcMar>
            <w:vAlign w:val="center"/>
          </w:tcPr>
          <w:p w14:paraId="68E65740">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s="Times New Roman"/>
                <w:color w:val="auto"/>
                <w:kern w:val="0"/>
                <w:sz w:val="13"/>
                <w:szCs w:val="13"/>
                <w:highlight w:val="none"/>
              </w:rPr>
            </w:pPr>
            <w:r>
              <w:rPr>
                <w:rFonts w:hint="eastAsia" w:ascii="仿宋_GB2312" w:hAnsi="宋体" w:eastAsia="仿宋_GB2312"/>
                <w:color w:val="auto"/>
                <w:kern w:val="0"/>
                <w:sz w:val="13"/>
                <w:szCs w:val="13"/>
                <w:highlight w:val="none"/>
              </w:rPr>
              <w:t>（7）造成特别重大质量安全事故的；</w:t>
            </w:r>
            <w:r>
              <w:rPr>
                <w:rFonts w:hint="eastAsia" w:ascii="仿宋" w:hAnsi="仿宋" w:eastAsia="仿宋"/>
                <w:color w:val="auto"/>
                <w:kern w:val="0"/>
                <w:sz w:val="13"/>
                <w:szCs w:val="13"/>
                <w:highlight w:val="none"/>
                <w:lang w:val="en-US" w:eastAsia="zh-CN"/>
              </w:rPr>
              <w:t>或</w:t>
            </w:r>
            <w:r>
              <w:rPr>
                <w:rFonts w:hint="eastAsia" w:ascii="仿宋_GB2312" w:hAnsi="宋体" w:eastAsia="仿宋_GB2312"/>
                <w:color w:val="auto"/>
                <w:kern w:val="0"/>
                <w:sz w:val="13"/>
                <w:szCs w:val="13"/>
                <w:highlight w:val="none"/>
              </w:rPr>
              <w:t>造成单位（子单位）工程存在严重缺陷，经返修和加固处理仍不能满足安全使用要求的</w:t>
            </w:r>
            <w:r>
              <w:rPr>
                <w:rFonts w:hint="eastAsia" w:ascii="仿宋_GB2312" w:hAnsi="宋体" w:eastAsia="仿宋_GB2312"/>
                <w:color w:val="auto"/>
                <w:kern w:val="0"/>
                <w:sz w:val="13"/>
                <w:szCs w:val="13"/>
                <w:highlight w:val="none"/>
                <w:lang w:eastAsia="zh-CN"/>
              </w:rPr>
              <w:t>；</w:t>
            </w:r>
            <w:r>
              <w:rPr>
                <w:rFonts w:hint="eastAsia" w:ascii="仿宋_GB2312" w:hAnsi="宋体" w:eastAsia="仿宋_GB2312"/>
                <w:color w:val="auto"/>
                <w:kern w:val="0"/>
                <w:sz w:val="13"/>
                <w:szCs w:val="13"/>
                <w:highlight w:val="none"/>
                <w:lang w:val="en-US" w:eastAsia="zh-CN"/>
              </w:rPr>
              <w:t>或造成特别严重社会影响。</w:t>
            </w:r>
          </w:p>
        </w:tc>
        <w:tc>
          <w:tcPr>
            <w:tcW w:w="3058" w:type="dxa"/>
            <w:tcBorders>
              <w:tl2br w:val="nil"/>
              <w:tr2bl w:val="nil"/>
            </w:tcBorders>
            <w:tcMar>
              <w:top w:w="15" w:type="dxa"/>
              <w:left w:w="15" w:type="dxa"/>
              <w:bottom w:w="15" w:type="dxa"/>
              <w:right w:w="15" w:type="dxa"/>
            </w:tcMar>
            <w:vAlign w:val="center"/>
          </w:tcPr>
          <w:p w14:paraId="1FEB59DD">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处合同约定的勘察费、设计费2倍的罚款，有违法所得的，予以没收；吊销资质证书。</w:t>
            </w:r>
          </w:p>
        </w:tc>
      </w:tr>
      <w:tr w14:paraId="2D42E06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97" w:hRule="atLeast"/>
          <w:jc w:val="center"/>
        </w:trPr>
        <w:tc>
          <w:tcPr>
            <w:tcW w:w="443" w:type="dxa"/>
            <w:gridSpan w:val="2"/>
            <w:vMerge w:val="restart"/>
            <w:tcBorders>
              <w:tl2br w:val="nil"/>
              <w:tr2bl w:val="nil"/>
            </w:tcBorders>
            <w:vAlign w:val="center"/>
          </w:tcPr>
          <w:p w14:paraId="595B0E04">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Times New Roman"/>
                <w:color w:val="auto"/>
                <w:sz w:val="13"/>
                <w:szCs w:val="13"/>
                <w:highlight w:val="none"/>
                <w:lang w:val="en-US"/>
              </w:rPr>
            </w:pPr>
            <w:r>
              <w:rPr>
                <w:rFonts w:hint="default" w:ascii="仿宋_GB2312" w:hAnsi="宋体" w:eastAsia="仿宋_GB2312" w:cs="仿宋_GB2312"/>
                <w:i w:val="0"/>
                <w:color w:val="auto"/>
                <w:kern w:val="0"/>
                <w:sz w:val="13"/>
                <w:szCs w:val="13"/>
                <w:highlight w:val="none"/>
                <w:u w:val="none"/>
                <w:lang w:val="en-US" w:eastAsia="zh-CN" w:bidi="ar"/>
              </w:rPr>
              <w:t>2</w:t>
            </w:r>
            <w:r>
              <w:rPr>
                <w:rFonts w:hint="eastAsia" w:ascii="仿宋_GB2312" w:hAnsi="宋体" w:eastAsia="仿宋_GB2312" w:cs="仿宋_GB2312"/>
                <w:i w:val="0"/>
                <w:color w:val="auto"/>
                <w:kern w:val="0"/>
                <w:sz w:val="13"/>
                <w:szCs w:val="13"/>
                <w:highlight w:val="none"/>
                <w:u w:val="none"/>
                <w:lang w:val="en-US" w:eastAsia="zh-CN" w:bidi="ar"/>
              </w:rPr>
              <w:t>17</w:t>
            </w:r>
          </w:p>
        </w:tc>
        <w:tc>
          <w:tcPr>
            <w:tcW w:w="1550" w:type="dxa"/>
            <w:vMerge w:val="restart"/>
            <w:tcBorders>
              <w:tl2br w:val="nil"/>
              <w:tr2bl w:val="nil"/>
            </w:tcBorders>
            <w:vAlign w:val="center"/>
          </w:tcPr>
          <w:p w14:paraId="392924E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rPr>
                <w:rFonts w:ascii="仿宋_GB2312" w:hAnsi="宋体" w:eastAsia="仿宋_GB2312" w:cs="Times New Roman"/>
                <w:color w:val="auto"/>
                <w:kern w:val="0"/>
                <w:sz w:val="13"/>
                <w:szCs w:val="13"/>
                <w:highlight w:val="none"/>
              </w:rPr>
            </w:pPr>
            <w:r>
              <w:rPr>
                <w:rFonts w:hint="eastAsia" w:ascii="仿宋_GB2312" w:hAnsi="宋体" w:eastAsia="仿宋_GB2312"/>
                <w:color w:val="auto"/>
                <w:kern w:val="0"/>
                <w:sz w:val="13"/>
                <w:szCs w:val="13"/>
                <w:highlight w:val="none"/>
              </w:rPr>
              <w:t>建设工程勘察、设计单位未取得资质证书承揽工程的</w:t>
            </w:r>
          </w:p>
        </w:tc>
        <w:tc>
          <w:tcPr>
            <w:tcW w:w="4820" w:type="dxa"/>
            <w:vMerge w:val="restart"/>
            <w:tcBorders>
              <w:tl2br w:val="nil"/>
              <w:tr2bl w:val="nil"/>
            </w:tcBorders>
            <w:vAlign w:val="center"/>
          </w:tcPr>
          <w:p w14:paraId="4D3237F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《建设工程勘察设计管理条例》第三十五条第二款</w:t>
            </w:r>
          </w:p>
          <w:p w14:paraId="1A204B8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olor w:val="auto"/>
                <w:kern w:val="0"/>
                <w:sz w:val="13"/>
                <w:szCs w:val="13"/>
                <w:highlight w:val="none"/>
              </w:rPr>
              <w:t>未取得资质证书承揽工程的，予以取缔，依照前款规定处以罚款；有违法所得的，予以没收。</w:t>
            </w:r>
          </w:p>
        </w:tc>
        <w:tc>
          <w:tcPr>
            <w:tcW w:w="823" w:type="dxa"/>
            <w:tcBorders>
              <w:tl2br w:val="nil"/>
              <w:tr2bl w:val="nil"/>
            </w:tcBorders>
            <w:tcMar>
              <w:top w:w="15" w:type="dxa"/>
              <w:left w:w="15" w:type="dxa"/>
              <w:bottom w:w="15" w:type="dxa"/>
              <w:right w:w="15" w:type="dxa"/>
            </w:tcMar>
            <w:vAlign w:val="center"/>
          </w:tcPr>
          <w:p w14:paraId="1177C1A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Times New Roman"/>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tcMar>
              <w:top w:w="15" w:type="dxa"/>
              <w:left w:w="15" w:type="dxa"/>
              <w:bottom w:w="15" w:type="dxa"/>
              <w:right w:w="15" w:type="dxa"/>
            </w:tcMar>
            <w:vAlign w:val="center"/>
          </w:tcPr>
          <w:p w14:paraId="01BC939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s="Times New Roman"/>
                <w:color w:val="auto"/>
                <w:sz w:val="13"/>
                <w:szCs w:val="13"/>
                <w:highlight w:val="none"/>
              </w:rPr>
            </w:pPr>
            <w:r>
              <w:rPr>
                <w:rFonts w:hint="eastAsia" w:ascii="仿宋_GB2312" w:hAnsi="宋体" w:eastAsia="仿宋_GB2312"/>
                <w:color w:val="auto"/>
                <w:kern w:val="0"/>
                <w:sz w:val="13"/>
                <w:szCs w:val="13"/>
                <w:highlight w:val="none"/>
              </w:rPr>
              <w:t>初次违法，主动消除或减轻违法行为危害后果的。</w:t>
            </w:r>
          </w:p>
        </w:tc>
        <w:tc>
          <w:tcPr>
            <w:tcW w:w="3058" w:type="dxa"/>
            <w:tcBorders>
              <w:tl2br w:val="nil"/>
              <w:tr2bl w:val="nil"/>
            </w:tcBorders>
            <w:tcMar>
              <w:top w:w="15" w:type="dxa"/>
              <w:left w:w="15" w:type="dxa"/>
              <w:bottom w:w="15" w:type="dxa"/>
              <w:right w:w="15" w:type="dxa"/>
            </w:tcMar>
            <w:vAlign w:val="center"/>
          </w:tcPr>
          <w:p w14:paraId="07FA754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s="Times New Roman"/>
                <w:color w:val="auto"/>
                <w:sz w:val="13"/>
                <w:szCs w:val="13"/>
                <w:highlight w:val="none"/>
              </w:rPr>
            </w:pPr>
            <w:r>
              <w:rPr>
                <w:rFonts w:hint="eastAsia" w:ascii="仿宋_GB2312" w:hAnsi="宋体" w:eastAsia="仿宋_GB2312" w:cs="Times New Roman"/>
                <w:color w:val="auto"/>
                <w:kern w:val="0"/>
                <w:sz w:val="13"/>
                <w:szCs w:val="13"/>
                <w:highlight w:val="none"/>
              </w:rPr>
              <w:t>予以取缔，处合同约定的勘察费、设计费1倍的罚款；有违法所得的，予以没收。</w:t>
            </w:r>
          </w:p>
        </w:tc>
      </w:tr>
      <w:tr w14:paraId="0BF67B9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97" w:hRule="atLeast"/>
          <w:jc w:val="center"/>
        </w:trPr>
        <w:tc>
          <w:tcPr>
            <w:tcW w:w="443" w:type="dxa"/>
            <w:gridSpan w:val="2"/>
            <w:vMerge w:val="continue"/>
            <w:tcBorders>
              <w:tl2br w:val="nil"/>
              <w:tr2bl w:val="nil"/>
            </w:tcBorders>
            <w:vAlign w:val="center"/>
          </w:tcPr>
          <w:p w14:paraId="675A3A00">
            <w:pPr>
              <w:pStyle w:val="37"/>
              <w:keepNext w:val="0"/>
              <w:keepLines w:val="0"/>
              <w:pageBreakBefore w:val="0"/>
              <w:widowControl/>
              <w:numPr>
                <w:ilvl w:val="0"/>
                <w:numId w:val="4"/>
              </w:numPr>
              <w:kinsoku/>
              <w:overflowPunct/>
              <w:topLinePunct w:val="0"/>
              <w:autoSpaceDE/>
              <w:autoSpaceDN/>
              <w:bidi w:val="0"/>
              <w:adjustRightInd/>
              <w:snapToGrid/>
              <w:spacing w:beforeAutospacing="0" w:afterAutospacing="0" w:line="260" w:lineRule="exact"/>
              <w:ind w:left="0" w:leftChars="0" w:right="0" w:rightChars="0" w:firstLineChars="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405208B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s="Times New Roman"/>
                <w:color w:val="auto"/>
                <w:sz w:val="13"/>
                <w:szCs w:val="13"/>
                <w:highlight w:val="none"/>
              </w:rPr>
            </w:pPr>
          </w:p>
        </w:tc>
        <w:tc>
          <w:tcPr>
            <w:tcW w:w="4820" w:type="dxa"/>
            <w:vMerge w:val="continue"/>
            <w:tcBorders>
              <w:tl2br w:val="nil"/>
              <w:tr2bl w:val="nil"/>
            </w:tcBorders>
            <w:vAlign w:val="center"/>
          </w:tcPr>
          <w:p w14:paraId="0EA7C0E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s="Times New Roman"/>
                <w:color w:val="auto"/>
                <w:kern w:val="0"/>
                <w:sz w:val="13"/>
                <w:szCs w:val="13"/>
                <w:highlight w:val="none"/>
              </w:rPr>
            </w:pPr>
          </w:p>
        </w:tc>
        <w:tc>
          <w:tcPr>
            <w:tcW w:w="823" w:type="dxa"/>
            <w:tcBorders>
              <w:tl2br w:val="nil"/>
              <w:tr2bl w:val="nil"/>
            </w:tcBorders>
            <w:tcMar>
              <w:top w:w="15" w:type="dxa"/>
              <w:left w:w="15" w:type="dxa"/>
              <w:bottom w:w="15" w:type="dxa"/>
              <w:right w:w="15" w:type="dxa"/>
            </w:tcMar>
            <w:vAlign w:val="center"/>
          </w:tcPr>
          <w:p w14:paraId="35D9489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Times New Roman"/>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一般情节</w:t>
            </w:r>
          </w:p>
        </w:tc>
        <w:tc>
          <w:tcPr>
            <w:tcW w:w="3437" w:type="dxa"/>
            <w:gridSpan w:val="2"/>
            <w:tcBorders>
              <w:tl2br w:val="nil"/>
              <w:tr2bl w:val="nil"/>
            </w:tcBorders>
            <w:tcMar>
              <w:top w:w="15" w:type="dxa"/>
              <w:left w:w="15" w:type="dxa"/>
              <w:bottom w:w="15" w:type="dxa"/>
              <w:right w:w="15" w:type="dxa"/>
            </w:tcMar>
            <w:vAlign w:val="center"/>
          </w:tcPr>
          <w:p w14:paraId="180A2E5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s="Times New Roman"/>
                <w:color w:val="auto"/>
                <w:sz w:val="13"/>
                <w:szCs w:val="13"/>
                <w:highlight w:val="none"/>
              </w:rPr>
            </w:pPr>
            <w:r>
              <w:rPr>
                <w:rFonts w:hint="eastAsia" w:ascii="仿宋_GB2312" w:hAnsi="宋体" w:eastAsia="仿宋_GB2312"/>
                <w:color w:val="auto"/>
                <w:kern w:val="0"/>
                <w:sz w:val="13"/>
                <w:szCs w:val="13"/>
                <w:highlight w:val="none"/>
              </w:rPr>
              <w:t>未造成质量事故，不具有从轻、</w:t>
            </w:r>
            <w:r>
              <w:rPr>
                <w:rFonts w:hint="eastAsia" w:ascii="仿宋_GB2312" w:hAnsi="宋体" w:eastAsia="仿宋_GB2312"/>
                <w:color w:val="auto"/>
                <w:kern w:val="0"/>
                <w:sz w:val="13"/>
                <w:szCs w:val="13"/>
                <w:highlight w:val="none"/>
                <w:lang w:eastAsia="zh-CN"/>
              </w:rPr>
              <w:t>从重情节</w:t>
            </w:r>
            <w:r>
              <w:rPr>
                <w:rFonts w:hint="eastAsia" w:ascii="仿宋_GB2312" w:hAnsi="宋体" w:eastAsia="仿宋_GB2312"/>
                <w:color w:val="auto"/>
                <w:kern w:val="0"/>
                <w:sz w:val="13"/>
                <w:szCs w:val="13"/>
                <w:highlight w:val="none"/>
              </w:rPr>
              <w:t>的。</w:t>
            </w:r>
          </w:p>
        </w:tc>
        <w:tc>
          <w:tcPr>
            <w:tcW w:w="3058" w:type="dxa"/>
            <w:tcBorders>
              <w:tl2br w:val="nil"/>
              <w:tr2bl w:val="nil"/>
            </w:tcBorders>
            <w:tcMar>
              <w:top w:w="15" w:type="dxa"/>
              <w:left w:w="15" w:type="dxa"/>
              <w:bottom w:w="15" w:type="dxa"/>
              <w:right w:w="15" w:type="dxa"/>
            </w:tcMar>
            <w:vAlign w:val="center"/>
          </w:tcPr>
          <w:p w14:paraId="3F0C7A7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s="Times New Roman"/>
                <w:color w:val="auto"/>
                <w:sz w:val="13"/>
                <w:szCs w:val="13"/>
                <w:highlight w:val="none"/>
              </w:rPr>
            </w:pPr>
            <w:r>
              <w:rPr>
                <w:rFonts w:hint="eastAsia" w:ascii="仿宋_GB2312" w:hAnsi="宋体" w:eastAsia="仿宋_GB2312" w:cs="Times New Roman"/>
                <w:color w:val="auto"/>
                <w:kern w:val="0"/>
                <w:sz w:val="13"/>
                <w:szCs w:val="13"/>
                <w:highlight w:val="none"/>
              </w:rPr>
              <w:t>予以取缔，处合同约定的勘察费、设计费1倍以上1.5倍以下的罚款；有违法所得的，予以没收。</w:t>
            </w:r>
          </w:p>
        </w:tc>
      </w:tr>
      <w:tr w14:paraId="4C4D29E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97" w:hRule="atLeast"/>
          <w:jc w:val="center"/>
        </w:trPr>
        <w:tc>
          <w:tcPr>
            <w:tcW w:w="443" w:type="dxa"/>
            <w:gridSpan w:val="2"/>
            <w:vMerge w:val="continue"/>
            <w:tcBorders>
              <w:tl2br w:val="nil"/>
              <w:tr2bl w:val="nil"/>
            </w:tcBorders>
            <w:vAlign w:val="center"/>
          </w:tcPr>
          <w:p w14:paraId="57B15567">
            <w:pPr>
              <w:pStyle w:val="37"/>
              <w:keepNext w:val="0"/>
              <w:keepLines w:val="0"/>
              <w:pageBreakBefore w:val="0"/>
              <w:widowControl/>
              <w:numPr>
                <w:ilvl w:val="0"/>
                <w:numId w:val="4"/>
              </w:numPr>
              <w:kinsoku/>
              <w:overflowPunct/>
              <w:topLinePunct w:val="0"/>
              <w:autoSpaceDE/>
              <w:autoSpaceDN/>
              <w:bidi w:val="0"/>
              <w:adjustRightInd/>
              <w:snapToGrid/>
              <w:spacing w:beforeAutospacing="0" w:afterAutospacing="0" w:line="260" w:lineRule="exact"/>
              <w:ind w:left="0" w:leftChars="0" w:right="0" w:rightChars="0" w:firstLineChars="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7B5675F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s="Times New Roman"/>
                <w:color w:val="auto"/>
                <w:sz w:val="13"/>
                <w:szCs w:val="13"/>
                <w:highlight w:val="none"/>
              </w:rPr>
            </w:pPr>
          </w:p>
        </w:tc>
        <w:tc>
          <w:tcPr>
            <w:tcW w:w="4820" w:type="dxa"/>
            <w:vMerge w:val="continue"/>
            <w:tcBorders>
              <w:tl2br w:val="nil"/>
              <w:tr2bl w:val="nil"/>
            </w:tcBorders>
            <w:vAlign w:val="center"/>
          </w:tcPr>
          <w:p w14:paraId="3683D16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s="Times New Roman"/>
                <w:color w:val="auto"/>
                <w:kern w:val="0"/>
                <w:sz w:val="13"/>
                <w:szCs w:val="13"/>
                <w:highlight w:val="none"/>
              </w:rPr>
            </w:pPr>
          </w:p>
        </w:tc>
        <w:tc>
          <w:tcPr>
            <w:tcW w:w="823" w:type="dxa"/>
            <w:tcBorders>
              <w:tl2br w:val="nil"/>
              <w:tr2bl w:val="nil"/>
            </w:tcBorders>
            <w:tcMar>
              <w:top w:w="15" w:type="dxa"/>
              <w:left w:w="15" w:type="dxa"/>
              <w:bottom w:w="15" w:type="dxa"/>
              <w:right w:w="15" w:type="dxa"/>
            </w:tcMar>
            <w:vAlign w:val="center"/>
          </w:tcPr>
          <w:p w14:paraId="2592A25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Times New Roman"/>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从重情节</w:t>
            </w:r>
          </w:p>
        </w:tc>
        <w:tc>
          <w:tcPr>
            <w:tcW w:w="3437" w:type="dxa"/>
            <w:gridSpan w:val="2"/>
            <w:tcBorders>
              <w:tl2br w:val="nil"/>
              <w:tr2bl w:val="nil"/>
            </w:tcBorders>
            <w:tcMar>
              <w:top w:w="15" w:type="dxa"/>
              <w:left w:w="15" w:type="dxa"/>
              <w:bottom w:w="15" w:type="dxa"/>
              <w:right w:w="15" w:type="dxa"/>
            </w:tcMar>
            <w:vAlign w:val="center"/>
          </w:tcPr>
          <w:p w14:paraId="3495329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s="Times New Roman"/>
                <w:color w:val="auto"/>
                <w:sz w:val="13"/>
                <w:szCs w:val="13"/>
                <w:highlight w:val="none"/>
              </w:rPr>
            </w:pPr>
            <w:r>
              <w:rPr>
                <w:rFonts w:hint="eastAsia" w:ascii="仿宋_GB2312" w:hAnsi="宋体" w:eastAsia="仿宋_GB2312"/>
                <w:color w:val="auto"/>
                <w:kern w:val="0"/>
                <w:sz w:val="13"/>
                <w:szCs w:val="13"/>
                <w:highlight w:val="none"/>
              </w:rPr>
              <w:t>（1）2年内2次及以上同类型违法的；（</w:t>
            </w:r>
            <w:r>
              <w:rPr>
                <w:rFonts w:ascii="仿宋_GB2312" w:hAnsi="宋体" w:eastAsia="仿宋_GB2312"/>
                <w:color w:val="auto"/>
                <w:kern w:val="0"/>
                <w:sz w:val="13"/>
                <w:szCs w:val="13"/>
                <w:highlight w:val="none"/>
              </w:rPr>
              <w:t>2</w:t>
            </w:r>
            <w:r>
              <w:rPr>
                <w:rFonts w:hint="eastAsia" w:ascii="仿宋_GB2312" w:hAnsi="宋体" w:eastAsia="仿宋_GB2312"/>
                <w:color w:val="auto"/>
                <w:kern w:val="0"/>
                <w:sz w:val="13"/>
                <w:szCs w:val="13"/>
                <w:highlight w:val="none"/>
              </w:rPr>
              <w:t>）造成工程质量安全事故的。</w:t>
            </w:r>
          </w:p>
        </w:tc>
        <w:tc>
          <w:tcPr>
            <w:tcW w:w="3058" w:type="dxa"/>
            <w:tcBorders>
              <w:tl2br w:val="nil"/>
              <w:tr2bl w:val="nil"/>
            </w:tcBorders>
            <w:tcMar>
              <w:top w:w="15" w:type="dxa"/>
              <w:left w:w="15" w:type="dxa"/>
              <w:bottom w:w="15" w:type="dxa"/>
              <w:right w:w="15" w:type="dxa"/>
            </w:tcMar>
            <w:vAlign w:val="center"/>
          </w:tcPr>
          <w:p w14:paraId="52A3CE1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s="Times New Roman"/>
                <w:color w:val="auto"/>
                <w:sz w:val="13"/>
                <w:szCs w:val="13"/>
                <w:highlight w:val="none"/>
              </w:rPr>
            </w:pPr>
            <w:r>
              <w:rPr>
                <w:rFonts w:hint="eastAsia" w:ascii="仿宋_GB2312" w:hAnsi="宋体" w:eastAsia="仿宋_GB2312" w:cs="Times New Roman"/>
                <w:color w:val="auto"/>
                <w:kern w:val="0"/>
                <w:sz w:val="13"/>
                <w:szCs w:val="13"/>
                <w:highlight w:val="none"/>
              </w:rPr>
              <w:t>予以取缔，处合同约定的勘察费、设计费1.5倍以上2倍以下的罚款；有违法所得的，予以没收。</w:t>
            </w:r>
          </w:p>
        </w:tc>
      </w:tr>
      <w:tr w14:paraId="652B588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97" w:hRule="atLeast"/>
          <w:jc w:val="center"/>
        </w:trPr>
        <w:tc>
          <w:tcPr>
            <w:tcW w:w="443" w:type="dxa"/>
            <w:gridSpan w:val="2"/>
            <w:vMerge w:val="restart"/>
            <w:tcBorders>
              <w:tl2br w:val="nil"/>
              <w:tr2bl w:val="nil"/>
            </w:tcBorders>
            <w:vAlign w:val="center"/>
          </w:tcPr>
          <w:p w14:paraId="195C66C2">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Times New Roman"/>
                <w:color w:val="auto"/>
                <w:sz w:val="13"/>
                <w:szCs w:val="13"/>
                <w:highlight w:val="none"/>
                <w:lang w:val="en-US"/>
              </w:rPr>
            </w:pPr>
            <w:r>
              <w:rPr>
                <w:rFonts w:hint="default" w:ascii="仿宋_GB2312" w:hAnsi="宋体" w:eastAsia="仿宋_GB2312" w:cs="仿宋_GB2312"/>
                <w:i w:val="0"/>
                <w:color w:val="auto"/>
                <w:kern w:val="0"/>
                <w:sz w:val="13"/>
                <w:szCs w:val="13"/>
                <w:highlight w:val="none"/>
                <w:u w:val="none"/>
                <w:lang w:val="en-US" w:eastAsia="zh-CN" w:bidi="ar"/>
              </w:rPr>
              <w:t>2</w:t>
            </w:r>
            <w:r>
              <w:rPr>
                <w:rFonts w:hint="eastAsia" w:ascii="仿宋_GB2312" w:hAnsi="宋体" w:eastAsia="仿宋_GB2312" w:cs="仿宋_GB2312"/>
                <w:i w:val="0"/>
                <w:color w:val="auto"/>
                <w:kern w:val="0"/>
                <w:sz w:val="13"/>
                <w:szCs w:val="13"/>
                <w:highlight w:val="none"/>
                <w:u w:val="none"/>
                <w:lang w:val="en-US" w:eastAsia="zh-CN" w:bidi="ar"/>
              </w:rPr>
              <w:t>18</w:t>
            </w:r>
          </w:p>
        </w:tc>
        <w:tc>
          <w:tcPr>
            <w:tcW w:w="1550" w:type="dxa"/>
            <w:vMerge w:val="restart"/>
            <w:tcBorders>
              <w:tl2br w:val="nil"/>
              <w:tr2bl w:val="nil"/>
            </w:tcBorders>
            <w:vAlign w:val="center"/>
          </w:tcPr>
          <w:p w14:paraId="1D9F080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s="Times New Roman"/>
                <w:color w:val="auto"/>
                <w:sz w:val="13"/>
                <w:szCs w:val="13"/>
                <w:highlight w:val="none"/>
              </w:rPr>
            </w:pPr>
            <w:r>
              <w:rPr>
                <w:rFonts w:hint="eastAsia" w:ascii="仿宋_GB2312" w:hAnsi="宋体" w:eastAsia="仿宋_GB2312"/>
                <w:color w:val="auto"/>
                <w:sz w:val="13"/>
                <w:szCs w:val="13"/>
                <w:highlight w:val="none"/>
              </w:rPr>
              <w:t>以欺骗手段取得资质证书承揽工程的</w:t>
            </w:r>
          </w:p>
        </w:tc>
        <w:tc>
          <w:tcPr>
            <w:tcW w:w="4820" w:type="dxa"/>
            <w:vMerge w:val="restart"/>
            <w:tcBorders>
              <w:tl2br w:val="nil"/>
              <w:tr2bl w:val="nil"/>
            </w:tcBorders>
            <w:vAlign w:val="center"/>
          </w:tcPr>
          <w:p w14:paraId="5022CAD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olor w:val="auto"/>
                <w:kern w:val="0"/>
                <w:sz w:val="13"/>
                <w:szCs w:val="13"/>
                <w:highlight w:val="none"/>
              </w:rPr>
              <w:t>《建设工程勘察设计管理条例》第三十五条第三款以欺骗手段取得资质证书承揽工程的，吊销资质证书，依照本条第一款规定处以罚款；有违法所得的，予以没收。</w:t>
            </w:r>
          </w:p>
        </w:tc>
        <w:tc>
          <w:tcPr>
            <w:tcW w:w="823" w:type="dxa"/>
            <w:tcBorders>
              <w:tl2br w:val="nil"/>
              <w:tr2bl w:val="nil"/>
            </w:tcBorders>
            <w:tcMar>
              <w:top w:w="15" w:type="dxa"/>
              <w:left w:w="15" w:type="dxa"/>
              <w:bottom w:w="15" w:type="dxa"/>
              <w:right w:w="15" w:type="dxa"/>
            </w:tcMar>
            <w:vAlign w:val="center"/>
          </w:tcPr>
          <w:p w14:paraId="5B967E9E">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Times New Roman"/>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tcMar>
              <w:top w:w="15" w:type="dxa"/>
              <w:left w:w="15" w:type="dxa"/>
              <w:bottom w:w="15" w:type="dxa"/>
              <w:right w:w="15" w:type="dxa"/>
            </w:tcMar>
            <w:vAlign w:val="center"/>
          </w:tcPr>
          <w:p w14:paraId="54D3D0BA">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Times New Roman"/>
                <w:color w:val="auto"/>
                <w:sz w:val="13"/>
                <w:szCs w:val="13"/>
                <w:highlight w:val="none"/>
              </w:rPr>
            </w:pPr>
            <w:r>
              <w:rPr>
                <w:rFonts w:hint="eastAsia" w:ascii="仿宋_GB2312" w:hAnsi="宋体" w:eastAsia="仿宋_GB2312"/>
                <w:color w:val="auto"/>
                <w:kern w:val="0"/>
                <w:sz w:val="13"/>
                <w:szCs w:val="13"/>
                <w:highlight w:val="none"/>
              </w:rPr>
              <w:t>初次违法，主动消除或减轻违法行为危害后果的。</w:t>
            </w:r>
          </w:p>
        </w:tc>
        <w:tc>
          <w:tcPr>
            <w:tcW w:w="3058" w:type="dxa"/>
            <w:tcBorders>
              <w:tl2br w:val="nil"/>
              <w:tr2bl w:val="nil"/>
            </w:tcBorders>
            <w:tcMar>
              <w:top w:w="15" w:type="dxa"/>
              <w:left w:w="15" w:type="dxa"/>
              <w:bottom w:w="15" w:type="dxa"/>
              <w:right w:w="15" w:type="dxa"/>
            </w:tcMar>
            <w:vAlign w:val="center"/>
          </w:tcPr>
          <w:p w14:paraId="38E0A20C">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Times New Roman"/>
                <w:color w:val="auto"/>
                <w:sz w:val="13"/>
                <w:szCs w:val="13"/>
                <w:highlight w:val="none"/>
              </w:rPr>
            </w:pPr>
            <w:r>
              <w:rPr>
                <w:rFonts w:hint="eastAsia" w:ascii="仿宋_GB2312" w:hAnsi="宋体" w:eastAsia="仿宋_GB2312" w:cs="Times New Roman"/>
                <w:color w:val="auto"/>
                <w:kern w:val="0"/>
                <w:sz w:val="13"/>
                <w:szCs w:val="13"/>
                <w:highlight w:val="none"/>
              </w:rPr>
              <w:t>责令改正，处合同约定的勘察费、设计费1倍的罚款，有违法所得的，予以没收。</w:t>
            </w:r>
          </w:p>
        </w:tc>
      </w:tr>
      <w:tr w14:paraId="518947F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97" w:hRule="atLeast"/>
          <w:jc w:val="center"/>
        </w:trPr>
        <w:tc>
          <w:tcPr>
            <w:tcW w:w="443" w:type="dxa"/>
            <w:gridSpan w:val="2"/>
            <w:vMerge w:val="continue"/>
            <w:tcBorders>
              <w:tl2br w:val="nil"/>
              <w:tr2bl w:val="nil"/>
            </w:tcBorders>
            <w:vAlign w:val="center"/>
          </w:tcPr>
          <w:p w14:paraId="10D75F03">
            <w:pPr>
              <w:pStyle w:val="37"/>
              <w:keepNext w:val="0"/>
              <w:keepLines w:val="0"/>
              <w:pageBreakBefore w:val="0"/>
              <w:numPr>
                <w:ilvl w:val="0"/>
                <w:numId w:val="4"/>
              </w:numPr>
              <w:kinsoku/>
              <w:overflowPunct/>
              <w:topLinePunct w:val="0"/>
              <w:autoSpaceDE/>
              <w:autoSpaceDN/>
              <w:bidi w:val="0"/>
              <w:adjustRightInd/>
              <w:snapToGrid/>
              <w:spacing w:beforeAutospacing="0" w:afterAutospacing="0" w:line="260" w:lineRule="exact"/>
              <w:ind w:left="0" w:leftChars="0" w:right="0" w:rightChars="0" w:firstLineChars="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317D172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s="Times New Roman"/>
                <w:color w:val="auto"/>
                <w:sz w:val="13"/>
                <w:szCs w:val="13"/>
                <w:highlight w:val="none"/>
              </w:rPr>
            </w:pPr>
          </w:p>
        </w:tc>
        <w:tc>
          <w:tcPr>
            <w:tcW w:w="4820" w:type="dxa"/>
            <w:vMerge w:val="continue"/>
            <w:tcBorders>
              <w:tl2br w:val="nil"/>
              <w:tr2bl w:val="nil"/>
            </w:tcBorders>
            <w:vAlign w:val="center"/>
          </w:tcPr>
          <w:p w14:paraId="5F87DDE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s="Times New Roman"/>
                <w:color w:val="auto"/>
                <w:kern w:val="0"/>
                <w:sz w:val="13"/>
                <w:szCs w:val="13"/>
                <w:highlight w:val="none"/>
              </w:rPr>
            </w:pPr>
          </w:p>
        </w:tc>
        <w:tc>
          <w:tcPr>
            <w:tcW w:w="823" w:type="dxa"/>
            <w:tcBorders>
              <w:tl2br w:val="nil"/>
              <w:tr2bl w:val="nil"/>
            </w:tcBorders>
            <w:tcMar>
              <w:top w:w="15" w:type="dxa"/>
              <w:left w:w="15" w:type="dxa"/>
              <w:bottom w:w="15" w:type="dxa"/>
              <w:right w:w="15" w:type="dxa"/>
            </w:tcMar>
            <w:vAlign w:val="center"/>
          </w:tcPr>
          <w:p w14:paraId="66FFBB5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Times New Roman"/>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一般情节</w:t>
            </w:r>
          </w:p>
        </w:tc>
        <w:tc>
          <w:tcPr>
            <w:tcW w:w="3437" w:type="dxa"/>
            <w:gridSpan w:val="2"/>
            <w:tcBorders>
              <w:tl2br w:val="nil"/>
              <w:tr2bl w:val="nil"/>
            </w:tcBorders>
            <w:tcMar>
              <w:top w:w="15" w:type="dxa"/>
              <w:left w:w="15" w:type="dxa"/>
              <w:bottom w:w="15" w:type="dxa"/>
              <w:right w:w="15" w:type="dxa"/>
            </w:tcMar>
            <w:vAlign w:val="center"/>
          </w:tcPr>
          <w:p w14:paraId="4402826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Times New Roman"/>
                <w:color w:val="auto"/>
                <w:sz w:val="13"/>
                <w:szCs w:val="13"/>
                <w:highlight w:val="none"/>
              </w:rPr>
            </w:pPr>
            <w:r>
              <w:rPr>
                <w:rFonts w:hint="eastAsia" w:ascii="仿宋_GB2312" w:hAnsi="宋体" w:eastAsia="仿宋_GB2312"/>
                <w:color w:val="auto"/>
                <w:kern w:val="0"/>
                <w:sz w:val="13"/>
                <w:szCs w:val="13"/>
                <w:highlight w:val="none"/>
              </w:rPr>
              <w:t>未造成质量事故，不具有从轻、</w:t>
            </w:r>
            <w:r>
              <w:rPr>
                <w:rFonts w:hint="eastAsia" w:ascii="仿宋_GB2312" w:hAnsi="宋体" w:eastAsia="仿宋_GB2312"/>
                <w:color w:val="auto"/>
                <w:kern w:val="0"/>
                <w:sz w:val="13"/>
                <w:szCs w:val="13"/>
                <w:highlight w:val="none"/>
                <w:lang w:eastAsia="zh-CN"/>
              </w:rPr>
              <w:t>从重情节</w:t>
            </w:r>
            <w:r>
              <w:rPr>
                <w:rFonts w:hint="eastAsia" w:ascii="仿宋_GB2312" w:hAnsi="宋体" w:eastAsia="仿宋_GB2312"/>
                <w:color w:val="auto"/>
                <w:kern w:val="0"/>
                <w:sz w:val="13"/>
                <w:szCs w:val="13"/>
                <w:highlight w:val="none"/>
              </w:rPr>
              <w:t>的。</w:t>
            </w:r>
          </w:p>
        </w:tc>
        <w:tc>
          <w:tcPr>
            <w:tcW w:w="3058" w:type="dxa"/>
            <w:tcBorders>
              <w:tl2br w:val="nil"/>
              <w:tr2bl w:val="nil"/>
            </w:tcBorders>
            <w:tcMar>
              <w:top w:w="15" w:type="dxa"/>
              <w:left w:w="15" w:type="dxa"/>
              <w:bottom w:w="15" w:type="dxa"/>
              <w:right w:w="15" w:type="dxa"/>
            </w:tcMar>
            <w:vAlign w:val="center"/>
          </w:tcPr>
          <w:p w14:paraId="6AEE8CA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Times New Roman"/>
                <w:color w:val="auto"/>
                <w:sz w:val="13"/>
                <w:szCs w:val="13"/>
                <w:highlight w:val="none"/>
              </w:rPr>
            </w:pPr>
            <w:r>
              <w:rPr>
                <w:rFonts w:hint="eastAsia" w:ascii="仿宋_GB2312" w:hAnsi="宋体" w:eastAsia="仿宋_GB2312" w:cs="Times New Roman"/>
                <w:color w:val="auto"/>
                <w:kern w:val="0"/>
                <w:sz w:val="13"/>
                <w:szCs w:val="13"/>
                <w:highlight w:val="none"/>
              </w:rPr>
              <w:t>责令改正，处合同约定的勘察费、设计费1倍以上1.5倍以下的罚款，有违法所得的，予以没收。</w:t>
            </w:r>
          </w:p>
        </w:tc>
      </w:tr>
      <w:tr w14:paraId="1E089B0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97" w:hRule="atLeast"/>
          <w:jc w:val="center"/>
        </w:trPr>
        <w:tc>
          <w:tcPr>
            <w:tcW w:w="443" w:type="dxa"/>
            <w:gridSpan w:val="2"/>
            <w:vMerge w:val="continue"/>
            <w:tcBorders>
              <w:tl2br w:val="nil"/>
              <w:tr2bl w:val="nil"/>
            </w:tcBorders>
            <w:vAlign w:val="center"/>
          </w:tcPr>
          <w:p w14:paraId="45DA9FE0">
            <w:pPr>
              <w:pStyle w:val="37"/>
              <w:keepNext w:val="0"/>
              <w:keepLines w:val="0"/>
              <w:pageBreakBefore w:val="0"/>
              <w:numPr>
                <w:ilvl w:val="0"/>
                <w:numId w:val="4"/>
              </w:numPr>
              <w:kinsoku/>
              <w:overflowPunct/>
              <w:topLinePunct w:val="0"/>
              <w:autoSpaceDE/>
              <w:autoSpaceDN/>
              <w:bidi w:val="0"/>
              <w:adjustRightInd/>
              <w:snapToGrid/>
              <w:spacing w:beforeAutospacing="0" w:afterAutospacing="0" w:line="260" w:lineRule="exact"/>
              <w:ind w:left="0" w:leftChars="0" w:right="0" w:rightChars="0" w:firstLineChars="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14DCE71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s="Times New Roman"/>
                <w:color w:val="auto"/>
                <w:sz w:val="13"/>
                <w:szCs w:val="13"/>
                <w:highlight w:val="none"/>
              </w:rPr>
            </w:pPr>
          </w:p>
        </w:tc>
        <w:tc>
          <w:tcPr>
            <w:tcW w:w="4820" w:type="dxa"/>
            <w:vMerge w:val="continue"/>
            <w:tcBorders>
              <w:tl2br w:val="nil"/>
              <w:tr2bl w:val="nil"/>
            </w:tcBorders>
            <w:vAlign w:val="center"/>
          </w:tcPr>
          <w:p w14:paraId="59D19BF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s="Times New Roman"/>
                <w:color w:val="auto"/>
                <w:kern w:val="0"/>
                <w:sz w:val="13"/>
                <w:szCs w:val="13"/>
                <w:highlight w:val="none"/>
              </w:rPr>
            </w:pPr>
          </w:p>
        </w:tc>
        <w:tc>
          <w:tcPr>
            <w:tcW w:w="823" w:type="dxa"/>
            <w:vMerge w:val="restart"/>
            <w:tcBorders>
              <w:tl2br w:val="nil"/>
              <w:tr2bl w:val="nil"/>
            </w:tcBorders>
            <w:tcMar>
              <w:top w:w="15" w:type="dxa"/>
              <w:left w:w="15" w:type="dxa"/>
              <w:bottom w:w="15" w:type="dxa"/>
              <w:right w:w="15" w:type="dxa"/>
            </w:tcMar>
            <w:vAlign w:val="center"/>
          </w:tcPr>
          <w:p w14:paraId="4E52D71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Times New Roman"/>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从重情节</w:t>
            </w:r>
          </w:p>
        </w:tc>
        <w:tc>
          <w:tcPr>
            <w:tcW w:w="3437" w:type="dxa"/>
            <w:gridSpan w:val="2"/>
            <w:tcBorders>
              <w:tl2br w:val="nil"/>
              <w:tr2bl w:val="nil"/>
            </w:tcBorders>
            <w:tcMar>
              <w:top w:w="15" w:type="dxa"/>
              <w:left w:w="15" w:type="dxa"/>
              <w:bottom w:w="15" w:type="dxa"/>
              <w:right w:w="15" w:type="dxa"/>
            </w:tcMar>
            <w:vAlign w:val="center"/>
          </w:tcPr>
          <w:p w14:paraId="32AB92AB">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rPr>
                <w:rFonts w:ascii="仿宋_GB2312" w:hAnsi="宋体" w:eastAsia="仿宋_GB2312" w:cs="Times New Roman"/>
                <w:color w:val="auto"/>
                <w:kern w:val="0"/>
                <w:sz w:val="13"/>
                <w:szCs w:val="13"/>
                <w:highlight w:val="none"/>
              </w:rPr>
            </w:pPr>
            <w:r>
              <w:rPr>
                <w:rFonts w:hint="eastAsia" w:ascii="仿宋_GB2312" w:hAnsi="宋体" w:eastAsia="仿宋_GB2312"/>
                <w:color w:val="auto"/>
                <w:kern w:val="0"/>
                <w:sz w:val="13"/>
                <w:szCs w:val="13"/>
                <w:highlight w:val="none"/>
              </w:rPr>
              <w:t>（1）2年内2次及以上同类型违法的。</w:t>
            </w:r>
          </w:p>
        </w:tc>
        <w:tc>
          <w:tcPr>
            <w:tcW w:w="3058" w:type="dxa"/>
            <w:tcBorders>
              <w:tl2br w:val="nil"/>
              <w:tr2bl w:val="nil"/>
            </w:tcBorders>
            <w:tcMar>
              <w:top w:w="15" w:type="dxa"/>
              <w:left w:w="15" w:type="dxa"/>
              <w:bottom w:w="15" w:type="dxa"/>
              <w:right w:w="15" w:type="dxa"/>
            </w:tcMar>
            <w:vAlign w:val="center"/>
          </w:tcPr>
          <w:p w14:paraId="46118B81">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处合同约定的勘察费、设计费1</w:t>
            </w:r>
            <w:r>
              <w:rPr>
                <w:rFonts w:ascii="仿宋_GB2312" w:hAnsi="宋体" w:eastAsia="仿宋_GB2312" w:cs="Times New Roman"/>
                <w:color w:val="auto"/>
                <w:kern w:val="0"/>
                <w:sz w:val="13"/>
                <w:szCs w:val="13"/>
                <w:highlight w:val="none"/>
              </w:rPr>
              <w:t>.</w:t>
            </w:r>
            <w:r>
              <w:rPr>
                <w:rFonts w:hint="eastAsia" w:ascii="仿宋_GB2312" w:hAnsi="宋体" w:eastAsia="仿宋_GB2312" w:cs="Times New Roman"/>
                <w:color w:val="auto"/>
                <w:kern w:val="0"/>
                <w:sz w:val="13"/>
                <w:szCs w:val="13"/>
                <w:highlight w:val="none"/>
              </w:rPr>
              <w:t>5倍的罚款，有违法所得的，予以没收；责令停业整顿</w:t>
            </w:r>
            <w:r>
              <w:rPr>
                <w:rFonts w:hint="eastAsia" w:ascii="仿宋_GB2312" w:hAnsi="宋体" w:eastAsia="仿宋_GB2312" w:cs="Times New Roman"/>
                <w:color w:val="auto"/>
                <w:kern w:val="0"/>
                <w:sz w:val="13"/>
                <w:szCs w:val="13"/>
                <w:highlight w:val="none"/>
                <w:lang w:eastAsia="zh-CN"/>
              </w:rPr>
              <w:t>30日-</w:t>
            </w:r>
            <w:r>
              <w:rPr>
                <w:rFonts w:hint="eastAsia" w:ascii="仿宋_GB2312" w:hAnsi="宋体" w:eastAsia="仿宋_GB2312" w:cs="Times New Roman"/>
                <w:color w:val="auto"/>
                <w:kern w:val="0"/>
                <w:sz w:val="13"/>
                <w:szCs w:val="13"/>
                <w:highlight w:val="none"/>
              </w:rPr>
              <w:t>60日。</w:t>
            </w:r>
          </w:p>
        </w:tc>
      </w:tr>
      <w:tr w14:paraId="369E67F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47" w:hRule="atLeast"/>
          <w:jc w:val="center"/>
        </w:trPr>
        <w:tc>
          <w:tcPr>
            <w:tcW w:w="443" w:type="dxa"/>
            <w:gridSpan w:val="2"/>
            <w:vMerge w:val="continue"/>
            <w:tcBorders>
              <w:tl2br w:val="nil"/>
              <w:tr2bl w:val="nil"/>
            </w:tcBorders>
            <w:vAlign w:val="center"/>
          </w:tcPr>
          <w:p w14:paraId="3D8715CA">
            <w:pPr>
              <w:pStyle w:val="37"/>
              <w:keepNext w:val="0"/>
              <w:keepLines w:val="0"/>
              <w:pageBreakBefore w:val="0"/>
              <w:numPr>
                <w:ilvl w:val="0"/>
                <w:numId w:val="4"/>
              </w:numPr>
              <w:kinsoku/>
              <w:overflowPunct/>
              <w:topLinePunct w:val="0"/>
              <w:autoSpaceDE/>
              <w:autoSpaceDN/>
              <w:bidi w:val="0"/>
              <w:adjustRightInd/>
              <w:snapToGrid/>
              <w:spacing w:beforeAutospacing="0" w:afterAutospacing="0" w:line="260" w:lineRule="exact"/>
              <w:ind w:left="0" w:leftChars="0" w:right="0" w:rightChars="0" w:firstLineChars="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14A1947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center"/>
              <w:rPr>
                <w:rFonts w:ascii="仿宋_GB2312" w:hAnsi="宋体" w:eastAsia="仿宋_GB2312" w:cs="Times New Roman"/>
                <w:color w:val="auto"/>
                <w:sz w:val="13"/>
                <w:szCs w:val="13"/>
                <w:highlight w:val="none"/>
              </w:rPr>
            </w:pPr>
          </w:p>
        </w:tc>
        <w:tc>
          <w:tcPr>
            <w:tcW w:w="4820" w:type="dxa"/>
            <w:vMerge w:val="continue"/>
            <w:tcBorders>
              <w:tl2br w:val="nil"/>
              <w:tr2bl w:val="nil"/>
            </w:tcBorders>
            <w:vAlign w:val="center"/>
          </w:tcPr>
          <w:p w14:paraId="4EAAC89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center"/>
              <w:textAlignment w:val="center"/>
              <w:rPr>
                <w:rFonts w:ascii="仿宋_GB2312" w:hAnsi="宋体" w:eastAsia="仿宋_GB2312" w:cs="Times New Roman"/>
                <w:color w:val="auto"/>
                <w:kern w:val="0"/>
                <w:sz w:val="13"/>
                <w:szCs w:val="13"/>
                <w:highlight w:val="none"/>
              </w:rPr>
            </w:pPr>
          </w:p>
        </w:tc>
        <w:tc>
          <w:tcPr>
            <w:tcW w:w="823" w:type="dxa"/>
            <w:vMerge w:val="continue"/>
            <w:tcBorders>
              <w:tl2br w:val="nil"/>
              <w:tr2bl w:val="nil"/>
            </w:tcBorders>
            <w:tcMar>
              <w:top w:w="15" w:type="dxa"/>
              <w:left w:w="15" w:type="dxa"/>
              <w:bottom w:w="15" w:type="dxa"/>
              <w:right w:w="15" w:type="dxa"/>
            </w:tcMar>
            <w:vAlign w:val="center"/>
          </w:tcPr>
          <w:p w14:paraId="33D99FA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Times New Roman"/>
                <w:color w:val="auto"/>
                <w:kern w:val="0"/>
                <w:sz w:val="13"/>
                <w:szCs w:val="13"/>
                <w:highlight w:val="none"/>
              </w:rPr>
            </w:pPr>
          </w:p>
        </w:tc>
        <w:tc>
          <w:tcPr>
            <w:tcW w:w="3437" w:type="dxa"/>
            <w:gridSpan w:val="2"/>
            <w:tcBorders>
              <w:tl2br w:val="nil"/>
              <w:tr2bl w:val="nil"/>
            </w:tcBorders>
            <w:tcMar>
              <w:top w:w="15" w:type="dxa"/>
              <w:left w:w="15" w:type="dxa"/>
              <w:bottom w:w="15" w:type="dxa"/>
              <w:right w:w="15" w:type="dxa"/>
            </w:tcMar>
            <w:vAlign w:val="center"/>
          </w:tcPr>
          <w:p w14:paraId="24A0CA61">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rPr>
                <w:rFonts w:ascii="仿宋_GB2312" w:hAnsi="宋体" w:eastAsia="仿宋_GB2312" w:cs="Times New Roman"/>
                <w:color w:val="auto"/>
                <w:kern w:val="0"/>
                <w:sz w:val="13"/>
                <w:szCs w:val="13"/>
                <w:highlight w:val="none"/>
              </w:rPr>
            </w:pPr>
            <w:r>
              <w:rPr>
                <w:rFonts w:hint="eastAsia" w:ascii="仿宋_GB2312" w:hAnsi="宋体" w:eastAsia="仿宋_GB2312"/>
                <w:color w:val="auto"/>
                <w:kern w:val="0"/>
                <w:sz w:val="13"/>
                <w:szCs w:val="13"/>
                <w:highlight w:val="none"/>
              </w:rPr>
              <w:t>（2）造成3人以下死亡，或者10人以下重伤，或者1000万元以下直接经济损失的。</w:t>
            </w:r>
          </w:p>
        </w:tc>
        <w:tc>
          <w:tcPr>
            <w:tcW w:w="3058" w:type="dxa"/>
            <w:tcBorders>
              <w:tl2br w:val="nil"/>
              <w:tr2bl w:val="nil"/>
            </w:tcBorders>
            <w:tcMar>
              <w:top w:w="15" w:type="dxa"/>
              <w:left w:w="15" w:type="dxa"/>
              <w:bottom w:w="15" w:type="dxa"/>
              <w:right w:w="15" w:type="dxa"/>
            </w:tcMar>
            <w:vAlign w:val="center"/>
          </w:tcPr>
          <w:p w14:paraId="1A7154B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处合同约定的勘察费、设计费1</w:t>
            </w:r>
            <w:r>
              <w:rPr>
                <w:rFonts w:ascii="仿宋_GB2312" w:hAnsi="宋体" w:eastAsia="仿宋_GB2312" w:cs="Times New Roman"/>
                <w:color w:val="auto"/>
                <w:kern w:val="0"/>
                <w:sz w:val="13"/>
                <w:szCs w:val="13"/>
                <w:highlight w:val="none"/>
              </w:rPr>
              <w:t>.</w:t>
            </w:r>
            <w:r>
              <w:rPr>
                <w:rFonts w:hint="eastAsia" w:ascii="仿宋_GB2312" w:hAnsi="宋体" w:eastAsia="仿宋_GB2312" w:cs="Times New Roman"/>
                <w:color w:val="auto"/>
                <w:kern w:val="0"/>
                <w:sz w:val="13"/>
                <w:szCs w:val="13"/>
                <w:highlight w:val="none"/>
              </w:rPr>
              <w:t>5倍以上2倍以下的罚款，有违法所得的，予以没收；责令停业整顿</w:t>
            </w:r>
            <w:r>
              <w:rPr>
                <w:rFonts w:hint="eastAsia" w:ascii="仿宋_GB2312" w:hAnsi="宋体" w:eastAsia="仿宋_GB2312" w:cs="Times New Roman"/>
                <w:color w:val="auto"/>
                <w:kern w:val="0"/>
                <w:sz w:val="13"/>
                <w:szCs w:val="13"/>
                <w:highlight w:val="none"/>
                <w:lang w:eastAsia="zh-CN"/>
              </w:rPr>
              <w:t>30日-</w:t>
            </w:r>
            <w:r>
              <w:rPr>
                <w:rFonts w:hint="eastAsia" w:ascii="仿宋_GB2312" w:hAnsi="宋体" w:eastAsia="仿宋_GB2312" w:cs="Times New Roman"/>
                <w:color w:val="auto"/>
                <w:kern w:val="0"/>
                <w:sz w:val="13"/>
                <w:szCs w:val="13"/>
                <w:highlight w:val="none"/>
              </w:rPr>
              <w:t>60日。</w:t>
            </w:r>
          </w:p>
        </w:tc>
      </w:tr>
      <w:tr w14:paraId="5F35BBF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47" w:hRule="atLeast"/>
          <w:jc w:val="center"/>
        </w:trPr>
        <w:tc>
          <w:tcPr>
            <w:tcW w:w="443" w:type="dxa"/>
            <w:gridSpan w:val="2"/>
            <w:vMerge w:val="continue"/>
            <w:tcBorders>
              <w:tl2br w:val="nil"/>
              <w:tr2bl w:val="nil"/>
            </w:tcBorders>
            <w:vAlign w:val="center"/>
          </w:tcPr>
          <w:p w14:paraId="6D265DC9">
            <w:pPr>
              <w:pStyle w:val="37"/>
              <w:keepNext w:val="0"/>
              <w:keepLines w:val="0"/>
              <w:pageBreakBefore w:val="0"/>
              <w:numPr>
                <w:ilvl w:val="0"/>
                <w:numId w:val="4"/>
              </w:numPr>
              <w:kinsoku/>
              <w:overflowPunct/>
              <w:topLinePunct w:val="0"/>
              <w:autoSpaceDE/>
              <w:autoSpaceDN/>
              <w:bidi w:val="0"/>
              <w:adjustRightInd/>
              <w:snapToGrid/>
              <w:spacing w:beforeAutospacing="0" w:afterAutospacing="0" w:line="260" w:lineRule="exact"/>
              <w:ind w:left="0" w:leftChars="0" w:right="0" w:rightChars="0" w:firstLineChars="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55826E2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center"/>
              <w:rPr>
                <w:rFonts w:ascii="仿宋_GB2312" w:hAnsi="宋体" w:eastAsia="仿宋_GB2312" w:cs="Times New Roman"/>
                <w:color w:val="auto"/>
                <w:sz w:val="13"/>
                <w:szCs w:val="13"/>
                <w:highlight w:val="none"/>
              </w:rPr>
            </w:pPr>
          </w:p>
        </w:tc>
        <w:tc>
          <w:tcPr>
            <w:tcW w:w="4820" w:type="dxa"/>
            <w:vMerge w:val="continue"/>
            <w:tcBorders>
              <w:tl2br w:val="nil"/>
              <w:tr2bl w:val="nil"/>
            </w:tcBorders>
            <w:vAlign w:val="center"/>
          </w:tcPr>
          <w:p w14:paraId="4171F64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center"/>
              <w:textAlignment w:val="center"/>
              <w:rPr>
                <w:rFonts w:ascii="仿宋_GB2312" w:hAnsi="宋体" w:eastAsia="仿宋_GB2312" w:cs="Times New Roman"/>
                <w:color w:val="auto"/>
                <w:kern w:val="0"/>
                <w:sz w:val="13"/>
                <w:szCs w:val="13"/>
                <w:highlight w:val="none"/>
              </w:rPr>
            </w:pPr>
          </w:p>
        </w:tc>
        <w:tc>
          <w:tcPr>
            <w:tcW w:w="823" w:type="dxa"/>
            <w:vMerge w:val="continue"/>
            <w:tcBorders>
              <w:tl2br w:val="nil"/>
              <w:tr2bl w:val="nil"/>
            </w:tcBorders>
            <w:tcMar>
              <w:top w:w="15" w:type="dxa"/>
              <w:left w:w="15" w:type="dxa"/>
              <w:bottom w:w="15" w:type="dxa"/>
              <w:right w:w="15" w:type="dxa"/>
            </w:tcMar>
            <w:vAlign w:val="center"/>
          </w:tcPr>
          <w:p w14:paraId="5227A83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Times New Roman"/>
                <w:color w:val="auto"/>
                <w:kern w:val="0"/>
                <w:sz w:val="13"/>
                <w:szCs w:val="13"/>
                <w:highlight w:val="none"/>
              </w:rPr>
            </w:pPr>
          </w:p>
        </w:tc>
        <w:tc>
          <w:tcPr>
            <w:tcW w:w="3437" w:type="dxa"/>
            <w:gridSpan w:val="2"/>
            <w:tcBorders>
              <w:tl2br w:val="nil"/>
              <w:tr2bl w:val="nil"/>
            </w:tcBorders>
            <w:tcMar>
              <w:top w:w="15" w:type="dxa"/>
              <w:left w:w="15" w:type="dxa"/>
              <w:bottom w:w="15" w:type="dxa"/>
              <w:right w:w="15" w:type="dxa"/>
            </w:tcMar>
            <w:vAlign w:val="center"/>
          </w:tcPr>
          <w:p w14:paraId="1164A16B">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rPr>
                <w:rFonts w:ascii="仿宋_GB2312" w:hAnsi="宋体" w:eastAsia="仿宋_GB2312" w:cs="Times New Roman"/>
                <w:color w:val="auto"/>
                <w:kern w:val="0"/>
                <w:sz w:val="13"/>
                <w:szCs w:val="13"/>
                <w:highlight w:val="none"/>
              </w:rPr>
            </w:pPr>
            <w:r>
              <w:rPr>
                <w:rFonts w:hint="eastAsia" w:ascii="仿宋_GB2312" w:hAnsi="宋体" w:eastAsia="仿宋_GB2312"/>
                <w:color w:val="auto"/>
                <w:kern w:val="0"/>
                <w:sz w:val="13"/>
                <w:szCs w:val="13"/>
                <w:highlight w:val="none"/>
              </w:rPr>
              <w:t>（3）造成3人以上5人以下死亡，或者10人以上20人以下重伤，或者1000万元以上2000万元以下直接经济损失的。</w:t>
            </w:r>
          </w:p>
        </w:tc>
        <w:tc>
          <w:tcPr>
            <w:tcW w:w="3058" w:type="dxa"/>
            <w:tcBorders>
              <w:tl2br w:val="nil"/>
              <w:tr2bl w:val="nil"/>
            </w:tcBorders>
            <w:tcMar>
              <w:top w:w="15" w:type="dxa"/>
              <w:left w:w="15" w:type="dxa"/>
              <w:bottom w:w="15" w:type="dxa"/>
              <w:right w:w="15" w:type="dxa"/>
            </w:tcMar>
            <w:vAlign w:val="center"/>
          </w:tcPr>
          <w:p w14:paraId="3AA890B4">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处合同约定的勘察费、设计费1</w:t>
            </w:r>
            <w:r>
              <w:rPr>
                <w:rFonts w:ascii="仿宋_GB2312" w:hAnsi="宋体" w:eastAsia="仿宋_GB2312" w:cs="Times New Roman"/>
                <w:color w:val="auto"/>
                <w:kern w:val="0"/>
                <w:sz w:val="13"/>
                <w:szCs w:val="13"/>
                <w:highlight w:val="none"/>
              </w:rPr>
              <w:t>.</w:t>
            </w:r>
            <w:r>
              <w:rPr>
                <w:rFonts w:hint="eastAsia" w:ascii="仿宋_GB2312" w:hAnsi="宋体" w:eastAsia="仿宋_GB2312" w:cs="Times New Roman"/>
                <w:color w:val="auto"/>
                <w:kern w:val="0"/>
                <w:sz w:val="13"/>
                <w:szCs w:val="13"/>
                <w:highlight w:val="none"/>
              </w:rPr>
              <w:t>5倍以上2倍以下的罚款，有违法所得的，予以没收；责令停业整顿</w:t>
            </w:r>
            <w:r>
              <w:rPr>
                <w:rFonts w:hint="eastAsia" w:ascii="仿宋_GB2312" w:hAnsi="宋体" w:eastAsia="仿宋_GB2312" w:cs="Times New Roman"/>
                <w:color w:val="auto"/>
                <w:kern w:val="0"/>
                <w:sz w:val="13"/>
                <w:szCs w:val="13"/>
                <w:highlight w:val="none"/>
                <w:lang w:eastAsia="zh-CN"/>
              </w:rPr>
              <w:t>60日-</w:t>
            </w:r>
            <w:r>
              <w:rPr>
                <w:rFonts w:hint="eastAsia" w:ascii="仿宋_GB2312" w:hAnsi="宋体" w:eastAsia="仿宋_GB2312" w:cs="Times New Roman"/>
                <w:color w:val="auto"/>
                <w:kern w:val="0"/>
                <w:sz w:val="13"/>
                <w:szCs w:val="13"/>
                <w:highlight w:val="none"/>
              </w:rPr>
              <w:t>90日。</w:t>
            </w:r>
          </w:p>
        </w:tc>
      </w:tr>
      <w:tr w14:paraId="777E232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47" w:hRule="atLeast"/>
          <w:jc w:val="center"/>
        </w:trPr>
        <w:tc>
          <w:tcPr>
            <w:tcW w:w="443" w:type="dxa"/>
            <w:gridSpan w:val="2"/>
            <w:vMerge w:val="continue"/>
            <w:tcBorders>
              <w:tl2br w:val="nil"/>
              <w:tr2bl w:val="nil"/>
            </w:tcBorders>
            <w:vAlign w:val="center"/>
          </w:tcPr>
          <w:p w14:paraId="50AEB51E">
            <w:pPr>
              <w:pStyle w:val="37"/>
              <w:keepNext w:val="0"/>
              <w:keepLines w:val="0"/>
              <w:pageBreakBefore w:val="0"/>
              <w:numPr>
                <w:ilvl w:val="0"/>
                <w:numId w:val="4"/>
              </w:numPr>
              <w:kinsoku/>
              <w:overflowPunct/>
              <w:topLinePunct w:val="0"/>
              <w:autoSpaceDE/>
              <w:autoSpaceDN/>
              <w:bidi w:val="0"/>
              <w:adjustRightInd/>
              <w:snapToGrid/>
              <w:spacing w:beforeAutospacing="0" w:afterAutospacing="0" w:line="260" w:lineRule="exact"/>
              <w:ind w:left="0" w:leftChars="0" w:right="0" w:rightChars="0" w:firstLineChars="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781B98E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center"/>
              <w:rPr>
                <w:rFonts w:ascii="仿宋_GB2312" w:hAnsi="宋体" w:eastAsia="仿宋_GB2312" w:cs="Times New Roman"/>
                <w:color w:val="auto"/>
                <w:sz w:val="13"/>
                <w:szCs w:val="13"/>
                <w:highlight w:val="none"/>
              </w:rPr>
            </w:pPr>
          </w:p>
        </w:tc>
        <w:tc>
          <w:tcPr>
            <w:tcW w:w="4820" w:type="dxa"/>
            <w:vMerge w:val="continue"/>
            <w:tcBorders>
              <w:tl2br w:val="nil"/>
              <w:tr2bl w:val="nil"/>
            </w:tcBorders>
            <w:vAlign w:val="center"/>
          </w:tcPr>
          <w:p w14:paraId="6EDF442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center"/>
              <w:textAlignment w:val="center"/>
              <w:rPr>
                <w:rFonts w:ascii="仿宋_GB2312" w:hAnsi="宋体" w:eastAsia="仿宋_GB2312" w:cs="Times New Roman"/>
                <w:color w:val="auto"/>
                <w:kern w:val="0"/>
                <w:sz w:val="13"/>
                <w:szCs w:val="13"/>
                <w:highlight w:val="none"/>
              </w:rPr>
            </w:pPr>
          </w:p>
        </w:tc>
        <w:tc>
          <w:tcPr>
            <w:tcW w:w="823" w:type="dxa"/>
            <w:vMerge w:val="continue"/>
            <w:tcBorders>
              <w:tl2br w:val="nil"/>
              <w:tr2bl w:val="nil"/>
            </w:tcBorders>
            <w:tcMar>
              <w:top w:w="15" w:type="dxa"/>
              <w:left w:w="15" w:type="dxa"/>
              <w:bottom w:w="15" w:type="dxa"/>
              <w:right w:w="15" w:type="dxa"/>
            </w:tcMar>
            <w:vAlign w:val="center"/>
          </w:tcPr>
          <w:p w14:paraId="7A551A8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Times New Roman"/>
                <w:color w:val="auto"/>
                <w:kern w:val="0"/>
                <w:sz w:val="13"/>
                <w:szCs w:val="13"/>
                <w:highlight w:val="none"/>
              </w:rPr>
            </w:pPr>
          </w:p>
        </w:tc>
        <w:tc>
          <w:tcPr>
            <w:tcW w:w="3437" w:type="dxa"/>
            <w:gridSpan w:val="2"/>
            <w:tcBorders>
              <w:tl2br w:val="nil"/>
              <w:tr2bl w:val="nil"/>
            </w:tcBorders>
            <w:tcMar>
              <w:top w:w="15" w:type="dxa"/>
              <w:left w:w="15" w:type="dxa"/>
              <w:bottom w:w="15" w:type="dxa"/>
              <w:right w:w="15" w:type="dxa"/>
            </w:tcMar>
            <w:vAlign w:val="center"/>
          </w:tcPr>
          <w:p w14:paraId="3463D9A2">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rPr>
                <w:rFonts w:ascii="仿宋_GB2312" w:hAnsi="宋体" w:eastAsia="仿宋_GB2312" w:cs="Times New Roman"/>
                <w:color w:val="auto"/>
                <w:kern w:val="0"/>
                <w:sz w:val="13"/>
                <w:szCs w:val="13"/>
                <w:highlight w:val="none"/>
              </w:rPr>
            </w:pPr>
            <w:r>
              <w:rPr>
                <w:rFonts w:hint="eastAsia" w:ascii="仿宋_GB2312" w:hAnsi="宋体" w:eastAsia="仿宋_GB2312"/>
                <w:color w:val="auto"/>
                <w:kern w:val="0"/>
                <w:sz w:val="13"/>
                <w:szCs w:val="13"/>
                <w:highlight w:val="none"/>
              </w:rPr>
              <w:t>（4）造成5人以上7人以下死亡，或者20人以上30人以下重伤，或者2000万元以上3000万元以下直接经济损失的。</w:t>
            </w:r>
          </w:p>
        </w:tc>
        <w:tc>
          <w:tcPr>
            <w:tcW w:w="3058" w:type="dxa"/>
            <w:tcBorders>
              <w:tl2br w:val="nil"/>
              <w:tr2bl w:val="nil"/>
            </w:tcBorders>
            <w:tcMar>
              <w:top w:w="15" w:type="dxa"/>
              <w:left w:w="15" w:type="dxa"/>
              <w:bottom w:w="15" w:type="dxa"/>
              <w:right w:w="15" w:type="dxa"/>
            </w:tcMar>
            <w:vAlign w:val="center"/>
          </w:tcPr>
          <w:p w14:paraId="48DB9D4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处合同约定的勘察费、设计费1</w:t>
            </w:r>
            <w:r>
              <w:rPr>
                <w:rFonts w:ascii="仿宋_GB2312" w:hAnsi="宋体" w:eastAsia="仿宋_GB2312" w:cs="Times New Roman"/>
                <w:color w:val="auto"/>
                <w:kern w:val="0"/>
                <w:sz w:val="13"/>
                <w:szCs w:val="13"/>
                <w:highlight w:val="none"/>
              </w:rPr>
              <w:t>.</w:t>
            </w:r>
            <w:r>
              <w:rPr>
                <w:rFonts w:hint="eastAsia" w:ascii="仿宋_GB2312" w:hAnsi="宋体" w:eastAsia="仿宋_GB2312" w:cs="Times New Roman"/>
                <w:color w:val="auto"/>
                <w:kern w:val="0"/>
                <w:sz w:val="13"/>
                <w:szCs w:val="13"/>
                <w:highlight w:val="none"/>
              </w:rPr>
              <w:t>5倍以上2倍以下的罚款，有违法所得的，予以没收；责令停业整顿</w:t>
            </w:r>
            <w:r>
              <w:rPr>
                <w:rFonts w:hint="eastAsia" w:ascii="仿宋_GB2312" w:hAnsi="宋体" w:eastAsia="仿宋_GB2312" w:cs="Times New Roman"/>
                <w:color w:val="auto"/>
                <w:kern w:val="0"/>
                <w:sz w:val="13"/>
                <w:szCs w:val="13"/>
                <w:highlight w:val="none"/>
                <w:lang w:eastAsia="zh-CN"/>
              </w:rPr>
              <w:t>90日-</w:t>
            </w:r>
            <w:r>
              <w:rPr>
                <w:rFonts w:hint="eastAsia" w:ascii="仿宋_GB2312" w:hAnsi="宋体" w:eastAsia="仿宋_GB2312" w:cs="Times New Roman"/>
                <w:color w:val="auto"/>
                <w:kern w:val="0"/>
                <w:sz w:val="13"/>
                <w:szCs w:val="13"/>
                <w:highlight w:val="none"/>
              </w:rPr>
              <w:t>120日。</w:t>
            </w:r>
          </w:p>
        </w:tc>
      </w:tr>
      <w:tr w14:paraId="79A30C9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47" w:hRule="atLeast"/>
          <w:jc w:val="center"/>
        </w:trPr>
        <w:tc>
          <w:tcPr>
            <w:tcW w:w="443" w:type="dxa"/>
            <w:gridSpan w:val="2"/>
            <w:vMerge w:val="continue"/>
            <w:tcBorders>
              <w:tl2br w:val="nil"/>
              <w:tr2bl w:val="nil"/>
            </w:tcBorders>
            <w:vAlign w:val="center"/>
          </w:tcPr>
          <w:p w14:paraId="08CF367C">
            <w:pPr>
              <w:pStyle w:val="37"/>
              <w:keepNext w:val="0"/>
              <w:keepLines w:val="0"/>
              <w:pageBreakBefore w:val="0"/>
              <w:widowControl/>
              <w:numPr>
                <w:ilvl w:val="0"/>
                <w:numId w:val="4"/>
              </w:numPr>
              <w:kinsoku/>
              <w:overflowPunct/>
              <w:topLinePunct w:val="0"/>
              <w:autoSpaceDE/>
              <w:autoSpaceDN/>
              <w:bidi w:val="0"/>
              <w:adjustRightInd/>
              <w:snapToGrid/>
              <w:spacing w:beforeAutospacing="0" w:afterAutospacing="0" w:line="260" w:lineRule="exact"/>
              <w:ind w:left="0" w:leftChars="0" w:right="0" w:rightChars="0" w:firstLineChars="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6507B68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center"/>
              <w:rPr>
                <w:rFonts w:ascii="仿宋_GB2312" w:hAnsi="宋体" w:eastAsia="仿宋_GB2312" w:cs="Times New Roman"/>
                <w:color w:val="auto"/>
                <w:sz w:val="13"/>
                <w:szCs w:val="13"/>
                <w:highlight w:val="none"/>
              </w:rPr>
            </w:pPr>
          </w:p>
        </w:tc>
        <w:tc>
          <w:tcPr>
            <w:tcW w:w="4820" w:type="dxa"/>
            <w:vMerge w:val="continue"/>
            <w:tcBorders>
              <w:tl2br w:val="nil"/>
              <w:tr2bl w:val="nil"/>
            </w:tcBorders>
            <w:vAlign w:val="center"/>
          </w:tcPr>
          <w:p w14:paraId="06D1C5D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center"/>
              <w:textAlignment w:val="center"/>
              <w:rPr>
                <w:rFonts w:ascii="仿宋_GB2312" w:hAnsi="宋体" w:eastAsia="仿宋_GB2312" w:cs="Times New Roman"/>
                <w:color w:val="auto"/>
                <w:kern w:val="0"/>
                <w:sz w:val="13"/>
                <w:szCs w:val="13"/>
                <w:highlight w:val="none"/>
              </w:rPr>
            </w:pPr>
          </w:p>
        </w:tc>
        <w:tc>
          <w:tcPr>
            <w:tcW w:w="823" w:type="dxa"/>
            <w:vMerge w:val="continue"/>
            <w:tcBorders>
              <w:tl2br w:val="nil"/>
              <w:tr2bl w:val="nil"/>
            </w:tcBorders>
            <w:tcMar>
              <w:top w:w="15" w:type="dxa"/>
              <w:left w:w="15" w:type="dxa"/>
              <w:bottom w:w="15" w:type="dxa"/>
              <w:right w:w="15" w:type="dxa"/>
            </w:tcMar>
            <w:vAlign w:val="center"/>
          </w:tcPr>
          <w:p w14:paraId="236C97C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Times New Roman"/>
                <w:color w:val="auto"/>
                <w:kern w:val="0"/>
                <w:sz w:val="13"/>
                <w:szCs w:val="13"/>
                <w:highlight w:val="none"/>
              </w:rPr>
            </w:pPr>
          </w:p>
        </w:tc>
        <w:tc>
          <w:tcPr>
            <w:tcW w:w="3437" w:type="dxa"/>
            <w:gridSpan w:val="2"/>
            <w:tcBorders>
              <w:tl2br w:val="nil"/>
              <w:tr2bl w:val="nil"/>
            </w:tcBorders>
            <w:tcMar>
              <w:top w:w="15" w:type="dxa"/>
              <w:left w:w="15" w:type="dxa"/>
              <w:bottom w:w="15" w:type="dxa"/>
              <w:right w:w="15" w:type="dxa"/>
            </w:tcMar>
            <w:vAlign w:val="center"/>
          </w:tcPr>
          <w:p w14:paraId="485C9B42">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rPr>
                <w:rFonts w:ascii="仿宋_GB2312" w:hAnsi="宋体" w:eastAsia="仿宋_GB2312" w:cs="Times New Roman"/>
                <w:color w:val="auto"/>
                <w:kern w:val="0"/>
                <w:sz w:val="13"/>
                <w:szCs w:val="13"/>
                <w:highlight w:val="none"/>
              </w:rPr>
            </w:pPr>
            <w:r>
              <w:rPr>
                <w:rFonts w:hint="eastAsia" w:ascii="仿宋_GB2312" w:hAnsi="宋体" w:eastAsia="仿宋_GB2312"/>
                <w:color w:val="auto"/>
                <w:kern w:val="0"/>
                <w:sz w:val="13"/>
                <w:szCs w:val="13"/>
                <w:highlight w:val="none"/>
              </w:rPr>
              <w:t>（5）造成7人以上10人以下死亡，或者30人以上50人以下重伤，或者3000万元以上5000万元以下直接经济损失的。</w:t>
            </w:r>
          </w:p>
        </w:tc>
        <w:tc>
          <w:tcPr>
            <w:tcW w:w="3058" w:type="dxa"/>
            <w:tcBorders>
              <w:tl2br w:val="nil"/>
              <w:tr2bl w:val="nil"/>
            </w:tcBorders>
            <w:tcMar>
              <w:top w:w="15" w:type="dxa"/>
              <w:left w:w="15" w:type="dxa"/>
              <w:bottom w:w="15" w:type="dxa"/>
              <w:right w:w="15" w:type="dxa"/>
            </w:tcMar>
            <w:vAlign w:val="center"/>
          </w:tcPr>
          <w:p w14:paraId="1743E44F">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处合同约定的勘察费、设计费2倍的罚款，有违法所得的，予以没收；责令停业整顿</w:t>
            </w:r>
            <w:r>
              <w:rPr>
                <w:rFonts w:hint="eastAsia" w:ascii="仿宋_GB2312" w:hAnsi="宋体" w:eastAsia="仿宋_GB2312" w:cs="Times New Roman"/>
                <w:color w:val="auto"/>
                <w:kern w:val="0"/>
                <w:sz w:val="13"/>
                <w:szCs w:val="13"/>
                <w:highlight w:val="none"/>
                <w:lang w:eastAsia="zh-CN"/>
              </w:rPr>
              <w:t>120日-</w:t>
            </w:r>
            <w:r>
              <w:rPr>
                <w:rFonts w:hint="eastAsia" w:ascii="仿宋_GB2312" w:hAnsi="宋体" w:eastAsia="仿宋_GB2312" w:cs="Times New Roman"/>
                <w:color w:val="auto"/>
                <w:kern w:val="0"/>
                <w:sz w:val="13"/>
                <w:szCs w:val="13"/>
                <w:highlight w:val="none"/>
              </w:rPr>
              <w:t>180日。</w:t>
            </w:r>
          </w:p>
        </w:tc>
      </w:tr>
      <w:tr w14:paraId="2EC550A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25" w:hRule="atLeast"/>
          <w:jc w:val="center"/>
        </w:trPr>
        <w:tc>
          <w:tcPr>
            <w:tcW w:w="443" w:type="dxa"/>
            <w:gridSpan w:val="2"/>
            <w:vMerge w:val="continue"/>
            <w:tcBorders>
              <w:tl2br w:val="nil"/>
              <w:tr2bl w:val="nil"/>
            </w:tcBorders>
            <w:vAlign w:val="center"/>
          </w:tcPr>
          <w:p w14:paraId="16E0328E">
            <w:pPr>
              <w:pStyle w:val="37"/>
              <w:keepNext w:val="0"/>
              <w:keepLines w:val="0"/>
              <w:pageBreakBefore w:val="0"/>
              <w:widowControl/>
              <w:numPr>
                <w:ilvl w:val="0"/>
                <w:numId w:val="4"/>
              </w:numPr>
              <w:kinsoku/>
              <w:overflowPunct/>
              <w:topLinePunct w:val="0"/>
              <w:autoSpaceDE/>
              <w:autoSpaceDN/>
              <w:bidi w:val="0"/>
              <w:adjustRightInd/>
              <w:snapToGrid/>
              <w:spacing w:beforeAutospacing="0" w:afterAutospacing="0" w:line="260" w:lineRule="exact"/>
              <w:ind w:left="0" w:leftChars="0" w:right="0" w:rightChars="0" w:firstLineChars="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4FD89DD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center"/>
              <w:rPr>
                <w:rFonts w:ascii="仿宋_GB2312" w:hAnsi="宋体" w:eastAsia="仿宋_GB2312" w:cs="Times New Roman"/>
                <w:color w:val="auto"/>
                <w:sz w:val="13"/>
                <w:szCs w:val="13"/>
                <w:highlight w:val="none"/>
              </w:rPr>
            </w:pPr>
          </w:p>
        </w:tc>
        <w:tc>
          <w:tcPr>
            <w:tcW w:w="4820" w:type="dxa"/>
            <w:vMerge w:val="continue"/>
            <w:tcBorders>
              <w:tl2br w:val="nil"/>
              <w:tr2bl w:val="nil"/>
            </w:tcBorders>
            <w:vAlign w:val="center"/>
          </w:tcPr>
          <w:p w14:paraId="00525EE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center"/>
              <w:textAlignment w:val="center"/>
              <w:rPr>
                <w:rFonts w:ascii="仿宋_GB2312" w:hAnsi="宋体" w:eastAsia="仿宋_GB2312" w:cs="Times New Roman"/>
                <w:color w:val="auto"/>
                <w:kern w:val="0"/>
                <w:sz w:val="13"/>
                <w:szCs w:val="13"/>
                <w:highlight w:val="none"/>
              </w:rPr>
            </w:pPr>
          </w:p>
        </w:tc>
        <w:tc>
          <w:tcPr>
            <w:tcW w:w="823" w:type="dxa"/>
            <w:vMerge w:val="continue"/>
            <w:tcBorders>
              <w:tl2br w:val="nil"/>
              <w:tr2bl w:val="nil"/>
            </w:tcBorders>
            <w:tcMar>
              <w:top w:w="15" w:type="dxa"/>
              <w:left w:w="15" w:type="dxa"/>
              <w:bottom w:w="15" w:type="dxa"/>
              <w:right w:w="15" w:type="dxa"/>
            </w:tcMar>
            <w:vAlign w:val="center"/>
          </w:tcPr>
          <w:p w14:paraId="311737C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Times New Roman"/>
                <w:color w:val="auto"/>
                <w:kern w:val="0"/>
                <w:sz w:val="13"/>
                <w:szCs w:val="13"/>
                <w:highlight w:val="none"/>
              </w:rPr>
            </w:pPr>
          </w:p>
        </w:tc>
        <w:tc>
          <w:tcPr>
            <w:tcW w:w="3437" w:type="dxa"/>
            <w:gridSpan w:val="2"/>
            <w:tcBorders>
              <w:tl2br w:val="nil"/>
              <w:tr2bl w:val="nil"/>
            </w:tcBorders>
            <w:tcMar>
              <w:top w:w="15" w:type="dxa"/>
              <w:left w:w="15" w:type="dxa"/>
              <w:bottom w:w="15" w:type="dxa"/>
              <w:right w:w="15" w:type="dxa"/>
            </w:tcMar>
            <w:vAlign w:val="center"/>
          </w:tcPr>
          <w:p w14:paraId="302B0458">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rPr>
                <w:rFonts w:ascii="仿宋_GB2312" w:hAnsi="宋体" w:eastAsia="仿宋_GB2312" w:cs="Times New Roman"/>
                <w:color w:val="auto"/>
                <w:kern w:val="0"/>
                <w:sz w:val="13"/>
                <w:szCs w:val="13"/>
                <w:highlight w:val="none"/>
              </w:rPr>
            </w:pPr>
            <w:r>
              <w:rPr>
                <w:rFonts w:hint="eastAsia" w:ascii="仿宋_GB2312" w:hAnsi="宋体" w:eastAsia="仿宋_GB2312"/>
                <w:color w:val="auto"/>
                <w:kern w:val="0"/>
                <w:sz w:val="13"/>
                <w:szCs w:val="13"/>
                <w:highlight w:val="none"/>
              </w:rPr>
              <w:t>（6）造成重大质量安全事故的；</w:t>
            </w:r>
            <w:r>
              <w:rPr>
                <w:rFonts w:hint="eastAsia" w:ascii="仿宋_GB2312" w:hAnsi="宋体" w:eastAsia="仿宋_GB2312"/>
                <w:color w:val="auto"/>
                <w:kern w:val="0"/>
                <w:sz w:val="13"/>
                <w:szCs w:val="13"/>
                <w:highlight w:val="none"/>
                <w:lang w:val="en-US" w:eastAsia="zh-CN"/>
              </w:rPr>
              <w:t>或</w:t>
            </w:r>
            <w:r>
              <w:rPr>
                <w:rFonts w:hint="eastAsia" w:ascii="仿宋_GB2312" w:hAnsi="宋体" w:eastAsia="仿宋_GB2312"/>
                <w:color w:val="auto"/>
                <w:kern w:val="0"/>
                <w:sz w:val="13"/>
                <w:szCs w:val="13"/>
                <w:highlight w:val="none"/>
              </w:rPr>
              <w:t>造成分部工程存在严重缺陷，经返修和加固处理仍不能满足安全使用要求的</w:t>
            </w:r>
            <w:r>
              <w:rPr>
                <w:rFonts w:hint="eastAsia" w:ascii="仿宋_GB2312" w:hAnsi="宋体" w:eastAsia="仿宋_GB2312"/>
                <w:color w:val="auto"/>
                <w:kern w:val="0"/>
                <w:sz w:val="13"/>
                <w:szCs w:val="13"/>
                <w:highlight w:val="none"/>
                <w:lang w:eastAsia="zh-CN"/>
              </w:rPr>
              <w:t>；</w:t>
            </w:r>
            <w:r>
              <w:rPr>
                <w:rFonts w:hint="eastAsia" w:ascii="仿宋_GB2312" w:hAnsi="宋体" w:eastAsia="仿宋_GB2312"/>
                <w:color w:val="auto"/>
                <w:kern w:val="0"/>
                <w:sz w:val="13"/>
                <w:szCs w:val="13"/>
                <w:highlight w:val="none"/>
                <w:lang w:val="en-US" w:eastAsia="zh-CN"/>
              </w:rPr>
              <w:t>或造成特别严重社会影响。</w:t>
            </w:r>
          </w:p>
        </w:tc>
        <w:tc>
          <w:tcPr>
            <w:tcW w:w="3058" w:type="dxa"/>
            <w:tcBorders>
              <w:tl2br w:val="nil"/>
              <w:tr2bl w:val="nil"/>
            </w:tcBorders>
            <w:tcMar>
              <w:top w:w="15" w:type="dxa"/>
              <w:left w:w="15" w:type="dxa"/>
              <w:bottom w:w="15" w:type="dxa"/>
              <w:right w:w="15" w:type="dxa"/>
            </w:tcMar>
            <w:vAlign w:val="center"/>
          </w:tcPr>
          <w:p w14:paraId="7A18EB6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处合同约定的勘察费、设计费2倍的罚款，有违法所得的，予以没收；降低资质等级。</w:t>
            </w:r>
          </w:p>
        </w:tc>
      </w:tr>
      <w:tr w14:paraId="226ECE1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25" w:hRule="atLeast"/>
          <w:jc w:val="center"/>
        </w:trPr>
        <w:tc>
          <w:tcPr>
            <w:tcW w:w="443" w:type="dxa"/>
            <w:gridSpan w:val="2"/>
            <w:vMerge w:val="continue"/>
            <w:tcBorders>
              <w:tl2br w:val="nil"/>
              <w:tr2bl w:val="nil"/>
            </w:tcBorders>
            <w:vAlign w:val="center"/>
          </w:tcPr>
          <w:p w14:paraId="64EF2E5C">
            <w:pPr>
              <w:pStyle w:val="37"/>
              <w:keepNext w:val="0"/>
              <w:keepLines w:val="0"/>
              <w:pageBreakBefore w:val="0"/>
              <w:widowControl/>
              <w:numPr>
                <w:ilvl w:val="0"/>
                <w:numId w:val="4"/>
              </w:numPr>
              <w:kinsoku/>
              <w:overflowPunct/>
              <w:topLinePunct w:val="0"/>
              <w:autoSpaceDE/>
              <w:autoSpaceDN/>
              <w:bidi w:val="0"/>
              <w:adjustRightInd/>
              <w:snapToGrid/>
              <w:spacing w:beforeAutospacing="0" w:afterAutospacing="0" w:line="260" w:lineRule="exact"/>
              <w:ind w:left="0" w:leftChars="0" w:right="0" w:rightChars="0" w:firstLineChars="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349B0DC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center"/>
              <w:rPr>
                <w:rFonts w:ascii="仿宋_GB2312" w:hAnsi="宋体" w:eastAsia="仿宋_GB2312" w:cs="Times New Roman"/>
                <w:color w:val="auto"/>
                <w:sz w:val="13"/>
                <w:szCs w:val="13"/>
                <w:highlight w:val="none"/>
              </w:rPr>
            </w:pPr>
          </w:p>
        </w:tc>
        <w:tc>
          <w:tcPr>
            <w:tcW w:w="4820" w:type="dxa"/>
            <w:vMerge w:val="continue"/>
            <w:tcBorders>
              <w:tl2br w:val="nil"/>
              <w:tr2bl w:val="nil"/>
            </w:tcBorders>
            <w:vAlign w:val="center"/>
          </w:tcPr>
          <w:p w14:paraId="7DFEBD4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center"/>
              <w:textAlignment w:val="center"/>
              <w:rPr>
                <w:rFonts w:ascii="仿宋_GB2312" w:hAnsi="宋体" w:eastAsia="仿宋_GB2312" w:cs="Times New Roman"/>
                <w:color w:val="auto"/>
                <w:kern w:val="0"/>
                <w:sz w:val="13"/>
                <w:szCs w:val="13"/>
                <w:highlight w:val="none"/>
              </w:rPr>
            </w:pPr>
          </w:p>
        </w:tc>
        <w:tc>
          <w:tcPr>
            <w:tcW w:w="823" w:type="dxa"/>
            <w:vMerge w:val="continue"/>
            <w:tcBorders>
              <w:tl2br w:val="nil"/>
              <w:tr2bl w:val="nil"/>
            </w:tcBorders>
            <w:tcMar>
              <w:top w:w="15" w:type="dxa"/>
              <w:left w:w="15" w:type="dxa"/>
              <w:bottom w:w="15" w:type="dxa"/>
              <w:right w:w="15" w:type="dxa"/>
            </w:tcMar>
            <w:vAlign w:val="center"/>
          </w:tcPr>
          <w:p w14:paraId="6A5D9DC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Times New Roman"/>
                <w:color w:val="auto"/>
                <w:kern w:val="0"/>
                <w:sz w:val="13"/>
                <w:szCs w:val="13"/>
                <w:highlight w:val="none"/>
              </w:rPr>
            </w:pPr>
          </w:p>
        </w:tc>
        <w:tc>
          <w:tcPr>
            <w:tcW w:w="3437" w:type="dxa"/>
            <w:gridSpan w:val="2"/>
            <w:tcBorders>
              <w:tl2br w:val="nil"/>
              <w:tr2bl w:val="nil"/>
            </w:tcBorders>
            <w:tcMar>
              <w:top w:w="15" w:type="dxa"/>
              <w:left w:w="15" w:type="dxa"/>
              <w:bottom w:w="15" w:type="dxa"/>
              <w:right w:w="15" w:type="dxa"/>
            </w:tcMar>
            <w:vAlign w:val="center"/>
          </w:tcPr>
          <w:p w14:paraId="4EBBDD8B">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rPr>
                <w:rFonts w:ascii="仿宋_GB2312" w:hAnsi="宋体" w:eastAsia="仿宋_GB2312" w:cs="Times New Roman"/>
                <w:color w:val="auto"/>
                <w:kern w:val="0"/>
                <w:sz w:val="13"/>
                <w:szCs w:val="13"/>
                <w:highlight w:val="none"/>
              </w:rPr>
            </w:pPr>
            <w:r>
              <w:rPr>
                <w:rFonts w:hint="eastAsia" w:ascii="仿宋_GB2312" w:hAnsi="宋体" w:eastAsia="仿宋_GB2312"/>
                <w:color w:val="auto"/>
                <w:kern w:val="0"/>
                <w:sz w:val="13"/>
                <w:szCs w:val="13"/>
                <w:highlight w:val="none"/>
              </w:rPr>
              <w:t>（7）造成特别重大质量安全事故的；</w:t>
            </w:r>
            <w:r>
              <w:rPr>
                <w:rFonts w:hint="eastAsia" w:ascii="仿宋" w:hAnsi="仿宋" w:eastAsia="仿宋"/>
                <w:color w:val="auto"/>
                <w:kern w:val="0"/>
                <w:sz w:val="13"/>
                <w:szCs w:val="13"/>
                <w:highlight w:val="none"/>
                <w:lang w:val="en-US" w:eastAsia="zh-CN"/>
              </w:rPr>
              <w:t>或</w:t>
            </w:r>
            <w:r>
              <w:rPr>
                <w:rFonts w:hint="eastAsia" w:ascii="仿宋_GB2312" w:hAnsi="宋体" w:eastAsia="仿宋_GB2312"/>
                <w:color w:val="auto"/>
                <w:kern w:val="0"/>
                <w:sz w:val="13"/>
                <w:szCs w:val="13"/>
                <w:highlight w:val="none"/>
              </w:rPr>
              <w:t>造成单位（子单位）工程存在严重缺陷，经返修和加固处理仍不能满足安全使用要求的</w:t>
            </w:r>
            <w:r>
              <w:rPr>
                <w:rFonts w:hint="eastAsia" w:ascii="仿宋_GB2312" w:hAnsi="宋体" w:eastAsia="仿宋_GB2312"/>
                <w:color w:val="auto"/>
                <w:kern w:val="0"/>
                <w:sz w:val="13"/>
                <w:szCs w:val="13"/>
                <w:highlight w:val="none"/>
                <w:lang w:eastAsia="zh-CN"/>
              </w:rPr>
              <w:t>；</w:t>
            </w:r>
            <w:r>
              <w:rPr>
                <w:rFonts w:hint="eastAsia" w:ascii="仿宋_GB2312" w:hAnsi="宋体" w:eastAsia="仿宋_GB2312"/>
                <w:color w:val="auto"/>
                <w:kern w:val="0"/>
                <w:sz w:val="13"/>
                <w:szCs w:val="13"/>
                <w:highlight w:val="none"/>
                <w:lang w:val="en-US" w:eastAsia="zh-CN"/>
              </w:rPr>
              <w:t>或造成特别严重社会影响。</w:t>
            </w:r>
          </w:p>
        </w:tc>
        <w:tc>
          <w:tcPr>
            <w:tcW w:w="3058" w:type="dxa"/>
            <w:tcBorders>
              <w:tl2br w:val="nil"/>
              <w:tr2bl w:val="nil"/>
            </w:tcBorders>
            <w:tcMar>
              <w:top w:w="15" w:type="dxa"/>
              <w:left w:w="15" w:type="dxa"/>
              <w:bottom w:w="15" w:type="dxa"/>
              <w:right w:w="15" w:type="dxa"/>
            </w:tcMar>
            <w:vAlign w:val="center"/>
          </w:tcPr>
          <w:p w14:paraId="10E15E6E">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处合同约定的勘察费、设计费2倍的罚款，有违法所得的，予以没收；吊销资质证书。</w:t>
            </w:r>
          </w:p>
        </w:tc>
      </w:tr>
      <w:tr w14:paraId="555D7AC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97" w:hRule="atLeast"/>
          <w:jc w:val="center"/>
        </w:trPr>
        <w:tc>
          <w:tcPr>
            <w:tcW w:w="443" w:type="dxa"/>
            <w:gridSpan w:val="2"/>
            <w:vMerge w:val="restart"/>
            <w:tcBorders>
              <w:tl2br w:val="nil"/>
              <w:tr2bl w:val="nil"/>
            </w:tcBorders>
            <w:vAlign w:val="center"/>
          </w:tcPr>
          <w:p w14:paraId="667C6234">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Times New Roman"/>
                <w:color w:val="auto"/>
                <w:sz w:val="13"/>
                <w:szCs w:val="13"/>
                <w:highlight w:val="none"/>
                <w:lang w:val="en-US"/>
              </w:rPr>
            </w:pPr>
            <w:r>
              <w:rPr>
                <w:rFonts w:hint="default" w:ascii="仿宋_GB2312" w:hAnsi="宋体" w:eastAsia="仿宋_GB2312" w:cs="仿宋_GB2312"/>
                <w:i w:val="0"/>
                <w:color w:val="auto"/>
                <w:kern w:val="0"/>
                <w:sz w:val="13"/>
                <w:szCs w:val="13"/>
                <w:highlight w:val="none"/>
                <w:u w:val="none"/>
                <w:lang w:val="en-US" w:eastAsia="zh-CN" w:bidi="ar"/>
              </w:rPr>
              <w:t>2</w:t>
            </w:r>
            <w:r>
              <w:rPr>
                <w:rFonts w:hint="eastAsia" w:ascii="仿宋_GB2312" w:hAnsi="宋体" w:eastAsia="仿宋_GB2312" w:cs="仿宋_GB2312"/>
                <w:i w:val="0"/>
                <w:color w:val="auto"/>
                <w:kern w:val="0"/>
                <w:sz w:val="13"/>
                <w:szCs w:val="13"/>
                <w:highlight w:val="none"/>
                <w:u w:val="none"/>
                <w:lang w:val="en-US" w:eastAsia="zh-CN" w:bidi="ar"/>
              </w:rPr>
              <w:t>19</w:t>
            </w:r>
          </w:p>
        </w:tc>
        <w:tc>
          <w:tcPr>
            <w:tcW w:w="1550" w:type="dxa"/>
            <w:vMerge w:val="restart"/>
            <w:tcBorders>
              <w:tl2br w:val="nil"/>
              <w:tr2bl w:val="nil"/>
            </w:tcBorders>
            <w:vAlign w:val="center"/>
          </w:tcPr>
          <w:p w14:paraId="2CC3869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s="Times New Roman"/>
                <w:color w:val="auto"/>
                <w:sz w:val="13"/>
                <w:szCs w:val="13"/>
                <w:highlight w:val="none"/>
              </w:rPr>
            </w:pPr>
            <w:r>
              <w:rPr>
                <w:rFonts w:hint="eastAsia" w:ascii="仿宋_GB2312" w:hAnsi="宋体" w:eastAsia="仿宋_GB2312"/>
                <w:color w:val="auto"/>
                <w:sz w:val="13"/>
                <w:szCs w:val="13"/>
                <w:highlight w:val="none"/>
              </w:rPr>
              <w:t>未经注册，擅自以注册建设工程勘察、设计人员的名义从事建设工程勘察、设计活动的</w:t>
            </w:r>
          </w:p>
        </w:tc>
        <w:tc>
          <w:tcPr>
            <w:tcW w:w="4820" w:type="dxa"/>
            <w:vMerge w:val="restart"/>
            <w:tcBorders>
              <w:tl2br w:val="nil"/>
              <w:tr2bl w:val="nil"/>
            </w:tcBorders>
            <w:vAlign w:val="center"/>
          </w:tcPr>
          <w:p w14:paraId="51342D3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olor w:val="auto"/>
                <w:kern w:val="0"/>
                <w:sz w:val="13"/>
                <w:szCs w:val="13"/>
                <w:highlight w:val="none"/>
              </w:rPr>
              <w:t>《建设工程勘察设计管理条例》第三十六条违反本条例规定，未经注册，擅自以注册建设工程勘察、设计人员的名义从事建设工程勘察、设计活动的，责令停止违法行为，没收违法所得，处违法所得2倍以上5倍以下罚款；给他人造成损失的，依法承担赔偿责任。</w:t>
            </w:r>
          </w:p>
        </w:tc>
        <w:tc>
          <w:tcPr>
            <w:tcW w:w="823" w:type="dxa"/>
            <w:tcBorders>
              <w:tl2br w:val="nil"/>
              <w:tr2bl w:val="nil"/>
            </w:tcBorders>
            <w:tcMar>
              <w:top w:w="15" w:type="dxa"/>
              <w:left w:w="15" w:type="dxa"/>
              <w:bottom w:w="15" w:type="dxa"/>
              <w:right w:w="15" w:type="dxa"/>
            </w:tcMar>
            <w:vAlign w:val="center"/>
          </w:tcPr>
          <w:p w14:paraId="7629391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Times New Roman"/>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tcMar>
              <w:top w:w="15" w:type="dxa"/>
              <w:left w:w="15" w:type="dxa"/>
              <w:bottom w:w="15" w:type="dxa"/>
              <w:right w:w="15" w:type="dxa"/>
            </w:tcMar>
            <w:vAlign w:val="center"/>
          </w:tcPr>
          <w:p w14:paraId="1E08E63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s="Times New Roman"/>
                <w:color w:val="auto"/>
                <w:sz w:val="13"/>
                <w:szCs w:val="13"/>
                <w:highlight w:val="none"/>
              </w:rPr>
            </w:pPr>
            <w:r>
              <w:rPr>
                <w:rFonts w:hint="eastAsia" w:ascii="仿宋_GB2312" w:hAnsi="宋体" w:eastAsia="仿宋_GB2312"/>
                <w:color w:val="auto"/>
                <w:kern w:val="0"/>
                <w:sz w:val="13"/>
                <w:szCs w:val="13"/>
                <w:highlight w:val="none"/>
              </w:rPr>
              <w:t>初次违法，消除或减轻违法行为危害后果的。</w:t>
            </w:r>
          </w:p>
        </w:tc>
        <w:tc>
          <w:tcPr>
            <w:tcW w:w="3058" w:type="dxa"/>
            <w:tcBorders>
              <w:tl2br w:val="nil"/>
              <w:tr2bl w:val="nil"/>
            </w:tcBorders>
            <w:tcMar>
              <w:top w:w="15" w:type="dxa"/>
              <w:left w:w="15" w:type="dxa"/>
              <w:bottom w:w="15" w:type="dxa"/>
              <w:right w:w="15" w:type="dxa"/>
            </w:tcMar>
            <w:vAlign w:val="center"/>
          </w:tcPr>
          <w:p w14:paraId="19AC393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s="Times New Roman"/>
                <w:color w:val="auto"/>
                <w:sz w:val="13"/>
                <w:szCs w:val="13"/>
                <w:highlight w:val="none"/>
              </w:rPr>
            </w:pPr>
            <w:r>
              <w:rPr>
                <w:rFonts w:hint="eastAsia" w:ascii="仿宋_GB2312" w:hAnsi="宋体" w:eastAsia="仿宋_GB2312" w:cs="Times New Roman"/>
                <w:color w:val="auto"/>
                <w:kern w:val="0"/>
                <w:sz w:val="13"/>
                <w:szCs w:val="13"/>
                <w:highlight w:val="none"/>
              </w:rPr>
              <w:t>责令停止违法行为，没收违法所得，处违法所得2倍的罚款。</w:t>
            </w:r>
          </w:p>
        </w:tc>
      </w:tr>
      <w:tr w14:paraId="2DC5CCE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97" w:hRule="atLeast"/>
          <w:jc w:val="center"/>
        </w:trPr>
        <w:tc>
          <w:tcPr>
            <w:tcW w:w="443" w:type="dxa"/>
            <w:gridSpan w:val="2"/>
            <w:vMerge w:val="continue"/>
            <w:tcBorders>
              <w:tl2br w:val="nil"/>
              <w:tr2bl w:val="nil"/>
            </w:tcBorders>
            <w:vAlign w:val="center"/>
          </w:tcPr>
          <w:p w14:paraId="3F6F4443">
            <w:pPr>
              <w:pStyle w:val="37"/>
              <w:keepNext w:val="0"/>
              <w:keepLines w:val="0"/>
              <w:pageBreakBefore w:val="0"/>
              <w:widowControl/>
              <w:numPr>
                <w:ilvl w:val="0"/>
                <w:numId w:val="4"/>
              </w:numPr>
              <w:kinsoku/>
              <w:overflowPunct/>
              <w:topLinePunct w:val="0"/>
              <w:autoSpaceDE/>
              <w:autoSpaceDN/>
              <w:bidi w:val="0"/>
              <w:adjustRightInd/>
              <w:snapToGrid/>
              <w:spacing w:beforeAutospacing="0" w:afterAutospacing="0" w:line="260" w:lineRule="exact"/>
              <w:ind w:left="0" w:leftChars="0" w:right="0" w:rightChars="0" w:firstLineChars="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3902834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s="Times New Roman"/>
                <w:color w:val="auto"/>
                <w:sz w:val="13"/>
                <w:szCs w:val="13"/>
                <w:highlight w:val="none"/>
              </w:rPr>
            </w:pPr>
          </w:p>
        </w:tc>
        <w:tc>
          <w:tcPr>
            <w:tcW w:w="4820" w:type="dxa"/>
            <w:vMerge w:val="continue"/>
            <w:tcBorders>
              <w:tl2br w:val="nil"/>
              <w:tr2bl w:val="nil"/>
            </w:tcBorders>
            <w:vAlign w:val="center"/>
          </w:tcPr>
          <w:p w14:paraId="3A2360E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s="Times New Roman"/>
                <w:color w:val="auto"/>
                <w:kern w:val="0"/>
                <w:sz w:val="13"/>
                <w:szCs w:val="13"/>
                <w:highlight w:val="none"/>
              </w:rPr>
            </w:pPr>
          </w:p>
        </w:tc>
        <w:tc>
          <w:tcPr>
            <w:tcW w:w="823" w:type="dxa"/>
            <w:tcBorders>
              <w:tl2br w:val="nil"/>
              <w:tr2bl w:val="nil"/>
            </w:tcBorders>
            <w:tcMar>
              <w:top w:w="15" w:type="dxa"/>
              <w:left w:w="15" w:type="dxa"/>
              <w:bottom w:w="15" w:type="dxa"/>
              <w:right w:w="15" w:type="dxa"/>
            </w:tcMar>
            <w:vAlign w:val="center"/>
          </w:tcPr>
          <w:p w14:paraId="75A3D6A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Times New Roman"/>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一般情节</w:t>
            </w:r>
          </w:p>
        </w:tc>
        <w:tc>
          <w:tcPr>
            <w:tcW w:w="3437" w:type="dxa"/>
            <w:gridSpan w:val="2"/>
            <w:tcBorders>
              <w:tl2br w:val="nil"/>
              <w:tr2bl w:val="nil"/>
            </w:tcBorders>
            <w:tcMar>
              <w:top w:w="15" w:type="dxa"/>
              <w:left w:w="15" w:type="dxa"/>
              <w:bottom w:w="15" w:type="dxa"/>
              <w:right w:w="15" w:type="dxa"/>
            </w:tcMar>
            <w:vAlign w:val="center"/>
          </w:tcPr>
          <w:p w14:paraId="7266E82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s="Times New Roman"/>
                <w:color w:val="auto"/>
                <w:sz w:val="13"/>
                <w:szCs w:val="13"/>
                <w:highlight w:val="none"/>
              </w:rPr>
            </w:pPr>
            <w:r>
              <w:rPr>
                <w:rFonts w:hint="eastAsia" w:ascii="仿宋_GB2312" w:hAnsi="宋体" w:eastAsia="仿宋_GB2312"/>
                <w:color w:val="auto"/>
                <w:sz w:val="13"/>
                <w:szCs w:val="13"/>
                <w:highlight w:val="none"/>
              </w:rPr>
              <w:t>未造成质量事故，不具有从轻、</w:t>
            </w:r>
            <w:r>
              <w:rPr>
                <w:rFonts w:hint="eastAsia" w:ascii="仿宋_GB2312" w:hAnsi="宋体" w:eastAsia="仿宋_GB2312"/>
                <w:color w:val="auto"/>
                <w:sz w:val="13"/>
                <w:szCs w:val="13"/>
                <w:highlight w:val="none"/>
                <w:lang w:eastAsia="zh-CN"/>
              </w:rPr>
              <w:t>从重情节</w:t>
            </w:r>
            <w:r>
              <w:rPr>
                <w:rFonts w:hint="eastAsia" w:ascii="仿宋_GB2312" w:hAnsi="宋体" w:eastAsia="仿宋_GB2312"/>
                <w:color w:val="auto"/>
                <w:sz w:val="13"/>
                <w:szCs w:val="13"/>
                <w:highlight w:val="none"/>
              </w:rPr>
              <w:t>的。</w:t>
            </w:r>
          </w:p>
        </w:tc>
        <w:tc>
          <w:tcPr>
            <w:tcW w:w="3058" w:type="dxa"/>
            <w:tcBorders>
              <w:tl2br w:val="nil"/>
              <w:tr2bl w:val="nil"/>
            </w:tcBorders>
            <w:tcMar>
              <w:top w:w="15" w:type="dxa"/>
              <w:left w:w="15" w:type="dxa"/>
              <w:bottom w:w="15" w:type="dxa"/>
              <w:right w:w="15" w:type="dxa"/>
            </w:tcMar>
            <w:vAlign w:val="center"/>
          </w:tcPr>
          <w:p w14:paraId="11E5071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s="Times New Roman"/>
                <w:color w:val="auto"/>
                <w:sz w:val="13"/>
                <w:szCs w:val="13"/>
                <w:highlight w:val="none"/>
              </w:rPr>
            </w:pPr>
            <w:r>
              <w:rPr>
                <w:rFonts w:hint="eastAsia" w:ascii="仿宋_GB2312" w:hAnsi="宋体" w:eastAsia="仿宋_GB2312" w:cs="Times New Roman"/>
                <w:color w:val="auto"/>
                <w:kern w:val="0"/>
                <w:sz w:val="13"/>
                <w:szCs w:val="13"/>
                <w:highlight w:val="none"/>
              </w:rPr>
              <w:t>责令停止违法行为，没收违法所得，处违法所得2倍以上3.5倍以下的罚款。</w:t>
            </w:r>
          </w:p>
        </w:tc>
      </w:tr>
      <w:tr w14:paraId="214E679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47" w:hRule="atLeast"/>
          <w:jc w:val="center"/>
        </w:trPr>
        <w:tc>
          <w:tcPr>
            <w:tcW w:w="443" w:type="dxa"/>
            <w:gridSpan w:val="2"/>
            <w:vMerge w:val="continue"/>
            <w:tcBorders>
              <w:tl2br w:val="nil"/>
              <w:tr2bl w:val="nil"/>
            </w:tcBorders>
            <w:vAlign w:val="center"/>
          </w:tcPr>
          <w:p w14:paraId="471B1783">
            <w:pPr>
              <w:pStyle w:val="37"/>
              <w:keepNext w:val="0"/>
              <w:keepLines w:val="0"/>
              <w:pageBreakBefore w:val="0"/>
              <w:widowControl/>
              <w:numPr>
                <w:ilvl w:val="0"/>
                <w:numId w:val="4"/>
              </w:numPr>
              <w:kinsoku/>
              <w:overflowPunct/>
              <w:topLinePunct w:val="0"/>
              <w:autoSpaceDE/>
              <w:autoSpaceDN/>
              <w:bidi w:val="0"/>
              <w:adjustRightInd/>
              <w:snapToGrid/>
              <w:spacing w:beforeAutospacing="0" w:afterAutospacing="0" w:line="260" w:lineRule="exact"/>
              <w:ind w:left="0" w:leftChars="0" w:right="0" w:rightChars="0" w:firstLineChars="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5AC1E0E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s="Times New Roman"/>
                <w:color w:val="auto"/>
                <w:sz w:val="13"/>
                <w:szCs w:val="13"/>
                <w:highlight w:val="none"/>
              </w:rPr>
            </w:pPr>
          </w:p>
        </w:tc>
        <w:tc>
          <w:tcPr>
            <w:tcW w:w="4820" w:type="dxa"/>
            <w:vMerge w:val="continue"/>
            <w:tcBorders>
              <w:tl2br w:val="nil"/>
              <w:tr2bl w:val="nil"/>
            </w:tcBorders>
            <w:vAlign w:val="center"/>
          </w:tcPr>
          <w:p w14:paraId="7952880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s="Times New Roman"/>
                <w:color w:val="auto"/>
                <w:kern w:val="0"/>
                <w:sz w:val="13"/>
                <w:szCs w:val="13"/>
                <w:highlight w:val="none"/>
              </w:rPr>
            </w:pPr>
          </w:p>
        </w:tc>
        <w:tc>
          <w:tcPr>
            <w:tcW w:w="823" w:type="dxa"/>
            <w:tcBorders>
              <w:tl2br w:val="nil"/>
              <w:tr2bl w:val="nil"/>
            </w:tcBorders>
            <w:tcMar>
              <w:top w:w="15" w:type="dxa"/>
              <w:left w:w="15" w:type="dxa"/>
              <w:bottom w:w="15" w:type="dxa"/>
              <w:right w:w="15" w:type="dxa"/>
            </w:tcMar>
            <w:vAlign w:val="center"/>
          </w:tcPr>
          <w:p w14:paraId="13EE3CE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Times New Roman"/>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从重情节</w:t>
            </w:r>
          </w:p>
        </w:tc>
        <w:tc>
          <w:tcPr>
            <w:tcW w:w="3437" w:type="dxa"/>
            <w:gridSpan w:val="2"/>
            <w:tcBorders>
              <w:tl2br w:val="nil"/>
              <w:tr2bl w:val="nil"/>
            </w:tcBorders>
            <w:tcMar>
              <w:top w:w="15" w:type="dxa"/>
              <w:left w:w="15" w:type="dxa"/>
              <w:bottom w:w="15" w:type="dxa"/>
              <w:right w:w="15" w:type="dxa"/>
            </w:tcMar>
            <w:vAlign w:val="center"/>
          </w:tcPr>
          <w:p w14:paraId="3A05136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s="Times New Roman"/>
                <w:color w:val="auto"/>
                <w:sz w:val="13"/>
                <w:szCs w:val="13"/>
                <w:highlight w:val="none"/>
              </w:rPr>
            </w:pPr>
            <w:r>
              <w:rPr>
                <w:rFonts w:hint="eastAsia" w:ascii="仿宋_GB2312" w:hAnsi="宋体" w:eastAsia="仿宋_GB2312"/>
                <w:color w:val="auto"/>
                <w:kern w:val="0"/>
                <w:sz w:val="13"/>
                <w:szCs w:val="13"/>
                <w:highlight w:val="none"/>
              </w:rPr>
              <w:t>（1）2年内2次及以上同类型违法的；（2）拒不改正违法行为的；（3）造成质量安全事故或者其他严重后果的。</w:t>
            </w:r>
          </w:p>
        </w:tc>
        <w:tc>
          <w:tcPr>
            <w:tcW w:w="3058" w:type="dxa"/>
            <w:tcBorders>
              <w:tl2br w:val="nil"/>
              <w:tr2bl w:val="nil"/>
            </w:tcBorders>
            <w:tcMar>
              <w:top w:w="15" w:type="dxa"/>
              <w:left w:w="15" w:type="dxa"/>
              <w:bottom w:w="15" w:type="dxa"/>
              <w:right w:w="15" w:type="dxa"/>
            </w:tcMar>
            <w:vAlign w:val="center"/>
          </w:tcPr>
          <w:p w14:paraId="11AB1C6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s="Times New Roman"/>
                <w:color w:val="auto"/>
                <w:sz w:val="13"/>
                <w:szCs w:val="13"/>
                <w:highlight w:val="none"/>
              </w:rPr>
            </w:pPr>
            <w:r>
              <w:rPr>
                <w:rFonts w:hint="eastAsia" w:ascii="仿宋_GB2312" w:hAnsi="宋体" w:eastAsia="仿宋_GB2312" w:cs="Times New Roman"/>
                <w:color w:val="auto"/>
                <w:kern w:val="0"/>
                <w:sz w:val="13"/>
                <w:szCs w:val="13"/>
                <w:highlight w:val="none"/>
              </w:rPr>
              <w:t>责令停止违法行为，没收违法所得，处违法所得3.5倍以上5倍以下的罚款。</w:t>
            </w:r>
          </w:p>
        </w:tc>
      </w:tr>
      <w:tr w14:paraId="7DE66C7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9" w:hRule="atLeast"/>
          <w:jc w:val="center"/>
        </w:trPr>
        <w:tc>
          <w:tcPr>
            <w:tcW w:w="443" w:type="dxa"/>
            <w:gridSpan w:val="2"/>
            <w:vMerge w:val="restart"/>
            <w:tcBorders>
              <w:tl2br w:val="nil"/>
              <w:tr2bl w:val="nil"/>
            </w:tcBorders>
            <w:vAlign w:val="center"/>
          </w:tcPr>
          <w:p w14:paraId="0BAC08D2">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Times New Roman"/>
                <w:color w:val="auto"/>
                <w:sz w:val="13"/>
                <w:szCs w:val="13"/>
                <w:highlight w:val="none"/>
                <w:lang w:val="en-US"/>
              </w:rPr>
            </w:pPr>
            <w:r>
              <w:rPr>
                <w:rFonts w:hint="default" w:ascii="仿宋_GB2312" w:hAnsi="宋体" w:eastAsia="仿宋_GB2312" w:cs="仿宋_GB2312"/>
                <w:i w:val="0"/>
                <w:color w:val="auto"/>
                <w:kern w:val="0"/>
                <w:sz w:val="13"/>
                <w:szCs w:val="13"/>
                <w:highlight w:val="none"/>
                <w:u w:val="none"/>
                <w:lang w:val="en-US" w:eastAsia="zh-CN" w:bidi="ar"/>
              </w:rPr>
              <w:t>2</w:t>
            </w:r>
            <w:r>
              <w:rPr>
                <w:rFonts w:hint="eastAsia" w:ascii="仿宋_GB2312" w:hAnsi="宋体" w:eastAsia="仿宋_GB2312" w:cs="仿宋_GB2312"/>
                <w:i w:val="0"/>
                <w:color w:val="auto"/>
                <w:kern w:val="0"/>
                <w:sz w:val="13"/>
                <w:szCs w:val="13"/>
                <w:highlight w:val="none"/>
                <w:u w:val="none"/>
                <w:lang w:val="en-US" w:eastAsia="zh-CN" w:bidi="ar"/>
              </w:rPr>
              <w:t>20</w:t>
            </w:r>
          </w:p>
        </w:tc>
        <w:tc>
          <w:tcPr>
            <w:tcW w:w="1550" w:type="dxa"/>
            <w:vMerge w:val="restart"/>
            <w:tcBorders>
              <w:tl2br w:val="nil"/>
              <w:tr2bl w:val="nil"/>
            </w:tcBorders>
            <w:vAlign w:val="center"/>
          </w:tcPr>
          <w:p w14:paraId="290A9D3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rPr>
                <w:rFonts w:ascii="仿宋_GB2312" w:hAnsi="宋体" w:eastAsia="仿宋_GB2312" w:cs="Times New Roman"/>
                <w:color w:val="auto"/>
                <w:sz w:val="13"/>
                <w:szCs w:val="13"/>
                <w:highlight w:val="none"/>
              </w:rPr>
            </w:pPr>
            <w:r>
              <w:rPr>
                <w:rFonts w:hint="eastAsia" w:ascii="仿宋_GB2312" w:hAnsi="宋体" w:eastAsia="仿宋_GB2312"/>
                <w:color w:val="auto"/>
                <w:sz w:val="13"/>
                <w:szCs w:val="13"/>
                <w:highlight w:val="none"/>
              </w:rPr>
              <w:t>建设工程勘察、设计注册执业人员和其他专业技术人员未受聘于一个建设工程勘察、设计单位或者同时受聘于两个以上建设工程勘察、设计单位，从事建设工程勘察、设计活动的</w:t>
            </w:r>
          </w:p>
        </w:tc>
        <w:tc>
          <w:tcPr>
            <w:tcW w:w="4820" w:type="dxa"/>
            <w:vMerge w:val="restart"/>
            <w:tcBorders>
              <w:tl2br w:val="nil"/>
              <w:tr2bl w:val="nil"/>
            </w:tcBorders>
            <w:vAlign w:val="center"/>
          </w:tcPr>
          <w:p w14:paraId="1E2CB16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olor w:val="auto"/>
                <w:kern w:val="0"/>
                <w:sz w:val="13"/>
                <w:szCs w:val="13"/>
                <w:highlight w:val="none"/>
              </w:rPr>
              <w:t>《建设工程勘察设计管理条例》第三十七条违反本条例规定，建设工程勘察、设计注册执业人员和其他专业技术人员未受聘于一个建设工程勘察、设计单位或者同时受聘于两个以上建设工程勘察、设计单位，从事建设工程勘察、设计活动的，责令停止违法行为，没收违法所得，处违法所得2倍以上5倍以下的罚款；情节严重的，可以责令停止执行业务或者吊销资格证书；给他人造成损失的，依法承担赔偿责任。</w:t>
            </w:r>
          </w:p>
        </w:tc>
        <w:tc>
          <w:tcPr>
            <w:tcW w:w="823" w:type="dxa"/>
            <w:tcBorders>
              <w:tl2br w:val="nil"/>
              <w:tr2bl w:val="nil"/>
            </w:tcBorders>
            <w:tcMar>
              <w:top w:w="15" w:type="dxa"/>
              <w:left w:w="15" w:type="dxa"/>
              <w:bottom w:w="15" w:type="dxa"/>
              <w:right w:w="15" w:type="dxa"/>
            </w:tcMar>
            <w:vAlign w:val="center"/>
          </w:tcPr>
          <w:p w14:paraId="0360FA2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Times New Roman"/>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tcMar>
              <w:top w:w="15" w:type="dxa"/>
              <w:left w:w="15" w:type="dxa"/>
              <w:bottom w:w="15" w:type="dxa"/>
              <w:right w:w="15" w:type="dxa"/>
            </w:tcMar>
            <w:vAlign w:val="center"/>
          </w:tcPr>
          <w:p w14:paraId="3631A563">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rPr>
                <w:rFonts w:ascii="仿宋_GB2312" w:hAnsi="宋体" w:eastAsia="仿宋_GB2312" w:cs="Times New Roman"/>
                <w:color w:val="auto"/>
                <w:kern w:val="0"/>
                <w:sz w:val="13"/>
                <w:szCs w:val="13"/>
                <w:highlight w:val="none"/>
              </w:rPr>
            </w:pPr>
            <w:r>
              <w:rPr>
                <w:rFonts w:hint="eastAsia" w:ascii="仿宋_GB2312" w:hAnsi="宋体" w:eastAsia="仿宋_GB2312"/>
                <w:color w:val="auto"/>
                <w:kern w:val="0"/>
                <w:sz w:val="13"/>
                <w:szCs w:val="13"/>
                <w:highlight w:val="none"/>
              </w:rPr>
              <w:t>初次违法，主动消除或减轻违法行为危害后果的。</w:t>
            </w:r>
          </w:p>
        </w:tc>
        <w:tc>
          <w:tcPr>
            <w:tcW w:w="3058" w:type="dxa"/>
            <w:tcBorders>
              <w:tl2br w:val="nil"/>
              <w:tr2bl w:val="nil"/>
            </w:tcBorders>
            <w:tcMar>
              <w:top w:w="15" w:type="dxa"/>
              <w:left w:w="15" w:type="dxa"/>
              <w:bottom w:w="15" w:type="dxa"/>
              <w:right w:w="15" w:type="dxa"/>
            </w:tcMar>
            <w:vAlign w:val="center"/>
          </w:tcPr>
          <w:p w14:paraId="337D4139">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责令停止违法行为，没收违法所得，处违法所得</w:t>
            </w:r>
            <w:r>
              <w:rPr>
                <w:rFonts w:ascii="仿宋_GB2312" w:hAnsi="宋体" w:eastAsia="仿宋_GB2312" w:cs="Times New Roman"/>
                <w:color w:val="auto"/>
                <w:kern w:val="0"/>
                <w:sz w:val="13"/>
                <w:szCs w:val="13"/>
                <w:highlight w:val="none"/>
              </w:rPr>
              <w:t>2</w:t>
            </w:r>
            <w:r>
              <w:rPr>
                <w:rFonts w:hint="eastAsia" w:ascii="仿宋_GB2312" w:hAnsi="宋体" w:eastAsia="仿宋_GB2312" w:cs="Times New Roman"/>
                <w:color w:val="auto"/>
                <w:kern w:val="0"/>
                <w:sz w:val="13"/>
                <w:szCs w:val="13"/>
                <w:highlight w:val="none"/>
              </w:rPr>
              <w:t>倍的罚款。</w:t>
            </w:r>
          </w:p>
        </w:tc>
      </w:tr>
      <w:tr w14:paraId="6FD7AC0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97" w:hRule="atLeast"/>
          <w:jc w:val="center"/>
        </w:trPr>
        <w:tc>
          <w:tcPr>
            <w:tcW w:w="443" w:type="dxa"/>
            <w:gridSpan w:val="2"/>
            <w:vMerge w:val="continue"/>
            <w:tcBorders>
              <w:tl2br w:val="nil"/>
              <w:tr2bl w:val="nil"/>
            </w:tcBorders>
            <w:vAlign w:val="center"/>
          </w:tcPr>
          <w:p w14:paraId="457C7AFA">
            <w:pPr>
              <w:pStyle w:val="37"/>
              <w:keepNext w:val="0"/>
              <w:keepLines w:val="0"/>
              <w:pageBreakBefore w:val="0"/>
              <w:widowControl/>
              <w:numPr>
                <w:ilvl w:val="0"/>
                <w:numId w:val="4"/>
              </w:numPr>
              <w:kinsoku/>
              <w:overflowPunct/>
              <w:topLinePunct w:val="0"/>
              <w:autoSpaceDE/>
              <w:autoSpaceDN/>
              <w:bidi w:val="0"/>
              <w:adjustRightInd/>
              <w:snapToGrid/>
              <w:spacing w:beforeAutospacing="0" w:afterAutospacing="0" w:line="260" w:lineRule="exact"/>
              <w:ind w:left="0" w:leftChars="0" w:right="0" w:rightChars="0" w:firstLineChars="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75BEC5A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rPr>
                <w:rFonts w:ascii="仿宋_GB2312" w:hAnsi="宋体" w:eastAsia="仿宋_GB2312" w:cs="Times New Roman"/>
                <w:color w:val="auto"/>
                <w:sz w:val="13"/>
                <w:szCs w:val="13"/>
                <w:highlight w:val="none"/>
              </w:rPr>
            </w:pPr>
          </w:p>
        </w:tc>
        <w:tc>
          <w:tcPr>
            <w:tcW w:w="4820" w:type="dxa"/>
            <w:vMerge w:val="continue"/>
            <w:tcBorders>
              <w:tl2br w:val="nil"/>
              <w:tr2bl w:val="nil"/>
            </w:tcBorders>
            <w:vAlign w:val="center"/>
          </w:tcPr>
          <w:p w14:paraId="0A3DBC7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Times New Roman"/>
                <w:color w:val="auto"/>
                <w:kern w:val="0"/>
                <w:sz w:val="13"/>
                <w:szCs w:val="13"/>
                <w:highlight w:val="none"/>
              </w:rPr>
            </w:pPr>
          </w:p>
        </w:tc>
        <w:tc>
          <w:tcPr>
            <w:tcW w:w="823" w:type="dxa"/>
            <w:tcBorders>
              <w:tl2br w:val="nil"/>
              <w:tr2bl w:val="nil"/>
            </w:tcBorders>
            <w:tcMar>
              <w:top w:w="15" w:type="dxa"/>
              <w:left w:w="15" w:type="dxa"/>
              <w:bottom w:w="15" w:type="dxa"/>
              <w:right w:w="15" w:type="dxa"/>
            </w:tcMar>
            <w:vAlign w:val="center"/>
          </w:tcPr>
          <w:p w14:paraId="24A9389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Times New Roman"/>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一般情节</w:t>
            </w:r>
          </w:p>
        </w:tc>
        <w:tc>
          <w:tcPr>
            <w:tcW w:w="3437" w:type="dxa"/>
            <w:gridSpan w:val="2"/>
            <w:tcBorders>
              <w:tl2br w:val="nil"/>
              <w:tr2bl w:val="nil"/>
            </w:tcBorders>
            <w:tcMar>
              <w:top w:w="15" w:type="dxa"/>
              <w:left w:w="15" w:type="dxa"/>
              <w:bottom w:w="15" w:type="dxa"/>
              <w:right w:w="15" w:type="dxa"/>
            </w:tcMar>
            <w:vAlign w:val="center"/>
          </w:tcPr>
          <w:p w14:paraId="3C0A189C">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rPr>
                <w:rFonts w:ascii="仿宋_GB2312" w:hAnsi="宋体" w:eastAsia="仿宋_GB2312" w:cs="Times New Roman"/>
                <w:color w:val="auto"/>
                <w:kern w:val="0"/>
                <w:sz w:val="13"/>
                <w:szCs w:val="13"/>
                <w:highlight w:val="none"/>
              </w:rPr>
            </w:pPr>
            <w:r>
              <w:rPr>
                <w:rFonts w:hint="eastAsia" w:ascii="仿宋_GB2312" w:hAnsi="宋体" w:eastAsia="仿宋_GB2312"/>
                <w:color w:val="auto"/>
                <w:kern w:val="0"/>
                <w:sz w:val="13"/>
                <w:szCs w:val="13"/>
                <w:highlight w:val="none"/>
              </w:rPr>
              <w:t>未造成质量事故，不具有从轻、</w:t>
            </w:r>
            <w:r>
              <w:rPr>
                <w:rFonts w:hint="eastAsia" w:ascii="仿宋_GB2312" w:hAnsi="宋体" w:eastAsia="仿宋_GB2312"/>
                <w:color w:val="auto"/>
                <w:kern w:val="0"/>
                <w:sz w:val="13"/>
                <w:szCs w:val="13"/>
                <w:highlight w:val="none"/>
                <w:lang w:eastAsia="zh-CN"/>
              </w:rPr>
              <w:t>从重情节</w:t>
            </w:r>
            <w:r>
              <w:rPr>
                <w:rFonts w:hint="eastAsia" w:ascii="仿宋_GB2312" w:hAnsi="宋体" w:eastAsia="仿宋_GB2312"/>
                <w:color w:val="auto"/>
                <w:kern w:val="0"/>
                <w:sz w:val="13"/>
                <w:szCs w:val="13"/>
                <w:highlight w:val="none"/>
              </w:rPr>
              <w:t>的。</w:t>
            </w:r>
          </w:p>
        </w:tc>
        <w:tc>
          <w:tcPr>
            <w:tcW w:w="3058" w:type="dxa"/>
            <w:tcBorders>
              <w:tl2br w:val="nil"/>
              <w:tr2bl w:val="nil"/>
            </w:tcBorders>
            <w:tcMar>
              <w:top w:w="15" w:type="dxa"/>
              <w:left w:w="15" w:type="dxa"/>
              <w:bottom w:w="15" w:type="dxa"/>
              <w:right w:w="15" w:type="dxa"/>
            </w:tcMar>
            <w:vAlign w:val="center"/>
          </w:tcPr>
          <w:p w14:paraId="42EF0373">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责令停止违法行为，没收违法所得，处违法所得2倍以上5倍以下的罚款。</w:t>
            </w:r>
          </w:p>
        </w:tc>
      </w:tr>
      <w:tr w14:paraId="724229C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97" w:hRule="atLeast"/>
          <w:jc w:val="center"/>
        </w:trPr>
        <w:tc>
          <w:tcPr>
            <w:tcW w:w="443" w:type="dxa"/>
            <w:gridSpan w:val="2"/>
            <w:vMerge w:val="continue"/>
            <w:tcBorders>
              <w:tl2br w:val="nil"/>
              <w:tr2bl w:val="nil"/>
            </w:tcBorders>
            <w:vAlign w:val="center"/>
          </w:tcPr>
          <w:p w14:paraId="689A2FE9">
            <w:pPr>
              <w:pStyle w:val="37"/>
              <w:keepNext w:val="0"/>
              <w:keepLines w:val="0"/>
              <w:pageBreakBefore w:val="0"/>
              <w:widowControl/>
              <w:numPr>
                <w:ilvl w:val="0"/>
                <w:numId w:val="4"/>
              </w:numPr>
              <w:kinsoku/>
              <w:overflowPunct/>
              <w:topLinePunct w:val="0"/>
              <w:autoSpaceDE/>
              <w:autoSpaceDN/>
              <w:bidi w:val="0"/>
              <w:adjustRightInd/>
              <w:snapToGrid/>
              <w:spacing w:beforeAutospacing="0" w:afterAutospacing="0" w:line="260" w:lineRule="exact"/>
              <w:ind w:left="0" w:leftChars="0" w:right="0" w:rightChars="0" w:firstLineChars="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669079B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rPr>
                <w:rFonts w:ascii="仿宋_GB2312" w:hAnsi="宋体" w:eastAsia="仿宋_GB2312" w:cs="Times New Roman"/>
                <w:color w:val="auto"/>
                <w:sz w:val="13"/>
                <w:szCs w:val="13"/>
                <w:highlight w:val="none"/>
              </w:rPr>
            </w:pPr>
          </w:p>
        </w:tc>
        <w:tc>
          <w:tcPr>
            <w:tcW w:w="4820" w:type="dxa"/>
            <w:vMerge w:val="continue"/>
            <w:tcBorders>
              <w:tl2br w:val="nil"/>
              <w:tr2bl w:val="nil"/>
            </w:tcBorders>
            <w:vAlign w:val="center"/>
          </w:tcPr>
          <w:p w14:paraId="7F2709D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Times New Roman"/>
                <w:color w:val="auto"/>
                <w:kern w:val="0"/>
                <w:sz w:val="13"/>
                <w:szCs w:val="13"/>
                <w:highlight w:val="none"/>
              </w:rPr>
            </w:pPr>
          </w:p>
        </w:tc>
        <w:tc>
          <w:tcPr>
            <w:tcW w:w="823" w:type="dxa"/>
            <w:vMerge w:val="restart"/>
            <w:tcBorders>
              <w:tl2br w:val="nil"/>
              <w:tr2bl w:val="nil"/>
            </w:tcBorders>
            <w:tcMar>
              <w:top w:w="15" w:type="dxa"/>
              <w:left w:w="15" w:type="dxa"/>
              <w:bottom w:w="15" w:type="dxa"/>
              <w:right w:w="15" w:type="dxa"/>
            </w:tcMar>
            <w:vAlign w:val="center"/>
          </w:tcPr>
          <w:p w14:paraId="46E10C0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Times New Roman"/>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从重情节</w:t>
            </w:r>
          </w:p>
        </w:tc>
        <w:tc>
          <w:tcPr>
            <w:tcW w:w="3437" w:type="dxa"/>
            <w:gridSpan w:val="2"/>
            <w:tcBorders>
              <w:tl2br w:val="nil"/>
              <w:tr2bl w:val="nil"/>
            </w:tcBorders>
            <w:tcMar>
              <w:top w:w="15" w:type="dxa"/>
              <w:left w:w="15" w:type="dxa"/>
              <w:bottom w:w="15" w:type="dxa"/>
              <w:right w:w="15" w:type="dxa"/>
            </w:tcMar>
            <w:vAlign w:val="center"/>
          </w:tcPr>
          <w:p w14:paraId="53069BE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rPr>
                <w:rFonts w:ascii="仿宋_GB2312" w:hAnsi="宋体" w:eastAsia="仿宋_GB2312" w:cs="Times New Roman"/>
                <w:color w:val="auto"/>
                <w:kern w:val="0"/>
                <w:sz w:val="13"/>
                <w:szCs w:val="13"/>
                <w:highlight w:val="none"/>
              </w:rPr>
            </w:pPr>
            <w:r>
              <w:rPr>
                <w:rFonts w:hint="eastAsia" w:ascii="仿宋_GB2312" w:hAnsi="宋体" w:eastAsia="仿宋_GB2312"/>
                <w:color w:val="auto"/>
                <w:kern w:val="0"/>
                <w:sz w:val="13"/>
                <w:szCs w:val="13"/>
                <w:highlight w:val="none"/>
              </w:rPr>
              <w:t>（1）拒不改正违法行为的。</w:t>
            </w:r>
          </w:p>
        </w:tc>
        <w:tc>
          <w:tcPr>
            <w:tcW w:w="3058" w:type="dxa"/>
            <w:tcBorders>
              <w:tl2br w:val="nil"/>
              <w:tr2bl w:val="nil"/>
            </w:tcBorders>
            <w:tcMar>
              <w:top w:w="15" w:type="dxa"/>
              <w:left w:w="15" w:type="dxa"/>
              <w:bottom w:w="15" w:type="dxa"/>
              <w:right w:w="15" w:type="dxa"/>
            </w:tcMar>
            <w:vAlign w:val="center"/>
          </w:tcPr>
          <w:p w14:paraId="5E1BE0D2">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没收违法所得，处违法所得5倍的罚款；责令停止执行业务。</w:t>
            </w:r>
          </w:p>
        </w:tc>
      </w:tr>
      <w:tr w14:paraId="67EB79E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97" w:hRule="atLeast"/>
          <w:jc w:val="center"/>
        </w:trPr>
        <w:tc>
          <w:tcPr>
            <w:tcW w:w="443" w:type="dxa"/>
            <w:gridSpan w:val="2"/>
            <w:vMerge w:val="continue"/>
            <w:tcBorders>
              <w:tl2br w:val="nil"/>
              <w:tr2bl w:val="nil"/>
            </w:tcBorders>
            <w:vAlign w:val="center"/>
          </w:tcPr>
          <w:p w14:paraId="4EDD8BE4">
            <w:pPr>
              <w:pStyle w:val="37"/>
              <w:keepNext w:val="0"/>
              <w:keepLines w:val="0"/>
              <w:pageBreakBefore w:val="0"/>
              <w:widowControl/>
              <w:numPr>
                <w:ilvl w:val="0"/>
                <w:numId w:val="4"/>
              </w:numPr>
              <w:kinsoku/>
              <w:overflowPunct/>
              <w:topLinePunct w:val="0"/>
              <w:autoSpaceDE/>
              <w:autoSpaceDN/>
              <w:bidi w:val="0"/>
              <w:adjustRightInd/>
              <w:snapToGrid/>
              <w:spacing w:beforeAutospacing="0" w:afterAutospacing="0" w:line="260" w:lineRule="exact"/>
              <w:ind w:left="0" w:leftChars="0" w:right="0" w:rightChars="0" w:firstLineChars="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15A1C65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rPr>
                <w:rFonts w:ascii="仿宋_GB2312" w:hAnsi="宋体" w:eastAsia="仿宋_GB2312" w:cs="Times New Roman"/>
                <w:color w:val="auto"/>
                <w:sz w:val="13"/>
                <w:szCs w:val="13"/>
                <w:highlight w:val="none"/>
              </w:rPr>
            </w:pPr>
          </w:p>
        </w:tc>
        <w:tc>
          <w:tcPr>
            <w:tcW w:w="4820" w:type="dxa"/>
            <w:vMerge w:val="continue"/>
            <w:tcBorders>
              <w:tl2br w:val="nil"/>
              <w:tr2bl w:val="nil"/>
            </w:tcBorders>
            <w:vAlign w:val="center"/>
          </w:tcPr>
          <w:p w14:paraId="61EAD78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Times New Roman"/>
                <w:color w:val="auto"/>
                <w:kern w:val="0"/>
                <w:sz w:val="13"/>
                <w:szCs w:val="13"/>
                <w:highlight w:val="none"/>
              </w:rPr>
            </w:pPr>
          </w:p>
        </w:tc>
        <w:tc>
          <w:tcPr>
            <w:tcW w:w="823" w:type="dxa"/>
            <w:vMerge w:val="continue"/>
            <w:tcBorders>
              <w:tl2br w:val="nil"/>
              <w:tr2bl w:val="nil"/>
            </w:tcBorders>
            <w:tcMar>
              <w:top w:w="15" w:type="dxa"/>
              <w:left w:w="15" w:type="dxa"/>
              <w:bottom w:w="15" w:type="dxa"/>
              <w:right w:w="15" w:type="dxa"/>
            </w:tcMar>
            <w:vAlign w:val="center"/>
          </w:tcPr>
          <w:p w14:paraId="2C2E36A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Times New Roman"/>
                <w:color w:val="auto"/>
                <w:kern w:val="0"/>
                <w:sz w:val="13"/>
                <w:szCs w:val="13"/>
                <w:highlight w:val="none"/>
              </w:rPr>
            </w:pPr>
          </w:p>
        </w:tc>
        <w:tc>
          <w:tcPr>
            <w:tcW w:w="3437" w:type="dxa"/>
            <w:gridSpan w:val="2"/>
            <w:tcBorders>
              <w:tl2br w:val="nil"/>
              <w:tr2bl w:val="nil"/>
            </w:tcBorders>
            <w:tcMar>
              <w:top w:w="15" w:type="dxa"/>
              <w:left w:w="15" w:type="dxa"/>
              <w:bottom w:w="15" w:type="dxa"/>
              <w:right w:w="15" w:type="dxa"/>
            </w:tcMar>
            <w:vAlign w:val="center"/>
          </w:tcPr>
          <w:p w14:paraId="5317E11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rPr>
                <w:rFonts w:ascii="仿宋_GB2312" w:hAnsi="宋体" w:eastAsia="仿宋_GB2312" w:cs="Times New Roman"/>
                <w:color w:val="auto"/>
                <w:kern w:val="0"/>
                <w:sz w:val="13"/>
                <w:szCs w:val="13"/>
                <w:highlight w:val="none"/>
              </w:rPr>
            </w:pPr>
            <w:r>
              <w:rPr>
                <w:rFonts w:hint="eastAsia" w:ascii="仿宋_GB2312" w:hAnsi="宋体" w:eastAsia="仿宋_GB2312"/>
                <w:color w:val="auto"/>
                <w:kern w:val="0"/>
                <w:sz w:val="13"/>
                <w:szCs w:val="13"/>
                <w:highlight w:val="none"/>
              </w:rPr>
              <w:t>（2）2年内2次及以上同类型违法的</w:t>
            </w:r>
          </w:p>
        </w:tc>
        <w:tc>
          <w:tcPr>
            <w:tcW w:w="3058" w:type="dxa"/>
            <w:tcBorders>
              <w:tl2br w:val="nil"/>
              <w:tr2bl w:val="nil"/>
            </w:tcBorders>
            <w:tcMar>
              <w:top w:w="15" w:type="dxa"/>
              <w:left w:w="15" w:type="dxa"/>
              <w:bottom w:w="15" w:type="dxa"/>
              <w:right w:w="15" w:type="dxa"/>
            </w:tcMar>
            <w:vAlign w:val="center"/>
          </w:tcPr>
          <w:p w14:paraId="4C00037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没收违法所得，处违法所得5倍的罚款；吊销资格证书。</w:t>
            </w:r>
          </w:p>
        </w:tc>
      </w:tr>
      <w:tr w14:paraId="36079D6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97" w:hRule="atLeast"/>
          <w:jc w:val="center"/>
        </w:trPr>
        <w:tc>
          <w:tcPr>
            <w:tcW w:w="443" w:type="dxa"/>
            <w:gridSpan w:val="2"/>
            <w:vMerge w:val="continue"/>
            <w:tcBorders>
              <w:tl2br w:val="nil"/>
              <w:tr2bl w:val="nil"/>
            </w:tcBorders>
            <w:vAlign w:val="center"/>
          </w:tcPr>
          <w:p w14:paraId="4362D230">
            <w:pPr>
              <w:pStyle w:val="37"/>
              <w:keepNext w:val="0"/>
              <w:keepLines w:val="0"/>
              <w:pageBreakBefore w:val="0"/>
              <w:widowControl/>
              <w:numPr>
                <w:ilvl w:val="0"/>
                <w:numId w:val="4"/>
              </w:numPr>
              <w:kinsoku/>
              <w:overflowPunct/>
              <w:topLinePunct w:val="0"/>
              <w:autoSpaceDE/>
              <w:autoSpaceDN/>
              <w:bidi w:val="0"/>
              <w:adjustRightInd/>
              <w:snapToGrid/>
              <w:spacing w:beforeAutospacing="0" w:afterAutospacing="0" w:line="260" w:lineRule="exact"/>
              <w:ind w:left="0" w:leftChars="0" w:right="0" w:rightChars="0" w:firstLineChars="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03DD6A8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s="Times New Roman"/>
                <w:color w:val="auto"/>
                <w:sz w:val="13"/>
                <w:szCs w:val="13"/>
                <w:highlight w:val="none"/>
              </w:rPr>
            </w:pPr>
          </w:p>
        </w:tc>
        <w:tc>
          <w:tcPr>
            <w:tcW w:w="4820" w:type="dxa"/>
            <w:vMerge w:val="continue"/>
            <w:tcBorders>
              <w:tl2br w:val="nil"/>
              <w:tr2bl w:val="nil"/>
            </w:tcBorders>
            <w:vAlign w:val="center"/>
          </w:tcPr>
          <w:p w14:paraId="39A2A3D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s="Times New Roman"/>
                <w:color w:val="auto"/>
                <w:kern w:val="0"/>
                <w:sz w:val="13"/>
                <w:szCs w:val="13"/>
                <w:highlight w:val="none"/>
              </w:rPr>
            </w:pPr>
          </w:p>
        </w:tc>
        <w:tc>
          <w:tcPr>
            <w:tcW w:w="823" w:type="dxa"/>
            <w:vMerge w:val="continue"/>
            <w:tcBorders>
              <w:tl2br w:val="nil"/>
              <w:tr2bl w:val="nil"/>
            </w:tcBorders>
            <w:tcMar>
              <w:top w:w="15" w:type="dxa"/>
              <w:left w:w="15" w:type="dxa"/>
              <w:bottom w:w="15" w:type="dxa"/>
              <w:right w:w="15" w:type="dxa"/>
            </w:tcMar>
            <w:vAlign w:val="center"/>
          </w:tcPr>
          <w:p w14:paraId="3E03284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color w:val="auto"/>
                <w:kern w:val="0"/>
                <w:sz w:val="13"/>
                <w:szCs w:val="13"/>
                <w:highlight w:val="none"/>
              </w:rPr>
            </w:pPr>
          </w:p>
        </w:tc>
        <w:tc>
          <w:tcPr>
            <w:tcW w:w="3437" w:type="dxa"/>
            <w:gridSpan w:val="2"/>
            <w:tcBorders>
              <w:tl2br w:val="nil"/>
              <w:tr2bl w:val="nil"/>
            </w:tcBorders>
            <w:tcMar>
              <w:top w:w="15" w:type="dxa"/>
              <w:left w:w="15" w:type="dxa"/>
              <w:bottom w:w="15" w:type="dxa"/>
              <w:right w:w="15" w:type="dxa"/>
            </w:tcMar>
            <w:vAlign w:val="center"/>
          </w:tcPr>
          <w:p w14:paraId="27C00CB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s="Times New Roman"/>
                <w:color w:val="auto"/>
                <w:kern w:val="0"/>
                <w:sz w:val="13"/>
                <w:szCs w:val="13"/>
                <w:highlight w:val="none"/>
              </w:rPr>
            </w:pPr>
            <w:r>
              <w:rPr>
                <w:rFonts w:hint="eastAsia" w:ascii="仿宋_GB2312" w:hAnsi="宋体" w:eastAsia="仿宋_GB2312"/>
                <w:color w:val="auto"/>
                <w:kern w:val="0"/>
                <w:sz w:val="13"/>
                <w:szCs w:val="13"/>
                <w:highlight w:val="none"/>
              </w:rPr>
              <w:t>（3）造成质量安全事故或者其他严重后果的。</w:t>
            </w:r>
          </w:p>
        </w:tc>
        <w:tc>
          <w:tcPr>
            <w:tcW w:w="3058" w:type="dxa"/>
            <w:tcBorders>
              <w:tl2br w:val="nil"/>
              <w:tr2bl w:val="nil"/>
            </w:tcBorders>
            <w:tcMar>
              <w:top w:w="15" w:type="dxa"/>
              <w:left w:w="15" w:type="dxa"/>
              <w:bottom w:w="15" w:type="dxa"/>
              <w:right w:w="15" w:type="dxa"/>
            </w:tcMar>
            <w:vAlign w:val="center"/>
          </w:tcPr>
          <w:p w14:paraId="09AD038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没收违法所得，处违法所得5倍的罚款；吊销资格证书。</w:t>
            </w:r>
          </w:p>
        </w:tc>
      </w:tr>
      <w:tr w14:paraId="7F7DB58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0" w:hRule="atLeast"/>
          <w:jc w:val="center"/>
        </w:trPr>
        <w:tc>
          <w:tcPr>
            <w:tcW w:w="443" w:type="dxa"/>
            <w:gridSpan w:val="2"/>
            <w:vMerge w:val="restart"/>
            <w:tcBorders>
              <w:tl2br w:val="nil"/>
              <w:tr2bl w:val="nil"/>
            </w:tcBorders>
            <w:vAlign w:val="center"/>
          </w:tcPr>
          <w:p w14:paraId="739242C8">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Times New Roman"/>
                <w:color w:val="auto"/>
                <w:sz w:val="13"/>
                <w:szCs w:val="13"/>
                <w:highlight w:val="none"/>
                <w:lang w:val="en-US"/>
              </w:rPr>
            </w:pPr>
            <w:r>
              <w:rPr>
                <w:rFonts w:hint="default" w:ascii="仿宋_GB2312" w:hAnsi="宋体" w:eastAsia="仿宋_GB2312" w:cs="仿宋_GB2312"/>
                <w:i w:val="0"/>
                <w:color w:val="auto"/>
                <w:kern w:val="0"/>
                <w:sz w:val="13"/>
                <w:szCs w:val="13"/>
                <w:highlight w:val="none"/>
                <w:u w:val="none"/>
                <w:lang w:val="en-US" w:eastAsia="zh-CN" w:bidi="ar"/>
              </w:rPr>
              <w:t>2</w:t>
            </w:r>
            <w:r>
              <w:rPr>
                <w:rFonts w:hint="eastAsia" w:ascii="仿宋_GB2312" w:hAnsi="宋体" w:eastAsia="仿宋_GB2312" w:cs="仿宋_GB2312"/>
                <w:i w:val="0"/>
                <w:color w:val="auto"/>
                <w:kern w:val="0"/>
                <w:sz w:val="13"/>
                <w:szCs w:val="13"/>
                <w:highlight w:val="none"/>
                <w:u w:val="none"/>
                <w:lang w:val="en-US" w:eastAsia="zh-CN" w:bidi="ar"/>
              </w:rPr>
              <w:t>21</w:t>
            </w:r>
          </w:p>
        </w:tc>
        <w:tc>
          <w:tcPr>
            <w:tcW w:w="1550" w:type="dxa"/>
            <w:vMerge w:val="restart"/>
            <w:tcBorders>
              <w:tl2br w:val="nil"/>
              <w:tr2bl w:val="nil"/>
            </w:tcBorders>
            <w:vAlign w:val="center"/>
          </w:tcPr>
          <w:p w14:paraId="60983ED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s="Times New Roman"/>
                <w:color w:val="auto"/>
                <w:sz w:val="13"/>
                <w:szCs w:val="13"/>
                <w:highlight w:val="none"/>
              </w:rPr>
            </w:pPr>
            <w:r>
              <w:rPr>
                <w:rFonts w:hint="eastAsia" w:ascii="仿宋_GB2312" w:hAnsi="宋体" w:eastAsia="仿宋_GB2312"/>
                <w:color w:val="auto"/>
                <w:kern w:val="0"/>
                <w:sz w:val="13"/>
                <w:szCs w:val="13"/>
                <w:highlight w:val="none"/>
              </w:rPr>
              <w:t>发包方将建设工程勘察、设计业务发包给不具有相应资质等级的建设工程勘察、设计单位的</w:t>
            </w:r>
          </w:p>
        </w:tc>
        <w:tc>
          <w:tcPr>
            <w:tcW w:w="4820" w:type="dxa"/>
            <w:vMerge w:val="restart"/>
            <w:tcBorders>
              <w:tl2br w:val="nil"/>
              <w:tr2bl w:val="nil"/>
            </w:tcBorders>
            <w:vAlign w:val="center"/>
          </w:tcPr>
          <w:p w14:paraId="15C276B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strike/>
                <w:color w:val="auto"/>
                <w:kern w:val="0"/>
                <w:sz w:val="13"/>
                <w:szCs w:val="13"/>
                <w:highlight w:val="none"/>
              </w:rPr>
            </w:pPr>
            <w:r>
              <w:rPr>
                <w:rFonts w:hint="eastAsia" w:ascii="仿宋_GB2312" w:hAnsi="宋体" w:eastAsia="仿宋_GB2312"/>
                <w:color w:val="auto"/>
                <w:kern w:val="0"/>
                <w:sz w:val="13"/>
                <w:szCs w:val="13"/>
                <w:highlight w:val="none"/>
              </w:rPr>
              <w:t>《建设工程勘察设计管理条例》第三十八条违反本条例规定，发包方将建设工程勘察、设计业务发包给不具有相应资质等级的建设工程勘察、设计单位的，责令改正，处50万元以上100万元以下的罚款。</w:t>
            </w:r>
          </w:p>
        </w:tc>
        <w:tc>
          <w:tcPr>
            <w:tcW w:w="823" w:type="dxa"/>
            <w:tcBorders>
              <w:tl2br w:val="nil"/>
              <w:tr2bl w:val="nil"/>
            </w:tcBorders>
            <w:tcMar>
              <w:top w:w="15" w:type="dxa"/>
              <w:left w:w="15" w:type="dxa"/>
              <w:bottom w:w="15" w:type="dxa"/>
              <w:right w:w="15" w:type="dxa"/>
            </w:tcMar>
            <w:vAlign w:val="center"/>
          </w:tcPr>
          <w:p w14:paraId="5B0A0EB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Times New Roman"/>
                <w:color w:val="auto"/>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tcMar>
              <w:top w:w="15" w:type="dxa"/>
              <w:left w:w="15" w:type="dxa"/>
              <w:bottom w:w="15" w:type="dxa"/>
              <w:right w:w="15" w:type="dxa"/>
            </w:tcMar>
            <w:vAlign w:val="center"/>
          </w:tcPr>
          <w:p w14:paraId="14DB72D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s="Times New Roman"/>
                <w:color w:val="auto"/>
                <w:sz w:val="13"/>
                <w:szCs w:val="13"/>
                <w:highlight w:val="none"/>
              </w:rPr>
            </w:pPr>
            <w:r>
              <w:rPr>
                <w:rFonts w:hint="eastAsia" w:ascii="仿宋_GB2312" w:hAnsi="宋体" w:eastAsia="仿宋_GB2312"/>
                <w:color w:val="auto"/>
                <w:kern w:val="0"/>
                <w:sz w:val="13"/>
                <w:szCs w:val="13"/>
                <w:highlight w:val="none"/>
              </w:rPr>
              <w:t>初次违法，主动消除或减轻违法行为危害后果的。</w:t>
            </w:r>
          </w:p>
        </w:tc>
        <w:tc>
          <w:tcPr>
            <w:tcW w:w="3058" w:type="dxa"/>
            <w:tcBorders>
              <w:tl2br w:val="nil"/>
              <w:tr2bl w:val="nil"/>
            </w:tcBorders>
            <w:tcMar>
              <w:top w:w="15" w:type="dxa"/>
              <w:left w:w="15" w:type="dxa"/>
              <w:bottom w:w="15" w:type="dxa"/>
              <w:right w:w="15" w:type="dxa"/>
            </w:tcMar>
            <w:vAlign w:val="center"/>
          </w:tcPr>
          <w:p w14:paraId="1D78529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s="Times New Roman"/>
                <w:color w:val="auto"/>
                <w:sz w:val="13"/>
                <w:szCs w:val="13"/>
                <w:highlight w:val="none"/>
              </w:rPr>
            </w:pPr>
            <w:r>
              <w:rPr>
                <w:rFonts w:hint="eastAsia" w:ascii="仿宋_GB2312" w:hAnsi="宋体" w:eastAsia="仿宋_GB2312"/>
                <w:color w:val="auto"/>
                <w:kern w:val="0"/>
                <w:sz w:val="13"/>
                <w:szCs w:val="13"/>
                <w:highlight w:val="none"/>
              </w:rPr>
              <w:t>责令改正，对建设单位处50万元以上60万元以下的罚款。</w:t>
            </w:r>
          </w:p>
        </w:tc>
      </w:tr>
      <w:tr w14:paraId="13450D1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84" w:hRule="atLeast"/>
          <w:jc w:val="center"/>
        </w:trPr>
        <w:tc>
          <w:tcPr>
            <w:tcW w:w="443" w:type="dxa"/>
            <w:gridSpan w:val="2"/>
            <w:vMerge w:val="continue"/>
            <w:tcBorders>
              <w:tl2br w:val="nil"/>
              <w:tr2bl w:val="nil"/>
            </w:tcBorders>
            <w:vAlign w:val="center"/>
          </w:tcPr>
          <w:p w14:paraId="5EC15CEF">
            <w:pPr>
              <w:pStyle w:val="37"/>
              <w:keepNext w:val="0"/>
              <w:keepLines w:val="0"/>
              <w:pageBreakBefore w:val="0"/>
              <w:widowControl/>
              <w:numPr>
                <w:ilvl w:val="0"/>
                <w:numId w:val="4"/>
              </w:numPr>
              <w:kinsoku/>
              <w:overflowPunct/>
              <w:topLinePunct w:val="0"/>
              <w:autoSpaceDE/>
              <w:autoSpaceDN/>
              <w:bidi w:val="0"/>
              <w:adjustRightInd/>
              <w:snapToGrid/>
              <w:spacing w:beforeAutospacing="0" w:afterAutospacing="0" w:line="260" w:lineRule="exact"/>
              <w:ind w:left="0" w:leftChars="0" w:right="0" w:rightChars="0" w:firstLineChars="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6815EAC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s="Times New Roman"/>
                <w:color w:val="auto"/>
                <w:kern w:val="0"/>
                <w:sz w:val="13"/>
                <w:szCs w:val="13"/>
                <w:highlight w:val="none"/>
              </w:rPr>
            </w:pPr>
          </w:p>
        </w:tc>
        <w:tc>
          <w:tcPr>
            <w:tcW w:w="4820" w:type="dxa"/>
            <w:vMerge w:val="continue"/>
            <w:tcBorders>
              <w:tl2br w:val="nil"/>
              <w:tr2bl w:val="nil"/>
            </w:tcBorders>
            <w:vAlign w:val="center"/>
          </w:tcPr>
          <w:p w14:paraId="0A20A4D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s="Times New Roman"/>
                <w:color w:val="auto"/>
                <w:kern w:val="0"/>
                <w:sz w:val="13"/>
                <w:szCs w:val="13"/>
                <w:highlight w:val="none"/>
              </w:rPr>
            </w:pPr>
          </w:p>
        </w:tc>
        <w:tc>
          <w:tcPr>
            <w:tcW w:w="823" w:type="dxa"/>
            <w:tcBorders>
              <w:tl2br w:val="nil"/>
              <w:tr2bl w:val="nil"/>
            </w:tcBorders>
            <w:tcMar>
              <w:top w:w="15" w:type="dxa"/>
              <w:left w:w="15" w:type="dxa"/>
              <w:bottom w:w="15" w:type="dxa"/>
              <w:right w:w="15" w:type="dxa"/>
            </w:tcMar>
            <w:vAlign w:val="center"/>
          </w:tcPr>
          <w:p w14:paraId="6899B5E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Times New Roman"/>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一般情节</w:t>
            </w:r>
          </w:p>
        </w:tc>
        <w:tc>
          <w:tcPr>
            <w:tcW w:w="3437" w:type="dxa"/>
            <w:gridSpan w:val="2"/>
            <w:tcBorders>
              <w:tl2br w:val="nil"/>
              <w:tr2bl w:val="nil"/>
            </w:tcBorders>
            <w:tcMar>
              <w:top w:w="15" w:type="dxa"/>
              <w:left w:w="15" w:type="dxa"/>
              <w:bottom w:w="15" w:type="dxa"/>
              <w:right w:w="15" w:type="dxa"/>
            </w:tcMar>
            <w:vAlign w:val="center"/>
          </w:tcPr>
          <w:p w14:paraId="0BC2C4F7">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s="Times New Roman"/>
                <w:strike/>
                <w:color w:val="auto"/>
                <w:kern w:val="0"/>
                <w:sz w:val="13"/>
                <w:szCs w:val="13"/>
                <w:highlight w:val="none"/>
              </w:rPr>
            </w:pPr>
            <w:r>
              <w:rPr>
                <w:rFonts w:hint="eastAsia" w:ascii="仿宋_GB2312" w:hAnsi="宋体" w:eastAsia="仿宋_GB2312"/>
                <w:color w:val="auto"/>
                <w:kern w:val="0"/>
                <w:sz w:val="13"/>
                <w:szCs w:val="13"/>
                <w:highlight w:val="none"/>
              </w:rPr>
              <w:t>未造成质量事故，不具有从轻、</w:t>
            </w:r>
            <w:r>
              <w:rPr>
                <w:rFonts w:hint="eastAsia" w:ascii="仿宋_GB2312" w:hAnsi="宋体" w:eastAsia="仿宋_GB2312"/>
                <w:color w:val="auto"/>
                <w:kern w:val="0"/>
                <w:sz w:val="13"/>
                <w:szCs w:val="13"/>
                <w:highlight w:val="none"/>
                <w:lang w:eastAsia="zh-CN"/>
              </w:rPr>
              <w:t>从重情节</w:t>
            </w:r>
            <w:r>
              <w:rPr>
                <w:rFonts w:hint="eastAsia" w:ascii="仿宋_GB2312" w:hAnsi="宋体" w:eastAsia="仿宋_GB2312"/>
                <w:color w:val="auto"/>
                <w:kern w:val="0"/>
                <w:sz w:val="13"/>
                <w:szCs w:val="13"/>
                <w:highlight w:val="none"/>
              </w:rPr>
              <w:t>的。</w:t>
            </w:r>
          </w:p>
        </w:tc>
        <w:tc>
          <w:tcPr>
            <w:tcW w:w="3058" w:type="dxa"/>
            <w:tcBorders>
              <w:tl2br w:val="nil"/>
              <w:tr2bl w:val="nil"/>
            </w:tcBorders>
            <w:tcMar>
              <w:top w:w="15" w:type="dxa"/>
              <w:left w:w="15" w:type="dxa"/>
              <w:bottom w:w="15" w:type="dxa"/>
              <w:right w:w="15" w:type="dxa"/>
            </w:tcMar>
            <w:vAlign w:val="center"/>
          </w:tcPr>
          <w:p w14:paraId="2E9A062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s="Times New Roman"/>
                <w:strike/>
                <w:color w:val="auto"/>
                <w:kern w:val="0"/>
                <w:sz w:val="13"/>
                <w:szCs w:val="13"/>
                <w:highlight w:val="none"/>
              </w:rPr>
            </w:pPr>
            <w:r>
              <w:rPr>
                <w:rFonts w:hint="eastAsia" w:ascii="仿宋_GB2312" w:hAnsi="宋体" w:eastAsia="仿宋_GB2312"/>
                <w:color w:val="auto"/>
                <w:kern w:val="0"/>
                <w:sz w:val="13"/>
                <w:szCs w:val="13"/>
                <w:highlight w:val="none"/>
              </w:rPr>
              <w:t>责令改正，对建设单位处60万元以上80万元以下的罚款。</w:t>
            </w:r>
          </w:p>
        </w:tc>
      </w:tr>
      <w:tr w14:paraId="2A6ABCF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56" w:hRule="atLeast"/>
          <w:jc w:val="center"/>
        </w:trPr>
        <w:tc>
          <w:tcPr>
            <w:tcW w:w="443" w:type="dxa"/>
            <w:gridSpan w:val="2"/>
            <w:vMerge w:val="continue"/>
            <w:tcBorders>
              <w:tl2br w:val="nil"/>
              <w:tr2bl w:val="nil"/>
            </w:tcBorders>
            <w:vAlign w:val="center"/>
          </w:tcPr>
          <w:p w14:paraId="1F6578C6">
            <w:pPr>
              <w:pStyle w:val="37"/>
              <w:keepNext w:val="0"/>
              <w:keepLines w:val="0"/>
              <w:pageBreakBefore w:val="0"/>
              <w:widowControl/>
              <w:numPr>
                <w:ilvl w:val="0"/>
                <w:numId w:val="4"/>
              </w:numPr>
              <w:kinsoku/>
              <w:overflowPunct/>
              <w:topLinePunct w:val="0"/>
              <w:autoSpaceDE/>
              <w:autoSpaceDN/>
              <w:bidi w:val="0"/>
              <w:adjustRightInd/>
              <w:snapToGrid/>
              <w:spacing w:beforeAutospacing="0" w:afterAutospacing="0" w:line="260" w:lineRule="exact"/>
              <w:ind w:left="0" w:leftChars="0" w:right="0" w:rightChars="0" w:firstLineChars="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65086D0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s="Times New Roman"/>
                <w:color w:val="auto"/>
                <w:kern w:val="0"/>
                <w:sz w:val="13"/>
                <w:szCs w:val="13"/>
                <w:highlight w:val="none"/>
              </w:rPr>
            </w:pPr>
          </w:p>
        </w:tc>
        <w:tc>
          <w:tcPr>
            <w:tcW w:w="4820" w:type="dxa"/>
            <w:vMerge w:val="continue"/>
            <w:tcBorders>
              <w:tl2br w:val="nil"/>
              <w:tr2bl w:val="nil"/>
            </w:tcBorders>
            <w:vAlign w:val="center"/>
          </w:tcPr>
          <w:p w14:paraId="7B1653D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s="Times New Roman"/>
                <w:color w:val="auto"/>
                <w:kern w:val="0"/>
                <w:sz w:val="13"/>
                <w:szCs w:val="13"/>
                <w:highlight w:val="none"/>
              </w:rPr>
            </w:pPr>
          </w:p>
        </w:tc>
        <w:tc>
          <w:tcPr>
            <w:tcW w:w="823" w:type="dxa"/>
            <w:tcBorders>
              <w:tl2br w:val="nil"/>
              <w:tr2bl w:val="nil"/>
            </w:tcBorders>
            <w:tcMar>
              <w:top w:w="15" w:type="dxa"/>
              <w:left w:w="15" w:type="dxa"/>
              <w:bottom w:w="15" w:type="dxa"/>
              <w:right w:w="15" w:type="dxa"/>
            </w:tcMar>
            <w:vAlign w:val="center"/>
          </w:tcPr>
          <w:p w14:paraId="7306240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Times New Roman"/>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从重情节</w:t>
            </w:r>
          </w:p>
        </w:tc>
        <w:tc>
          <w:tcPr>
            <w:tcW w:w="3437" w:type="dxa"/>
            <w:gridSpan w:val="2"/>
            <w:tcBorders>
              <w:tl2br w:val="nil"/>
              <w:tr2bl w:val="nil"/>
            </w:tcBorders>
            <w:tcMar>
              <w:top w:w="15" w:type="dxa"/>
              <w:left w:w="15" w:type="dxa"/>
              <w:bottom w:w="15" w:type="dxa"/>
              <w:right w:w="15" w:type="dxa"/>
            </w:tcMar>
            <w:vAlign w:val="center"/>
          </w:tcPr>
          <w:p w14:paraId="308B5AF6">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s="Times New Roman"/>
                <w:strike/>
                <w:color w:val="auto"/>
                <w:sz w:val="13"/>
                <w:szCs w:val="13"/>
                <w:highlight w:val="none"/>
              </w:rPr>
            </w:pPr>
            <w:r>
              <w:rPr>
                <w:rFonts w:hint="eastAsia" w:ascii="仿宋_GB2312" w:hAnsi="宋体" w:eastAsia="仿宋_GB2312"/>
                <w:color w:val="auto"/>
                <w:kern w:val="0"/>
                <w:sz w:val="13"/>
                <w:szCs w:val="13"/>
                <w:highlight w:val="none"/>
              </w:rPr>
              <w:t>（1）2年内2次及以上同类型违法的；（2）拒不改正违法行为的。（3）造成质量安全事故或者其他严重后果的。</w:t>
            </w:r>
          </w:p>
        </w:tc>
        <w:tc>
          <w:tcPr>
            <w:tcW w:w="3058" w:type="dxa"/>
            <w:tcBorders>
              <w:tl2br w:val="nil"/>
              <w:tr2bl w:val="nil"/>
            </w:tcBorders>
            <w:tcMar>
              <w:top w:w="15" w:type="dxa"/>
              <w:left w:w="15" w:type="dxa"/>
              <w:bottom w:w="15" w:type="dxa"/>
              <w:right w:w="15" w:type="dxa"/>
            </w:tcMar>
            <w:vAlign w:val="center"/>
          </w:tcPr>
          <w:p w14:paraId="5126452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s="Times New Roman"/>
                <w:strike/>
                <w:color w:val="auto"/>
                <w:sz w:val="13"/>
                <w:szCs w:val="13"/>
                <w:highlight w:val="none"/>
              </w:rPr>
            </w:pPr>
            <w:r>
              <w:rPr>
                <w:rFonts w:hint="eastAsia" w:ascii="仿宋_GB2312" w:hAnsi="宋体" w:eastAsia="仿宋_GB2312"/>
                <w:color w:val="auto"/>
                <w:kern w:val="0"/>
                <w:sz w:val="13"/>
                <w:szCs w:val="13"/>
                <w:highlight w:val="none"/>
              </w:rPr>
              <w:t>责令改正，对建设单位处80万元以上100万元以下的罚款。</w:t>
            </w:r>
          </w:p>
        </w:tc>
      </w:tr>
      <w:tr w14:paraId="6695210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47" w:hRule="atLeast"/>
          <w:jc w:val="center"/>
        </w:trPr>
        <w:tc>
          <w:tcPr>
            <w:tcW w:w="443" w:type="dxa"/>
            <w:gridSpan w:val="2"/>
            <w:vMerge w:val="restart"/>
            <w:tcBorders>
              <w:tl2br w:val="nil"/>
              <w:tr2bl w:val="nil"/>
            </w:tcBorders>
            <w:vAlign w:val="center"/>
          </w:tcPr>
          <w:p w14:paraId="0E2A59AF">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Times New Roman"/>
                <w:color w:val="auto"/>
                <w:sz w:val="13"/>
                <w:szCs w:val="13"/>
                <w:highlight w:val="none"/>
                <w:lang w:val="en-US" w:eastAsia="zh-CN"/>
              </w:rPr>
            </w:pPr>
            <w:r>
              <w:rPr>
                <w:rFonts w:hint="default" w:ascii="仿宋_GB2312" w:hAnsi="宋体" w:eastAsia="仿宋_GB2312" w:cs="仿宋_GB2312"/>
                <w:i w:val="0"/>
                <w:color w:val="auto"/>
                <w:kern w:val="0"/>
                <w:sz w:val="13"/>
                <w:szCs w:val="13"/>
                <w:highlight w:val="none"/>
                <w:u w:val="none"/>
                <w:lang w:val="en-US" w:eastAsia="zh-CN" w:bidi="ar"/>
              </w:rPr>
              <w:t>2</w:t>
            </w:r>
            <w:r>
              <w:rPr>
                <w:rFonts w:hint="eastAsia" w:ascii="仿宋_GB2312" w:hAnsi="宋体" w:eastAsia="仿宋_GB2312" w:cs="仿宋_GB2312"/>
                <w:i w:val="0"/>
                <w:color w:val="auto"/>
                <w:kern w:val="0"/>
                <w:sz w:val="13"/>
                <w:szCs w:val="13"/>
                <w:highlight w:val="none"/>
                <w:u w:val="none"/>
                <w:lang w:val="en-US" w:eastAsia="zh-CN" w:bidi="ar"/>
              </w:rPr>
              <w:t>22</w:t>
            </w:r>
          </w:p>
        </w:tc>
        <w:tc>
          <w:tcPr>
            <w:tcW w:w="1550" w:type="dxa"/>
            <w:vMerge w:val="restart"/>
            <w:tcBorders>
              <w:tl2br w:val="nil"/>
              <w:tr2bl w:val="nil"/>
            </w:tcBorders>
            <w:vAlign w:val="center"/>
          </w:tcPr>
          <w:p w14:paraId="79011B3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s="Times New Roman"/>
                <w:color w:val="auto"/>
                <w:sz w:val="13"/>
                <w:szCs w:val="13"/>
                <w:highlight w:val="none"/>
              </w:rPr>
            </w:pPr>
            <w:r>
              <w:rPr>
                <w:rFonts w:hint="eastAsia" w:ascii="仿宋_GB2312" w:hAnsi="宋体" w:eastAsia="仿宋_GB2312"/>
                <w:color w:val="auto"/>
                <w:kern w:val="0"/>
                <w:sz w:val="13"/>
                <w:szCs w:val="13"/>
                <w:highlight w:val="none"/>
              </w:rPr>
              <w:t>建设工程勘察、设计单位将所承揽的建设工程勘察、设计转包、违法分包的</w:t>
            </w:r>
          </w:p>
        </w:tc>
        <w:tc>
          <w:tcPr>
            <w:tcW w:w="4820" w:type="dxa"/>
            <w:vMerge w:val="restart"/>
            <w:tcBorders>
              <w:tl2br w:val="nil"/>
              <w:tr2bl w:val="nil"/>
            </w:tcBorders>
            <w:vAlign w:val="center"/>
          </w:tcPr>
          <w:p w14:paraId="49B2A13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《中华人民共和国建筑法》第六十七条第一款</w:t>
            </w:r>
          </w:p>
          <w:p w14:paraId="69EEC74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承包单位将承包的工程转包的，或者违反本法规定进行分包的，责令改正，没收违法所得，并处罚款，可以责令停业整顿，降低资质等级；情节严重的，吊销资质证书。</w:t>
            </w:r>
          </w:p>
          <w:p w14:paraId="44872D5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《建设工程勘察设计管理条例》第三十九条</w:t>
            </w:r>
          </w:p>
          <w:p w14:paraId="6DE0521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违反本条例规定，建设工程勘察、设计单位将所承揽的建设工程勘察、设计转包的，责令改正，没收违法所得，处合同约定的勘察费、设计费25%以上50%以下的罚款，可以责令停业整顿，降低资质等级；情节严重的，吊销资质证书。</w:t>
            </w:r>
          </w:p>
          <w:p w14:paraId="1F2D458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sz w:val="13"/>
                <w:szCs w:val="13"/>
                <w:highlight w:val="none"/>
              </w:rPr>
            </w:pPr>
            <w:r>
              <w:rPr>
                <w:rFonts w:hint="eastAsia" w:ascii="仿宋_GB2312" w:hAnsi="宋体" w:eastAsia="仿宋_GB2312"/>
                <w:color w:val="auto"/>
                <w:sz w:val="13"/>
                <w:szCs w:val="13"/>
                <w:highlight w:val="none"/>
              </w:rPr>
              <w:t>《建设工程质量管理条例》第六十二条第一款</w:t>
            </w:r>
          </w:p>
          <w:p w14:paraId="666B58D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sz w:val="13"/>
                <w:szCs w:val="13"/>
                <w:highlight w:val="none"/>
              </w:rPr>
            </w:pPr>
            <w:r>
              <w:rPr>
                <w:rFonts w:hint="eastAsia" w:ascii="仿宋_GB2312" w:hAnsi="宋体" w:eastAsia="仿宋_GB2312"/>
                <w:color w:val="auto"/>
                <w:sz w:val="13"/>
                <w:szCs w:val="13"/>
                <w:highlight w:val="none"/>
              </w:rPr>
              <w:t>违反本条例规定，承包单位将承包的工程转包或者违法分包的，责令改正，没收违法所得，对勘察、设计单位处合同约定的勘察费、设计费25％以上50％以下的罚款；对施工单位处工程合同价款0.5％以上1％以下的罚款；可以责令停业整顿，降低资质等级；情节严重的，吊销资质证书。</w:t>
            </w:r>
          </w:p>
          <w:p w14:paraId="19A2F53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sz w:val="13"/>
                <w:szCs w:val="13"/>
                <w:highlight w:val="none"/>
              </w:rPr>
            </w:pPr>
          </w:p>
          <w:p w14:paraId="5EAB86A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color w:val="auto"/>
                <w:sz w:val="13"/>
                <w:szCs w:val="13"/>
                <w:highlight w:val="none"/>
              </w:rPr>
            </w:pPr>
            <w:r>
              <w:rPr>
                <w:rFonts w:hint="eastAsia" w:ascii="仿宋_GB2312" w:hAnsi="宋体" w:eastAsia="仿宋_GB2312"/>
                <w:color w:val="auto"/>
                <w:sz w:val="13"/>
                <w:szCs w:val="13"/>
                <w:highlight w:val="none"/>
              </w:rPr>
              <w:t>《建设工程质量管理条例》第七十三条依照本条例规定，给予单位罚款处罚的，对单位直接负责的主管人员和其他直接责任人员处单位罚款数额百分之五以上百分之十以下的罚款。</w:t>
            </w:r>
          </w:p>
          <w:p w14:paraId="695375E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s="Times New Roman"/>
                <w:strike/>
                <w:color w:val="auto"/>
                <w:kern w:val="0"/>
                <w:sz w:val="13"/>
                <w:szCs w:val="13"/>
                <w:highlight w:val="none"/>
              </w:rPr>
            </w:pPr>
          </w:p>
        </w:tc>
        <w:tc>
          <w:tcPr>
            <w:tcW w:w="823" w:type="dxa"/>
            <w:tcBorders>
              <w:tl2br w:val="nil"/>
              <w:tr2bl w:val="nil"/>
            </w:tcBorders>
            <w:tcMar>
              <w:top w:w="15" w:type="dxa"/>
              <w:left w:w="15" w:type="dxa"/>
              <w:bottom w:w="15" w:type="dxa"/>
              <w:right w:w="15" w:type="dxa"/>
            </w:tcMar>
            <w:vAlign w:val="center"/>
          </w:tcPr>
          <w:p w14:paraId="0B196C5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Times New Roman"/>
                <w:color w:val="auto"/>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tcMar>
              <w:top w:w="15" w:type="dxa"/>
              <w:left w:w="15" w:type="dxa"/>
              <w:bottom w:w="15" w:type="dxa"/>
              <w:right w:w="15" w:type="dxa"/>
            </w:tcMar>
            <w:vAlign w:val="center"/>
          </w:tcPr>
          <w:p w14:paraId="668650D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s="Times New Roman"/>
                <w:color w:val="auto"/>
                <w:sz w:val="13"/>
                <w:szCs w:val="13"/>
                <w:highlight w:val="none"/>
              </w:rPr>
            </w:pPr>
            <w:r>
              <w:rPr>
                <w:rFonts w:hint="eastAsia" w:ascii="仿宋_GB2312" w:hAnsi="宋体" w:eastAsia="仿宋_GB2312"/>
                <w:color w:val="auto"/>
                <w:kern w:val="0"/>
                <w:sz w:val="13"/>
                <w:szCs w:val="13"/>
                <w:highlight w:val="none"/>
              </w:rPr>
              <w:t>初次违法，主动消除或减轻违法行为危害后果的。</w:t>
            </w:r>
          </w:p>
        </w:tc>
        <w:tc>
          <w:tcPr>
            <w:tcW w:w="3058" w:type="dxa"/>
            <w:tcBorders>
              <w:tl2br w:val="nil"/>
              <w:tr2bl w:val="nil"/>
            </w:tcBorders>
            <w:tcMar>
              <w:top w:w="15" w:type="dxa"/>
              <w:left w:w="15" w:type="dxa"/>
              <w:bottom w:w="15" w:type="dxa"/>
              <w:right w:w="15" w:type="dxa"/>
            </w:tcMar>
            <w:vAlign w:val="center"/>
          </w:tcPr>
          <w:p w14:paraId="09F72B0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s="Times New Roman"/>
                <w:color w:val="auto"/>
                <w:sz w:val="13"/>
                <w:szCs w:val="13"/>
                <w:highlight w:val="none"/>
              </w:rPr>
            </w:pPr>
            <w:r>
              <w:rPr>
                <w:rFonts w:hint="eastAsia" w:ascii="仿宋_GB2312" w:hAnsi="宋体" w:eastAsia="仿宋_GB2312" w:cs="Times New Roman"/>
                <w:color w:val="auto"/>
                <w:kern w:val="0"/>
                <w:sz w:val="13"/>
                <w:szCs w:val="13"/>
                <w:highlight w:val="none"/>
              </w:rPr>
              <w:t>责令改正，没收违法所得，处合同约定的勘察费、设计费百分</w:t>
            </w:r>
            <w:r>
              <w:rPr>
                <w:rFonts w:ascii="仿宋_GB2312" w:hAnsi="宋体" w:eastAsia="仿宋_GB2312" w:cs="Times New Roman"/>
                <w:color w:val="auto"/>
                <w:kern w:val="0"/>
                <w:sz w:val="13"/>
                <w:szCs w:val="13"/>
                <w:highlight w:val="none"/>
              </w:rPr>
              <w:t>之二十五</w:t>
            </w:r>
            <w:r>
              <w:rPr>
                <w:rFonts w:hint="eastAsia" w:ascii="仿宋_GB2312" w:hAnsi="宋体" w:eastAsia="仿宋_GB2312" w:cs="Times New Roman"/>
                <w:color w:val="auto"/>
                <w:kern w:val="0"/>
                <w:sz w:val="13"/>
                <w:szCs w:val="13"/>
                <w:highlight w:val="none"/>
              </w:rPr>
              <w:t>的罚款，对单位直接负责的主管人员和其他直接责任人员处单位罚款数额百分之五的罚款。</w:t>
            </w:r>
          </w:p>
        </w:tc>
      </w:tr>
      <w:tr w14:paraId="0D94300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12" w:hRule="atLeast"/>
          <w:jc w:val="center"/>
        </w:trPr>
        <w:tc>
          <w:tcPr>
            <w:tcW w:w="443" w:type="dxa"/>
            <w:gridSpan w:val="2"/>
            <w:vMerge w:val="continue"/>
            <w:tcBorders>
              <w:tl2br w:val="nil"/>
              <w:tr2bl w:val="nil"/>
            </w:tcBorders>
            <w:vAlign w:val="center"/>
          </w:tcPr>
          <w:p w14:paraId="64EB6885">
            <w:pPr>
              <w:pStyle w:val="37"/>
              <w:keepNext w:val="0"/>
              <w:keepLines w:val="0"/>
              <w:pageBreakBefore w:val="0"/>
              <w:widowControl/>
              <w:numPr>
                <w:ilvl w:val="0"/>
                <w:numId w:val="4"/>
              </w:numPr>
              <w:kinsoku/>
              <w:overflowPunct/>
              <w:topLinePunct w:val="0"/>
              <w:autoSpaceDE/>
              <w:autoSpaceDN/>
              <w:bidi w:val="0"/>
              <w:adjustRightInd/>
              <w:snapToGrid/>
              <w:spacing w:beforeAutospacing="0" w:afterAutospacing="0" w:line="260" w:lineRule="exact"/>
              <w:ind w:left="0" w:leftChars="0" w:right="0" w:rightChars="0" w:firstLineChars="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36C5584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s="Times New Roman"/>
                <w:color w:val="auto"/>
                <w:kern w:val="0"/>
                <w:sz w:val="13"/>
                <w:szCs w:val="13"/>
                <w:highlight w:val="none"/>
              </w:rPr>
            </w:pPr>
          </w:p>
        </w:tc>
        <w:tc>
          <w:tcPr>
            <w:tcW w:w="4820" w:type="dxa"/>
            <w:vMerge w:val="continue"/>
            <w:tcBorders>
              <w:tl2br w:val="nil"/>
              <w:tr2bl w:val="nil"/>
            </w:tcBorders>
            <w:vAlign w:val="center"/>
          </w:tcPr>
          <w:p w14:paraId="4A5E856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s="Times New Roman"/>
                <w:color w:val="auto"/>
                <w:kern w:val="0"/>
                <w:sz w:val="13"/>
                <w:szCs w:val="13"/>
                <w:highlight w:val="none"/>
              </w:rPr>
            </w:pPr>
          </w:p>
        </w:tc>
        <w:tc>
          <w:tcPr>
            <w:tcW w:w="823" w:type="dxa"/>
            <w:vMerge w:val="restart"/>
            <w:tcBorders>
              <w:tl2br w:val="nil"/>
              <w:tr2bl w:val="nil"/>
            </w:tcBorders>
            <w:tcMar>
              <w:top w:w="15" w:type="dxa"/>
              <w:left w:w="15" w:type="dxa"/>
              <w:bottom w:w="15" w:type="dxa"/>
              <w:right w:w="15" w:type="dxa"/>
            </w:tcMar>
            <w:vAlign w:val="center"/>
          </w:tcPr>
          <w:p w14:paraId="01AB651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Times New Roman"/>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一般情节</w:t>
            </w:r>
          </w:p>
        </w:tc>
        <w:tc>
          <w:tcPr>
            <w:tcW w:w="3437" w:type="dxa"/>
            <w:gridSpan w:val="2"/>
            <w:vMerge w:val="restart"/>
            <w:tcBorders>
              <w:tl2br w:val="nil"/>
              <w:tr2bl w:val="nil"/>
            </w:tcBorders>
            <w:tcMar>
              <w:top w:w="15" w:type="dxa"/>
              <w:left w:w="15" w:type="dxa"/>
              <w:bottom w:w="15" w:type="dxa"/>
              <w:right w:w="15" w:type="dxa"/>
            </w:tcMar>
            <w:vAlign w:val="center"/>
          </w:tcPr>
          <w:p w14:paraId="0279F030">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olor w:val="auto"/>
                <w:kern w:val="0"/>
                <w:sz w:val="13"/>
                <w:szCs w:val="13"/>
                <w:highlight w:val="none"/>
              </w:rPr>
              <w:t>未造成质量事故，不具有从轻、</w:t>
            </w:r>
            <w:r>
              <w:rPr>
                <w:rFonts w:hint="eastAsia" w:ascii="仿宋_GB2312" w:hAnsi="宋体" w:eastAsia="仿宋_GB2312"/>
                <w:color w:val="auto"/>
                <w:kern w:val="0"/>
                <w:sz w:val="13"/>
                <w:szCs w:val="13"/>
                <w:highlight w:val="none"/>
                <w:lang w:eastAsia="zh-CN"/>
              </w:rPr>
              <w:t>从重情节</w:t>
            </w:r>
            <w:r>
              <w:rPr>
                <w:rFonts w:hint="eastAsia" w:ascii="仿宋_GB2312" w:hAnsi="宋体" w:eastAsia="仿宋_GB2312"/>
                <w:color w:val="auto"/>
                <w:kern w:val="0"/>
                <w:sz w:val="13"/>
                <w:szCs w:val="13"/>
                <w:highlight w:val="none"/>
              </w:rPr>
              <w:t>的。</w:t>
            </w:r>
          </w:p>
        </w:tc>
        <w:tc>
          <w:tcPr>
            <w:tcW w:w="3058" w:type="dxa"/>
            <w:vMerge w:val="restart"/>
            <w:tcBorders>
              <w:tl2br w:val="nil"/>
              <w:tr2bl w:val="nil"/>
            </w:tcBorders>
            <w:tcMar>
              <w:top w:w="15" w:type="dxa"/>
              <w:left w:w="15" w:type="dxa"/>
              <w:bottom w:w="15" w:type="dxa"/>
              <w:right w:w="15" w:type="dxa"/>
            </w:tcMar>
            <w:vAlign w:val="center"/>
          </w:tcPr>
          <w:p w14:paraId="7ECCBDF8">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责令改正，没收违法所得，处合同约定的勘察费、设计费百分</w:t>
            </w:r>
            <w:r>
              <w:rPr>
                <w:rFonts w:ascii="仿宋_GB2312" w:hAnsi="宋体" w:eastAsia="仿宋_GB2312" w:cs="Times New Roman"/>
                <w:color w:val="auto"/>
                <w:kern w:val="0"/>
                <w:sz w:val="13"/>
                <w:szCs w:val="13"/>
                <w:highlight w:val="none"/>
              </w:rPr>
              <w:t>之</w:t>
            </w:r>
            <w:r>
              <w:rPr>
                <w:rFonts w:hint="eastAsia" w:ascii="仿宋_GB2312" w:hAnsi="宋体" w:eastAsia="仿宋_GB2312" w:cs="Times New Roman"/>
                <w:color w:val="auto"/>
                <w:kern w:val="0"/>
                <w:sz w:val="13"/>
                <w:szCs w:val="13"/>
                <w:highlight w:val="none"/>
              </w:rPr>
              <w:t>二十五以上百分</w:t>
            </w:r>
            <w:r>
              <w:rPr>
                <w:rFonts w:ascii="仿宋_GB2312" w:hAnsi="宋体" w:eastAsia="仿宋_GB2312" w:cs="Times New Roman"/>
                <w:color w:val="auto"/>
                <w:kern w:val="0"/>
                <w:sz w:val="13"/>
                <w:szCs w:val="13"/>
                <w:highlight w:val="none"/>
              </w:rPr>
              <w:t>之三十五</w:t>
            </w:r>
            <w:r>
              <w:rPr>
                <w:rFonts w:hint="eastAsia" w:ascii="仿宋_GB2312" w:hAnsi="宋体" w:eastAsia="仿宋_GB2312" w:cs="Times New Roman"/>
                <w:color w:val="auto"/>
                <w:kern w:val="0"/>
                <w:sz w:val="13"/>
                <w:szCs w:val="13"/>
                <w:highlight w:val="none"/>
              </w:rPr>
              <w:t>以下的罚款，对单位直接负责的主管人员和其他直接责任人员处单位罚款数额百分</w:t>
            </w:r>
            <w:r>
              <w:rPr>
                <w:rFonts w:ascii="仿宋_GB2312" w:hAnsi="宋体" w:eastAsia="仿宋_GB2312" w:cs="Times New Roman"/>
                <w:color w:val="auto"/>
                <w:kern w:val="0"/>
                <w:sz w:val="13"/>
                <w:szCs w:val="13"/>
                <w:highlight w:val="none"/>
              </w:rPr>
              <w:t>之五</w:t>
            </w:r>
            <w:r>
              <w:rPr>
                <w:rFonts w:hint="eastAsia" w:ascii="仿宋_GB2312" w:hAnsi="宋体" w:eastAsia="仿宋_GB2312" w:cs="Times New Roman"/>
                <w:color w:val="auto"/>
                <w:kern w:val="0"/>
                <w:sz w:val="13"/>
                <w:szCs w:val="13"/>
                <w:highlight w:val="none"/>
              </w:rPr>
              <w:t>以上百分</w:t>
            </w:r>
            <w:r>
              <w:rPr>
                <w:rFonts w:ascii="仿宋_GB2312" w:hAnsi="宋体" w:eastAsia="仿宋_GB2312" w:cs="Times New Roman"/>
                <w:color w:val="auto"/>
                <w:kern w:val="0"/>
                <w:sz w:val="13"/>
                <w:szCs w:val="13"/>
                <w:highlight w:val="none"/>
              </w:rPr>
              <w:t>之七</w:t>
            </w:r>
            <w:r>
              <w:rPr>
                <w:rFonts w:hint="eastAsia" w:ascii="仿宋_GB2312" w:hAnsi="宋体" w:eastAsia="仿宋_GB2312" w:cs="Times New Roman"/>
                <w:color w:val="auto"/>
                <w:kern w:val="0"/>
                <w:sz w:val="13"/>
                <w:szCs w:val="13"/>
                <w:highlight w:val="none"/>
              </w:rPr>
              <w:t>以下的罚款。</w:t>
            </w:r>
          </w:p>
        </w:tc>
      </w:tr>
      <w:tr w14:paraId="76D1B34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12" w:hRule="atLeast"/>
          <w:jc w:val="center"/>
        </w:trPr>
        <w:tc>
          <w:tcPr>
            <w:tcW w:w="443" w:type="dxa"/>
            <w:gridSpan w:val="2"/>
            <w:vMerge w:val="continue"/>
            <w:tcBorders>
              <w:tl2br w:val="nil"/>
              <w:tr2bl w:val="nil"/>
            </w:tcBorders>
            <w:vAlign w:val="center"/>
          </w:tcPr>
          <w:p w14:paraId="64276226">
            <w:pPr>
              <w:pStyle w:val="37"/>
              <w:keepNext w:val="0"/>
              <w:keepLines w:val="0"/>
              <w:pageBreakBefore w:val="0"/>
              <w:widowControl/>
              <w:numPr>
                <w:ilvl w:val="0"/>
                <w:numId w:val="4"/>
              </w:numPr>
              <w:kinsoku/>
              <w:overflowPunct/>
              <w:topLinePunct w:val="0"/>
              <w:autoSpaceDE/>
              <w:autoSpaceDN/>
              <w:bidi w:val="0"/>
              <w:adjustRightInd/>
              <w:snapToGrid/>
              <w:spacing w:beforeAutospacing="0" w:afterAutospacing="0" w:line="260" w:lineRule="exact"/>
              <w:ind w:left="0" w:leftChars="0" w:right="0" w:rightChars="0" w:firstLineChars="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2AEC873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center"/>
              <w:textAlignment w:val="center"/>
              <w:rPr>
                <w:rFonts w:ascii="仿宋_GB2312" w:hAnsi="宋体" w:eastAsia="仿宋_GB2312" w:cs="Times New Roman"/>
                <w:color w:val="auto"/>
                <w:kern w:val="0"/>
                <w:sz w:val="13"/>
                <w:szCs w:val="13"/>
                <w:highlight w:val="none"/>
              </w:rPr>
            </w:pPr>
          </w:p>
        </w:tc>
        <w:tc>
          <w:tcPr>
            <w:tcW w:w="4820" w:type="dxa"/>
            <w:vMerge w:val="continue"/>
            <w:tcBorders>
              <w:tl2br w:val="nil"/>
              <w:tr2bl w:val="nil"/>
            </w:tcBorders>
            <w:vAlign w:val="center"/>
          </w:tcPr>
          <w:p w14:paraId="442DD4B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center"/>
              <w:textAlignment w:val="center"/>
              <w:rPr>
                <w:rFonts w:ascii="仿宋_GB2312" w:hAnsi="宋体" w:eastAsia="仿宋_GB2312" w:cs="Times New Roman"/>
                <w:color w:val="auto"/>
                <w:kern w:val="0"/>
                <w:sz w:val="13"/>
                <w:szCs w:val="13"/>
                <w:highlight w:val="none"/>
              </w:rPr>
            </w:pPr>
          </w:p>
        </w:tc>
        <w:tc>
          <w:tcPr>
            <w:tcW w:w="823" w:type="dxa"/>
            <w:vMerge w:val="continue"/>
            <w:tcBorders>
              <w:tl2br w:val="nil"/>
              <w:tr2bl w:val="nil"/>
            </w:tcBorders>
            <w:tcMar>
              <w:top w:w="15" w:type="dxa"/>
              <w:left w:w="15" w:type="dxa"/>
              <w:bottom w:w="15" w:type="dxa"/>
              <w:right w:w="15" w:type="dxa"/>
            </w:tcMar>
            <w:vAlign w:val="center"/>
          </w:tcPr>
          <w:p w14:paraId="799FAEC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color w:val="auto"/>
                <w:kern w:val="0"/>
                <w:sz w:val="13"/>
                <w:szCs w:val="13"/>
                <w:highlight w:val="none"/>
              </w:rPr>
            </w:pPr>
          </w:p>
        </w:tc>
        <w:tc>
          <w:tcPr>
            <w:tcW w:w="3437" w:type="dxa"/>
            <w:gridSpan w:val="2"/>
            <w:vMerge w:val="continue"/>
            <w:tcBorders>
              <w:tl2br w:val="nil"/>
              <w:tr2bl w:val="nil"/>
            </w:tcBorders>
            <w:tcMar>
              <w:top w:w="15" w:type="dxa"/>
              <w:left w:w="15" w:type="dxa"/>
              <w:bottom w:w="15" w:type="dxa"/>
              <w:right w:w="15" w:type="dxa"/>
            </w:tcMar>
            <w:vAlign w:val="center"/>
          </w:tcPr>
          <w:p w14:paraId="1B95479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s="Times New Roman"/>
                <w:color w:val="auto"/>
                <w:kern w:val="0"/>
                <w:sz w:val="13"/>
                <w:szCs w:val="13"/>
                <w:highlight w:val="none"/>
              </w:rPr>
            </w:pPr>
          </w:p>
        </w:tc>
        <w:tc>
          <w:tcPr>
            <w:tcW w:w="3058" w:type="dxa"/>
            <w:vMerge w:val="continue"/>
            <w:tcBorders>
              <w:tl2br w:val="nil"/>
              <w:tr2bl w:val="nil"/>
            </w:tcBorders>
            <w:tcMar>
              <w:top w:w="15" w:type="dxa"/>
              <w:left w:w="15" w:type="dxa"/>
              <w:bottom w:w="15" w:type="dxa"/>
              <w:right w:w="15" w:type="dxa"/>
            </w:tcMar>
            <w:vAlign w:val="center"/>
          </w:tcPr>
          <w:p w14:paraId="4D24A97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s="Times New Roman"/>
                <w:color w:val="auto"/>
                <w:kern w:val="0"/>
                <w:sz w:val="13"/>
                <w:szCs w:val="13"/>
                <w:highlight w:val="none"/>
              </w:rPr>
            </w:pPr>
          </w:p>
        </w:tc>
      </w:tr>
      <w:tr w14:paraId="4D24825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12" w:hRule="atLeast"/>
          <w:jc w:val="center"/>
        </w:trPr>
        <w:tc>
          <w:tcPr>
            <w:tcW w:w="443" w:type="dxa"/>
            <w:gridSpan w:val="2"/>
            <w:vMerge w:val="continue"/>
            <w:tcBorders>
              <w:tl2br w:val="nil"/>
              <w:tr2bl w:val="nil"/>
            </w:tcBorders>
            <w:vAlign w:val="center"/>
          </w:tcPr>
          <w:p w14:paraId="4A45B83A">
            <w:pPr>
              <w:pStyle w:val="37"/>
              <w:keepNext w:val="0"/>
              <w:keepLines w:val="0"/>
              <w:pageBreakBefore w:val="0"/>
              <w:widowControl/>
              <w:numPr>
                <w:ilvl w:val="0"/>
                <w:numId w:val="4"/>
              </w:numPr>
              <w:kinsoku/>
              <w:overflowPunct/>
              <w:topLinePunct w:val="0"/>
              <w:autoSpaceDE/>
              <w:autoSpaceDN/>
              <w:bidi w:val="0"/>
              <w:adjustRightInd/>
              <w:snapToGrid/>
              <w:spacing w:beforeAutospacing="0" w:afterAutospacing="0" w:line="260" w:lineRule="exact"/>
              <w:ind w:left="0" w:leftChars="0" w:right="0" w:rightChars="0" w:firstLineChars="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0C37AC5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center"/>
              <w:textAlignment w:val="center"/>
              <w:rPr>
                <w:rFonts w:ascii="仿宋_GB2312" w:hAnsi="宋体" w:eastAsia="仿宋_GB2312" w:cs="Times New Roman"/>
                <w:color w:val="auto"/>
                <w:kern w:val="0"/>
                <w:sz w:val="13"/>
                <w:szCs w:val="13"/>
                <w:highlight w:val="none"/>
              </w:rPr>
            </w:pPr>
          </w:p>
        </w:tc>
        <w:tc>
          <w:tcPr>
            <w:tcW w:w="4820" w:type="dxa"/>
            <w:vMerge w:val="continue"/>
            <w:tcBorders>
              <w:tl2br w:val="nil"/>
              <w:tr2bl w:val="nil"/>
            </w:tcBorders>
            <w:vAlign w:val="center"/>
          </w:tcPr>
          <w:p w14:paraId="45E374E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center"/>
              <w:textAlignment w:val="center"/>
              <w:rPr>
                <w:rFonts w:ascii="仿宋_GB2312" w:hAnsi="宋体" w:eastAsia="仿宋_GB2312" w:cs="Times New Roman"/>
                <w:color w:val="auto"/>
                <w:kern w:val="0"/>
                <w:sz w:val="13"/>
                <w:szCs w:val="13"/>
                <w:highlight w:val="none"/>
              </w:rPr>
            </w:pPr>
          </w:p>
        </w:tc>
        <w:tc>
          <w:tcPr>
            <w:tcW w:w="823" w:type="dxa"/>
            <w:vMerge w:val="continue"/>
            <w:tcBorders>
              <w:tl2br w:val="nil"/>
              <w:tr2bl w:val="nil"/>
            </w:tcBorders>
            <w:tcMar>
              <w:top w:w="15" w:type="dxa"/>
              <w:left w:w="15" w:type="dxa"/>
              <w:bottom w:w="15" w:type="dxa"/>
              <w:right w:w="15" w:type="dxa"/>
            </w:tcMar>
            <w:vAlign w:val="center"/>
          </w:tcPr>
          <w:p w14:paraId="5B410A2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color w:val="auto"/>
                <w:kern w:val="0"/>
                <w:sz w:val="13"/>
                <w:szCs w:val="13"/>
                <w:highlight w:val="none"/>
              </w:rPr>
            </w:pPr>
          </w:p>
        </w:tc>
        <w:tc>
          <w:tcPr>
            <w:tcW w:w="3437" w:type="dxa"/>
            <w:gridSpan w:val="2"/>
            <w:vMerge w:val="continue"/>
            <w:tcBorders>
              <w:tl2br w:val="nil"/>
              <w:tr2bl w:val="nil"/>
            </w:tcBorders>
            <w:tcMar>
              <w:top w:w="15" w:type="dxa"/>
              <w:left w:w="15" w:type="dxa"/>
              <w:bottom w:w="15" w:type="dxa"/>
              <w:right w:w="15" w:type="dxa"/>
            </w:tcMar>
            <w:vAlign w:val="center"/>
          </w:tcPr>
          <w:p w14:paraId="1121C7E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s="Times New Roman"/>
                <w:color w:val="auto"/>
                <w:kern w:val="0"/>
                <w:sz w:val="13"/>
                <w:szCs w:val="13"/>
                <w:highlight w:val="none"/>
              </w:rPr>
            </w:pPr>
          </w:p>
        </w:tc>
        <w:tc>
          <w:tcPr>
            <w:tcW w:w="3058" w:type="dxa"/>
            <w:vMerge w:val="continue"/>
            <w:tcBorders>
              <w:tl2br w:val="nil"/>
              <w:tr2bl w:val="nil"/>
            </w:tcBorders>
            <w:tcMar>
              <w:top w:w="15" w:type="dxa"/>
              <w:left w:w="15" w:type="dxa"/>
              <w:bottom w:w="15" w:type="dxa"/>
              <w:right w:w="15" w:type="dxa"/>
            </w:tcMar>
            <w:vAlign w:val="center"/>
          </w:tcPr>
          <w:p w14:paraId="13C18C3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s="Times New Roman"/>
                <w:color w:val="auto"/>
                <w:kern w:val="0"/>
                <w:sz w:val="13"/>
                <w:szCs w:val="13"/>
                <w:highlight w:val="none"/>
              </w:rPr>
            </w:pPr>
          </w:p>
        </w:tc>
      </w:tr>
      <w:tr w14:paraId="459574F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585" w:hRule="atLeast"/>
          <w:jc w:val="center"/>
        </w:trPr>
        <w:tc>
          <w:tcPr>
            <w:tcW w:w="443" w:type="dxa"/>
            <w:gridSpan w:val="2"/>
            <w:vMerge w:val="continue"/>
            <w:tcBorders>
              <w:tl2br w:val="nil"/>
              <w:tr2bl w:val="nil"/>
            </w:tcBorders>
            <w:vAlign w:val="center"/>
          </w:tcPr>
          <w:p w14:paraId="231FFF5D">
            <w:pPr>
              <w:pStyle w:val="37"/>
              <w:keepNext w:val="0"/>
              <w:keepLines w:val="0"/>
              <w:pageBreakBefore w:val="0"/>
              <w:widowControl/>
              <w:numPr>
                <w:ilvl w:val="0"/>
                <w:numId w:val="4"/>
              </w:numPr>
              <w:kinsoku/>
              <w:overflowPunct/>
              <w:topLinePunct w:val="0"/>
              <w:autoSpaceDE/>
              <w:autoSpaceDN/>
              <w:bidi w:val="0"/>
              <w:adjustRightInd/>
              <w:snapToGrid/>
              <w:spacing w:beforeAutospacing="0" w:afterAutospacing="0" w:line="260" w:lineRule="exact"/>
              <w:ind w:left="0" w:leftChars="0" w:right="0" w:rightChars="0" w:firstLineChars="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3BAEF04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center"/>
              <w:textAlignment w:val="center"/>
              <w:rPr>
                <w:rFonts w:ascii="仿宋_GB2312" w:hAnsi="宋体" w:eastAsia="仿宋_GB2312" w:cs="Times New Roman"/>
                <w:color w:val="auto"/>
                <w:kern w:val="0"/>
                <w:sz w:val="13"/>
                <w:szCs w:val="13"/>
                <w:highlight w:val="none"/>
              </w:rPr>
            </w:pPr>
          </w:p>
        </w:tc>
        <w:tc>
          <w:tcPr>
            <w:tcW w:w="4820" w:type="dxa"/>
            <w:vMerge w:val="continue"/>
            <w:tcBorders>
              <w:tl2br w:val="nil"/>
              <w:tr2bl w:val="nil"/>
            </w:tcBorders>
            <w:vAlign w:val="center"/>
          </w:tcPr>
          <w:p w14:paraId="5C9E2E5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center"/>
              <w:textAlignment w:val="center"/>
              <w:rPr>
                <w:rFonts w:ascii="仿宋_GB2312" w:hAnsi="宋体" w:eastAsia="仿宋_GB2312" w:cs="Times New Roman"/>
                <w:color w:val="auto"/>
                <w:kern w:val="0"/>
                <w:sz w:val="13"/>
                <w:szCs w:val="13"/>
                <w:highlight w:val="none"/>
              </w:rPr>
            </w:pPr>
          </w:p>
        </w:tc>
        <w:tc>
          <w:tcPr>
            <w:tcW w:w="823" w:type="dxa"/>
            <w:vMerge w:val="restart"/>
            <w:tcBorders>
              <w:tl2br w:val="nil"/>
              <w:tr2bl w:val="nil"/>
            </w:tcBorders>
            <w:tcMar>
              <w:top w:w="15" w:type="dxa"/>
              <w:left w:w="15" w:type="dxa"/>
              <w:bottom w:w="15" w:type="dxa"/>
              <w:right w:w="15" w:type="dxa"/>
            </w:tcMar>
            <w:vAlign w:val="center"/>
          </w:tcPr>
          <w:p w14:paraId="4E6E5A24">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Times New Roman"/>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从重情节</w:t>
            </w:r>
          </w:p>
        </w:tc>
        <w:tc>
          <w:tcPr>
            <w:tcW w:w="3437" w:type="dxa"/>
            <w:gridSpan w:val="2"/>
            <w:tcBorders>
              <w:tl2br w:val="nil"/>
              <w:tr2bl w:val="nil"/>
            </w:tcBorders>
            <w:tcMar>
              <w:top w:w="15" w:type="dxa"/>
              <w:left w:w="15" w:type="dxa"/>
              <w:bottom w:w="15" w:type="dxa"/>
              <w:right w:w="15" w:type="dxa"/>
            </w:tcMar>
            <w:vAlign w:val="center"/>
          </w:tcPr>
          <w:p w14:paraId="0DC43ED0">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s="Times New Roman"/>
                <w:strike/>
                <w:color w:val="auto"/>
                <w:sz w:val="13"/>
                <w:szCs w:val="13"/>
                <w:highlight w:val="none"/>
              </w:rPr>
            </w:pPr>
            <w:r>
              <w:rPr>
                <w:rFonts w:hint="eastAsia" w:ascii="仿宋_GB2312" w:hAnsi="宋体" w:eastAsia="仿宋_GB2312"/>
                <w:color w:val="auto"/>
                <w:kern w:val="0"/>
                <w:sz w:val="13"/>
                <w:szCs w:val="13"/>
                <w:highlight w:val="none"/>
              </w:rPr>
              <w:t>（1）2年内2次及以上同类型违法的。</w:t>
            </w:r>
          </w:p>
        </w:tc>
        <w:tc>
          <w:tcPr>
            <w:tcW w:w="3058" w:type="dxa"/>
            <w:tcBorders>
              <w:tl2br w:val="nil"/>
              <w:tr2bl w:val="nil"/>
            </w:tcBorders>
            <w:tcMar>
              <w:top w:w="15" w:type="dxa"/>
              <w:left w:w="15" w:type="dxa"/>
              <w:bottom w:w="15" w:type="dxa"/>
              <w:right w:w="15" w:type="dxa"/>
            </w:tcMar>
            <w:vAlign w:val="center"/>
          </w:tcPr>
          <w:p w14:paraId="1B361E3A">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s="Times New Roman"/>
                <w:strike/>
                <w:color w:val="auto"/>
                <w:sz w:val="13"/>
                <w:szCs w:val="13"/>
                <w:highlight w:val="none"/>
              </w:rPr>
            </w:pPr>
            <w:r>
              <w:rPr>
                <w:rFonts w:hint="eastAsia" w:ascii="仿宋_GB2312" w:hAnsi="宋体" w:eastAsia="仿宋_GB2312" w:cs="Times New Roman"/>
                <w:color w:val="auto"/>
                <w:kern w:val="0"/>
                <w:sz w:val="13"/>
                <w:szCs w:val="13"/>
                <w:highlight w:val="none"/>
              </w:rPr>
              <w:t>没收违法所得，处合同约定的勘察费、设计费百分</w:t>
            </w:r>
            <w:r>
              <w:rPr>
                <w:rFonts w:ascii="仿宋_GB2312" w:hAnsi="宋体" w:eastAsia="仿宋_GB2312" w:cs="Times New Roman"/>
                <w:color w:val="auto"/>
                <w:kern w:val="0"/>
                <w:sz w:val="13"/>
                <w:szCs w:val="13"/>
                <w:highlight w:val="none"/>
              </w:rPr>
              <w:t>之三十五</w:t>
            </w:r>
            <w:r>
              <w:rPr>
                <w:rFonts w:hint="eastAsia" w:ascii="仿宋_GB2312" w:hAnsi="宋体" w:eastAsia="仿宋_GB2312" w:cs="Times New Roman"/>
                <w:color w:val="auto"/>
                <w:kern w:val="0"/>
                <w:sz w:val="13"/>
                <w:szCs w:val="13"/>
                <w:highlight w:val="none"/>
              </w:rPr>
              <w:t>以上百分</w:t>
            </w:r>
            <w:r>
              <w:rPr>
                <w:rFonts w:ascii="仿宋_GB2312" w:hAnsi="宋体" w:eastAsia="仿宋_GB2312" w:cs="Times New Roman"/>
                <w:color w:val="auto"/>
                <w:kern w:val="0"/>
                <w:sz w:val="13"/>
                <w:szCs w:val="13"/>
                <w:highlight w:val="none"/>
              </w:rPr>
              <w:t>之四十</w:t>
            </w:r>
            <w:r>
              <w:rPr>
                <w:rFonts w:hint="eastAsia" w:ascii="仿宋_GB2312" w:hAnsi="宋体" w:eastAsia="仿宋_GB2312" w:cs="Times New Roman"/>
                <w:color w:val="auto"/>
                <w:kern w:val="0"/>
                <w:sz w:val="13"/>
                <w:szCs w:val="13"/>
                <w:highlight w:val="none"/>
              </w:rPr>
              <w:t>以下的罚款，责令停业整顿</w:t>
            </w:r>
            <w:r>
              <w:rPr>
                <w:rFonts w:hint="eastAsia" w:ascii="仿宋_GB2312" w:hAnsi="宋体" w:eastAsia="仿宋_GB2312" w:cs="Times New Roman"/>
                <w:color w:val="auto"/>
                <w:kern w:val="0"/>
                <w:sz w:val="13"/>
                <w:szCs w:val="13"/>
                <w:highlight w:val="none"/>
                <w:lang w:eastAsia="zh-CN"/>
              </w:rPr>
              <w:t>30日-</w:t>
            </w:r>
            <w:r>
              <w:rPr>
                <w:rFonts w:ascii="仿宋_GB2312" w:hAnsi="宋体" w:eastAsia="仿宋_GB2312" w:cs="Times New Roman"/>
                <w:color w:val="auto"/>
                <w:kern w:val="0"/>
                <w:sz w:val="13"/>
                <w:szCs w:val="13"/>
                <w:highlight w:val="none"/>
              </w:rPr>
              <w:t>60日</w:t>
            </w:r>
            <w:r>
              <w:rPr>
                <w:rFonts w:hint="eastAsia" w:ascii="仿宋_GB2312" w:hAnsi="宋体" w:eastAsia="仿宋_GB2312" w:cs="Times New Roman"/>
                <w:color w:val="auto"/>
                <w:kern w:val="0"/>
                <w:sz w:val="13"/>
                <w:szCs w:val="13"/>
                <w:highlight w:val="none"/>
              </w:rPr>
              <w:t>，对单位直接负责的主管人员和其他直接责任人员处单位罚款数额百分</w:t>
            </w:r>
            <w:r>
              <w:rPr>
                <w:rFonts w:ascii="仿宋_GB2312" w:hAnsi="宋体" w:eastAsia="仿宋_GB2312" w:cs="Times New Roman"/>
                <w:color w:val="auto"/>
                <w:kern w:val="0"/>
                <w:sz w:val="13"/>
                <w:szCs w:val="13"/>
                <w:highlight w:val="none"/>
              </w:rPr>
              <w:t>之七</w:t>
            </w:r>
            <w:r>
              <w:rPr>
                <w:rFonts w:hint="eastAsia" w:ascii="仿宋_GB2312" w:hAnsi="宋体" w:eastAsia="仿宋_GB2312" w:cs="Times New Roman"/>
                <w:color w:val="auto"/>
                <w:kern w:val="0"/>
                <w:sz w:val="13"/>
                <w:szCs w:val="13"/>
                <w:highlight w:val="none"/>
              </w:rPr>
              <w:t>以上百分之</w:t>
            </w:r>
            <w:r>
              <w:rPr>
                <w:rFonts w:ascii="仿宋_GB2312" w:hAnsi="宋体" w:eastAsia="仿宋_GB2312" w:cs="Times New Roman"/>
                <w:color w:val="auto"/>
                <w:kern w:val="0"/>
                <w:sz w:val="13"/>
                <w:szCs w:val="13"/>
                <w:highlight w:val="none"/>
              </w:rPr>
              <w:t>八</w:t>
            </w:r>
            <w:r>
              <w:rPr>
                <w:rFonts w:hint="eastAsia" w:ascii="仿宋_GB2312" w:hAnsi="宋体" w:eastAsia="仿宋_GB2312" w:cs="Times New Roman"/>
                <w:color w:val="auto"/>
                <w:kern w:val="0"/>
                <w:sz w:val="13"/>
                <w:szCs w:val="13"/>
                <w:highlight w:val="none"/>
              </w:rPr>
              <w:t>以下的罚款。</w:t>
            </w:r>
          </w:p>
        </w:tc>
      </w:tr>
      <w:tr w14:paraId="2CA4BEC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585" w:hRule="atLeast"/>
          <w:jc w:val="center"/>
        </w:trPr>
        <w:tc>
          <w:tcPr>
            <w:tcW w:w="443" w:type="dxa"/>
            <w:gridSpan w:val="2"/>
            <w:vMerge w:val="continue"/>
            <w:tcBorders>
              <w:tl2br w:val="nil"/>
              <w:tr2bl w:val="nil"/>
            </w:tcBorders>
            <w:vAlign w:val="center"/>
          </w:tcPr>
          <w:p w14:paraId="386B3918">
            <w:pPr>
              <w:pStyle w:val="37"/>
              <w:keepNext w:val="0"/>
              <w:keepLines w:val="0"/>
              <w:pageBreakBefore w:val="0"/>
              <w:widowControl/>
              <w:numPr>
                <w:ilvl w:val="0"/>
                <w:numId w:val="4"/>
              </w:numPr>
              <w:kinsoku/>
              <w:overflowPunct/>
              <w:topLinePunct w:val="0"/>
              <w:autoSpaceDE/>
              <w:autoSpaceDN/>
              <w:bidi w:val="0"/>
              <w:adjustRightInd/>
              <w:snapToGrid/>
              <w:spacing w:beforeAutospacing="0" w:afterAutospacing="0" w:line="260" w:lineRule="exact"/>
              <w:ind w:left="0" w:leftChars="0" w:right="0" w:rightChars="0" w:firstLineChars="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266669B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center"/>
              <w:textAlignment w:val="center"/>
              <w:rPr>
                <w:rFonts w:ascii="仿宋_GB2312" w:hAnsi="宋体" w:eastAsia="仿宋_GB2312" w:cs="Times New Roman"/>
                <w:color w:val="auto"/>
                <w:kern w:val="0"/>
                <w:sz w:val="13"/>
                <w:szCs w:val="13"/>
                <w:highlight w:val="none"/>
              </w:rPr>
            </w:pPr>
          </w:p>
        </w:tc>
        <w:tc>
          <w:tcPr>
            <w:tcW w:w="4820" w:type="dxa"/>
            <w:vMerge w:val="continue"/>
            <w:tcBorders>
              <w:tl2br w:val="nil"/>
              <w:tr2bl w:val="nil"/>
            </w:tcBorders>
            <w:vAlign w:val="center"/>
          </w:tcPr>
          <w:p w14:paraId="410304A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center"/>
              <w:textAlignment w:val="center"/>
              <w:rPr>
                <w:rFonts w:ascii="仿宋_GB2312" w:hAnsi="宋体" w:eastAsia="仿宋_GB2312" w:cs="Times New Roman"/>
                <w:color w:val="auto"/>
                <w:kern w:val="0"/>
                <w:sz w:val="13"/>
                <w:szCs w:val="13"/>
                <w:highlight w:val="none"/>
              </w:rPr>
            </w:pPr>
          </w:p>
        </w:tc>
        <w:tc>
          <w:tcPr>
            <w:tcW w:w="823" w:type="dxa"/>
            <w:vMerge w:val="continue"/>
            <w:tcBorders>
              <w:tl2br w:val="nil"/>
              <w:tr2bl w:val="nil"/>
            </w:tcBorders>
            <w:tcMar>
              <w:top w:w="15" w:type="dxa"/>
              <w:left w:w="15" w:type="dxa"/>
              <w:bottom w:w="15" w:type="dxa"/>
              <w:right w:w="15" w:type="dxa"/>
            </w:tcMar>
            <w:vAlign w:val="center"/>
          </w:tcPr>
          <w:p w14:paraId="6F56A6D4">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color w:val="auto"/>
                <w:kern w:val="0"/>
                <w:sz w:val="13"/>
                <w:szCs w:val="13"/>
                <w:highlight w:val="none"/>
              </w:rPr>
            </w:pPr>
          </w:p>
        </w:tc>
        <w:tc>
          <w:tcPr>
            <w:tcW w:w="3437" w:type="dxa"/>
            <w:gridSpan w:val="2"/>
            <w:tcBorders>
              <w:tl2br w:val="nil"/>
              <w:tr2bl w:val="nil"/>
            </w:tcBorders>
            <w:tcMar>
              <w:top w:w="15" w:type="dxa"/>
              <w:left w:w="15" w:type="dxa"/>
              <w:bottom w:w="15" w:type="dxa"/>
              <w:right w:w="15" w:type="dxa"/>
            </w:tcMar>
            <w:vAlign w:val="center"/>
          </w:tcPr>
          <w:p w14:paraId="71DEE97D">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olor w:val="auto"/>
                <w:kern w:val="0"/>
                <w:sz w:val="13"/>
                <w:szCs w:val="13"/>
                <w:highlight w:val="none"/>
              </w:rPr>
              <w:t>（2）造成</w:t>
            </w:r>
            <w:r>
              <w:rPr>
                <w:rFonts w:ascii="仿宋_GB2312" w:hAnsi="宋体" w:eastAsia="仿宋_GB2312"/>
                <w:color w:val="auto"/>
                <w:kern w:val="0"/>
                <w:sz w:val="13"/>
                <w:szCs w:val="13"/>
                <w:highlight w:val="none"/>
              </w:rPr>
              <w:t>3</w:t>
            </w:r>
            <w:r>
              <w:rPr>
                <w:rFonts w:hint="eastAsia" w:ascii="仿宋_GB2312" w:hAnsi="宋体" w:eastAsia="仿宋_GB2312"/>
                <w:color w:val="auto"/>
                <w:kern w:val="0"/>
                <w:sz w:val="13"/>
                <w:szCs w:val="13"/>
                <w:highlight w:val="none"/>
              </w:rPr>
              <w:t>人以下死亡，或者</w:t>
            </w:r>
            <w:r>
              <w:rPr>
                <w:rFonts w:ascii="仿宋_GB2312" w:hAnsi="宋体" w:eastAsia="仿宋_GB2312"/>
                <w:color w:val="auto"/>
                <w:kern w:val="0"/>
                <w:sz w:val="13"/>
                <w:szCs w:val="13"/>
                <w:highlight w:val="none"/>
              </w:rPr>
              <w:t>10</w:t>
            </w:r>
            <w:r>
              <w:rPr>
                <w:rFonts w:hint="eastAsia" w:ascii="仿宋_GB2312" w:hAnsi="宋体" w:eastAsia="仿宋_GB2312"/>
                <w:color w:val="auto"/>
                <w:kern w:val="0"/>
                <w:sz w:val="13"/>
                <w:szCs w:val="13"/>
                <w:highlight w:val="none"/>
              </w:rPr>
              <w:t>人以下重伤，或者300万以上</w:t>
            </w:r>
            <w:r>
              <w:rPr>
                <w:rFonts w:ascii="仿宋_GB2312" w:hAnsi="宋体" w:eastAsia="仿宋_GB2312"/>
                <w:color w:val="auto"/>
                <w:kern w:val="0"/>
                <w:sz w:val="13"/>
                <w:szCs w:val="13"/>
                <w:highlight w:val="none"/>
              </w:rPr>
              <w:t>1000</w:t>
            </w:r>
            <w:r>
              <w:rPr>
                <w:rFonts w:hint="eastAsia" w:ascii="仿宋_GB2312" w:hAnsi="宋体" w:eastAsia="仿宋_GB2312"/>
                <w:color w:val="auto"/>
                <w:kern w:val="0"/>
                <w:sz w:val="13"/>
                <w:szCs w:val="13"/>
                <w:highlight w:val="none"/>
              </w:rPr>
              <w:t>万元以下直接经济损失的。</w:t>
            </w:r>
          </w:p>
        </w:tc>
        <w:tc>
          <w:tcPr>
            <w:tcW w:w="3058" w:type="dxa"/>
            <w:tcBorders>
              <w:tl2br w:val="nil"/>
              <w:tr2bl w:val="nil"/>
            </w:tcBorders>
            <w:tcMar>
              <w:top w:w="15" w:type="dxa"/>
              <w:left w:w="15" w:type="dxa"/>
              <w:bottom w:w="15" w:type="dxa"/>
              <w:right w:w="15" w:type="dxa"/>
            </w:tcMar>
            <w:vAlign w:val="center"/>
          </w:tcPr>
          <w:p w14:paraId="3E329EE7">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没收违法所得，处合同约定的勘察费、设计费百分之四十以上百分之五十以下的罚款，责令停业整顿</w:t>
            </w:r>
            <w:r>
              <w:rPr>
                <w:rFonts w:hint="eastAsia" w:ascii="仿宋_GB2312" w:hAnsi="宋体" w:eastAsia="仿宋_GB2312" w:cs="Times New Roman"/>
                <w:color w:val="auto"/>
                <w:kern w:val="0"/>
                <w:sz w:val="13"/>
                <w:szCs w:val="13"/>
                <w:highlight w:val="none"/>
                <w:lang w:eastAsia="zh-CN"/>
              </w:rPr>
              <w:t>30日-</w:t>
            </w:r>
            <w:r>
              <w:rPr>
                <w:rFonts w:hint="eastAsia" w:ascii="仿宋_GB2312" w:hAnsi="宋体" w:eastAsia="仿宋_GB2312" w:cs="Times New Roman"/>
                <w:color w:val="auto"/>
                <w:kern w:val="0"/>
                <w:sz w:val="13"/>
                <w:szCs w:val="13"/>
                <w:highlight w:val="none"/>
              </w:rPr>
              <w:t>60日，对单位直接负责的主管人员和其他直接责任人员处单位罚款数额百分之七以上百分之八以下的罚款。</w:t>
            </w:r>
          </w:p>
        </w:tc>
      </w:tr>
      <w:tr w14:paraId="6248D88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25" w:hRule="atLeast"/>
          <w:jc w:val="center"/>
        </w:trPr>
        <w:tc>
          <w:tcPr>
            <w:tcW w:w="443" w:type="dxa"/>
            <w:gridSpan w:val="2"/>
            <w:vMerge w:val="continue"/>
            <w:tcBorders>
              <w:tl2br w:val="nil"/>
              <w:tr2bl w:val="nil"/>
            </w:tcBorders>
            <w:vAlign w:val="center"/>
          </w:tcPr>
          <w:p w14:paraId="0DE5CDCA">
            <w:pPr>
              <w:pStyle w:val="37"/>
              <w:keepNext w:val="0"/>
              <w:keepLines w:val="0"/>
              <w:pageBreakBefore w:val="0"/>
              <w:widowControl/>
              <w:numPr>
                <w:ilvl w:val="0"/>
                <w:numId w:val="4"/>
              </w:numPr>
              <w:kinsoku/>
              <w:overflowPunct/>
              <w:topLinePunct w:val="0"/>
              <w:autoSpaceDE/>
              <w:autoSpaceDN/>
              <w:bidi w:val="0"/>
              <w:adjustRightInd/>
              <w:snapToGrid/>
              <w:spacing w:beforeAutospacing="0" w:afterAutospacing="0" w:line="260" w:lineRule="exact"/>
              <w:ind w:left="0" w:leftChars="0" w:right="0" w:rightChars="0" w:firstLineChars="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5D7A00B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center"/>
              <w:textAlignment w:val="center"/>
              <w:rPr>
                <w:rFonts w:ascii="仿宋_GB2312" w:hAnsi="宋体" w:eastAsia="仿宋_GB2312" w:cs="Times New Roman"/>
                <w:color w:val="auto"/>
                <w:kern w:val="0"/>
                <w:sz w:val="13"/>
                <w:szCs w:val="13"/>
                <w:highlight w:val="none"/>
              </w:rPr>
            </w:pPr>
          </w:p>
        </w:tc>
        <w:tc>
          <w:tcPr>
            <w:tcW w:w="4820" w:type="dxa"/>
            <w:vMerge w:val="continue"/>
            <w:tcBorders>
              <w:tl2br w:val="nil"/>
              <w:tr2bl w:val="nil"/>
            </w:tcBorders>
            <w:vAlign w:val="center"/>
          </w:tcPr>
          <w:p w14:paraId="7200F40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center"/>
              <w:rPr>
                <w:rFonts w:ascii="仿宋_GB2312" w:hAnsi="宋体" w:eastAsia="仿宋_GB2312" w:cs="Times New Roman"/>
                <w:color w:val="auto"/>
                <w:sz w:val="13"/>
                <w:szCs w:val="13"/>
                <w:highlight w:val="none"/>
              </w:rPr>
            </w:pPr>
          </w:p>
        </w:tc>
        <w:tc>
          <w:tcPr>
            <w:tcW w:w="823" w:type="dxa"/>
            <w:vMerge w:val="continue"/>
            <w:tcBorders>
              <w:tl2br w:val="nil"/>
              <w:tr2bl w:val="nil"/>
            </w:tcBorders>
            <w:tcMar>
              <w:top w:w="15" w:type="dxa"/>
              <w:left w:w="15" w:type="dxa"/>
              <w:bottom w:w="15" w:type="dxa"/>
              <w:right w:w="15" w:type="dxa"/>
            </w:tcMar>
            <w:vAlign w:val="center"/>
          </w:tcPr>
          <w:p w14:paraId="648FAC6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rPr>
                <w:rFonts w:ascii="仿宋_GB2312" w:hAnsi="宋体" w:eastAsia="仿宋_GB2312" w:cs="Times New Roman"/>
                <w:color w:val="auto"/>
                <w:sz w:val="13"/>
                <w:szCs w:val="13"/>
                <w:highlight w:val="none"/>
              </w:rPr>
            </w:pPr>
          </w:p>
        </w:tc>
        <w:tc>
          <w:tcPr>
            <w:tcW w:w="3437" w:type="dxa"/>
            <w:gridSpan w:val="2"/>
            <w:tcBorders>
              <w:tl2br w:val="nil"/>
              <w:tr2bl w:val="nil"/>
            </w:tcBorders>
            <w:tcMar>
              <w:top w:w="15" w:type="dxa"/>
              <w:left w:w="15" w:type="dxa"/>
              <w:bottom w:w="15" w:type="dxa"/>
              <w:right w:w="15" w:type="dxa"/>
            </w:tcMar>
            <w:vAlign w:val="center"/>
          </w:tcPr>
          <w:p w14:paraId="752C4AA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s="Times New Roman"/>
                <w:color w:val="auto"/>
                <w:sz w:val="13"/>
                <w:szCs w:val="13"/>
                <w:highlight w:val="none"/>
              </w:rPr>
            </w:pPr>
            <w:r>
              <w:rPr>
                <w:rFonts w:hint="eastAsia" w:ascii="仿宋_GB2312" w:hAnsi="宋体" w:eastAsia="仿宋_GB2312"/>
                <w:color w:val="auto"/>
                <w:kern w:val="0"/>
                <w:sz w:val="13"/>
                <w:szCs w:val="13"/>
                <w:highlight w:val="none"/>
              </w:rPr>
              <w:t>（3）造成3人以上5人以下死亡，或者10人以上20人以下重伤，或者1000万元以上2000万元以下直接经济损失的。</w:t>
            </w:r>
          </w:p>
        </w:tc>
        <w:tc>
          <w:tcPr>
            <w:tcW w:w="3058" w:type="dxa"/>
            <w:tcBorders>
              <w:tl2br w:val="nil"/>
              <w:tr2bl w:val="nil"/>
            </w:tcBorders>
            <w:tcMar>
              <w:top w:w="15" w:type="dxa"/>
              <w:left w:w="15" w:type="dxa"/>
              <w:bottom w:w="15" w:type="dxa"/>
              <w:right w:w="15" w:type="dxa"/>
            </w:tcMar>
            <w:vAlign w:val="center"/>
          </w:tcPr>
          <w:p w14:paraId="0FBD38A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s="Times New Roman"/>
                <w:color w:val="auto"/>
                <w:sz w:val="13"/>
                <w:szCs w:val="13"/>
                <w:highlight w:val="none"/>
              </w:rPr>
            </w:pPr>
            <w:r>
              <w:rPr>
                <w:rFonts w:hint="eastAsia" w:ascii="仿宋_GB2312" w:hAnsi="宋体" w:eastAsia="仿宋_GB2312" w:cs="Times New Roman"/>
                <w:color w:val="auto"/>
                <w:kern w:val="0"/>
                <w:sz w:val="13"/>
                <w:szCs w:val="13"/>
                <w:highlight w:val="none"/>
              </w:rPr>
              <w:t>没收违法所得，处合同约定的勘察费、设计费百分</w:t>
            </w:r>
            <w:r>
              <w:rPr>
                <w:rFonts w:ascii="仿宋_GB2312" w:hAnsi="宋体" w:eastAsia="仿宋_GB2312" w:cs="Times New Roman"/>
                <w:color w:val="auto"/>
                <w:kern w:val="0"/>
                <w:sz w:val="13"/>
                <w:szCs w:val="13"/>
                <w:highlight w:val="none"/>
              </w:rPr>
              <w:t>之四十</w:t>
            </w:r>
            <w:r>
              <w:rPr>
                <w:rFonts w:hint="eastAsia" w:ascii="仿宋_GB2312" w:hAnsi="宋体" w:eastAsia="仿宋_GB2312" w:cs="Times New Roman"/>
                <w:color w:val="auto"/>
                <w:kern w:val="0"/>
                <w:sz w:val="13"/>
                <w:szCs w:val="13"/>
                <w:highlight w:val="none"/>
              </w:rPr>
              <w:t>以上百分之五十以下的罚款，责令停业整顿</w:t>
            </w:r>
            <w:r>
              <w:rPr>
                <w:rFonts w:hint="eastAsia" w:ascii="仿宋_GB2312" w:hAnsi="宋体" w:eastAsia="仿宋_GB2312" w:cs="Times New Roman"/>
                <w:color w:val="auto"/>
                <w:kern w:val="0"/>
                <w:sz w:val="13"/>
                <w:szCs w:val="13"/>
                <w:highlight w:val="none"/>
                <w:lang w:eastAsia="zh-CN"/>
              </w:rPr>
              <w:t>60日-</w:t>
            </w:r>
            <w:r>
              <w:rPr>
                <w:rFonts w:ascii="仿宋_GB2312" w:hAnsi="宋体" w:eastAsia="仿宋_GB2312" w:cs="Times New Roman"/>
                <w:color w:val="auto"/>
                <w:kern w:val="0"/>
                <w:sz w:val="13"/>
                <w:szCs w:val="13"/>
                <w:highlight w:val="none"/>
              </w:rPr>
              <w:t>9</w:t>
            </w:r>
            <w:r>
              <w:rPr>
                <w:rFonts w:hint="eastAsia" w:ascii="仿宋_GB2312" w:hAnsi="宋体" w:eastAsia="仿宋_GB2312" w:cs="Times New Roman"/>
                <w:color w:val="auto"/>
                <w:kern w:val="0"/>
                <w:sz w:val="13"/>
                <w:szCs w:val="13"/>
                <w:highlight w:val="none"/>
              </w:rPr>
              <w:t>0日，对单位直接负责的主管人员和其他直接责任人员处单位罚款数额百分</w:t>
            </w:r>
            <w:r>
              <w:rPr>
                <w:rFonts w:ascii="仿宋_GB2312" w:hAnsi="宋体" w:eastAsia="仿宋_GB2312" w:cs="Times New Roman"/>
                <w:color w:val="auto"/>
                <w:kern w:val="0"/>
                <w:sz w:val="13"/>
                <w:szCs w:val="13"/>
                <w:highlight w:val="none"/>
              </w:rPr>
              <w:t>之八</w:t>
            </w:r>
            <w:r>
              <w:rPr>
                <w:rFonts w:hint="eastAsia" w:ascii="仿宋_GB2312" w:hAnsi="宋体" w:eastAsia="仿宋_GB2312" w:cs="Times New Roman"/>
                <w:color w:val="auto"/>
                <w:kern w:val="0"/>
                <w:sz w:val="13"/>
                <w:szCs w:val="13"/>
                <w:highlight w:val="none"/>
              </w:rPr>
              <w:t>以上百分</w:t>
            </w:r>
            <w:r>
              <w:rPr>
                <w:rFonts w:ascii="仿宋_GB2312" w:hAnsi="宋体" w:eastAsia="仿宋_GB2312" w:cs="Times New Roman"/>
                <w:color w:val="auto"/>
                <w:kern w:val="0"/>
                <w:sz w:val="13"/>
                <w:szCs w:val="13"/>
                <w:highlight w:val="none"/>
              </w:rPr>
              <w:t>之</w:t>
            </w:r>
            <w:r>
              <w:rPr>
                <w:rFonts w:hint="eastAsia" w:ascii="仿宋_GB2312" w:hAnsi="宋体" w:eastAsia="仿宋_GB2312" w:cs="Times New Roman"/>
                <w:color w:val="auto"/>
                <w:kern w:val="0"/>
                <w:sz w:val="13"/>
                <w:szCs w:val="13"/>
                <w:highlight w:val="none"/>
              </w:rPr>
              <w:t>九以下的罚款。</w:t>
            </w:r>
          </w:p>
        </w:tc>
      </w:tr>
      <w:tr w14:paraId="61B4C3E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25" w:hRule="atLeast"/>
          <w:jc w:val="center"/>
        </w:trPr>
        <w:tc>
          <w:tcPr>
            <w:tcW w:w="443" w:type="dxa"/>
            <w:gridSpan w:val="2"/>
            <w:vMerge w:val="continue"/>
            <w:tcBorders>
              <w:tl2br w:val="nil"/>
              <w:tr2bl w:val="nil"/>
            </w:tcBorders>
            <w:vAlign w:val="center"/>
          </w:tcPr>
          <w:p w14:paraId="4A6C75BF">
            <w:pPr>
              <w:pStyle w:val="37"/>
              <w:keepNext w:val="0"/>
              <w:keepLines w:val="0"/>
              <w:pageBreakBefore w:val="0"/>
              <w:widowControl/>
              <w:numPr>
                <w:ilvl w:val="0"/>
                <w:numId w:val="4"/>
              </w:numPr>
              <w:kinsoku/>
              <w:overflowPunct/>
              <w:topLinePunct w:val="0"/>
              <w:autoSpaceDE/>
              <w:autoSpaceDN/>
              <w:bidi w:val="0"/>
              <w:adjustRightInd/>
              <w:snapToGrid/>
              <w:spacing w:beforeAutospacing="0" w:afterAutospacing="0" w:line="260" w:lineRule="exact"/>
              <w:ind w:left="0" w:leftChars="0" w:right="0" w:rightChars="0" w:firstLineChars="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3ED238A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center"/>
              <w:textAlignment w:val="center"/>
              <w:rPr>
                <w:rFonts w:ascii="仿宋_GB2312" w:hAnsi="宋体" w:eastAsia="仿宋_GB2312" w:cs="Times New Roman"/>
                <w:color w:val="auto"/>
                <w:kern w:val="0"/>
                <w:sz w:val="13"/>
                <w:szCs w:val="13"/>
                <w:highlight w:val="none"/>
              </w:rPr>
            </w:pPr>
          </w:p>
        </w:tc>
        <w:tc>
          <w:tcPr>
            <w:tcW w:w="4820" w:type="dxa"/>
            <w:vMerge w:val="continue"/>
            <w:tcBorders>
              <w:tl2br w:val="nil"/>
              <w:tr2bl w:val="nil"/>
            </w:tcBorders>
            <w:vAlign w:val="center"/>
          </w:tcPr>
          <w:p w14:paraId="2A15C00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center"/>
              <w:rPr>
                <w:rFonts w:ascii="仿宋_GB2312" w:hAnsi="宋体" w:eastAsia="仿宋_GB2312" w:cs="Times New Roman"/>
                <w:color w:val="auto"/>
                <w:sz w:val="13"/>
                <w:szCs w:val="13"/>
                <w:highlight w:val="none"/>
              </w:rPr>
            </w:pPr>
          </w:p>
        </w:tc>
        <w:tc>
          <w:tcPr>
            <w:tcW w:w="823" w:type="dxa"/>
            <w:vMerge w:val="continue"/>
            <w:tcBorders>
              <w:tl2br w:val="nil"/>
              <w:tr2bl w:val="nil"/>
            </w:tcBorders>
            <w:tcMar>
              <w:top w:w="15" w:type="dxa"/>
              <w:left w:w="15" w:type="dxa"/>
              <w:bottom w:w="15" w:type="dxa"/>
              <w:right w:w="15" w:type="dxa"/>
            </w:tcMar>
            <w:vAlign w:val="center"/>
          </w:tcPr>
          <w:p w14:paraId="051B8E2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rPr>
                <w:rFonts w:ascii="仿宋_GB2312" w:hAnsi="宋体" w:eastAsia="仿宋_GB2312" w:cs="Times New Roman"/>
                <w:color w:val="auto"/>
                <w:sz w:val="13"/>
                <w:szCs w:val="13"/>
                <w:highlight w:val="none"/>
              </w:rPr>
            </w:pPr>
          </w:p>
        </w:tc>
        <w:tc>
          <w:tcPr>
            <w:tcW w:w="3437" w:type="dxa"/>
            <w:gridSpan w:val="2"/>
            <w:tcBorders>
              <w:tl2br w:val="nil"/>
              <w:tr2bl w:val="nil"/>
            </w:tcBorders>
            <w:tcMar>
              <w:top w:w="15" w:type="dxa"/>
              <w:left w:w="15" w:type="dxa"/>
              <w:bottom w:w="15" w:type="dxa"/>
              <w:right w:w="15" w:type="dxa"/>
            </w:tcMar>
            <w:vAlign w:val="center"/>
          </w:tcPr>
          <w:p w14:paraId="4E98668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olor w:val="auto"/>
                <w:kern w:val="0"/>
                <w:sz w:val="13"/>
                <w:szCs w:val="13"/>
                <w:highlight w:val="none"/>
              </w:rPr>
              <w:t>（4）造成5人以上7人以下死亡，或者20人以上30人以下重伤，或者2000万元以上3000万元以下直接经济损失的。</w:t>
            </w:r>
          </w:p>
        </w:tc>
        <w:tc>
          <w:tcPr>
            <w:tcW w:w="3058" w:type="dxa"/>
            <w:tcBorders>
              <w:tl2br w:val="nil"/>
              <w:tr2bl w:val="nil"/>
            </w:tcBorders>
            <w:tcMar>
              <w:top w:w="15" w:type="dxa"/>
              <w:left w:w="15" w:type="dxa"/>
              <w:bottom w:w="15" w:type="dxa"/>
              <w:right w:w="15" w:type="dxa"/>
            </w:tcMar>
            <w:vAlign w:val="center"/>
          </w:tcPr>
          <w:p w14:paraId="2DF1266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没收违法所得，处合同约定的勘察费、设计费百分</w:t>
            </w:r>
            <w:r>
              <w:rPr>
                <w:rFonts w:ascii="仿宋_GB2312" w:hAnsi="宋体" w:eastAsia="仿宋_GB2312" w:cs="Times New Roman"/>
                <w:color w:val="auto"/>
                <w:kern w:val="0"/>
                <w:sz w:val="13"/>
                <w:szCs w:val="13"/>
                <w:highlight w:val="none"/>
              </w:rPr>
              <w:t>之四十</w:t>
            </w:r>
            <w:r>
              <w:rPr>
                <w:rFonts w:hint="eastAsia" w:ascii="仿宋_GB2312" w:hAnsi="宋体" w:eastAsia="仿宋_GB2312" w:cs="Times New Roman"/>
                <w:color w:val="auto"/>
                <w:kern w:val="0"/>
                <w:sz w:val="13"/>
                <w:szCs w:val="13"/>
                <w:highlight w:val="none"/>
              </w:rPr>
              <w:t>以上百分</w:t>
            </w:r>
            <w:r>
              <w:rPr>
                <w:rFonts w:ascii="仿宋_GB2312" w:hAnsi="宋体" w:eastAsia="仿宋_GB2312" w:cs="Times New Roman"/>
                <w:color w:val="auto"/>
                <w:kern w:val="0"/>
                <w:sz w:val="13"/>
                <w:szCs w:val="13"/>
                <w:highlight w:val="none"/>
              </w:rPr>
              <w:t>之五十</w:t>
            </w:r>
            <w:r>
              <w:rPr>
                <w:rFonts w:hint="eastAsia" w:ascii="仿宋_GB2312" w:hAnsi="宋体" w:eastAsia="仿宋_GB2312" w:cs="Times New Roman"/>
                <w:color w:val="auto"/>
                <w:kern w:val="0"/>
                <w:sz w:val="13"/>
                <w:szCs w:val="13"/>
                <w:highlight w:val="none"/>
              </w:rPr>
              <w:t>以下的罚款，责令停业整顿</w:t>
            </w:r>
            <w:r>
              <w:rPr>
                <w:rFonts w:hint="eastAsia" w:ascii="仿宋_GB2312" w:hAnsi="宋体" w:eastAsia="仿宋_GB2312" w:cs="Times New Roman"/>
                <w:color w:val="auto"/>
                <w:kern w:val="0"/>
                <w:sz w:val="13"/>
                <w:szCs w:val="13"/>
                <w:highlight w:val="none"/>
                <w:lang w:eastAsia="zh-CN"/>
              </w:rPr>
              <w:t>90日-</w:t>
            </w:r>
            <w:r>
              <w:rPr>
                <w:rFonts w:ascii="仿宋_GB2312" w:hAnsi="宋体" w:eastAsia="仿宋_GB2312" w:cs="Times New Roman"/>
                <w:color w:val="auto"/>
                <w:kern w:val="0"/>
                <w:sz w:val="13"/>
                <w:szCs w:val="13"/>
                <w:highlight w:val="none"/>
              </w:rPr>
              <w:t>12</w:t>
            </w:r>
            <w:r>
              <w:rPr>
                <w:rFonts w:hint="eastAsia" w:ascii="仿宋_GB2312" w:hAnsi="宋体" w:eastAsia="仿宋_GB2312" w:cs="Times New Roman"/>
                <w:color w:val="auto"/>
                <w:kern w:val="0"/>
                <w:sz w:val="13"/>
                <w:szCs w:val="13"/>
                <w:highlight w:val="none"/>
              </w:rPr>
              <w:t>0日，对单位直接负责的主管人员和其他直接责任人员处单位罚款数额百分</w:t>
            </w:r>
            <w:r>
              <w:rPr>
                <w:rFonts w:ascii="仿宋_GB2312" w:hAnsi="宋体" w:eastAsia="仿宋_GB2312" w:cs="Times New Roman"/>
                <w:color w:val="auto"/>
                <w:kern w:val="0"/>
                <w:sz w:val="13"/>
                <w:szCs w:val="13"/>
                <w:highlight w:val="none"/>
              </w:rPr>
              <w:t>之九</w:t>
            </w:r>
            <w:r>
              <w:rPr>
                <w:rFonts w:hint="eastAsia" w:ascii="仿宋_GB2312" w:hAnsi="宋体" w:eastAsia="仿宋_GB2312" w:cs="Times New Roman"/>
                <w:color w:val="auto"/>
                <w:kern w:val="0"/>
                <w:sz w:val="13"/>
                <w:szCs w:val="13"/>
                <w:highlight w:val="none"/>
              </w:rPr>
              <w:t>以上百分</w:t>
            </w:r>
            <w:r>
              <w:rPr>
                <w:rFonts w:ascii="仿宋_GB2312" w:hAnsi="宋体" w:eastAsia="仿宋_GB2312" w:cs="Times New Roman"/>
                <w:color w:val="auto"/>
                <w:kern w:val="0"/>
                <w:sz w:val="13"/>
                <w:szCs w:val="13"/>
                <w:highlight w:val="none"/>
              </w:rPr>
              <w:t>之十</w:t>
            </w:r>
            <w:r>
              <w:rPr>
                <w:rFonts w:hint="eastAsia" w:ascii="仿宋_GB2312" w:hAnsi="宋体" w:eastAsia="仿宋_GB2312" w:cs="Times New Roman"/>
                <w:color w:val="auto"/>
                <w:kern w:val="0"/>
                <w:sz w:val="13"/>
                <w:szCs w:val="13"/>
                <w:highlight w:val="none"/>
              </w:rPr>
              <w:t>以下的罚款。</w:t>
            </w:r>
          </w:p>
        </w:tc>
      </w:tr>
      <w:tr w14:paraId="6404B1A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25" w:hRule="atLeast"/>
          <w:jc w:val="center"/>
        </w:trPr>
        <w:tc>
          <w:tcPr>
            <w:tcW w:w="443" w:type="dxa"/>
            <w:gridSpan w:val="2"/>
            <w:vMerge w:val="continue"/>
            <w:tcBorders>
              <w:tl2br w:val="nil"/>
              <w:tr2bl w:val="nil"/>
            </w:tcBorders>
            <w:vAlign w:val="center"/>
          </w:tcPr>
          <w:p w14:paraId="15B65B61">
            <w:pPr>
              <w:pStyle w:val="37"/>
              <w:keepNext w:val="0"/>
              <w:keepLines w:val="0"/>
              <w:pageBreakBefore w:val="0"/>
              <w:widowControl/>
              <w:numPr>
                <w:ilvl w:val="0"/>
                <w:numId w:val="4"/>
              </w:numPr>
              <w:kinsoku/>
              <w:overflowPunct/>
              <w:topLinePunct w:val="0"/>
              <w:autoSpaceDE/>
              <w:autoSpaceDN/>
              <w:bidi w:val="0"/>
              <w:adjustRightInd/>
              <w:snapToGrid/>
              <w:spacing w:beforeAutospacing="0" w:afterAutospacing="0" w:line="260" w:lineRule="exact"/>
              <w:ind w:left="0" w:leftChars="0" w:right="0" w:rightChars="0" w:firstLineChars="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0B1543A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center"/>
              <w:textAlignment w:val="center"/>
              <w:rPr>
                <w:rFonts w:ascii="仿宋_GB2312" w:hAnsi="宋体" w:eastAsia="仿宋_GB2312" w:cs="Times New Roman"/>
                <w:color w:val="auto"/>
                <w:kern w:val="0"/>
                <w:sz w:val="13"/>
                <w:szCs w:val="13"/>
                <w:highlight w:val="none"/>
              </w:rPr>
            </w:pPr>
          </w:p>
        </w:tc>
        <w:tc>
          <w:tcPr>
            <w:tcW w:w="4820" w:type="dxa"/>
            <w:vMerge w:val="continue"/>
            <w:tcBorders>
              <w:tl2br w:val="nil"/>
              <w:tr2bl w:val="nil"/>
            </w:tcBorders>
            <w:vAlign w:val="center"/>
          </w:tcPr>
          <w:p w14:paraId="6C2CF5E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center"/>
              <w:rPr>
                <w:rFonts w:ascii="仿宋_GB2312" w:hAnsi="宋体" w:eastAsia="仿宋_GB2312" w:cs="Times New Roman"/>
                <w:color w:val="auto"/>
                <w:sz w:val="13"/>
                <w:szCs w:val="13"/>
                <w:highlight w:val="none"/>
              </w:rPr>
            </w:pPr>
          </w:p>
        </w:tc>
        <w:tc>
          <w:tcPr>
            <w:tcW w:w="823" w:type="dxa"/>
            <w:vMerge w:val="continue"/>
            <w:tcBorders>
              <w:tl2br w:val="nil"/>
              <w:tr2bl w:val="nil"/>
            </w:tcBorders>
            <w:tcMar>
              <w:top w:w="15" w:type="dxa"/>
              <w:left w:w="15" w:type="dxa"/>
              <w:bottom w:w="15" w:type="dxa"/>
              <w:right w:w="15" w:type="dxa"/>
            </w:tcMar>
            <w:vAlign w:val="center"/>
          </w:tcPr>
          <w:p w14:paraId="63F406D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rPr>
                <w:rFonts w:ascii="仿宋_GB2312" w:hAnsi="宋体" w:eastAsia="仿宋_GB2312" w:cs="Times New Roman"/>
                <w:color w:val="auto"/>
                <w:sz w:val="13"/>
                <w:szCs w:val="13"/>
                <w:highlight w:val="none"/>
              </w:rPr>
            </w:pPr>
          </w:p>
        </w:tc>
        <w:tc>
          <w:tcPr>
            <w:tcW w:w="3437" w:type="dxa"/>
            <w:gridSpan w:val="2"/>
            <w:tcBorders>
              <w:tl2br w:val="nil"/>
              <w:tr2bl w:val="nil"/>
            </w:tcBorders>
            <w:tcMar>
              <w:top w:w="15" w:type="dxa"/>
              <w:left w:w="15" w:type="dxa"/>
              <w:bottom w:w="15" w:type="dxa"/>
              <w:right w:w="15" w:type="dxa"/>
            </w:tcMar>
            <w:vAlign w:val="center"/>
          </w:tcPr>
          <w:p w14:paraId="21EDE51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olor w:val="auto"/>
                <w:kern w:val="0"/>
                <w:sz w:val="13"/>
                <w:szCs w:val="13"/>
                <w:highlight w:val="none"/>
              </w:rPr>
              <w:t>（5）造成7人以上10人以下死亡，或者30人以上50人以下重伤，或者3000万元以上5000万元以下直接经济损失的。</w:t>
            </w:r>
          </w:p>
        </w:tc>
        <w:tc>
          <w:tcPr>
            <w:tcW w:w="3058" w:type="dxa"/>
            <w:tcBorders>
              <w:tl2br w:val="nil"/>
              <w:tr2bl w:val="nil"/>
            </w:tcBorders>
            <w:tcMar>
              <w:top w:w="15" w:type="dxa"/>
              <w:left w:w="15" w:type="dxa"/>
              <w:bottom w:w="15" w:type="dxa"/>
              <w:right w:w="15" w:type="dxa"/>
            </w:tcMar>
            <w:vAlign w:val="center"/>
          </w:tcPr>
          <w:p w14:paraId="36E359E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没收违法所得，处合同约定的勘察费、设计费百分</w:t>
            </w:r>
            <w:r>
              <w:rPr>
                <w:rFonts w:ascii="仿宋_GB2312" w:hAnsi="宋体" w:eastAsia="仿宋_GB2312" w:cs="Times New Roman"/>
                <w:color w:val="auto"/>
                <w:kern w:val="0"/>
                <w:sz w:val="13"/>
                <w:szCs w:val="13"/>
                <w:highlight w:val="none"/>
              </w:rPr>
              <w:t>之五十</w:t>
            </w:r>
            <w:r>
              <w:rPr>
                <w:rFonts w:hint="eastAsia" w:ascii="仿宋_GB2312" w:hAnsi="宋体" w:eastAsia="仿宋_GB2312" w:cs="Times New Roman"/>
                <w:color w:val="auto"/>
                <w:kern w:val="0"/>
                <w:sz w:val="13"/>
                <w:szCs w:val="13"/>
                <w:highlight w:val="none"/>
              </w:rPr>
              <w:t>的罚款，责令停业整顿</w:t>
            </w:r>
            <w:r>
              <w:rPr>
                <w:rFonts w:hint="eastAsia" w:ascii="仿宋_GB2312" w:hAnsi="宋体" w:eastAsia="仿宋_GB2312" w:cs="Times New Roman"/>
                <w:color w:val="auto"/>
                <w:kern w:val="0"/>
                <w:sz w:val="13"/>
                <w:szCs w:val="13"/>
                <w:highlight w:val="none"/>
                <w:lang w:eastAsia="zh-CN"/>
              </w:rPr>
              <w:t>120日-</w:t>
            </w:r>
            <w:r>
              <w:rPr>
                <w:rFonts w:ascii="仿宋_GB2312" w:hAnsi="宋体" w:eastAsia="仿宋_GB2312" w:cs="Times New Roman"/>
                <w:color w:val="auto"/>
                <w:kern w:val="0"/>
                <w:sz w:val="13"/>
                <w:szCs w:val="13"/>
                <w:highlight w:val="none"/>
              </w:rPr>
              <w:t>18</w:t>
            </w:r>
            <w:r>
              <w:rPr>
                <w:rFonts w:hint="eastAsia" w:ascii="仿宋_GB2312" w:hAnsi="宋体" w:eastAsia="仿宋_GB2312" w:cs="Times New Roman"/>
                <w:color w:val="auto"/>
                <w:kern w:val="0"/>
                <w:sz w:val="13"/>
                <w:szCs w:val="13"/>
                <w:highlight w:val="none"/>
              </w:rPr>
              <w:t>0日，对单位直接负责的主管人员和其他直接责任人员处单位罚款数额百分之九以上百分</w:t>
            </w:r>
            <w:r>
              <w:rPr>
                <w:rFonts w:ascii="仿宋_GB2312" w:hAnsi="宋体" w:eastAsia="仿宋_GB2312" w:cs="Times New Roman"/>
                <w:color w:val="auto"/>
                <w:kern w:val="0"/>
                <w:sz w:val="13"/>
                <w:szCs w:val="13"/>
                <w:highlight w:val="none"/>
              </w:rPr>
              <w:t>之十</w:t>
            </w:r>
            <w:r>
              <w:rPr>
                <w:rFonts w:hint="eastAsia" w:ascii="仿宋_GB2312" w:hAnsi="宋体" w:eastAsia="仿宋_GB2312" w:cs="Times New Roman"/>
                <w:color w:val="auto"/>
                <w:kern w:val="0"/>
                <w:sz w:val="13"/>
                <w:szCs w:val="13"/>
                <w:highlight w:val="none"/>
              </w:rPr>
              <w:t>以下的罚款。</w:t>
            </w:r>
          </w:p>
        </w:tc>
      </w:tr>
      <w:tr w14:paraId="551C9EA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25" w:hRule="atLeast"/>
          <w:jc w:val="center"/>
        </w:trPr>
        <w:tc>
          <w:tcPr>
            <w:tcW w:w="443" w:type="dxa"/>
            <w:gridSpan w:val="2"/>
            <w:vMerge w:val="continue"/>
            <w:tcBorders>
              <w:tl2br w:val="nil"/>
              <w:tr2bl w:val="nil"/>
            </w:tcBorders>
            <w:vAlign w:val="center"/>
          </w:tcPr>
          <w:p w14:paraId="5B48C55F">
            <w:pPr>
              <w:pStyle w:val="37"/>
              <w:keepNext w:val="0"/>
              <w:keepLines w:val="0"/>
              <w:pageBreakBefore w:val="0"/>
              <w:widowControl/>
              <w:numPr>
                <w:ilvl w:val="0"/>
                <w:numId w:val="4"/>
              </w:numPr>
              <w:kinsoku/>
              <w:overflowPunct/>
              <w:topLinePunct w:val="0"/>
              <w:autoSpaceDE/>
              <w:autoSpaceDN/>
              <w:bidi w:val="0"/>
              <w:adjustRightInd/>
              <w:snapToGrid/>
              <w:spacing w:beforeAutospacing="0" w:afterAutospacing="0" w:line="260" w:lineRule="exact"/>
              <w:ind w:left="0" w:leftChars="0" w:right="0" w:rightChars="0" w:firstLineChars="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4033D06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center"/>
              <w:textAlignment w:val="center"/>
              <w:rPr>
                <w:rFonts w:ascii="仿宋_GB2312" w:hAnsi="宋体" w:eastAsia="仿宋_GB2312" w:cs="Times New Roman"/>
                <w:color w:val="auto"/>
                <w:kern w:val="0"/>
                <w:sz w:val="13"/>
                <w:szCs w:val="13"/>
                <w:highlight w:val="none"/>
              </w:rPr>
            </w:pPr>
          </w:p>
        </w:tc>
        <w:tc>
          <w:tcPr>
            <w:tcW w:w="4820" w:type="dxa"/>
            <w:vMerge w:val="continue"/>
            <w:tcBorders>
              <w:tl2br w:val="nil"/>
              <w:tr2bl w:val="nil"/>
            </w:tcBorders>
            <w:vAlign w:val="center"/>
          </w:tcPr>
          <w:p w14:paraId="2761938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center"/>
              <w:rPr>
                <w:rFonts w:ascii="仿宋_GB2312" w:hAnsi="宋体" w:eastAsia="仿宋_GB2312" w:cs="Times New Roman"/>
                <w:color w:val="auto"/>
                <w:sz w:val="13"/>
                <w:szCs w:val="13"/>
                <w:highlight w:val="none"/>
              </w:rPr>
            </w:pPr>
          </w:p>
        </w:tc>
        <w:tc>
          <w:tcPr>
            <w:tcW w:w="823" w:type="dxa"/>
            <w:vMerge w:val="continue"/>
            <w:tcBorders>
              <w:tl2br w:val="nil"/>
              <w:tr2bl w:val="nil"/>
            </w:tcBorders>
            <w:tcMar>
              <w:top w:w="15" w:type="dxa"/>
              <w:left w:w="15" w:type="dxa"/>
              <w:bottom w:w="15" w:type="dxa"/>
              <w:right w:w="15" w:type="dxa"/>
            </w:tcMar>
            <w:vAlign w:val="center"/>
          </w:tcPr>
          <w:p w14:paraId="6D6D5E5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rPr>
                <w:rFonts w:ascii="仿宋_GB2312" w:hAnsi="宋体" w:eastAsia="仿宋_GB2312" w:cs="Times New Roman"/>
                <w:color w:val="auto"/>
                <w:sz w:val="13"/>
                <w:szCs w:val="13"/>
                <w:highlight w:val="none"/>
              </w:rPr>
            </w:pPr>
          </w:p>
        </w:tc>
        <w:tc>
          <w:tcPr>
            <w:tcW w:w="3437" w:type="dxa"/>
            <w:gridSpan w:val="2"/>
            <w:tcBorders>
              <w:tl2br w:val="nil"/>
              <w:tr2bl w:val="nil"/>
            </w:tcBorders>
            <w:tcMar>
              <w:top w:w="15" w:type="dxa"/>
              <w:left w:w="15" w:type="dxa"/>
              <w:bottom w:w="15" w:type="dxa"/>
              <w:right w:w="15" w:type="dxa"/>
            </w:tcMar>
            <w:vAlign w:val="center"/>
          </w:tcPr>
          <w:p w14:paraId="3C3B72D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olor w:val="auto"/>
                <w:kern w:val="0"/>
                <w:sz w:val="13"/>
                <w:szCs w:val="13"/>
                <w:highlight w:val="none"/>
              </w:rPr>
              <w:t>（6）造成重大质量安全事故的；造成分部工程存在严重缺陷，经返修和加固处理仍不能满足安全使用要求的</w:t>
            </w:r>
            <w:r>
              <w:rPr>
                <w:rFonts w:hint="eastAsia" w:ascii="仿宋_GB2312" w:hAnsi="宋体" w:eastAsia="仿宋_GB2312"/>
                <w:color w:val="auto"/>
                <w:kern w:val="0"/>
                <w:sz w:val="13"/>
                <w:szCs w:val="13"/>
                <w:highlight w:val="none"/>
                <w:lang w:eastAsia="zh-CN"/>
              </w:rPr>
              <w:t>；</w:t>
            </w:r>
            <w:r>
              <w:rPr>
                <w:rFonts w:hint="eastAsia" w:ascii="仿宋_GB2312" w:hAnsi="宋体" w:eastAsia="仿宋_GB2312"/>
                <w:color w:val="auto"/>
                <w:kern w:val="0"/>
                <w:sz w:val="13"/>
                <w:szCs w:val="13"/>
                <w:highlight w:val="none"/>
                <w:lang w:val="en-US" w:eastAsia="zh-CN"/>
              </w:rPr>
              <w:t>或造成特别严重社会影响。</w:t>
            </w:r>
            <w:r>
              <w:rPr>
                <w:rFonts w:hint="eastAsia" w:ascii="仿宋_GB2312" w:hAnsi="宋体" w:eastAsia="仿宋_GB2312"/>
                <w:color w:val="auto"/>
                <w:kern w:val="0"/>
                <w:sz w:val="13"/>
                <w:szCs w:val="13"/>
                <w:highlight w:val="none"/>
              </w:rPr>
              <w:t>。</w:t>
            </w:r>
          </w:p>
        </w:tc>
        <w:tc>
          <w:tcPr>
            <w:tcW w:w="3058" w:type="dxa"/>
            <w:tcBorders>
              <w:tl2br w:val="nil"/>
              <w:tr2bl w:val="nil"/>
            </w:tcBorders>
            <w:tcMar>
              <w:top w:w="15" w:type="dxa"/>
              <w:left w:w="15" w:type="dxa"/>
              <w:bottom w:w="15" w:type="dxa"/>
              <w:right w:w="15" w:type="dxa"/>
            </w:tcMar>
            <w:vAlign w:val="center"/>
          </w:tcPr>
          <w:p w14:paraId="1AC9A07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没收违法所得，处合同约定的勘察费、设计费百分之</w:t>
            </w:r>
            <w:r>
              <w:rPr>
                <w:rFonts w:ascii="仿宋_GB2312" w:hAnsi="宋体" w:eastAsia="仿宋_GB2312" w:cs="Times New Roman"/>
                <w:color w:val="auto"/>
                <w:kern w:val="0"/>
                <w:sz w:val="13"/>
                <w:szCs w:val="13"/>
                <w:highlight w:val="none"/>
              </w:rPr>
              <w:t>五十</w:t>
            </w:r>
            <w:r>
              <w:rPr>
                <w:rFonts w:hint="eastAsia" w:ascii="仿宋_GB2312" w:hAnsi="宋体" w:eastAsia="仿宋_GB2312" w:cs="Times New Roman"/>
                <w:color w:val="auto"/>
                <w:kern w:val="0"/>
                <w:sz w:val="13"/>
                <w:szCs w:val="13"/>
                <w:highlight w:val="none"/>
              </w:rPr>
              <w:t>的罚款，降低资质等级，对单位直接负责的主管人员和其他直接责任人员处单位罚款数额百分</w:t>
            </w:r>
            <w:r>
              <w:rPr>
                <w:rFonts w:ascii="仿宋_GB2312" w:hAnsi="宋体" w:eastAsia="仿宋_GB2312" w:cs="Times New Roman"/>
                <w:color w:val="auto"/>
                <w:kern w:val="0"/>
                <w:sz w:val="13"/>
                <w:szCs w:val="13"/>
                <w:highlight w:val="none"/>
              </w:rPr>
              <w:t>之十</w:t>
            </w:r>
            <w:r>
              <w:rPr>
                <w:rFonts w:hint="eastAsia" w:ascii="仿宋_GB2312" w:hAnsi="宋体" w:eastAsia="仿宋_GB2312" w:cs="Times New Roman"/>
                <w:color w:val="auto"/>
                <w:kern w:val="0"/>
                <w:sz w:val="13"/>
                <w:szCs w:val="13"/>
                <w:highlight w:val="none"/>
              </w:rPr>
              <w:t>的罚款。</w:t>
            </w:r>
          </w:p>
        </w:tc>
      </w:tr>
      <w:tr w14:paraId="6AC5BD7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25" w:hRule="atLeast"/>
          <w:jc w:val="center"/>
        </w:trPr>
        <w:tc>
          <w:tcPr>
            <w:tcW w:w="443" w:type="dxa"/>
            <w:gridSpan w:val="2"/>
            <w:vMerge w:val="continue"/>
            <w:tcBorders>
              <w:tl2br w:val="nil"/>
              <w:tr2bl w:val="nil"/>
            </w:tcBorders>
            <w:vAlign w:val="center"/>
          </w:tcPr>
          <w:p w14:paraId="7B548E31">
            <w:pPr>
              <w:pStyle w:val="37"/>
              <w:keepNext w:val="0"/>
              <w:keepLines w:val="0"/>
              <w:pageBreakBefore w:val="0"/>
              <w:widowControl/>
              <w:numPr>
                <w:ilvl w:val="0"/>
                <w:numId w:val="4"/>
              </w:numPr>
              <w:kinsoku/>
              <w:overflowPunct/>
              <w:topLinePunct w:val="0"/>
              <w:autoSpaceDE/>
              <w:autoSpaceDN/>
              <w:bidi w:val="0"/>
              <w:adjustRightInd/>
              <w:snapToGrid/>
              <w:spacing w:beforeAutospacing="0" w:afterAutospacing="0" w:line="260" w:lineRule="exact"/>
              <w:ind w:left="0" w:leftChars="0" w:right="0" w:rightChars="0" w:firstLineChars="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7A9C2D6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center"/>
              <w:textAlignment w:val="center"/>
              <w:rPr>
                <w:rFonts w:ascii="仿宋_GB2312" w:hAnsi="宋体" w:eastAsia="仿宋_GB2312" w:cs="Times New Roman"/>
                <w:color w:val="auto"/>
                <w:kern w:val="0"/>
                <w:sz w:val="13"/>
                <w:szCs w:val="13"/>
                <w:highlight w:val="none"/>
              </w:rPr>
            </w:pPr>
          </w:p>
        </w:tc>
        <w:tc>
          <w:tcPr>
            <w:tcW w:w="4820" w:type="dxa"/>
            <w:vMerge w:val="continue"/>
            <w:tcBorders>
              <w:tl2br w:val="nil"/>
              <w:tr2bl w:val="nil"/>
            </w:tcBorders>
            <w:vAlign w:val="center"/>
          </w:tcPr>
          <w:p w14:paraId="172715B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center"/>
              <w:rPr>
                <w:rFonts w:ascii="仿宋_GB2312" w:hAnsi="宋体" w:eastAsia="仿宋_GB2312" w:cs="Times New Roman"/>
                <w:color w:val="auto"/>
                <w:sz w:val="13"/>
                <w:szCs w:val="13"/>
                <w:highlight w:val="none"/>
              </w:rPr>
            </w:pPr>
          </w:p>
        </w:tc>
        <w:tc>
          <w:tcPr>
            <w:tcW w:w="823" w:type="dxa"/>
            <w:vMerge w:val="continue"/>
            <w:tcBorders>
              <w:tl2br w:val="nil"/>
              <w:tr2bl w:val="nil"/>
            </w:tcBorders>
            <w:tcMar>
              <w:top w:w="15" w:type="dxa"/>
              <w:left w:w="15" w:type="dxa"/>
              <w:bottom w:w="15" w:type="dxa"/>
              <w:right w:w="15" w:type="dxa"/>
            </w:tcMar>
            <w:vAlign w:val="center"/>
          </w:tcPr>
          <w:p w14:paraId="0DAC39C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rPr>
                <w:rFonts w:ascii="仿宋_GB2312" w:hAnsi="宋体" w:eastAsia="仿宋_GB2312" w:cs="Times New Roman"/>
                <w:color w:val="auto"/>
                <w:sz w:val="13"/>
                <w:szCs w:val="13"/>
                <w:highlight w:val="none"/>
              </w:rPr>
            </w:pPr>
          </w:p>
        </w:tc>
        <w:tc>
          <w:tcPr>
            <w:tcW w:w="3437" w:type="dxa"/>
            <w:gridSpan w:val="2"/>
            <w:tcBorders>
              <w:tl2br w:val="nil"/>
              <w:tr2bl w:val="nil"/>
            </w:tcBorders>
            <w:tcMar>
              <w:top w:w="15" w:type="dxa"/>
              <w:left w:w="15" w:type="dxa"/>
              <w:bottom w:w="15" w:type="dxa"/>
              <w:right w:w="15" w:type="dxa"/>
            </w:tcMar>
            <w:vAlign w:val="center"/>
          </w:tcPr>
          <w:p w14:paraId="6921EB4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s="Times New Roman"/>
                <w:color w:val="auto"/>
                <w:sz w:val="13"/>
                <w:szCs w:val="13"/>
                <w:highlight w:val="none"/>
              </w:rPr>
            </w:pPr>
            <w:r>
              <w:rPr>
                <w:rFonts w:hint="eastAsia" w:ascii="仿宋_GB2312" w:hAnsi="宋体" w:eastAsia="仿宋_GB2312"/>
                <w:color w:val="auto"/>
                <w:kern w:val="0"/>
                <w:sz w:val="13"/>
                <w:szCs w:val="13"/>
                <w:highlight w:val="none"/>
              </w:rPr>
              <w:t>（7）造成特别重大质量安全事故的；</w:t>
            </w:r>
            <w:r>
              <w:rPr>
                <w:rFonts w:hint="eastAsia" w:ascii="仿宋" w:hAnsi="仿宋" w:eastAsia="仿宋"/>
                <w:color w:val="auto"/>
                <w:kern w:val="0"/>
                <w:sz w:val="13"/>
                <w:szCs w:val="13"/>
                <w:highlight w:val="none"/>
                <w:lang w:val="en-US" w:eastAsia="zh-CN"/>
              </w:rPr>
              <w:t>或</w:t>
            </w:r>
            <w:r>
              <w:rPr>
                <w:rFonts w:hint="eastAsia" w:ascii="仿宋_GB2312" w:hAnsi="宋体" w:eastAsia="仿宋_GB2312"/>
                <w:color w:val="auto"/>
                <w:kern w:val="0"/>
                <w:sz w:val="13"/>
                <w:szCs w:val="13"/>
                <w:highlight w:val="none"/>
              </w:rPr>
              <w:t>造成单位（子单位）工程存在严重缺陷，经返修和加固处理仍不能满足安全使用要求的</w:t>
            </w:r>
            <w:r>
              <w:rPr>
                <w:rFonts w:hint="eastAsia" w:ascii="仿宋_GB2312" w:hAnsi="宋体" w:eastAsia="仿宋_GB2312"/>
                <w:color w:val="auto"/>
                <w:kern w:val="0"/>
                <w:sz w:val="13"/>
                <w:szCs w:val="13"/>
                <w:highlight w:val="none"/>
                <w:lang w:eastAsia="zh-CN"/>
              </w:rPr>
              <w:t>；</w:t>
            </w:r>
            <w:r>
              <w:rPr>
                <w:rFonts w:hint="eastAsia" w:ascii="仿宋_GB2312" w:hAnsi="宋体" w:eastAsia="仿宋_GB2312"/>
                <w:color w:val="auto"/>
                <w:kern w:val="0"/>
                <w:sz w:val="13"/>
                <w:szCs w:val="13"/>
                <w:highlight w:val="none"/>
                <w:lang w:val="en-US" w:eastAsia="zh-CN"/>
              </w:rPr>
              <w:t>或造成特别严重社会影响。</w:t>
            </w:r>
          </w:p>
        </w:tc>
        <w:tc>
          <w:tcPr>
            <w:tcW w:w="3058" w:type="dxa"/>
            <w:tcBorders>
              <w:tl2br w:val="nil"/>
              <w:tr2bl w:val="nil"/>
            </w:tcBorders>
            <w:tcMar>
              <w:top w:w="15" w:type="dxa"/>
              <w:left w:w="15" w:type="dxa"/>
              <w:bottom w:w="15" w:type="dxa"/>
              <w:right w:w="15" w:type="dxa"/>
            </w:tcMar>
            <w:vAlign w:val="center"/>
          </w:tcPr>
          <w:p w14:paraId="77929A4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s="Times New Roman"/>
                <w:color w:val="auto"/>
                <w:sz w:val="13"/>
                <w:szCs w:val="13"/>
                <w:highlight w:val="none"/>
              </w:rPr>
            </w:pPr>
            <w:r>
              <w:rPr>
                <w:rFonts w:hint="eastAsia" w:ascii="仿宋_GB2312" w:hAnsi="宋体" w:eastAsia="仿宋_GB2312" w:cs="Times New Roman"/>
                <w:color w:val="auto"/>
                <w:kern w:val="0"/>
                <w:sz w:val="13"/>
                <w:szCs w:val="13"/>
                <w:highlight w:val="none"/>
              </w:rPr>
              <w:t>没收违法所得，处合同约定的勘察费、设计费百分</w:t>
            </w:r>
            <w:r>
              <w:rPr>
                <w:rFonts w:ascii="仿宋_GB2312" w:hAnsi="宋体" w:eastAsia="仿宋_GB2312" w:cs="Times New Roman"/>
                <w:color w:val="auto"/>
                <w:kern w:val="0"/>
                <w:sz w:val="13"/>
                <w:szCs w:val="13"/>
                <w:highlight w:val="none"/>
              </w:rPr>
              <w:t>之五十</w:t>
            </w:r>
            <w:r>
              <w:rPr>
                <w:rFonts w:hint="eastAsia" w:ascii="仿宋_GB2312" w:hAnsi="宋体" w:eastAsia="仿宋_GB2312" w:cs="Times New Roman"/>
                <w:color w:val="auto"/>
                <w:kern w:val="0"/>
                <w:sz w:val="13"/>
                <w:szCs w:val="13"/>
                <w:highlight w:val="none"/>
              </w:rPr>
              <w:t>的罚款，吊销资质证书，对单位直接负责的主管人员和其他直接责任人员处单位罚款数额百分</w:t>
            </w:r>
            <w:r>
              <w:rPr>
                <w:rFonts w:ascii="仿宋_GB2312" w:hAnsi="宋体" w:eastAsia="仿宋_GB2312" w:cs="Times New Roman"/>
                <w:color w:val="auto"/>
                <w:kern w:val="0"/>
                <w:sz w:val="13"/>
                <w:szCs w:val="13"/>
                <w:highlight w:val="none"/>
              </w:rPr>
              <w:t>之十</w:t>
            </w:r>
            <w:r>
              <w:rPr>
                <w:rFonts w:hint="eastAsia" w:ascii="仿宋_GB2312" w:hAnsi="宋体" w:eastAsia="仿宋_GB2312" w:cs="Times New Roman"/>
                <w:color w:val="auto"/>
                <w:kern w:val="0"/>
                <w:sz w:val="13"/>
                <w:szCs w:val="13"/>
                <w:highlight w:val="none"/>
              </w:rPr>
              <w:t>的罚款。</w:t>
            </w:r>
          </w:p>
        </w:tc>
      </w:tr>
      <w:tr w14:paraId="1281774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9" w:hRule="atLeast"/>
          <w:jc w:val="center"/>
        </w:trPr>
        <w:tc>
          <w:tcPr>
            <w:tcW w:w="443" w:type="dxa"/>
            <w:gridSpan w:val="2"/>
            <w:vMerge w:val="restart"/>
            <w:tcBorders>
              <w:tl2br w:val="nil"/>
              <w:tr2bl w:val="nil"/>
            </w:tcBorders>
            <w:vAlign w:val="center"/>
          </w:tcPr>
          <w:p w14:paraId="16D4492C">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Times New Roman"/>
                <w:color w:val="auto"/>
                <w:sz w:val="13"/>
                <w:szCs w:val="13"/>
                <w:highlight w:val="none"/>
                <w:lang w:val="en-US" w:eastAsia="zh-CN"/>
              </w:rPr>
            </w:pPr>
            <w:r>
              <w:rPr>
                <w:rFonts w:hint="default" w:ascii="仿宋_GB2312" w:hAnsi="宋体" w:eastAsia="仿宋_GB2312" w:cs="仿宋_GB2312"/>
                <w:i w:val="0"/>
                <w:color w:val="auto"/>
                <w:kern w:val="0"/>
                <w:sz w:val="13"/>
                <w:szCs w:val="13"/>
                <w:highlight w:val="none"/>
                <w:u w:val="none"/>
                <w:lang w:val="en-US" w:eastAsia="zh-CN" w:bidi="ar"/>
              </w:rPr>
              <w:t>2</w:t>
            </w:r>
            <w:r>
              <w:rPr>
                <w:rFonts w:hint="eastAsia" w:ascii="仿宋_GB2312" w:hAnsi="宋体" w:eastAsia="仿宋_GB2312" w:cs="仿宋_GB2312"/>
                <w:i w:val="0"/>
                <w:color w:val="auto"/>
                <w:kern w:val="0"/>
                <w:sz w:val="13"/>
                <w:szCs w:val="13"/>
                <w:highlight w:val="none"/>
                <w:u w:val="none"/>
                <w:lang w:val="en-US" w:eastAsia="zh-CN" w:bidi="ar"/>
              </w:rPr>
              <w:t>23</w:t>
            </w:r>
          </w:p>
        </w:tc>
        <w:tc>
          <w:tcPr>
            <w:tcW w:w="1550" w:type="dxa"/>
            <w:vMerge w:val="restart"/>
            <w:tcBorders>
              <w:tl2br w:val="nil"/>
              <w:tr2bl w:val="nil"/>
            </w:tcBorders>
            <w:vAlign w:val="center"/>
          </w:tcPr>
          <w:p w14:paraId="62A97B4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olor w:val="auto"/>
                <w:kern w:val="0"/>
                <w:sz w:val="13"/>
                <w:szCs w:val="13"/>
                <w:highlight w:val="none"/>
              </w:rPr>
              <w:t>勘察、设计单位未依据项目批准文件，城乡规划及专业规划，国家规定的建设工程勘察、设计深度要求编制建设工程勘察、设计文件的</w:t>
            </w:r>
          </w:p>
        </w:tc>
        <w:tc>
          <w:tcPr>
            <w:tcW w:w="4820" w:type="dxa"/>
            <w:vMerge w:val="restart"/>
            <w:tcBorders>
              <w:tl2br w:val="nil"/>
              <w:tr2bl w:val="nil"/>
            </w:tcBorders>
            <w:vAlign w:val="center"/>
          </w:tcPr>
          <w:p w14:paraId="2AF9050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strike/>
                <w:color w:val="auto"/>
                <w:kern w:val="0"/>
                <w:sz w:val="13"/>
                <w:szCs w:val="13"/>
                <w:highlight w:val="none"/>
              </w:rPr>
            </w:pPr>
            <w:r>
              <w:rPr>
                <w:rFonts w:hint="eastAsia" w:ascii="仿宋_GB2312" w:hAnsi="宋体" w:eastAsia="仿宋_GB2312"/>
                <w:color w:val="auto"/>
                <w:kern w:val="0"/>
                <w:sz w:val="13"/>
                <w:szCs w:val="13"/>
                <w:highlight w:val="none"/>
              </w:rPr>
              <w:t>《建设工程勘察设计管理条例》第四十条违反本条例规定，勘察、设计单位未依据项目批准文件，城乡规划及专业规划，国家规定的建设工程勘察、设计深度要求编制建设工程勘察、设计文件的，责令限期改正；逾期不改正的，处10万元以上30万元以下的罚款；造成工程质量事故或者环境污染和生态破坏的，责令停业整顿，降低资质等级；情节严重的，吊销资质证书；造成损失的，依法承担赔偿责任。</w:t>
            </w:r>
          </w:p>
        </w:tc>
        <w:tc>
          <w:tcPr>
            <w:tcW w:w="823" w:type="dxa"/>
            <w:tcBorders>
              <w:tl2br w:val="nil"/>
              <w:tr2bl w:val="nil"/>
            </w:tcBorders>
            <w:tcMar>
              <w:top w:w="15" w:type="dxa"/>
              <w:left w:w="15" w:type="dxa"/>
              <w:bottom w:w="15" w:type="dxa"/>
              <w:right w:w="15" w:type="dxa"/>
            </w:tcMar>
            <w:vAlign w:val="center"/>
          </w:tcPr>
          <w:p w14:paraId="4563759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Times New Roman"/>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tcMar>
              <w:top w:w="15" w:type="dxa"/>
              <w:left w:w="15" w:type="dxa"/>
              <w:bottom w:w="15" w:type="dxa"/>
              <w:right w:w="15" w:type="dxa"/>
            </w:tcMar>
            <w:vAlign w:val="center"/>
          </w:tcPr>
          <w:p w14:paraId="6075AEB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olor w:val="auto"/>
                <w:kern w:val="0"/>
                <w:sz w:val="13"/>
                <w:szCs w:val="13"/>
                <w:highlight w:val="none"/>
              </w:rPr>
              <w:t>逾期未改正，初次违法，主动补充备案，消除违法行为危害后果的。</w:t>
            </w:r>
          </w:p>
        </w:tc>
        <w:tc>
          <w:tcPr>
            <w:tcW w:w="3058" w:type="dxa"/>
            <w:tcBorders>
              <w:tl2br w:val="nil"/>
              <w:tr2bl w:val="nil"/>
            </w:tcBorders>
            <w:tcMar>
              <w:top w:w="15" w:type="dxa"/>
              <w:left w:w="15" w:type="dxa"/>
              <w:bottom w:w="15" w:type="dxa"/>
              <w:right w:w="15" w:type="dxa"/>
            </w:tcMar>
            <w:vAlign w:val="center"/>
          </w:tcPr>
          <w:p w14:paraId="73BF6EC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责令改正，处10万元罚款。</w:t>
            </w:r>
          </w:p>
        </w:tc>
      </w:tr>
      <w:tr w14:paraId="07EF5A9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9" w:hRule="atLeast"/>
          <w:jc w:val="center"/>
        </w:trPr>
        <w:tc>
          <w:tcPr>
            <w:tcW w:w="443" w:type="dxa"/>
            <w:gridSpan w:val="2"/>
            <w:vMerge w:val="continue"/>
            <w:tcBorders>
              <w:tl2br w:val="nil"/>
              <w:tr2bl w:val="nil"/>
            </w:tcBorders>
            <w:vAlign w:val="center"/>
          </w:tcPr>
          <w:p w14:paraId="6D4FE3DC">
            <w:pPr>
              <w:pStyle w:val="37"/>
              <w:keepNext w:val="0"/>
              <w:keepLines w:val="0"/>
              <w:pageBreakBefore w:val="0"/>
              <w:widowControl/>
              <w:numPr>
                <w:ilvl w:val="0"/>
                <w:numId w:val="4"/>
              </w:numPr>
              <w:kinsoku/>
              <w:overflowPunct/>
              <w:topLinePunct w:val="0"/>
              <w:autoSpaceDE/>
              <w:autoSpaceDN/>
              <w:bidi w:val="0"/>
              <w:adjustRightInd/>
              <w:snapToGrid/>
              <w:spacing w:beforeAutospacing="0" w:afterAutospacing="0" w:line="260" w:lineRule="exact"/>
              <w:ind w:left="0" w:leftChars="0" w:right="0" w:rightChars="0" w:firstLineChars="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328951F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s="Times New Roman"/>
                <w:color w:val="auto"/>
                <w:kern w:val="0"/>
                <w:sz w:val="13"/>
                <w:szCs w:val="13"/>
                <w:highlight w:val="none"/>
              </w:rPr>
            </w:pPr>
          </w:p>
        </w:tc>
        <w:tc>
          <w:tcPr>
            <w:tcW w:w="4820" w:type="dxa"/>
            <w:vMerge w:val="continue"/>
            <w:tcBorders>
              <w:tl2br w:val="nil"/>
              <w:tr2bl w:val="nil"/>
            </w:tcBorders>
            <w:vAlign w:val="center"/>
          </w:tcPr>
          <w:p w14:paraId="28CD768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s="Times New Roman"/>
                <w:color w:val="auto"/>
                <w:kern w:val="0"/>
                <w:sz w:val="13"/>
                <w:szCs w:val="13"/>
                <w:highlight w:val="none"/>
              </w:rPr>
            </w:pPr>
          </w:p>
        </w:tc>
        <w:tc>
          <w:tcPr>
            <w:tcW w:w="823" w:type="dxa"/>
            <w:tcBorders>
              <w:tl2br w:val="nil"/>
              <w:tr2bl w:val="nil"/>
            </w:tcBorders>
            <w:tcMar>
              <w:top w:w="15" w:type="dxa"/>
              <w:left w:w="15" w:type="dxa"/>
              <w:bottom w:w="15" w:type="dxa"/>
              <w:right w:w="15" w:type="dxa"/>
            </w:tcMar>
            <w:vAlign w:val="center"/>
          </w:tcPr>
          <w:p w14:paraId="5B4FE80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Times New Roman"/>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一般情节</w:t>
            </w:r>
          </w:p>
        </w:tc>
        <w:tc>
          <w:tcPr>
            <w:tcW w:w="3437" w:type="dxa"/>
            <w:gridSpan w:val="2"/>
            <w:tcBorders>
              <w:tl2br w:val="nil"/>
              <w:tr2bl w:val="nil"/>
            </w:tcBorders>
            <w:tcMar>
              <w:top w:w="15" w:type="dxa"/>
              <w:left w:w="15" w:type="dxa"/>
              <w:bottom w:w="15" w:type="dxa"/>
              <w:right w:w="15" w:type="dxa"/>
            </w:tcMar>
            <w:vAlign w:val="center"/>
          </w:tcPr>
          <w:p w14:paraId="29C5D76F">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rPr>
                <w:rFonts w:ascii="Calibri" w:hAnsi="Calibri" w:eastAsia="宋体" w:cs="Times New Roman"/>
                <w:color w:val="auto"/>
                <w:sz w:val="13"/>
                <w:szCs w:val="13"/>
                <w:highlight w:val="none"/>
              </w:rPr>
            </w:pPr>
            <w:r>
              <w:rPr>
                <w:rFonts w:hint="eastAsia" w:ascii="仿宋_GB2312" w:hAnsi="宋体" w:eastAsia="仿宋_GB2312"/>
                <w:color w:val="auto"/>
                <w:kern w:val="0"/>
                <w:sz w:val="13"/>
                <w:szCs w:val="13"/>
                <w:highlight w:val="none"/>
              </w:rPr>
              <w:t>逾期不改正，未造成工程质量事故或环境污染和生态破坏，不具有从轻、</w:t>
            </w:r>
            <w:r>
              <w:rPr>
                <w:rFonts w:hint="eastAsia" w:ascii="仿宋_GB2312" w:hAnsi="宋体" w:eastAsia="仿宋_GB2312"/>
                <w:color w:val="auto"/>
                <w:kern w:val="0"/>
                <w:sz w:val="13"/>
                <w:szCs w:val="13"/>
                <w:highlight w:val="none"/>
                <w:lang w:eastAsia="zh-CN"/>
              </w:rPr>
              <w:t>从重情节</w:t>
            </w:r>
            <w:r>
              <w:rPr>
                <w:rFonts w:hint="eastAsia" w:ascii="仿宋_GB2312" w:hAnsi="宋体" w:eastAsia="仿宋_GB2312"/>
                <w:color w:val="auto"/>
                <w:kern w:val="0"/>
                <w:sz w:val="13"/>
                <w:szCs w:val="13"/>
                <w:highlight w:val="none"/>
              </w:rPr>
              <w:t>的。</w:t>
            </w:r>
          </w:p>
        </w:tc>
        <w:tc>
          <w:tcPr>
            <w:tcW w:w="3058" w:type="dxa"/>
            <w:tcBorders>
              <w:tl2br w:val="nil"/>
              <w:tr2bl w:val="nil"/>
            </w:tcBorders>
            <w:tcMar>
              <w:top w:w="15" w:type="dxa"/>
              <w:left w:w="15" w:type="dxa"/>
              <w:bottom w:w="15" w:type="dxa"/>
              <w:right w:w="15" w:type="dxa"/>
            </w:tcMar>
            <w:vAlign w:val="center"/>
          </w:tcPr>
          <w:p w14:paraId="0DC2BEA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责令改正，处10万元以上</w:t>
            </w:r>
            <w:r>
              <w:rPr>
                <w:rFonts w:ascii="仿宋_GB2312" w:hAnsi="宋体" w:eastAsia="仿宋_GB2312" w:cs="Times New Roman"/>
                <w:color w:val="auto"/>
                <w:kern w:val="0"/>
                <w:sz w:val="13"/>
                <w:szCs w:val="13"/>
                <w:highlight w:val="none"/>
              </w:rPr>
              <w:t>3</w:t>
            </w:r>
            <w:r>
              <w:rPr>
                <w:rFonts w:hint="eastAsia" w:ascii="仿宋_GB2312" w:hAnsi="宋体" w:eastAsia="仿宋_GB2312" w:cs="Times New Roman"/>
                <w:color w:val="auto"/>
                <w:kern w:val="0"/>
                <w:sz w:val="13"/>
                <w:szCs w:val="13"/>
                <w:highlight w:val="none"/>
              </w:rPr>
              <w:t>0万元以下罚款。</w:t>
            </w:r>
          </w:p>
        </w:tc>
      </w:tr>
      <w:tr w14:paraId="1DD8BBB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16" w:hRule="atLeast"/>
          <w:jc w:val="center"/>
        </w:trPr>
        <w:tc>
          <w:tcPr>
            <w:tcW w:w="443" w:type="dxa"/>
            <w:gridSpan w:val="2"/>
            <w:vMerge w:val="continue"/>
            <w:tcBorders>
              <w:tl2br w:val="nil"/>
              <w:tr2bl w:val="nil"/>
            </w:tcBorders>
            <w:vAlign w:val="center"/>
          </w:tcPr>
          <w:p w14:paraId="528E043E">
            <w:pPr>
              <w:pStyle w:val="37"/>
              <w:keepNext w:val="0"/>
              <w:keepLines w:val="0"/>
              <w:pageBreakBefore w:val="0"/>
              <w:widowControl/>
              <w:numPr>
                <w:ilvl w:val="0"/>
                <w:numId w:val="4"/>
              </w:numPr>
              <w:kinsoku/>
              <w:overflowPunct/>
              <w:topLinePunct w:val="0"/>
              <w:autoSpaceDE/>
              <w:autoSpaceDN/>
              <w:bidi w:val="0"/>
              <w:adjustRightInd/>
              <w:snapToGrid/>
              <w:spacing w:beforeAutospacing="0" w:afterAutospacing="0" w:line="260" w:lineRule="exact"/>
              <w:ind w:left="0" w:leftChars="0" w:right="0" w:rightChars="0" w:firstLineChars="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030C98E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s="Times New Roman"/>
                <w:color w:val="auto"/>
                <w:kern w:val="0"/>
                <w:sz w:val="13"/>
                <w:szCs w:val="13"/>
                <w:highlight w:val="none"/>
              </w:rPr>
            </w:pPr>
          </w:p>
        </w:tc>
        <w:tc>
          <w:tcPr>
            <w:tcW w:w="4820" w:type="dxa"/>
            <w:vMerge w:val="continue"/>
            <w:tcBorders>
              <w:tl2br w:val="nil"/>
              <w:tr2bl w:val="nil"/>
            </w:tcBorders>
            <w:vAlign w:val="center"/>
          </w:tcPr>
          <w:p w14:paraId="43CC4D5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s="Times New Roman"/>
                <w:color w:val="auto"/>
                <w:kern w:val="0"/>
                <w:sz w:val="13"/>
                <w:szCs w:val="13"/>
                <w:highlight w:val="none"/>
              </w:rPr>
            </w:pPr>
          </w:p>
        </w:tc>
        <w:tc>
          <w:tcPr>
            <w:tcW w:w="823" w:type="dxa"/>
            <w:vMerge w:val="restart"/>
            <w:tcBorders>
              <w:tl2br w:val="nil"/>
              <w:tr2bl w:val="nil"/>
            </w:tcBorders>
            <w:tcMar>
              <w:top w:w="15" w:type="dxa"/>
              <w:left w:w="15" w:type="dxa"/>
              <w:bottom w:w="15" w:type="dxa"/>
              <w:right w:w="15" w:type="dxa"/>
            </w:tcMar>
            <w:vAlign w:val="center"/>
          </w:tcPr>
          <w:p w14:paraId="2C6D329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Times New Roman"/>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从重情节</w:t>
            </w:r>
          </w:p>
        </w:tc>
        <w:tc>
          <w:tcPr>
            <w:tcW w:w="3437" w:type="dxa"/>
            <w:gridSpan w:val="2"/>
            <w:tcBorders>
              <w:tl2br w:val="nil"/>
              <w:tr2bl w:val="nil"/>
            </w:tcBorders>
            <w:tcMar>
              <w:top w:w="15" w:type="dxa"/>
              <w:left w:w="15" w:type="dxa"/>
              <w:bottom w:w="15" w:type="dxa"/>
              <w:right w:w="15" w:type="dxa"/>
            </w:tcMar>
            <w:vAlign w:val="center"/>
          </w:tcPr>
          <w:p w14:paraId="342BB7A1">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Times New Roman"/>
                <w:strike/>
                <w:color w:val="auto"/>
                <w:kern w:val="0"/>
                <w:sz w:val="13"/>
                <w:szCs w:val="13"/>
                <w:highlight w:val="none"/>
              </w:rPr>
            </w:pPr>
            <w:r>
              <w:rPr>
                <w:rFonts w:hint="eastAsia" w:ascii="仿宋_GB2312" w:hAnsi="宋体" w:eastAsia="仿宋_GB2312"/>
                <w:color w:val="auto"/>
                <w:kern w:val="0"/>
                <w:sz w:val="13"/>
                <w:szCs w:val="13"/>
                <w:highlight w:val="none"/>
              </w:rPr>
              <w:t>（1）造成</w:t>
            </w:r>
            <w:r>
              <w:rPr>
                <w:rFonts w:hint="eastAsia" w:ascii="仿宋_GB2312" w:hAnsi="宋体" w:eastAsia="仿宋_GB2312"/>
                <w:color w:val="auto"/>
                <w:kern w:val="0"/>
                <w:sz w:val="13"/>
                <w:szCs w:val="13"/>
                <w:highlight w:val="none"/>
                <w:lang w:val="en-US" w:eastAsia="zh-CN"/>
              </w:rPr>
              <w:t>一般</w:t>
            </w:r>
            <w:r>
              <w:rPr>
                <w:rFonts w:hint="eastAsia" w:ascii="仿宋_GB2312" w:hAnsi="宋体" w:eastAsia="仿宋_GB2312"/>
                <w:color w:val="auto"/>
                <w:kern w:val="0"/>
                <w:sz w:val="13"/>
                <w:szCs w:val="13"/>
                <w:highlight w:val="none"/>
              </w:rPr>
              <w:t>工程质量事故或者环境污染和生态破坏的。</w:t>
            </w:r>
          </w:p>
        </w:tc>
        <w:tc>
          <w:tcPr>
            <w:tcW w:w="3058" w:type="dxa"/>
            <w:tcBorders>
              <w:tl2br w:val="nil"/>
              <w:tr2bl w:val="nil"/>
            </w:tcBorders>
            <w:tcMar>
              <w:top w:w="15" w:type="dxa"/>
              <w:left w:w="15" w:type="dxa"/>
              <w:bottom w:w="15" w:type="dxa"/>
              <w:right w:w="15" w:type="dxa"/>
            </w:tcMar>
            <w:vAlign w:val="center"/>
          </w:tcPr>
          <w:p w14:paraId="5B2D2BC8">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s="Times New Roman"/>
                <w:strike/>
                <w:color w:val="auto"/>
                <w:kern w:val="0"/>
                <w:sz w:val="13"/>
                <w:szCs w:val="13"/>
                <w:highlight w:val="none"/>
              </w:rPr>
            </w:pPr>
            <w:r>
              <w:rPr>
                <w:rFonts w:hint="eastAsia" w:ascii="仿宋_GB2312" w:hAnsi="宋体" w:eastAsia="仿宋_GB2312" w:cs="Times New Roman"/>
                <w:color w:val="auto"/>
                <w:kern w:val="0"/>
                <w:sz w:val="13"/>
                <w:szCs w:val="13"/>
                <w:highlight w:val="none"/>
              </w:rPr>
              <w:t>处</w:t>
            </w:r>
            <w:r>
              <w:rPr>
                <w:rFonts w:ascii="仿宋_GB2312" w:hAnsi="宋体" w:eastAsia="仿宋_GB2312" w:cs="Times New Roman"/>
                <w:color w:val="auto"/>
                <w:kern w:val="0"/>
                <w:sz w:val="13"/>
                <w:szCs w:val="13"/>
                <w:highlight w:val="none"/>
              </w:rPr>
              <w:t>30</w:t>
            </w:r>
            <w:r>
              <w:rPr>
                <w:rFonts w:hint="eastAsia" w:ascii="仿宋_GB2312" w:hAnsi="宋体" w:eastAsia="仿宋_GB2312" w:cs="Times New Roman"/>
                <w:color w:val="auto"/>
                <w:kern w:val="0"/>
                <w:sz w:val="13"/>
                <w:szCs w:val="13"/>
                <w:highlight w:val="none"/>
              </w:rPr>
              <w:t>万元罚款，责令停业整顿</w:t>
            </w:r>
            <w:r>
              <w:rPr>
                <w:rFonts w:hint="eastAsia" w:ascii="仿宋_GB2312" w:hAnsi="宋体" w:eastAsia="仿宋_GB2312" w:cs="Times New Roman"/>
                <w:color w:val="auto"/>
                <w:kern w:val="0"/>
                <w:sz w:val="13"/>
                <w:szCs w:val="13"/>
                <w:highlight w:val="none"/>
                <w:lang w:eastAsia="zh-CN"/>
              </w:rPr>
              <w:t>30日-</w:t>
            </w:r>
            <w:r>
              <w:rPr>
                <w:rFonts w:ascii="仿宋_GB2312" w:hAnsi="宋体" w:eastAsia="仿宋_GB2312" w:cs="Times New Roman"/>
                <w:color w:val="auto"/>
                <w:kern w:val="0"/>
                <w:sz w:val="13"/>
                <w:szCs w:val="13"/>
                <w:highlight w:val="none"/>
              </w:rPr>
              <w:t>60日</w:t>
            </w:r>
            <w:r>
              <w:rPr>
                <w:rFonts w:hint="eastAsia" w:ascii="仿宋_GB2312" w:hAnsi="宋体" w:eastAsia="仿宋_GB2312" w:cs="Times New Roman"/>
                <w:color w:val="auto"/>
                <w:kern w:val="0"/>
                <w:sz w:val="13"/>
                <w:szCs w:val="13"/>
                <w:highlight w:val="none"/>
              </w:rPr>
              <w:t>。</w:t>
            </w:r>
          </w:p>
        </w:tc>
      </w:tr>
      <w:tr w14:paraId="41213D0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9" w:hRule="atLeast"/>
          <w:jc w:val="center"/>
        </w:trPr>
        <w:tc>
          <w:tcPr>
            <w:tcW w:w="443" w:type="dxa"/>
            <w:gridSpan w:val="2"/>
            <w:vMerge w:val="continue"/>
            <w:tcBorders>
              <w:tl2br w:val="nil"/>
              <w:tr2bl w:val="nil"/>
            </w:tcBorders>
            <w:vAlign w:val="center"/>
          </w:tcPr>
          <w:p w14:paraId="3401763F">
            <w:pPr>
              <w:pStyle w:val="37"/>
              <w:keepNext w:val="0"/>
              <w:keepLines w:val="0"/>
              <w:pageBreakBefore w:val="0"/>
              <w:widowControl/>
              <w:numPr>
                <w:ilvl w:val="0"/>
                <w:numId w:val="4"/>
              </w:numPr>
              <w:kinsoku/>
              <w:overflowPunct/>
              <w:topLinePunct w:val="0"/>
              <w:autoSpaceDE/>
              <w:autoSpaceDN/>
              <w:bidi w:val="0"/>
              <w:adjustRightInd/>
              <w:snapToGrid/>
              <w:spacing w:beforeAutospacing="0" w:afterAutospacing="0" w:line="260" w:lineRule="exact"/>
              <w:ind w:left="0" w:leftChars="0" w:right="0" w:rightChars="0" w:firstLineChars="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73BE4C5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s="Times New Roman"/>
                <w:color w:val="auto"/>
                <w:kern w:val="0"/>
                <w:sz w:val="13"/>
                <w:szCs w:val="13"/>
                <w:highlight w:val="none"/>
              </w:rPr>
            </w:pPr>
          </w:p>
        </w:tc>
        <w:tc>
          <w:tcPr>
            <w:tcW w:w="4820" w:type="dxa"/>
            <w:vMerge w:val="continue"/>
            <w:tcBorders>
              <w:tl2br w:val="nil"/>
              <w:tr2bl w:val="nil"/>
            </w:tcBorders>
            <w:vAlign w:val="center"/>
          </w:tcPr>
          <w:p w14:paraId="5D21D3F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s="Times New Roman"/>
                <w:color w:val="auto"/>
                <w:kern w:val="0"/>
                <w:sz w:val="13"/>
                <w:szCs w:val="13"/>
                <w:highlight w:val="none"/>
              </w:rPr>
            </w:pPr>
          </w:p>
        </w:tc>
        <w:tc>
          <w:tcPr>
            <w:tcW w:w="823" w:type="dxa"/>
            <w:vMerge w:val="continue"/>
            <w:tcBorders>
              <w:tl2br w:val="nil"/>
              <w:tr2bl w:val="nil"/>
            </w:tcBorders>
            <w:tcMar>
              <w:top w:w="15" w:type="dxa"/>
              <w:left w:w="15" w:type="dxa"/>
              <w:bottom w:w="15" w:type="dxa"/>
              <w:right w:w="15" w:type="dxa"/>
            </w:tcMar>
            <w:vAlign w:val="center"/>
          </w:tcPr>
          <w:p w14:paraId="4F219E4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color w:val="auto"/>
                <w:kern w:val="0"/>
                <w:sz w:val="13"/>
                <w:szCs w:val="13"/>
                <w:highlight w:val="none"/>
              </w:rPr>
            </w:pPr>
          </w:p>
        </w:tc>
        <w:tc>
          <w:tcPr>
            <w:tcW w:w="3437" w:type="dxa"/>
            <w:gridSpan w:val="2"/>
            <w:tcBorders>
              <w:tl2br w:val="nil"/>
              <w:tr2bl w:val="nil"/>
            </w:tcBorders>
            <w:tcMar>
              <w:top w:w="15" w:type="dxa"/>
              <w:left w:w="15" w:type="dxa"/>
              <w:bottom w:w="15" w:type="dxa"/>
              <w:right w:w="15" w:type="dxa"/>
            </w:tcMar>
            <w:vAlign w:val="center"/>
          </w:tcPr>
          <w:p w14:paraId="52C3B501">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olor w:val="auto"/>
                <w:kern w:val="0"/>
                <w:sz w:val="13"/>
                <w:szCs w:val="13"/>
                <w:highlight w:val="none"/>
              </w:rPr>
              <w:t>（2）造成较大工程质量事故或者严重环境污染和生态破坏的。</w:t>
            </w:r>
          </w:p>
        </w:tc>
        <w:tc>
          <w:tcPr>
            <w:tcW w:w="3058" w:type="dxa"/>
            <w:tcBorders>
              <w:tl2br w:val="nil"/>
              <w:tr2bl w:val="nil"/>
            </w:tcBorders>
            <w:tcMar>
              <w:top w:w="15" w:type="dxa"/>
              <w:left w:w="15" w:type="dxa"/>
              <w:bottom w:w="15" w:type="dxa"/>
              <w:right w:w="15" w:type="dxa"/>
            </w:tcMar>
            <w:vAlign w:val="center"/>
          </w:tcPr>
          <w:p w14:paraId="0A09CB9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处</w:t>
            </w:r>
            <w:r>
              <w:rPr>
                <w:rFonts w:ascii="仿宋_GB2312" w:hAnsi="宋体" w:eastAsia="仿宋_GB2312" w:cs="Times New Roman"/>
                <w:color w:val="auto"/>
                <w:kern w:val="0"/>
                <w:sz w:val="13"/>
                <w:szCs w:val="13"/>
                <w:highlight w:val="none"/>
              </w:rPr>
              <w:t>30</w:t>
            </w:r>
            <w:r>
              <w:rPr>
                <w:rFonts w:hint="eastAsia" w:ascii="仿宋_GB2312" w:hAnsi="宋体" w:eastAsia="仿宋_GB2312" w:cs="Times New Roman"/>
                <w:color w:val="auto"/>
                <w:kern w:val="0"/>
                <w:sz w:val="13"/>
                <w:szCs w:val="13"/>
                <w:highlight w:val="none"/>
              </w:rPr>
              <w:t>万元罚款，责令停业整顿</w:t>
            </w:r>
            <w:r>
              <w:rPr>
                <w:rFonts w:hint="eastAsia" w:ascii="仿宋_GB2312" w:hAnsi="宋体" w:eastAsia="仿宋_GB2312" w:cs="Times New Roman"/>
                <w:color w:val="auto"/>
                <w:kern w:val="0"/>
                <w:sz w:val="13"/>
                <w:szCs w:val="13"/>
                <w:highlight w:val="none"/>
                <w:lang w:eastAsia="zh-CN"/>
              </w:rPr>
              <w:t>60日-</w:t>
            </w:r>
            <w:r>
              <w:rPr>
                <w:rFonts w:ascii="仿宋_GB2312" w:hAnsi="宋体" w:eastAsia="仿宋_GB2312" w:cs="Times New Roman"/>
                <w:color w:val="auto"/>
                <w:kern w:val="0"/>
                <w:sz w:val="13"/>
                <w:szCs w:val="13"/>
                <w:highlight w:val="none"/>
              </w:rPr>
              <w:t>90日</w:t>
            </w:r>
            <w:r>
              <w:rPr>
                <w:rFonts w:hint="eastAsia" w:ascii="仿宋_GB2312" w:hAnsi="宋体" w:eastAsia="仿宋_GB2312" w:cs="Times New Roman"/>
                <w:color w:val="auto"/>
                <w:kern w:val="0"/>
                <w:sz w:val="13"/>
                <w:szCs w:val="13"/>
                <w:highlight w:val="none"/>
              </w:rPr>
              <w:t>。</w:t>
            </w:r>
          </w:p>
        </w:tc>
      </w:tr>
      <w:tr w14:paraId="6ED6160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47" w:hRule="atLeast"/>
          <w:jc w:val="center"/>
        </w:trPr>
        <w:tc>
          <w:tcPr>
            <w:tcW w:w="443" w:type="dxa"/>
            <w:gridSpan w:val="2"/>
            <w:vMerge w:val="continue"/>
            <w:tcBorders>
              <w:tl2br w:val="nil"/>
              <w:tr2bl w:val="nil"/>
            </w:tcBorders>
            <w:vAlign w:val="center"/>
          </w:tcPr>
          <w:p w14:paraId="3289AC5C">
            <w:pPr>
              <w:pStyle w:val="37"/>
              <w:keepNext w:val="0"/>
              <w:keepLines w:val="0"/>
              <w:pageBreakBefore w:val="0"/>
              <w:widowControl/>
              <w:numPr>
                <w:ilvl w:val="0"/>
                <w:numId w:val="4"/>
              </w:numPr>
              <w:kinsoku/>
              <w:overflowPunct/>
              <w:topLinePunct w:val="0"/>
              <w:autoSpaceDE/>
              <w:autoSpaceDN/>
              <w:bidi w:val="0"/>
              <w:adjustRightInd/>
              <w:snapToGrid/>
              <w:spacing w:beforeAutospacing="0" w:afterAutospacing="0" w:line="260" w:lineRule="exact"/>
              <w:ind w:left="0" w:leftChars="0" w:right="0" w:rightChars="0" w:firstLineChars="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3F3A891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s="Times New Roman"/>
                <w:color w:val="auto"/>
                <w:kern w:val="0"/>
                <w:sz w:val="13"/>
                <w:szCs w:val="13"/>
                <w:highlight w:val="none"/>
              </w:rPr>
            </w:pPr>
          </w:p>
        </w:tc>
        <w:tc>
          <w:tcPr>
            <w:tcW w:w="4820" w:type="dxa"/>
            <w:vMerge w:val="continue"/>
            <w:tcBorders>
              <w:tl2br w:val="nil"/>
              <w:tr2bl w:val="nil"/>
            </w:tcBorders>
            <w:vAlign w:val="center"/>
          </w:tcPr>
          <w:p w14:paraId="06201F5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s="Times New Roman"/>
                <w:color w:val="auto"/>
                <w:kern w:val="0"/>
                <w:sz w:val="13"/>
                <w:szCs w:val="13"/>
                <w:highlight w:val="none"/>
              </w:rPr>
            </w:pPr>
          </w:p>
        </w:tc>
        <w:tc>
          <w:tcPr>
            <w:tcW w:w="823" w:type="dxa"/>
            <w:vMerge w:val="continue"/>
            <w:tcBorders>
              <w:tl2br w:val="nil"/>
              <w:tr2bl w:val="nil"/>
            </w:tcBorders>
            <w:tcMar>
              <w:top w:w="15" w:type="dxa"/>
              <w:left w:w="15" w:type="dxa"/>
              <w:bottom w:w="15" w:type="dxa"/>
              <w:right w:w="15" w:type="dxa"/>
            </w:tcMar>
            <w:vAlign w:val="center"/>
          </w:tcPr>
          <w:p w14:paraId="58DED71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color w:val="auto"/>
                <w:kern w:val="0"/>
                <w:sz w:val="13"/>
                <w:szCs w:val="13"/>
                <w:highlight w:val="none"/>
              </w:rPr>
            </w:pPr>
          </w:p>
        </w:tc>
        <w:tc>
          <w:tcPr>
            <w:tcW w:w="3437" w:type="dxa"/>
            <w:gridSpan w:val="2"/>
            <w:tcBorders>
              <w:tl2br w:val="nil"/>
              <w:tr2bl w:val="nil"/>
            </w:tcBorders>
            <w:tcMar>
              <w:top w:w="15" w:type="dxa"/>
              <w:left w:w="15" w:type="dxa"/>
              <w:bottom w:w="15" w:type="dxa"/>
              <w:right w:w="15" w:type="dxa"/>
            </w:tcMar>
            <w:vAlign w:val="center"/>
          </w:tcPr>
          <w:p w14:paraId="666B524F">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olor w:val="auto"/>
                <w:kern w:val="0"/>
                <w:sz w:val="13"/>
                <w:szCs w:val="13"/>
                <w:highlight w:val="none"/>
              </w:rPr>
              <w:t>（3）造成重大工程质量事故或者比较严重环境污染和生态破坏的</w:t>
            </w:r>
            <w:r>
              <w:rPr>
                <w:rFonts w:hint="eastAsia" w:ascii="仿宋_GB2312" w:hAnsi="宋体" w:eastAsia="仿宋_GB2312"/>
                <w:color w:val="auto"/>
                <w:kern w:val="0"/>
                <w:sz w:val="13"/>
                <w:szCs w:val="13"/>
                <w:highlight w:val="none"/>
                <w:lang w:eastAsia="zh-CN"/>
              </w:rPr>
              <w:t>；</w:t>
            </w:r>
            <w:r>
              <w:rPr>
                <w:rFonts w:hint="eastAsia" w:ascii="仿宋_GB2312" w:hAnsi="宋体" w:eastAsia="仿宋_GB2312"/>
                <w:color w:val="auto"/>
                <w:kern w:val="0"/>
                <w:sz w:val="13"/>
                <w:szCs w:val="13"/>
                <w:highlight w:val="none"/>
                <w:lang w:val="en-US" w:eastAsia="zh-CN"/>
              </w:rPr>
              <w:t>或造成特别严重社会影响。</w:t>
            </w:r>
          </w:p>
        </w:tc>
        <w:tc>
          <w:tcPr>
            <w:tcW w:w="3058" w:type="dxa"/>
            <w:tcBorders>
              <w:tl2br w:val="nil"/>
              <w:tr2bl w:val="nil"/>
            </w:tcBorders>
            <w:tcMar>
              <w:top w:w="15" w:type="dxa"/>
              <w:left w:w="15" w:type="dxa"/>
              <w:bottom w:w="15" w:type="dxa"/>
              <w:right w:w="15" w:type="dxa"/>
            </w:tcMar>
            <w:vAlign w:val="center"/>
          </w:tcPr>
          <w:p w14:paraId="0A0964A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处</w:t>
            </w:r>
            <w:r>
              <w:rPr>
                <w:rFonts w:ascii="仿宋_GB2312" w:hAnsi="宋体" w:eastAsia="仿宋_GB2312" w:cs="Times New Roman"/>
                <w:color w:val="auto"/>
                <w:kern w:val="0"/>
                <w:sz w:val="13"/>
                <w:szCs w:val="13"/>
                <w:highlight w:val="none"/>
              </w:rPr>
              <w:t>30</w:t>
            </w:r>
            <w:r>
              <w:rPr>
                <w:rFonts w:hint="eastAsia" w:ascii="仿宋_GB2312" w:hAnsi="宋体" w:eastAsia="仿宋_GB2312" w:cs="Times New Roman"/>
                <w:color w:val="auto"/>
                <w:kern w:val="0"/>
                <w:sz w:val="13"/>
                <w:szCs w:val="13"/>
                <w:highlight w:val="none"/>
              </w:rPr>
              <w:t>万元罚款，降低资质等级。</w:t>
            </w:r>
          </w:p>
        </w:tc>
      </w:tr>
      <w:tr w14:paraId="0094322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47" w:hRule="atLeast"/>
          <w:jc w:val="center"/>
        </w:trPr>
        <w:tc>
          <w:tcPr>
            <w:tcW w:w="443" w:type="dxa"/>
            <w:gridSpan w:val="2"/>
            <w:vMerge w:val="continue"/>
            <w:tcBorders>
              <w:tl2br w:val="nil"/>
              <w:tr2bl w:val="nil"/>
            </w:tcBorders>
            <w:vAlign w:val="center"/>
          </w:tcPr>
          <w:p w14:paraId="6C623656">
            <w:pPr>
              <w:pStyle w:val="37"/>
              <w:keepNext w:val="0"/>
              <w:keepLines w:val="0"/>
              <w:pageBreakBefore w:val="0"/>
              <w:widowControl/>
              <w:numPr>
                <w:ilvl w:val="0"/>
                <w:numId w:val="4"/>
              </w:numPr>
              <w:kinsoku/>
              <w:overflowPunct/>
              <w:topLinePunct w:val="0"/>
              <w:autoSpaceDE/>
              <w:autoSpaceDN/>
              <w:bidi w:val="0"/>
              <w:adjustRightInd/>
              <w:snapToGrid/>
              <w:spacing w:beforeAutospacing="0" w:afterAutospacing="0" w:line="260" w:lineRule="exact"/>
              <w:ind w:left="0" w:leftChars="0" w:right="0" w:rightChars="0" w:firstLineChars="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6E61CE4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s="Times New Roman"/>
                <w:color w:val="auto"/>
                <w:kern w:val="0"/>
                <w:sz w:val="13"/>
                <w:szCs w:val="13"/>
                <w:highlight w:val="none"/>
              </w:rPr>
            </w:pPr>
          </w:p>
        </w:tc>
        <w:tc>
          <w:tcPr>
            <w:tcW w:w="4820" w:type="dxa"/>
            <w:vMerge w:val="continue"/>
            <w:tcBorders>
              <w:tl2br w:val="nil"/>
              <w:tr2bl w:val="nil"/>
            </w:tcBorders>
            <w:vAlign w:val="center"/>
          </w:tcPr>
          <w:p w14:paraId="238605B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s="Times New Roman"/>
                <w:color w:val="auto"/>
                <w:kern w:val="0"/>
                <w:sz w:val="13"/>
                <w:szCs w:val="13"/>
                <w:highlight w:val="none"/>
              </w:rPr>
            </w:pPr>
          </w:p>
        </w:tc>
        <w:tc>
          <w:tcPr>
            <w:tcW w:w="823" w:type="dxa"/>
            <w:vMerge w:val="continue"/>
            <w:tcBorders>
              <w:tl2br w:val="nil"/>
              <w:tr2bl w:val="nil"/>
            </w:tcBorders>
            <w:tcMar>
              <w:top w:w="15" w:type="dxa"/>
              <w:left w:w="15" w:type="dxa"/>
              <w:bottom w:w="15" w:type="dxa"/>
              <w:right w:w="15" w:type="dxa"/>
            </w:tcMar>
            <w:vAlign w:val="center"/>
          </w:tcPr>
          <w:p w14:paraId="7483601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color w:val="auto"/>
                <w:kern w:val="0"/>
                <w:sz w:val="13"/>
                <w:szCs w:val="13"/>
                <w:highlight w:val="none"/>
              </w:rPr>
            </w:pPr>
          </w:p>
        </w:tc>
        <w:tc>
          <w:tcPr>
            <w:tcW w:w="3437" w:type="dxa"/>
            <w:gridSpan w:val="2"/>
            <w:tcBorders>
              <w:tl2br w:val="nil"/>
              <w:tr2bl w:val="nil"/>
            </w:tcBorders>
            <w:tcMar>
              <w:top w:w="15" w:type="dxa"/>
              <w:left w:w="15" w:type="dxa"/>
              <w:bottom w:w="15" w:type="dxa"/>
              <w:right w:w="15" w:type="dxa"/>
            </w:tcMar>
            <w:vAlign w:val="center"/>
          </w:tcPr>
          <w:p w14:paraId="608DC892">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olor w:val="auto"/>
                <w:kern w:val="0"/>
                <w:sz w:val="13"/>
                <w:szCs w:val="13"/>
                <w:highlight w:val="none"/>
              </w:rPr>
              <w:t>（4）造成特别</w:t>
            </w:r>
            <w:r>
              <w:rPr>
                <w:rFonts w:ascii="仿宋_GB2312" w:hAnsi="宋体" w:eastAsia="仿宋_GB2312"/>
                <w:color w:val="auto"/>
                <w:kern w:val="0"/>
                <w:sz w:val="13"/>
                <w:szCs w:val="13"/>
                <w:highlight w:val="none"/>
              </w:rPr>
              <w:t>重大</w:t>
            </w:r>
            <w:r>
              <w:rPr>
                <w:rFonts w:hint="eastAsia" w:ascii="仿宋_GB2312" w:hAnsi="宋体" w:eastAsia="仿宋_GB2312"/>
                <w:color w:val="auto"/>
                <w:kern w:val="0"/>
                <w:sz w:val="13"/>
                <w:szCs w:val="13"/>
                <w:highlight w:val="none"/>
              </w:rPr>
              <w:t>工程质量安全事故或者特别严重的环境污染和生态破坏的</w:t>
            </w:r>
            <w:r>
              <w:rPr>
                <w:rFonts w:hint="eastAsia" w:ascii="仿宋_GB2312" w:hAnsi="宋体" w:eastAsia="仿宋_GB2312"/>
                <w:color w:val="auto"/>
                <w:kern w:val="0"/>
                <w:sz w:val="13"/>
                <w:szCs w:val="13"/>
                <w:highlight w:val="none"/>
                <w:lang w:eastAsia="zh-CN"/>
              </w:rPr>
              <w:t>；</w:t>
            </w:r>
            <w:r>
              <w:rPr>
                <w:rFonts w:hint="eastAsia" w:ascii="仿宋_GB2312" w:hAnsi="宋体" w:eastAsia="仿宋_GB2312"/>
                <w:color w:val="auto"/>
                <w:kern w:val="0"/>
                <w:sz w:val="13"/>
                <w:szCs w:val="13"/>
                <w:highlight w:val="none"/>
                <w:lang w:val="en-US" w:eastAsia="zh-CN"/>
              </w:rPr>
              <w:t>或造成特别严重社会影响。</w:t>
            </w:r>
          </w:p>
        </w:tc>
        <w:tc>
          <w:tcPr>
            <w:tcW w:w="3058" w:type="dxa"/>
            <w:tcBorders>
              <w:tl2br w:val="nil"/>
              <w:tr2bl w:val="nil"/>
            </w:tcBorders>
            <w:tcMar>
              <w:top w:w="15" w:type="dxa"/>
              <w:left w:w="15" w:type="dxa"/>
              <w:bottom w:w="15" w:type="dxa"/>
              <w:right w:w="15" w:type="dxa"/>
            </w:tcMar>
            <w:vAlign w:val="center"/>
          </w:tcPr>
          <w:p w14:paraId="2E43535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处30万元罚款，吊销资质证书。</w:t>
            </w:r>
          </w:p>
        </w:tc>
      </w:tr>
      <w:tr w14:paraId="354C3D8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75" w:hRule="atLeast"/>
          <w:jc w:val="center"/>
        </w:trPr>
        <w:tc>
          <w:tcPr>
            <w:tcW w:w="443" w:type="dxa"/>
            <w:gridSpan w:val="2"/>
            <w:vMerge w:val="restart"/>
            <w:tcBorders>
              <w:tl2br w:val="nil"/>
              <w:tr2bl w:val="nil"/>
            </w:tcBorders>
            <w:vAlign w:val="center"/>
          </w:tcPr>
          <w:p w14:paraId="12DE68D1">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Times New Roman"/>
                <w:color w:val="auto"/>
                <w:sz w:val="13"/>
                <w:szCs w:val="13"/>
                <w:highlight w:val="none"/>
                <w:lang w:val="en-US" w:eastAsia="zh-CN"/>
              </w:rPr>
            </w:pPr>
            <w:bookmarkStart w:id="10" w:name="_Hlk58488238"/>
            <w:r>
              <w:rPr>
                <w:rFonts w:hint="default" w:ascii="仿宋_GB2312" w:hAnsi="宋体" w:eastAsia="仿宋_GB2312" w:cs="仿宋_GB2312"/>
                <w:i w:val="0"/>
                <w:color w:val="auto"/>
                <w:kern w:val="0"/>
                <w:sz w:val="13"/>
                <w:szCs w:val="13"/>
                <w:highlight w:val="none"/>
                <w:u w:val="none"/>
                <w:lang w:val="en-US" w:eastAsia="zh-CN" w:bidi="ar"/>
              </w:rPr>
              <w:t>2</w:t>
            </w:r>
            <w:r>
              <w:rPr>
                <w:rFonts w:hint="eastAsia" w:ascii="仿宋_GB2312" w:hAnsi="宋体" w:eastAsia="仿宋_GB2312" w:cs="仿宋_GB2312"/>
                <w:i w:val="0"/>
                <w:color w:val="auto"/>
                <w:kern w:val="0"/>
                <w:sz w:val="13"/>
                <w:szCs w:val="13"/>
                <w:highlight w:val="none"/>
                <w:u w:val="none"/>
                <w:lang w:val="en-US" w:eastAsia="zh-CN" w:bidi="ar"/>
              </w:rPr>
              <w:t>24</w:t>
            </w:r>
          </w:p>
        </w:tc>
        <w:tc>
          <w:tcPr>
            <w:tcW w:w="1550" w:type="dxa"/>
            <w:vMerge w:val="restart"/>
            <w:tcBorders>
              <w:tl2br w:val="nil"/>
              <w:tr2bl w:val="nil"/>
            </w:tcBorders>
            <w:vAlign w:val="center"/>
          </w:tcPr>
          <w:p w14:paraId="5B87274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（一）勘察单位未按照工程建设强制性标准进行勘察的；</w:t>
            </w:r>
          </w:p>
          <w:p w14:paraId="5DEEF3A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（二）设计单位未根据勘察成果文件进行工程设计的；</w:t>
            </w:r>
          </w:p>
          <w:p w14:paraId="408D9C2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（三）设计单位指定建筑材料、建筑构配件的生产厂、供应商的；</w:t>
            </w:r>
          </w:p>
          <w:p w14:paraId="4865B0DD">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（四）设计单位未按照工程建设强制性标准进行设计的</w:t>
            </w:r>
          </w:p>
          <w:p w14:paraId="440B920D">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p>
        </w:tc>
        <w:tc>
          <w:tcPr>
            <w:tcW w:w="4820" w:type="dxa"/>
            <w:vMerge w:val="restart"/>
            <w:tcBorders>
              <w:tl2br w:val="nil"/>
              <w:tr2bl w:val="nil"/>
            </w:tcBorders>
            <w:vAlign w:val="center"/>
          </w:tcPr>
          <w:p w14:paraId="33E9FF4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《建设工程勘察设计管理条例》第四十一条</w:t>
            </w:r>
          </w:p>
          <w:p w14:paraId="32BB060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违反本条例规定，有下列行为之一的，依照《建设工程质量管理条例》第六十三条的规定给予处罚：</w:t>
            </w:r>
          </w:p>
          <w:p w14:paraId="7C57517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（一）勘察单位未按照工程建设强制性标准进行勘察的；</w:t>
            </w:r>
          </w:p>
          <w:p w14:paraId="5894A00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（二）设计单位未根据勘察成果文件进行工程设计的；</w:t>
            </w:r>
          </w:p>
          <w:p w14:paraId="1F44FF4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（三）设计单位指定建筑材料、建筑构配件的生产厂、供应商的；</w:t>
            </w:r>
          </w:p>
          <w:p w14:paraId="2E57C6A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（四）设计单位未按照工程建设强制性标准进行设计的。</w:t>
            </w:r>
          </w:p>
          <w:p w14:paraId="6B27A4D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p>
          <w:p w14:paraId="1D1E2B6A">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《建设工程质量管理条例》第六十三条</w:t>
            </w:r>
          </w:p>
          <w:p w14:paraId="6665B22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违反本条例规定，有下列行为之一的，责令改正，处10万元以上30万元以下的罚款：</w:t>
            </w:r>
          </w:p>
          <w:p w14:paraId="1B45801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（一）勘察单位未按照工程建设强制性标准进行勘察的；</w:t>
            </w:r>
          </w:p>
          <w:p w14:paraId="29C9260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（二）设计单位未根据勘察成果文件进行工程设计的；</w:t>
            </w:r>
          </w:p>
          <w:p w14:paraId="1E4129A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（三）设计单位指定建筑材料、建筑构配件的生产厂、供应商的；</w:t>
            </w:r>
          </w:p>
          <w:p w14:paraId="0371E8B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（四）设计单位未按照工程建设强制性标准进行设计的。</w:t>
            </w:r>
          </w:p>
          <w:p w14:paraId="3795A86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有前款所列行为，造成工程质量事故的，责令停业整顿，降低资质等级；情节严重的，吊销资质证书；造成损失的，依法承担赔偿责任。</w:t>
            </w:r>
          </w:p>
          <w:p w14:paraId="4320DC2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p>
          <w:p w14:paraId="6209272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《建设工程质量管理条例》第七十三条</w:t>
            </w:r>
          </w:p>
          <w:p w14:paraId="00D390E4">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color w:val="auto"/>
                <w:sz w:val="13"/>
                <w:szCs w:val="13"/>
                <w:highlight w:val="none"/>
              </w:rPr>
            </w:pPr>
            <w:r>
              <w:rPr>
                <w:rFonts w:hint="eastAsia" w:ascii="仿宋_GB2312" w:hAnsi="宋体" w:eastAsia="仿宋_GB2312"/>
                <w:color w:val="auto"/>
                <w:kern w:val="0"/>
                <w:sz w:val="13"/>
                <w:szCs w:val="13"/>
                <w:highlight w:val="none"/>
              </w:rPr>
              <w:t>依照本条例规定，给予单位罚款处罚的，对单位直接负责的主管人员和其他直接责任人员处单位罚款数额百分之五以上百分之十以下的罚款。</w:t>
            </w:r>
          </w:p>
          <w:p w14:paraId="0D20B95F">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s="Times New Roman"/>
                <w:color w:val="auto"/>
                <w:kern w:val="0"/>
                <w:sz w:val="13"/>
                <w:szCs w:val="13"/>
                <w:highlight w:val="none"/>
              </w:rPr>
            </w:pPr>
          </w:p>
        </w:tc>
        <w:tc>
          <w:tcPr>
            <w:tcW w:w="823" w:type="dxa"/>
            <w:tcBorders>
              <w:tl2br w:val="nil"/>
              <w:tr2bl w:val="nil"/>
            </w:tcBorders>
            <w:tcMar>
              <w:top w:w="15" w:type="dxa"/>
              <w:left w:w="15" w:type="dxa"/>
              <w:bottom w:w="15" w:type="dxa"/>
              <w:right w:w="15" w:type="dxa"/>
            </w:tcMar>
            <w:vAlign w:val="center"/>
          </w:tcPr>
          <w:p w14:paraId="44A25E21">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hint="eastAsia" w:ascii="仿宋_GB2312" w:hAnsi="宋体" w:eastAsia="仿宋_GB2312" w:cs="Times New Roman"/>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tcMar>
              <w:top w:w="15" w:type="dxa"/>
              <w:left w:w="15" w:type="dxa"/>
              <w:bottom w:w="15" w:type="dxa"/>
              <w:right w:w="15" w:type="dxa"/>
            </w:tcMar>
            <w:vAlign w:val="center"/>
          </w:tcPr>
          <w:p w14:paraId="66EA0914">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olor w:val="auto"/>
                <w:kern w:val="0"/>
                <w:sz w:val="13"/>
                <w:szCs w:val="13"/>
                <w:highlight w:val="none"/>
              </w:rPr>
              <w:t>初次违法，危害后果轻微，主动消除或减轻危害后果的。</w:t>
            </w:r>
          </w:p>
        </w:tc>
        <w:tc>
          <w:tcPr>
            <w:tcW w:w="3058" w:type="dxa"/>
            <w:tcBorders>
              <w:tl2br w:val="nil"/>
              <w:tr2bl w:val="nil"/>
            </w:tcBorders>
            <w:tcMar>
              <w:top w:w="15" w:type="dxa"/>
              <w:left w:w="15" w:type="dxa"/>
              <w:bottom w:w="15" w:type="dxa"/>
              <w:right w:w="15" w:type="dxa"/>
            </w:tcMar>
            <w:vAlign w:val="center"/>
          </w:tcPr>
          <w:p w14:paraId="7BACBAF0">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责令改正，处10万元罚款，对单位直接负责的主管人员和其他直接责任人员处单位罚款数额百分之五的罚款。</w:t>
            </w:r>
          </w:p>
        </w:tc>
      </w:tr>
      <w:bookmarkEnd w:id="10"/>
      <w:tr w14:paraId="08EE510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424" w:hRule="atLeast"/>
          <w:jc w:val="center"/>
        </w:trPr>
        <w:tc>
          <w:tcPr>
            <w:tcW w:w="443" w:type="dxa"/>
            <w:gridSpan w:val="2"/>
            <w:vMerge w:val="continue"/>
            <w:tcBorders>
              <w:tl2br w:val="nil"/>
              <w:tr2bl w:val="nil"/>
            </w:tcBorders>
            <w:vAlign w:val="center"/>
          </w:tcPr>
          <w:p w14:paraId="1EA0B238">
            <w:pPr>
              <w:pStyle w:val="37"/>
              <w:keepNext w:val="0"/>
              <w:keepLines w:val="0"/>
              <w:pageBreakBefore w:val="0"/>
              <w:widowControl/>
              <w:numPr>
                <w:ilvl w:val="0"/>
                <w:numId w:val="4"/>
              </w:numPr>
              <w:kinsoku/>
              <w:overflowPunct/>
              <w:topLinePunct w:val="0"/>
              <w:autoSpaceDE/>
              <w:autoSpaceDN/>
              <w:bidi w:val="0"/>
              <w:adjustRightInd/>
              <w:snapToGrid/>
              <w:spacing w:beforeAutospacing="0" w:afterAutospacing="0" w:line="260" w:lineRule="exact"/>
              <w:ind w:left="0" w:leftChars="0" w:right="0" w:rightChars="0" w:firstLineChars="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2D09464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s="Times New Roman"/>
                <w:color w:val="auto"/>
                <w:kern w:val="0"/>
                <w:sz w:val="13"/>
                <w:szCs w:val="13"/>
                <w:highlight w:val="none"/>
              </w:rPr>
            </w:pPr>
          </w:p>
        </w:tc>
        <w:tc>
          <w:tcPr>
            <w:tcW w:w="4820" w:type="dxa"/>
            <w:vMerge w:val="continue"/>
            <w:tcBorders>
              <w:tl2br w:val="nil"/>
              <w:tr2bl w:val="nil"/>
            </w:tcBorders>
            <w:vAlign w:val="center"/>
          </w:tcPr>
          <w:p w14:paraId="0E422BB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s="Times New Roman"/>
                <w:color w:val="auto"/>
                <w:kern w:val="0"/>
                <w:sz w:val="13"/>
                <w:szCs w:val="13"/>
                <w:highlight w:val="none"/>
              </w:rPr>
            </w:pPr>
          </w:p>
        </w:tc>
        <w:tc>
          <w:tcPr>
            <w:tcW w:w="823" w:type="dxa"/>
            <w:tcBorders>
              <w:tl2br w:val="nil"/>
              <w:tr2bl w:val="nil"/>
            </w:tcBorders>
            <w:tcMar>
              <w:top w:w="15" w:type="dxa"/>
              <w:left w:w="15" w:type="dxa"/>
              <w:bottom w:w="15" w:type="dxa"/>
              <w:right w:w="15" w:type="dxa"/>
            </w:tcMar>
            <w:vAlign w:val="center"/>
          </w:tcPr>
          <w:p w14:paraId="78BE189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hint="eastAsia" w:ascii="仿宋_GB2312" w:hAnsi="宋体" w:eastAsia="仿宋_GB2312" w:cs="Times New Roman"/>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一般情节</w:t>
            </w:r>
          </w:p>
        </w:tc>
        <w:tc>
          <w:tcPr>
            <w:tcW w:w="3437" w:type="dxa"/>
            <w:gridSpan w:val="2"/>
            <w:tcBorders>
              <w:tl2br w:val="nil"/>
              <w:tr2bl w:val="nil"/>
            </w:tcBorders>
            <w:tcMar>
              <w:top w:w="15" w:type="dxa"/>
              <w:left w:w="15" w:type="dxa"/>
              <w:bottom w:w="15" w:type="dxa"/>
              <w:right w:w="15" w:type="dxa"/>
            </w:tcMar>
            <w:vAlign w:val="center"/>
          </w:tcPr>
          <w:p w14:paraId="36AC70C9">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olor w:val="auto"/>
                <w:kern w:val="0"/>
                <w:sz w:val="13"/>
                <w:szCs w:val="13"/>
                <w:highlight w:val="none"/>
              </w:rPr>
              <w:t>未造成工程质量事故，不具有从轻、</w:t>
            </w:r>
            <w:r>
              <w:rPr>
                <w:rFonts w:hint="eastAsia" w:ascii="仿宋_GB2312" w:hAnsi="宋体" w:eastAsia="仿宋_GB2312"/>
                <w:color w:val="auto"/>
                <w:kern w:val="0"/>
                <w:sz w:val="13"/>
                <w:szCs w:val="13"/>
                <w:highlight w:val="none"/>
                <w:lang w:eastAsia="zh-CN"/>
              </w:rPr>
              <w:t>从重情节</w:t>
            </w:r>
            <w:r>
              <w:rPr>
                <w:rFonts w:hint="eastAsia" w:ascii="仿宋_GB2312" w:hAnsi="宋体" w:eastAsia="仿宋_GB2312"/>
                <w:color w:val="auto"/>
                <w:kern w:val="0"/>
                <w:sz w:val="13"/>
                <w:szCs w:val="13"/>
                <w:highlight w:val="none"/>
              </w:rPr>
              <w:t>的。</w:t>
            </w:r>
          </w:p>
        </w:tc>
        <w:tc>
          <w:tcPr>
            <w:tcW w:w="3058" w:type="dxa"/>
            <w:tcBorders>
              <w:tl2br w:val="nil"/>
              <w:tr2bl w:val="nil"/>
            </w:tcBorders>
            <w:tcMar>
              <w:top w:w="15" w:type="dxa"/>
              <w:left w:w="15" w:type="dxa"/>
              <w:bottom w:w="15" w:type="dxa"/>
              <w:right w:w="15" w:type="dxa"/>
            </w:tcMar>
            <w:vAlign w:val="center"/>
          </w:tcPr>
          <w:p w14:paraId="24B8EFC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责令改正，处10万元以上</w:t>
            </w:r>
            <w:r>
              <w:rPr>
                <w:rFonts w:ascii="仿宋_GB2312" w:hAnsi="宋体" w:eastAsia="仿宋_GB2312" w:cs="Times New Roman"/>
                <w:color w:val="auto"/>
                <w:kern w:val="0"/>
                <w:sz w:val="13"/>
                <w:szCs w:val="13"/>
                <w:highlight w:val="none"/>
              </w:rPr>
              <w:t>20</w:t>
            </w:r>
            <w:r>
              <w:rPr>
                <w:rFonts w:hint="eastAsia" w:ascii="仿宋_GB2312" w:hAnsi="宋体" w:eastAsia="仿宋_GB2312" w:cs="Times New Roman"/>
                <w:color w:val="auto"/>
                <w:kern w:val="0"/>
                <w:sz w:val="13"/>
                <w:szCs w:val="13"/>
                <w:highlight w:val="none"/>
              </w:rPr>
              <w:t>万元以下的罚款，对单位直接负责的主管人员和其他直接责任人员处单位罚款数额百分之五以上百分之十以下的罚款。</w:t>
            </w:r>
          </w:p>
        </w:tc>
      </w:tr>
      <w:tr w14:paraId="0BBB3D4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81" w:hRule="atLeast"/>
          <w:jc w:val="center"/>
        </w:trPr>
        <w:tc>
          <w:tcPr>
            <w:tcW w:w="443" w:type="dxa"/>
            <w:gridSpan w:val="2"/>
            <w:vMerge w:val="continue"/>
            <w:tcBorders>
              <w:tl2br w:val="nil"/>
              <w:tr2bl w:val="nil"/>
            </w:tcBorders>
            <w:vAlign w:val="center"/>
          </w:tcPr>
          <w:p w14:paraId="2696A5DD">
            <w:pPr>
              <w:pStyle w:val="37"/>
              <w:keepNext w:val="0"/>
              <w:keepLines w:val="0"/>
              <w:pageBreakBefore w:val="0"/>
              <w:widowControl/>
              <w:numPr>
                <w:ilvl w:val="0"/>
                <w:numId w:val="4"/>
              </w:numPr>
              <w:kinsoku/>
              <w:overflowPunct/>
              <w:topLinePunct w:val="0"/>
              <w:autoSpaceDE/>
              <w:autoSpaceDN/>
              <w:bidi w:val="0"/>
              <w:adjustRightInd/>
              <w:snapToGrid/>
              <w:spacing w:beforeAutospacing="0" w:afterAutospacing="0" w:line="260" w:lineRule="exact"/>
              <w:ind w:left="0" w:leftChars="0" w:right="0" w:rightChars="0" w:firstLineChars="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0139B07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s="Times New Roman"/>
                <w:color w:val="auto"/>
                <w:kern w:val="0"/>
                <w:sz w:val="13"/>
                <w:szCs w:val="13"/>
                <w:highlight w:val="none"/>
              </w:rPr>
            </w:pPr>
          </w:p>
        </w:tc>
        <w:tc>
          <w:tcPr>
            <w:tcW w:w="4820" w:type="dxa"/>
            <w:vMerge w:val="continue"/>
            <w:tcBorders>
              <w:tl2br w:val="nil"/>
              <w:tr2bl w:val="nil"/>
            </w:tcBorders>
            <w:vAlign w:val="center"/>
          </w:tcPr>
          <w:p w14:paraId="0C1EA78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s="Times New Roman"/>
                <w:color w:val="auto"/>
                <w:kern w:val="0"/>
                <w:sz w:val="13"/>
                <w:szCs w:val="13"/>
                <w:highlight w:val="none"/>
              </w:rPr>
            </w:pPr>
          </w:p>
        </w:tc>
        <w:tc>
          <w:tcPr>
            <w:tcW w:w="823" w:type="dxa"/>
            <w:vMerge w:val="restart"/>
            <w:tcBorders>
              <w:tl2br w:val="nil"/>
              <w:tr2bl w:val="nil"/>
            </w:tcBorders>
            <w:tcMar>
              <w:top w:w="15" w:type="dxa"/>
              <w:left w:w="15" w:type="dxa"/>
              <w:bottom w:w="15" w:type="dxa"/>
              <w:right w:w="15" w:type="dxa"/>
            </w:tcMar>
            <w:vAlign w:val="center"/>
          </w:tcPr>
          <w:p w14:paraId="1472C83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hint="eastAsia" w:ascii="仿宋_GB2312" w:hAnsi="宋体" w:eastAsia="仿宋_GB2312" w:cs="Times New Roman"/>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从重情节</w:t>
            </w:r>
          </w:p>
        </w:tc>
        <w:tc>
          <w:tcPr>
            <w:tcW w:w="3437" w:type="dxa"/>
            <w:gridSpan w:val="2"/>
            <w:tcBorders>
              <w:tl2br w:val="nil"/>
              <w:tr2bl w:val="nil"/>
            </w:tcBorders>
            <w:tcMar>
              <w:top w:w="15" w:type="dxa"/>
              <w:left w:w="15" w:type="dxa"/>
              <w:bottom w:w="15" w:type="dxa"/>
              <w:right w:w="15" w:type="dxa"/>
            </w:tcMar>
            <w:vAlign w:val="center"/>
          </w:tcPr>
          <w:p w14:paraId="6CD205B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s="Times New Roman"/>
                <w:color w:val="auto"/>
                <w:kern w:val="0"/>
                <w:sz w:val="13"/>
                <w:szCs w:val="13"/>
                <w:highlight w:val="none"/>
              </w:rPr>
            </w:pPr>
            <w:r>
              <w:rPr>
                <w:rFonts w:hint="eastAsia" w:ascii="仿宋_GB2312" w:hAnsi="宋体" w:eastAsia="仿宋_GB2312"/>
                <w:color w:val="auto"/>
                <w:kern w:val="0"/>
                <w:sz w:val="13"/>
                <w:szCs w:val="13"/>
                <w:highlight w:val="none"/>
              </w:rPr>
              <w:t>（1）造成3人以下死亡，或者10人以下重伤，或者1000万元以下直接经济损失的。</w:t>
            </w:r>
          </w:p>
        </w:tc>
        <w:tc>
          <w:tcPr>
            <w:tcW w:w="3058" w:type="dxa"/>
            <w:tcBorders>
              <w:tl2br w:val="nil"/>
              <w:tr2bl w:val="nil"/>
            </w:tcBorders>
            <w:tcMar>
              <w:top w:w="15" w:type="dxa"/>
              <w:left w:w="15" w:type="dxa"/>
              <w:bottom w:w="15" w:type="dxa"/>
              <w:right w:w="15" w:type="dxa"/>
            </w:tcMar>
            <w:vAlign w:val="center"/>
          </w:tcPr>
          <w:p w14:paraId="79F3624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处</w:t>
            </w:r>
            <w:r>
              <w:rPr>
                <w:rFonts w:ascii="仿宋_GB2312" w:hAnsi="宋体" w:eastAsia="仿宋_GB2312" w:cs="Times New Roman"/>
                <w:color w:val="auto"/>
                <w:kern w:val="0"/>
                <w:sz w:val="13"/>
                <w:szCs w:val="13"/>
                <w:highlight w:val="none"/>
              </w:rPr>
              <w:t>20</w:t>
            </w:r>
            <w:r>
              <w:rPr>
                <w:rFonts w:hint="eastAsia" w:ascii="仿宋_GB2312" w:hAnsi="宋体" w:eastAsia="仿宋_GB2312" w:cs="Times New Roman"/>
                <w:color w:val="auto"/>
                <w:kern w:val="0"/>
                <w:sz w:val="13"/>
                <w:szCs w:val="13"/>
                <w:highlight w:val="none"/>
              </w:rPr>
              <w:t>万元以上</w:t>
            </w:r>
            <w:r>
              <w:rPr>
                <w:rFonts w:ascii="仿宋_GB2312" w:hAnsi="宋体" w:eastAsia="仿宋_GB2312" w:cs="Times New Roman"/>
                <w:color w:val="auto"/>
                <w:kern w:val="0"/>
                <w:sz w:val="13"/>
                <w:szCs w:val="13"/>
                <w:highlight w:val="none"/>
              </w:rPr>
              <w:t>3</w:t>
            </w:r>
            <w:r>
              <w:rPr>
                <w:rFonts w:hint="eastAsia" w:ascii="仿宋_GB2312" w:hAnsi="宋体" w:eastAsia="仿宋_GB2312" w:cs="Times New Roman"/>
                <w:color w:val="auto"/>
                <w:kern w:val="0"/>
                <w:sz w:val="13"/>
                <w:szCs w:val="13"/>
                <w:highlight w:val="none"/>
              </w:rPr>
              <w:t>0万元以下的罚款，对单位直接负责的主管人员和其他直接责任人员处单位罚款数额百分之十的罚款，责令停业整顿</w:t>
            </w:r>
            <w:r>
              <w:rPr>
                <w:rFonts w:hint="eastAsia" w:ascii="仿宋_GB2312" w:hAnsi="宋体" w:eastAsia="仿宋_GB2312" w:cs="Times New Roman"/>
                <w:color w:val="auto"/>
                <w:kern w:val="0"/>
                <w:sz w:val="13"/>
                <w:szCs w:val="13"/>
                <w:highlight w:val="none"/>
                <w:lang w:eastAsia="zh-CN"/>
              </w:rPr>
              <w:t>30日-</w:t>
            </w:r>
            <w:r>
              <w:rPr>
                <w:rFonts w:ascii="仿宋_GB2312" w:hAnsi="宋体" w:eastAsia="仿宋_GB2312" w:cs="Times New Roman"/>
                <w:color w:val="auto"/>
                <w:kern w:val="0"/>
                <w:sz w:val="13"/>
                <w:szCs w:val="13"/>
                <w:highlight w:val="none"/>
              </w:rPr>
              <w:t>60日</w:t>
            </w:r>
            <w:r>
              <w:rPr>
                <w:rFonts w:hint="eastAsia" w:ascii="仿宋_GB2312" w:hAnsi="宋体" w:eastAsia="仿宋_GB2312" w:cs="Times New Roman"/>
                <w:color w:val="auto"/>
                <w:kern w:val="0"/>
                <w:sz w:val="13"/>
                <w:szCs w:val="13"/>
                <w:highlight w:val="none"/>
              </w:rPr>
              <w:t>。</w:t>
            </w:r>
          </w:p>
        </w:tc>
      </w:tr>
      <w:tr w14:paraId="4BC1960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81" w:hRule="atLeast"/>
          <w:jc w:val="center"/>
        </w:trPr>
        <w:tc>
          <w:tcPr>
            <w:tcW w:w="443" w:type="dxa"/>
            <w:gridSpan w:val="2"/>
            <w:vMerge w:val="continue"/>
            <w:tcBorders>
              <w:tl2br w:val="nil"/>
              <w:tr2bl w:val="nil"/>
            </w:tcBorders>
            <w:vAlign w:val="center"/>
          </w:tcPr>
          <w:p w14:paraId="16ACDEB8">
            <w:pPr>
              <w:pStyle w:val="37"/>
              <w:keepNext w:val="0"/>
              <w:keepLines w:val="0"/>
              <w:pageBreakBefore w:val="0"/>
              <w:widowControl/>
              <w:numPr>
                <w:ilvl w:val="0"/>
                <w:numId w:val="4"/>
              </w:numPr>
              <w:kinsoku/>
              <w:overflowPunct/>
              <w:topLinePunct w:val="0"/>
              <w:autoSpaceDE/>
              <w:autoSpaceDN/>
              <w:bidi w:val="0"/>
              <w:adjustRightInd/>
              <w:snapToGrid/>
              <w:spacing w:beforeAutospacing="0" w:afterAutospacing="0" w:line="260" w:lineRule="exact"/>
              <w:ind w:left="0" w:leftChars="0" w:right="0" w:rightChars="0" w:firstLineChars="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090AC69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s="Times New Roman"/>
                <w:color w:val="auto"/>
                <w:kern w:val="0"/>
                <w:sz w:val="13"/>
                <w:szCs w:val="13"/>
                <w:highlight w:val="none"/>
              </w:rPr>
            </w:pPr>
          </w:p>
        </w:tc>
        <w:tc>
          <w:tcPr>
            <w:tcW w:w="4820" w:type="dxa"/>
            <w:vMerge w:val="continue"/>
            <w:tcBorders>
              <w:tl2br w:val="nil"/>
              <w:tr2bl w:val="nil"/>
            </w:tcBorders>
            <w:vAlign w:val="center"/>
          </w:tcPr>
          <w:p w14:paraId="55BEAB8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s="Times New Roman"/>
                <w:color w:val="auto"/>
                <w:kern w:val="0"/>
                <w:sz w:val="13"/>
                <w:szCs w:val="13"/>
                <w:highlight w:val="none"/>
              </w:rPr>
            </w:pPr>
          </w:p>
        </w:tc>
        <w:tc>
          <w:tcPr>
            <w:tcW w:w="823" w:type="dxa"/>
            <w:vMerge w:val="continue"/>
            <w:tcBorders>
              <w:tl2br w:val="nil"/>
              <w:tr2bl w:val="nil"/>
            </w:tcBorders>
            <w:tcMar>
              <w:top w:w="15" w:type="dxa"/>
              <w:left w:w="15" w:type="dxa"/>
              <w:bottom w:w="15" w:type="dxa"/>
              <w:right w:w="15" w:type="dxa"/>
            </w:tcMar>
            <w:vAlign w:val="center"/>
          </w:tcPr>
          <w:p w14:paraId="58AD9A7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color w:val="auto"/>
                <w:kern w:val="0"/>
                <w:sz w:val="13"/>
                <w:szCs w:val="13"/>
                <w:highlight w:val="none"/>
              </w:rPr>
            </w:pPr>
          </w:p>
        </w:tc>
        <w:tc>
          <w:tcPr>
            <w:tcW w:w="3437" w:type="dxa"/>
            <w:gridSpan w:val="2"/>
            <w:tcBorders>
              <w:tl2br w:val="nil"/>
              <w:tr2bl w:val="nil"/>
            </w:tcBorders>
            <w:tcMar>
              <w:top w:w="15" w:type="dxa"/>
              <w:left w:w="15" w:type="dxa"/>
              <w:bottom w:w="15" w:type="dxa"/>
              <w:right w:w="15" w:type="dxa"/>
            </w:tcMar>
            <w:vAlign w:val="center"/>
          </w:tcPr>
          <w:p w14:paraId="1838A72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s="Times New Roman"/>
                <w:color w:val="auto"/>
                <w:kern w:val="0"/>
                <w:sz w:val="13"/>
                <w:szCs w:val="13"/>
                <w:highlight w:val="none"/>
              </w:rPr>
            </w:pPr>
            <w:r>
              <w:rPr>
                <w:rFonts w:hint="eastAsia" w:ascii="仿宋_GB2312" w:hAnsi="宋体" w:eastAsia="仿宋_GB2312"/>
                <w:color w:val="auto"/>
                <w:kern w:val="0"/>
                <w:sz w:val="13"/>
                <w:szCs w:val="13"/>
                <w:highlight w:val="none"/>
              </w:rPr>
              <w:t>（2）造成3人以上5人以下死亡，或者10人以上20人以下重伤，或者1000万元以上2000万元以下直接经济损失的。</w:t>
            </w:r>
          </w:p>
        </w:tc>
        <w:tc>
          <w:tcPr>
            <w:tcW w:w="3058" w:type="dxa"/>
            <w:tcBorders>
              <w:tl2br w:val="nil"/>
              <w:tr2bl w:val="nil"/>
            </w:tcBorders>
            <w:tcMar>
              <w:top w:w="15" w:type="dxa"/>
              <w:left w:w="15" w:type="dxa"/>
              <w:bottom w:w="15" w:type="dxa"/>
              <w:right w:w="15" w:type="dxa"/>
            </w:tcMar>
            <w:vAlign w:val="center"/>
          </w:tcPr>
          <w:p w14:paraId="1905877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处30万元罚款，对单位直接负责的主管人员和其他直接责任人员处单位罚款数额百分之十的罚款，责令停业整顿</w:t>
            </w:r>
            <w:r>
              <w:rPr>
                <w:rFonts w:hint="eastAsia" w:ascii="仿宋_GB2312" w:hAnsi="宋体" w:eastAsia="仿宋_GB2312" w:cs="Times New Roman"/>
                <w:color w:val="auto"/>
                <w:kern w:val="0"/>
                <w:sz w:val="13"/>
                <w:szCs w:val="13"/>
                <w:highlight w:val="none"/>
                <w:lang w:eastAsia="zh-CN"/>
              </w:rPr>
              <w:t>60日-</w:t>
            </w:r>
            <w:r>
              <w:rPr>
                <w:rFonts w:hint="eastAsia" w:ascii="仿宋_GB2312" w:hAnsi="宋体" w:eastAsia="仿宋_GB2312" w:cs="Times New Roman"/>
                <w:color w:val="auto"/>
                <w:kern w:val="0"/>
                <w:sz w:val="13"/>
                <w:szCs w:val="13"/>
                <w:highlight w:val="none"/>
              </w:rPr>
              <w:t>90日。</w:t>
            </w:r>
          </w:p>
        </w:tc>
      </w:tr>
      <w:tr w14:paraId="7D5DBBE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12" w:hRule="atLeast"/>
          <w:jc w:val="center"/>
        </w:trPr>
        <w:tc>
          <w:tcPr>
            <w:tcW w:w="443" w:type="dxa"/>
            <w:gridSpan w:val="2"/>
            <w:vMerge w:val="continue"/>
            <w:tcBorders>
              <w:tl2br w:val="nil"/>
              <w:tr2bl w:val="nil"/>
            </w:tcBorders>
            <w:vAlign w:val="center"/>
          </w:tcPr>
          <w:p w14:paraId="29C8653E">
            <w:pPr>
              <w:pStyle w:val="37"/>
              <w:keepNext w:val="0"/>
              <w:keepLines w:val="0"/>
              <w:pageBreakBefore w:val="0"/>
              <w:widowControl/>
              <w:numPr>
                <w:ilvl w:val="0"/>
                <w:numId w:val="4"/>
              </w:numPr>
              <w:kinsoku/>
              <w:overflowPunct/>
              <w:topLinePunct w:val="0"/>
              <w:autoSpaceDE/>
              <w:autoSpaceDN/>
              <w:bidi w:val="0"/>
              <w:adjustRightInd/>
              <w:snapToGrid/>
              <w:spacing w:beforeAutospacing="0" w:afterAutospacing="0" w:line="260" w:lineRule="exact"/>
              <w:ind w:left="0" w:leftChars="0" w:right="0" w:rightChars="0" w:firstLineChars="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76D894A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s="Times New Roman"/>
                <w:color w:val="auto"/>
                <w:kern w:val="0"/>
                <w:sz w:val="13"/>
                <w:szCs w:val="13"/>
                <w:highlight w:val="none"/>
              </w:rPr>
            </w:pPr>
          </w:p>
        </w:tc>
        <w:tc>
          <w:tcPr>
            <w:tcW w:w="4820" w:type="dxa"/>
            <w:vMerge w:val="continue"/>
            <w:tcBorders>
              <w:tl2br w:val="nil"/>
              <w:tr2bl w:val="nil"/>
            </w:tcBorders>
            <w:vAlign w:val="center"/>
          </w:tcPr>
          <w:p w14:paraId="6797639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s="Times New Roman"/>
                <w:color w:val="auto"/>
                <w:kern w:val="0"/>
                <w:sz w:val="13"/>
                <w:szCs w:val="13"/>
                <w:highlight w:val="none"/>
              </w:rPr>
            </w:pPr>
          </w:p>
        </w:tc>
        <w:tc>
          <w:tcPr>
            <w:tcW w:w="823" w:type="dxa"/>
            <w:vMerge w:val="continue"/>
            <w:tcBorders>
              <w:tl2br w:val="nil"/>
              <w:tr2bl w:val="nil"/>
            </w:tcBorders>
            <w:tcMar>
              <w:top w:w="15" w:type="dxa"/>
              <w:left w:w="15" w:type="dxa"/>
              <w:bottom w:w="15" w:type="dxa"/>
              <w:right w:w="15" w:type="dxa"/>
            </w:tcMar>
            <w:vAlign w:val="center"/>
          </w:tcPr>
          <w:p w14:paraId="7423B79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color w:val="auto"/>
                <w:kern w:val="0"/>
                <w:sz w:val="13"/>
                <w:szCs w:val="13"/>
                <w:highlight w:val="none"/>
              </w:rPr>
            </w:pPr>
          </w:p>
        </w:tc>
        <w:tc>
          <w:tcPr>
            <w:tcW w:w="3437" w:type="dxa"/>
            <w:gridSpan w:val="2"/>
            <w:tcBorders>
              <w:tl2br w:val="nil"/>
              <w:tr2bl w:val="nil"/>
            </w:tcBorders>
            <w:tcMar>
              <w:top w:w="15" w:type="dxa"/>
              <w:left w:w="15" w:type="dxa"/>
              <w:bottom w:w="15" w:type="dxa"/>
              <w:right w:w="15" w:type="dxa"/>
            </w:tcMar>
            <w:vAlign w:val="center"/>
          </w:tcPr>
          <w:p w14:paraId="5BFF672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s="Times New Roman"/>
                <w:color w:val="auto"/>
                <w:kern w:val="0"/>
                <w:sz w:val="13"/>
                <w:szCs w:val="13"/>
                <w:highlight w:val="none"/>
              </w:rPr>
            </w:pPr>
            <w:r>
              <w:rPr>
                <w:rFonts w:hint="eastAsia" w:ascii="仿宋_GB2312" w:hAnsi="宋体" w:eastAsia="仿宋_GB2312"/>
                <w:color w:val="auto"/>
                <w:kern w:val="0"/>
                <w:sz w:val="13"/>
                <w:szCs w:val="13"/>
                <w:highlight w:val="none"/>
              </w:rPr>
              <w:t>（3）造成5人以上7人以下死亡，或者20人以上30人以下重伤，或者2000万元以上3000万元以下直接经济损失的。</w:t>
            </w:r>
          </w:p>
        </w:tc>
        <w:tc>
          <w:tcPr>
            <w:tcW w:w="3058" w:type="dxa"/>
            <w:tcBorders>
              <w:tl2br w:val="nil"/>
              <w:tr2bl w:val="nil"/>
            </w:tcBorders>
            <w:tcMar>
              <w:top w:w="15" w:type="dxa"/>
              <w:left w:w="15" w:type="dxa"/>
              <w:bottom w:w="15" w:type="dxa"/>
              <w:right w:w="15" w:type="dxa"/>
            </w:tcMar>
            <w:vAlign w:val="center"/>
          </w:tcPr>
          <w:p w14:paraId="7BBD7CB1">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处30万元罚款，对单位直接负责的主管人员和其他直接责任人员处单位罚款数额百分之十的罚款，责令停业整顿</w:t>
            </w:r>
            <w:r>
              <w:rPr>
                <w:rFonts w:hint="eastAsia" w:ascii="仿宋_GB2312" w:hAnsi="宋体" w:eastAsia="仿宋_GB2312" w:cs="Times New Roman"/>
                <w:color w:val="auto"/>
                <w:kern w:val="0"/>
                <w:sz w:val="13"/>
                <w:szCs w:val="13"/>
                <w:highlight w:val="none"/>
                <w:lang w:eastAsia="zh-CN"/>
              </w:rPr>
              <w:t>90日-</w:t>
            </w:r>
            <w:r>
              <w:rPr>
                <w:rFonts w:hint="eastAsia" w:ascii="仿宋_GB2312" w:hAnsi="宋体" w:eastAsia="仿宋_GB2312" w:cs="Times New Roman"/>
                <w:color w:val="auto"/>
                <w:kern w:val="0"/>
                <w:sz w:val="13"/>
                <w:szCs w:val="13"/>
                <w:highlight w:val="none"/>
              </w:rPr>
              <w:t>120日。</w:t>
            </w:r>
          </w:p>
        </w:tc>
      </w:tr>
      <w:tr w14:paraId="536C1FB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83" w:hRule="atLeast"/>
          <w:jc w:val="center"/>
        </w:trPr>
        <w:tc>
          <w:tcPr>
            <w:tcW w:w="443" w:type="dxa"/>
            <w:gridSpan w:val="2"/>
            <w:vMerge w:val="continue"/>
            <w:tcBorders>
              <w:tl2br w:val="nil"/>
              <w:tr2bl w:val="nil"/>
            </w:tcBorders>
            <w:vAlign w:val="center"/>
          </w:tcPr>
          <w:p w14:paraId="77591CBE">
            <w:pPr>
              <w:pStyle w:val="37"/>
              <w:keepNext w:val="0"/>
              <w:keepLines w:val="0"/>
              <w:pageBreakBefore w:val="0"/>
              <w:widowControl/>
              <w:numPr>
                <w:ilvl w:val="0"/>
                <w:numId w:val="4"/>
              </w:numPr>
              <w:kinsoku/>
              <w:overflowPunct/>
              <w:topLinePunct w:val="0"/>
              <w:autoSpaceDE/>
              <w:autoSpaceDN/>
              <w:bidi w:val="0"/>
              <w:adjustRightInd/>
              <w:snapToGrid/>
              <w:spacing w:beforeAutospacing="0" w:afterAutospacing="0" w:line="260" w:lineRule="exact"/>
              <w:ind w:left="0" w:leftChars="0" w:right="0" w:rightChars="0" w:firstLineChars="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205629D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s="Times New Roman"/>
                <w:color w:val="auto"/>
                <w:kern w:val="0"/>
                <w:sz w:val="13"/>
                <w:szCs w:val="13"/>
                <w:highlight w:val="none"/>
              </w:rPr>
            </w:pPr>
          </w:p>
        </w:tc>
        <w:tc>
          <w:tcPr>
            <w:tcW w:w="4820" w:type="dxa"/>
            <w:vMerge w:val="continue"/>
            <w:tcBorders>
              <w:tl2br w:val="nil"/>
              <w:tr2bl w:val="nil"/>
            </w:tcBorders>
            <w:vAlign w:val="center"/>
          </w:tcPr>
          <w:p w14:paraId="3A699C0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s="Times New Roman"/>
                <w:color w:val="auto"/>
                <w:kern w:val="0"/>
                <w:sz w:val="13"/>
                <w:szCs w:val="13"/>
                <w:highlight w:val="none"/>
              </w:rPr>
            </w:pPr>
          </w:p>
        </w:tc>
        <w:tc>
          <w:tcPr>
            <w:tcW w:w="823" w:type="dxa"/>
            <w:vMerge w:val="continue"/>
            <w:tcBorders>
              <w:tl2br w:val="nil"/>
              <w:tr2bl w:val="nil"/>
            </w:tcBorders>
            <w:tcMar>
              <w:top w:w="15" w:type="dxa"/>
              <w:left w:w="15" w:type="dxa"/>
              <w:bottom w:w="15" w:type="dxa"/>
              <w:right w:w="15" w:type="dxa"/>
            </w:tcMar>
            <w:vAlign w:val="center"/>
          </w:tcPr>
          <w:p w14:paraId="0D720A5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color w:val="auto"/>
                <w:kern w:val="0"/>
                <w:sz w:val="13"/>
                <w:szCs w:val="13"/>
                <w:highlight w:val="none"/>
              </w:rPr>
            </w:pPr>
          </w:p>
        </w:tc>
        <w:tc>
          <w:tcPr>
            <w:tcW w:w="3437" w:type="dxa"/>
            <w:gridSpan w:val="2"/>
            <w:tcBorders>
              <w:tl2br w:val="nil"/>
              <w:tr2bl w:val="nil"/>
            </w:tcBorders>
            <w:tcMar>
              <w:top w:w="15" w:type="dxa"/>
              <w:left w:w="15" w:type="dxa"/>
              <w:bottom w:w="15" w:type="dxa"/>
              <w:right w:w="15" w:type="dxa"/>
            </w:tcMar>
            <w:vAlign w:val="center"/>
          </w:tcPr>
          <w:p w14:paraId="50F999D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s="Times New Roman"/>
                <w:color w:val="auto"/>
                <w:kern w:val="0"/>
                <w:sz w:val="13"/>
                <w:szCs w:val="13"/>
                <w:highlight w:val="none"/>
              </w:rPr>
            </w:pPr>
            <w:r>
              <w:rPr>
                <w:rFonts w:hint="eastAsia" w:ascii="仿宋_GB2312" w:hAnsi="宋体" w:eastAsia="仿宋_GB2312"/>
                <w:color w:val="auto"/>
                <w:kern w:val="0"/>
                <w:sz w:val="13"/>
                <w:szCs w:val="13"/>
                <w:highlight w:val="none"/>
              </w:rPr>
              <w:t>（4）造成7人以上10人以下死亡，或者30人以上50人以下重伤，或者3000万元以上5000万元以下直接经济损失的。</w:t>
            </w:r>
          </w:p>
        </w:tc>
        <w:tc>
          <w:tcPr>
            <w:tcW w:w="3058" w:type="dxa"/>
            <w:tcBorders>
              <w:tl2br w:val="nil"/>
              <w:tr2bl w:val="nil"/>
            </w:tcBorders>
            <w:tcMar>
              <w:top w:w="15" w:type="dxa"/>
              <w:left w:w="15" w:type="dxa"/>
              <w:bottom w:w="15" w:type="dxa"/>
              <w:right w:w="15" w:type="dxa"/>
            </w:tcMar>
            <w:vAlign w:val="center"/>
          </w:tcPr>
          <w:p w14:paraId="7976C8B6">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处30万元罚款，对单位直接负责的主管人员和其他直接责任人员处单位罚款数额百分之十的罚款，责令停业整顿</w:t>
            </w:r>
            <w:r>
              <w:rPr>
                <w:rFonts w:hint="eastAsia" w:ascii="仿宋_GB2312" w:hAnsi="宋体" w:eastAsia="仿宋_GB2312" w:cs="Times New Roman"/>
                <w:color w:val="auto"/>
                <w:kern w:val="0"/>
                <w:sz w:val="13"/>
                <w:szCs w:val="13"/>
                <w:highlight w:val="none"/>
                <w:lang w:eastAsia="zh-CN"/>
              </w:rPr>
              <w:t>120日-</w:t>
            </w:r>
            <w:r>
              <w:rPr>
                <w:rFonts w:hint="eastAsia" w:ascii="仿宋_GB2312" w:hAnsi="宋体" w:eastAsia="仿宋_GB2312" w:cs="Times New Roman"/>
                <w:color w:val="auto"/>
                <w:kern w:val="0"/>
                <w:sz w:val="13"/>
                <w:szCs w:val="13"/>
                <w:highlight w:val="none"/>
              </w:rPr>
              <w:t>180日。</w:t>
            </w:r>
          </w:p>
        </w:tc>
      </w:tr>
      <w:tr w14:paraId="78EE2A5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25" w:hRule="atLeast"/>
          <w:jc w:val="center"/>
        </w:trPr>
        <w:tc>
          <w:tcPr>
            <w:tcW w:w="443" w:type="dxa"/>
            <w:gridSpan w:val="2"/>
            <w:vMerge w:val="continue"/>
            <w:tcBorders>
              <w:tl2br w:val="nil"/>
              <w:tr2bl w:val="nil"/>
            </w:tcBorders>
            <w:vAlign w:val="center"/>
          </w:tcPr>
          <w:p w14:paraId="365CF995">
            <w:pPr>
              <w:pStyle w:val="37"/>
              <w:keepNext w:val="0"/>
              <w:keepLines w:val="0"/>
              <w:pageBreakBefore w:val="0"/>
              <w:widowControl/>
              <w:numPr>
                <w:ilvl w:val="0"/>
                <w:numId w:val="4"/>
              </w:numPr>
              <w:kinsoku/>
              <w:overflowPunct/>
              <w:topLinePunct w:val="0"/>
              <w:autoSpaceDE/>
              <w:autoSpaceDN/>
              <w:bidi w:val="0"/>
              <w:adjustRightInd/>
              <w:snapToGrid/>
              <w:spacing w:beforeAutospacing="0" w:afterAutospacing="0" w:line="260" w:lineRule="exact"/>
              <w:ind w:left="0" w:leftChars="0" w:right="0" w:rightChars="0" w:firstLineChars="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120767A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s="Times New Roman"/>
                <w:color w:val="auto"/>
                <w:kern w:val="0"/>
                <w:sz w:val="13"/>
                <w:szCs w:val="13"/>
                <w:highlight w:val="none"/>
              </w:rPr>
            </w:pPr>
          </w:p>
        </w:tc>
        <w:tc>
          <w:tcPr>
            <w:tcW w:w="4820" w:type="dxa"/>
            <w:vMerge w:val="continue"/>
            <w:tcBorders>
              <w:tl2br w:val="nil"/>
              <w:tr2bl w:val="nil"/>
            </w:tcBorders>
            <w:vAlign w:val="center"/>
          </w:tcPr>
          <w:p w14:paraId="3AEB52B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s="Times New Roman"/>
                <w:color w:val="auto"/>
                <w:kern w:val="0"/>
                <w:sz w:val="13"/>
                <w:szCs w:val="13"/>
                <w:highlight w:val="none"/>
              </w:rPr>
            </w:pPr>
          </w:p>
        </w:tc>
        <w:tc>
          <w:tcPr>
            <w:tcW w:w="823" w:type="dxa"/>
            <w:vMerge w:val="continue"/>
            <w:tcBorders>
              <w:tl2br w:val="nil"/>
              <w:tr2bl w:val="nil"/>
            </w:tcBorders>
            <w:tcMar>
              <w:top w:w="15" w:type="dxa"/>
              <w:left w:w="15" w:type="dxa"/>
              <w:bottom w:w="15" w:type="dxa"/>
              <w:right w:w="15" w:type="dxa"/>
            </w:tcMar>
            <w:vAlign w:val="center"/>
          </w:tcPr>
          <w:p w14:paraId="1D73D66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color w:val="auto"/>
                <w:kern w:val="0"/>
                <w:sz w:val="13"/>
                <w:szCs w:val="13"/>
                <w:highlight w:val="none"/>
              </w:rPr>
            </w:pPr>
          </w:p>
        </w:tc>
        <w:tc>
          <w:tcPr>
            <w:tcW w:w="3437" w:type="dxa"/>
            <w:gridSpan w:val="2"/>
            <w:tcBorders>
              <w:tl2br w:val="nil"/>
              <w:tr2bl w:val="nil"/>
            </w:tcBorders>
            <w:tcMar>
              <w:top w:w="15" w:type="dxa"/>
              <w:left w:w="15" w:type="dxa"/>
              <w:bottom w:w="15" w:type="dxa"/>
              <w:right w:w="15" w:type="dxa"/>
            </w:tcMar>
            <w:vAlign w:val="center"/>
          </w:tcPr>
          <w:p w14:paraId="27E90D7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s="Times New Roman"/>
                <w:color w:val="auto"/>
                <w:kern w:val="0"/>
                <w:sz w:val="13"/>
                <w:szCs w:val="13"/>
                <w:highlight w:val="none"/>
              </w:rPr>
            </w:pPr>
            <w:r>
              <w:rPr>
                <w:rFonts w:hint="eastAsia" w:ascii="仿宋_GB2312" w:hAnsi="宋体" w:eastAsia="仿宋_GB2312"/>
                <w:color w:val="auto"/>
                <w:kern w:val="0"/>
                <w:sz w:val="13"/>
                <w:szCs w:val="13"/>
                <w:highlight w:val="none"/>
              </w:rPr>
              <w:t>（5）造成重大质量事故的；</w:t>
            </w:r>
            <w:r>
              <w:rPr>
                <w:rFonts w:hint="eastAsia" w:ascii="仿宋_GB2312" w:hAnsi="宋体" w:eastAsia="仿宋_GB2312"/>
                <w:color w:val="auto"/>
                <w:kern w:val="0"/>
                <w:sz w:val="13"/>
                <w:szCs w:val="13"/>
                <w:highlight w:val="none"/>
                <w:lang w:val="en-US" w:eastAsia="zh-CN"/>
              </w:rPr>
              <w:t>或</w:t>
            </w:r>
            <w:r>
              <w:rPr>
                <w:rFonts w:hint="eastAsia" w:ascii="仿宋_GB2312" w:hAnsi="宋体" w:eastAsia="仿宋_GB2312"/>
                <w:color w:val="auto"/>
                <w:kern w:val="0"/>
                <w:sz w:val="13"/>
                <w:szCs w:val="13"/>
                <w:highlight w:val="none"/>
              </w:rPr>
              <w:t>造成分部工程存在严重缺陷，经返修和加固处理仍不能满足安全使用要求的</w:t>
            </w:r>
            <w:r>
              <w:rPr>
                <w:rFonts w:hint="eastAsia" w:ascii="仿宋_GB2312" w:hAnsi="宋体" w:eastAsia="仿宋_GB2312"/>
                <w:color w:val="auto"/>
                <w:kern w:val="0"/>
                <w:sz w:val="13"/>
                <w:szCs w:val="13"/>
                <w:highlight w:val="none"/>
                <w:lang w:eastAsia="zh-CN"/>
              </w:rPr>
              <w:t>；</w:t>
            </w:r>
            <w:r>
              <w:rPr>
                <w:rFonts w:hint="eastAsia" w:ascii="仿宋_GB2312" w:hAnsi="宋体" w:eastAsia="仿宋_GB2312"/>
                <w:color w:val="auto"/>
                <w:kern w:val="0"/>
                <w:sz w:val="13"/>
                <w:szCs w:val="13"/>
                <w:highlight w:val="none"/>
                <w:lang w:val="en-US" w:eastAsia="zh-CN"/>
              </w:rPr>
              <w:t>或造成特别严重社会影响。</w:t>
            </w:r>
          </w:p>
        </w:tc>
        <w:tc>
          <w:tcPr>
            <w:tcW w:w="3058" w:type="dxa"/>
            <w:tcBorders>
              <w:tl2br w:val="nil"/>
              <w:tr2bl w:val="nil"/>
            </w:tcBorders>
            <w:tcMar>
              <w:top w:w="15" w:type="dxa"/>
              <w:left w:w="15" w:type="dxa"/>
              <w:bottom w:w="15" w:type="dxa"/>
              <w:right w:w="15" w:type="dxa"/>
            </w:tcMar>
            <w:vAlign w:val="center"/>
          </w:tcPr>
          <w:p w14:paraId="5396A04A">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处30万元罚款，对单位直接负责的主管人员和其他直接责任人员处单位罚款数额百分之十的罚款，降低资质等级。</w:t>
            </w:r>
          </w:p>
        </w:tc>
      </w:tr>
      <w:tr w14:paraId="4A483A0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060" w:hRule="atLeast"/>
          <w:jc w:val="center"/>
        </w:trPr>
        <w:tc>
          <w:tcPr>
            <w:tcW w:w="443" w:type="dxa"/>
            <w:gridSpan w:val="2"/>
            <w:vMerge w:val="continue"/>
            <w:tcBorders>
              <w:tl2br w:val="nil"/>
              <w:tr2bl w:val="nil"/>
            </w:tcBorders>
            <w:vAlign w:val="center"/>
          </w:tcPr>
          <w:p w14:paraId="18721806">
            <w:pPr>
              <w:pStyle w:val="37"/>
              <w:keepNext w:val="0"/>
              <w:keepLines w:val="0"/>
              <w:pageBreakBefore w:val="0"/>
              <w:widowControl/>
              <w:numPr>
                <w:ilvl w:val="0"/>
                <w:numId w:val="4"/>
              </w:numPr>
              <w:kinsoku/>
              <w:overflowPunct/>
              <w:topLinePunct w:val="0"/>
              <w:autoSpaceDE/>
              <w:autoSpaceDN/>
              <w:bidi w:val="0"/>
              <w:adjustRightInd/>
              <w:snapToGrid/>
              <w:spacing w:beforeAutospacing="0" w:afterAutospacing="0" w:line="260" w:lineRule="exact"/>
              <w:ind w:left="0" w:leftChars="0" w:right="0" w:rightChars="0" w:firstLineChars="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1859AA3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s="Times New Roman"/>
                <w:color w:val="auto"/>
                <w:kern w:val="0"/>
                <w:sz w:val="13"/>
                <w:szCs w:val="13"/>
                <w:highlight w:val="none"/>
              </w:rPr>
            </w:pPr>
          </w:p>
        </w:tc>
        <w:tc>
          <w:tcPr>
            <w:tcW w:w="4820" w:type="dxa"/>
            <w:vMerge w:val="continue"/>
            <w:tcBorders>
              <w:tl2br w:val="nil"/>
              <w:tr2bl w:val="nil"/>
            </w:tcBorders>
            <w:vAlign w:val="center"/>
          </w:tcPr>
          <w:p w14:paraId="7DC6AC1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s="Times New Roman"/>
                <w:color w:val="auto"/>
                <w:kern w:val="0"/>
                <w:sz w:val="13"/>
                <w:szCs w:val="13"/>
                <w:highlight w:val="none"/>
              </w:rPr>
            </w:pPr>
          </w:p>
        </w:tc>
        <w:tc>
          <w:tcPr>
            <w:tcW w:w="823" w:type="dxa"/>
            <w:vMerge w:val="continue"/>
            <w:tcBorders>
              <w:tl2br w:val="nil"/>
              <w:tr2bl w:val="nil"/>
            </w:tcBorders>
            <w:tcMar>
              <w:top w:w="15" w:type="dxa"/>
              <w:left w:w="15" w:type="dxa"/>
              <w:bottom w:w="15" w:type="dxa"/>
              <w:right w:w="15" w:type="dxa"/>
            </w:tcMar>
            <w:vAlign w:val="center"/>
          </w:tcPr>
          <w:p w14:paraId="60B2D2E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color w:val="auto"/>
                <w:kern w:val="0"/>
                <w:sz w:val="13"/>
                <w:szCs w:val="13"/>
                <w:highlight w:val="none"/>
              </w:rPr>
            </w:pPr>
          </w:p>
        </w:tc>
        <w:tc>
          <w:tcPr>
            <w:tcW w:w="3437" w:type="dxa"/>
            <w:gridSpan w:val="2"/>
            <w:tcBorders>
              <w:tl2br w:val="nil"/>
              <w:tr2bl w:val="nil"/>
            </w:tcBorders>
            <w:tcMar>
              <w:top w:w="15" w:type="dxa"/>
              <w:left w:w="15" w:type="dxa"/>
              <w:bottom w:w="15" w:type="dxa"/>
              <w:right w:w="15" w:type="dxa"/>
            </w:tcMar>
            <w:vAlign w:val="center"/>
          </w:tcPr>
          <w:p w14:paraId="6D3BB845">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s="Times New Roman"/>
                <w:color w:val="auto"/>
                <w:kern w:val="0"/>
                <w:sz w:val="13"/>
                <w:szCs w:val="13"/>
                <w:highlight w:val="none"/>
              </w:rPr>
            </w:pPr>
            <w:r>
              <w:rPr>
                <w:rFonts w:hint="eastAsia" w:ascii="仿宋_GB2312" w:hAnsi="宋体" w:eastAsia="仿宋_GB2312"/>
                <w:color w:val="auto"/>
                <w:kern w:val="0"/>
                <w:sz w:val="13"/>
                <w:szCs w:val="13"/>
                <w:highlight w:val="none"/>
              </w:rPr>
              <w:t>（6）造成特别重大质量事故的；造成单位（子单位）工程存在严重缺陷，经返修和加固处理仍不能满足安全使用要求的</w:t>
            </w:r>
            <w:r>
              <w:rPr>
                <w:rFonts w:hint="eastAsia" w:ascii="仿宋_GB2312" w:hAnsi="宋体" w:eastAsia="仿宋_GB2312"/>
                <w:color w:val="auto"/>
                <w:kern w:val="0"/>
                <w:sz w:val="13"/>
                <w:szCs w:val="13"/>
                <w:highlight w:val="none"/>
                <w:lang w:eastAsia="zh-CN"/>
              </w:rPr>
              <w:t>；</w:t>
            </w:r>
            <w:r>
              <w:rPr>
                <w:rFonts w:hint="eastAsia" w:ascii="仿宋_GB2312" w:hAnsi="宋体" w:eastAsia="仿宋_GB2312"/>
                <w:color w:val="auto"/>
                <w:kern w:val="0"/>
                <w:sz w:val="13"/>
                <w:szCs w:val="13"/>
                <w:highlight w:val="none"/>
                <w:lang w:val="en-US" w:eastAsia="zh-CN"/>
              </w:rPr>
              <w:t>或造成特别严重社会影响。</w:t>
            </w:r>
          </w:p>
        </w:tc>
        <w:tc>
          <w:tcPr>
            <w:tcW w:w="3058" w:type="dxa"/>
            <w:tcBorders>
              <w:tl2br w:val="nil"/>
              <w:tr2bl w:val="nil"/>
            </w:tcBorders>
            <w:tcMar>
              <w:top w:w="15" w:type="dxa"/>
              <w:left w:w="15" w:type="dxa"/>
              <w:bottom w:w="15" w:type="dxa"/>
              <w:right w:w="15" w:type="dxa"/>
            </w:tcMar>
            <w:vAlign w:val="center"/>
          </w:tcPr>
          <w:p w14:paraId="5C56FFE6">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处30万元罚款，对单位直接负责的主管人员和其他直接责任人员处单位罚款数额百分之十的罚款，吊销资质证书。</w:t>
            </w:r>
          </w:p>
        </w:tc>
      </w:tr>
      <w:tr w14:paraId="2C4FFD2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47" w:hRule="atLeast"/>
          <w:jc w:val="center"/>
        </w:trPr>
        <w:tc>
          <w:tcPr>
            <w:tcW w:w="443" w:type="dxa"/>
            <w:gridSpan w:val="2"/>
            <w:vMerge w:val="restart"/>
            <w:tcBorders>
              <w:tl2br w:val="nil"/>
              <w:tr2bl w:val="nil"/>
            </w:tcBorders>
            <w:vAlign w:val="center"/>
          </w:tcPr>
          <w:p w14:paraId="6356F25C">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Times New Roman"/>
                <w:color w:val="auto"/>
                <w:sz w:val="13"/>
                <w:szCs w:val="13"/>
                <w:highlight w:val="none"/>
                <w:lang w:val="en-US" w:eastAsia="zh-CN"/>
              </w:rPr>
            </w:pPr>
            <w:bookmarkStart w:id="11" w:name="_Hlk58488387"/>
            <w:r>
              <w:rPr>
                <w:rFonts w:hint="eastAsia" w:ascii="仿宋_GB2312" w:hAnsi="宋体" w:eastAsia="仿宋_GB2312" w:cs="Times New Roman"/>
                <w:color w:val="auto"/>
                <w:sz w:val="13"/>
                <w:szCs w:val="13"/>
                <w:highlight w:val="none"/>
                <w:lang w:val="en-US" w:eastAsia="zh-CN"/>
              </w:rPr>
              <w:t>225</w:t>
            </w:r>
          </w:p>
        </w:tc>
        <w:tc>
          <w:tcPr>
            <w:tcW w:w="1550" w:type="dxa"/>
            <w:vMerge w:val="restart"/>
            <w:tcBorders>
              <w:tl2br w:val="nil"/>
              <w:tr2bl w:val="nil"/>
            </w:tcBorders>
            <w:vAlign w:val="center"/>
          </w:tcPr>
          <w:p w14:paraId="3FD29B9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Times New Roman"/>
                <w:color w:val="auto"/>
                <w:sz w:val="13"/>
                <w:szCs w:val="13"/>
                <w:highlight w:val="none"/>
              </w:rPr>
            </w:pPr>
            <w:r>
              <w:rPr>
                <w:rFonts w:hint="eastAsia" w:ascii="仿宋_GB2312" w:hAnsi="宋体" w:eastAsia="仿宋_GB2312"/>
                <w:color w:val="auto"/>
                <w:kern w:val="0"/>
                <w:sz w:val="13"/>
                <w:szCs w:val="13"/>
                <w:highlight w:val="none"/>
              </w:rPr>
              <w:t>工程勘察企业未按照工程建设强制性标准进行勘察、弄虚作假、提供虚假成果资料的</w:t>
            </w:r>
          </w:p>
        </w:tc>
        <w:tc>
          <w:tcPr>
            <w:tcW w:w="4820" w:type="dxa"/>
            <w:vMerge w:val="restart"/>
            <w:tcBorders>
              <w:tl2br w:val="nil"/>
              <w:tr2bl w:val="nil"/>
            </w:tcBorders>
            <w:vAlign w:val="center"/>
          </w:tcPr>
          <w:p w14:paraId="3DDC558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《建设工程勘察质量管理办法》第二十</w:t>
            </w:r>
            <w:r>
              <w:rPr>
                <w:rFonts w:hint="eastAsia" w:ascii="仿宋_GB2312" w:hAnsi="宋体" w:eastAsia="仿宋_GB2312"/>
                <w:color w:val="auto"/>
                <w:kern w:val="0"/>
                <w:sz w:val="13"/>
                <w:szCs w:val="13"/>
                <w:highlight w:val="none"/>
                <w:lang w:eastAsia="zh-CN"/>
              </w:rPr>
              <w:t>三</w:t>
            </w:r>
            <w:r>
              <w:rPr>
                <w:rFonts w:hint="eastAsia" w:ascii="仿宋_GB2312" w:hAnsi="宋体" w:eastAsia="仿宋_GB2312"/>
                <w:color w:val="auto"/>
                <w:kern w:val="0"/>
                <w:sz w:val="13"/>
                <w:szCs w:val="13"/>
                <w:highlight w:val="none"/>
              </w:rPr>
              <w:t>条</w:t>
            </w:r>
          </w:p>
          <w:p w14:paraId="0460B05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违反本办法规定，工程勘察企业未按照工程建设强制性标准进行勘察、弄虚作假、提供虚假成果资料的，由工程勘察质量监督部门责令改正，处10万元以上30万元以下的罚款；造成工程质量事故的，责令停业整顿，降低资质等级；情节严重的，吊销资质证书；造成损失的，依法承担赔偿责任。</w:t>
            </w:r>
          </w:p>
          <w:p w14:paraId="20CDCF0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olor w:val="auto"/>
                <w:sz w:val="13"/>
                <w:szCs w:val="13"/>
                <w:highlight w:val="none"/>
              </w:rPr>
            </w:pPr>
            <w:r>
              <w:rPr>
                <w:rFonts w:hint="eastAsia" w:ascii="仿宋_GB2312" w:hAnsi="宋体" w:eastAsia="仿宋_GB2312"/>
                <w:color w:val="auto"/>
                <w:sz w:val="13"/>
                <w:szCs w:val="13"/>
                <w:highlight w:val="none"/>
              </w:rPr>
              <w:t>《建设工程勘察质量管理办法》第二十七条</w:t>
            </w:r>
          </w:p>
          <w:p w14:paraId="285A164D">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rPr>
                <w:color w:val="auto"/>
                <w:sz w:val="13"/>
                <w:szCs w:val="13"/>
                <w:highlight w:val="none"/>
              </w:rPr>
            </w:pPr>
            <w:r>
              <w:rPr>
                <w:rFonts w:hint="eastAsia" w:ascii="仿宋_GB2312" w:hAnsi="宋体" w:eastAsia="仿宋_GB2312"/>
                <w:color w:val="auto"/>
                <w:sz w:val="13"/>
                <w:szCs w:val="13"/>
                <w:highlight w:val="none"/>
              </w:rPr>
              <w:t>依照本办法规定，给予建设单位、勘察企业罚款处罚的，由工程勘察质量监督部门对建设单位、勘察企业的法定代表人和其他直接责任人员处以企业罚款数额的5%以上10%以下的罚款。</w:t>
            </w:r>
          </w:p>
        </w:tc>
        <w:tc>
          <w:tcPr>
            <w:tcW w:w="823" w:type="dxa"/>
            <w:tcBorders>
              <w:tl2br w:val="nil"/>
              <w:tr2bl w:val="nil"/>
            </w:tcBorders>
            <w:tcMar>
              <w:top w:w="15" w:type="dxa"/>
              <w:left w:w="15" w:type="dxa"/>
              <w:bottom w:w="15" w:type="dxa"/>
              <w:right w:w="15" w:type="dxa"/>
            </w:tcMar>
            <w:vAlign w:val="center"/>
          </w:tcPr>
          <w:p w14:paraId="14C666D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Times New Roman"/>
                <w:color w:val="auto"/>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tcMar>
              <w:top w:w="15" w:type="dxa"/>
              <w:left w:w="15" w:type="dxa"/>
              <w:bottom w:w="15" w:type="dxa"/>
              <w:right w:w="15" w:type="dxa"/>
            </w:tcMar>
            <w:vAlign w:val="center"/>
          </w:tcPr>
          <w:p w14:paraId="2922B16D">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s="Times New Roman"/>
                <w:color w:val="auto"/>
                <w:sz w:val="13"/>
                <w:szCs w:val="13"/>
                <w:highlight w:val="none"/>
              </w:rPr>
            </w:pPr>
            <w:r>
              <w:rPr>
                <w:rFonts w:hint="eastAsia" w:ascii="仿宋_GB2312" w:hAnsi="宋体" w:eastAsia="仿宋_GB2312"/>
                <w:color w:val="auto"/>
                <w:kern w:val="0"/>
                <w:sz w:val="13"/>
                <w:szCs w:val="13"/>
                <w:highlight w:val="none"/>
              </w:rPr>
              <w:t>初次违法，危害后果轻微，主动消除或减轻危害后果的。</w:t>
            </w:r>
          </w:p>
        </w:tc>
        <w:tc>
          <w:tcPr>
            <w:tcW w:w="3058" w:type="dxa"/>
            <w:tcBorders>
              <w:tl2br w:val="nil"/>
              <w:tr2bl w:val="nil"/>
            </w:tcBorders>
            <w:tcMar>
              <w:top w:w="15" w:type="dxa"/>
              <w:left w:w="15" w:type="dxa"/>
              <w:bottom w:w="15" w:type="dxa"/>
              <w:right w:w="15" w:type="dxa"/>
            </w:tcMar>
            <w:vAlign w:val="center"/>
          </w:tcPr>
          <w:p w14:paraId="42703C6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Times New Roman"/>
                <w:color w:val="auto"/>
                <w:sz w:val="13"/>
                <w:szCs w:val="13"/>
                <w:highlight w:val="none"/>
              </w:rPr>
            </w:pPr>
            <w:r>
              <w:rPr>
                <w:rFonts w:hint="eastAsia" w:ascii="仿宋_GB2312" w:hAnsi="宋体" w:eastAsia="仿宋_GB2312" w:cs="Times New Roman"/>
                <w:color w:val="auto"/>
                <w:kern w:val="0"/>
                <w:sz w:val="13"/>
                <w:szCs w:val="13"/>
                <w:highlight w:val="none"/>
              </w:rPr>
              <w:t>责令改正,对工程勘察企业处10万元的罚款。对企业的法定代表人和其他直接责任人员处以企业罚款数额的百分之五的罚款。</w:t>
            </w:r>
          </w:p>
        </w:tc>
      </w:tr>
      <w:bookmarkEnd w:id="11"/>
      <w:tr w14:paraId="5A80B61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422" w:hRule="atLeast"/>
          <w:jc w:val="center"/>
        </w:trPr>
        <w:tc>
          <w:tcPr>
            <w:tcW w:w="443" w:type="dxa"/>
            <w:gridSpan w:val="2"/>
            <w:vMerge w:val="continue"/>
            <w:tcBorders>
              <w:tl2br w:val="nil"/>
              <w:tr2bl w:val="nil"/>
            </w:tcBorders>
            <w:vAlign w:val="center"/>
          </w:tcPr>
          <w:p w14:paraId="596F839B">
            <w:pPr>
              <w:pStyle w:val="37"/>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Chars="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1947041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Times New Roman"/>
                <w:color w:val="auto"/>
                <w:kern w:val="0"/>
                <w:sz w:val="13"/>
                <w:szCs w:val="13"/>
                <w:highlight w:val="none"/>
              </w:rPr>
            </w:pPr>
          </w:p>
        </w:tc>
        <w:tc>
          <w:tcPr>
            <w:tcW w:w="4820" w:type="dxa"/>
            <w:vMerge w:val="continue"/>
            <w:tcBorders>
              <w:tl2br w:val="nil"/>
              <w:tr2bl w:val="nil"/>
            </w:tcBorders>
            <w:vAlign w:val="center"/>
          </w:tcPr>
          <w:p w14:paraId="1CD05B7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Times New Roman"/>
                <w:color w:val="auto"/>
                <w:kern w:val="0"/>
                <w:sz w:val="13"/>
                <w:szCs w:val="13"/>
                <w:highlight w:val="none"/>
              </w:rPr>
            </w:pPr>
          </w:p>
        </w:tc>
        <w:tc>
          <w:tcPr>
            <w:tcW w:w="823" w:type="dxa"/>
            <w:tcBorders>
              <w:tl2br w:val="nil"/>
              <w:tr2bl w:val="nil"/>
            </w:tcBorders>
            <w:tcMar>
              <w:top w:w="15" w:type="dxa"/>
              <w:left w:w="15" w:type="dxa"/>
              <w:bottom w:w="15" w:type="dxa"/>
              <w:right w:w="15" w:type="dxa"/>
            </w:tcMar>
            <w:vAlign w:val="center"/>
          </w:tcPr>
          <w:p w14:paraId="3ADFB86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Times New Roman"/>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一般情节</w:t>
            </w:r>
          </w:p>
        </w:tc>
        <w:tc>
          <w:tcPr>
            <w:tcW w:w="3437" w:type="dxa"/>
            <w:gridSpan w:val="2"/>
            <w:tcBorders>
              <w:tl2br w:val="nil"/>
              <w:tr2bl w:val="nil"/>
            </w:tcBorders>
            <w:tcMar>
              <w:top w:w="15" w:type="dxa"/>
              <w:left w:w="15" w:type="dxa"/>
              <w:bottom w:w="15" w:type="dxa"/>
              <w:right w:w="15" w:type="dxa"/>
            </w:tcMar>
            <w:vAlign w:val="center"/>
          </w:tcPr>
          <w:p w14:paraId="784E188D">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olor w:val="auto"/>
                <w:kern w:val="0"/>
                <w:sz w:val="13"/>
                <w:szCs w:val="13"/>
                <w:highlight w:val="none"/>
              </w:rPr>
              <w:t>未造成工程质量事故，不具有从轻、</w:t>
            </w:r>
            <w:r>
              <w:rPr>
                <w:rFonts w:hint="eastAsia" w:ascii="仿宋_GB2312" w:hAnsi="宋体" w:eastAsia="仿宋_GB2312"/>
                <w:color w:val="auto"/>
                <w:kern w:val="0"/>
                <w:sz w:val="13"/>
                <w:szCs w:val="13"/>
                <w:highlight w:val="none"/>
                <w:lang w:eastAsia="zh-CN"/>
              </w:rPr>
              <w:t>从重情节</w:t>
            </w:r>
            <w:r>
              <w:rPr>
                <w:rFonts w:hint="eastAsia" w:ascii="仿宋_GB2312" w:hAnsi="宋体" w:eastAsia="仿宋_GB2312"/>
                <w:color w:val="auto"/>
                <w:kern w:val="0"/>
                <w:sz w:val="13"/>
                <w:szCs w:val="13"/>
                <w:highlight w:val="none"/>
              </w:rPr>
              <w:t>的。</w:t>
            </w:r>
          </w:p>
        </w:tc>
        <w:tc>
          <w:tcPr>
            <w:tcW w:w="3058" w:type="dxa"/>
            <w:tcBorders>
              <w:tl2br w:val="nil"/>
              <w:tr2bl w:val="nil"/>
            </w:tcBorders>
            <w:tcMar>
              <w:top w:w="15" w:type="dxa"/>
              <w:left w:w="15" w:type="dxa"/>
              <w:bottom w:w="15" w:type="dxa"/>
              <w:right w:w="15" w:type="dxa"/>
            </w:tcMar>
            <w:vAlign w:val="center"/>
          </w:tcPr>
          <w:p w14:paraId="2F5120A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s="Times New Roman"/>
                <w:strike/>
                <w:color w:val="auto"/>
                <w:kern w:val="0"/>
                <w:sz w:val="13"/>
                <w:szCs w:val="13"/>
                <w:highlight w:val="none"/>
              </w:rPr>
            </w:pPr>
            <w:r>
              <w:rPr>
                <w:rFonts w:hint="eastAsia" w:ascii="仿宋_GB2312" w:hAnsi="宋体" w:eastAsia="仿宋_GB2312" w:cs="Times New Roman"/>
                <w:color w:val="auto"/>
                <w:kern w:val="0"/>
                <w:sz w:val="13"/>
                <w:szCs w:val="13"/>
                <w:highlight w:val="none"/>
              </w:rPr>
              <w:t>责令改正，处10万元以上</w:t>
            </w:r>
            <w:r>
              <w:rPr>
                <w:rFonts w:ascii="仿宋_GB2312" w:hAnsi="宋体" w:eastAsia="仿宋_GB2312" w:cs="Times New Roman"/>
                <w:color w:val="auto"/>
                <w:kern w:val="0"/>
                <w:sz w:val="13"/>
                <w:szCs w:val="13"/>
                <w:highlight w:val="none"/>
              </w:rPr>
              <w:t>20</w:t>
            </w:r>
            <w:r>
              <w:rPr>
                <w:rFonts w:hint="eastAsia" w:ascii="仿宋_GB2312" w:hAnsi="宋体" w:eastAsia="仿宋_GB2312" w:cs="Times New Roman"/>
                <w:color w:val="auto"/>
                <w:kern w:val="0"/>
                <w:sz w:val="13"/>
                <w:szCs w:val="13"/>
                <w:highlight w:val="none"/>
              </w:rPr>
              <w:t>万元以下的罚款，对单位直接负责的主管人员和其他直接责任人员处单位罚款数额百分之五以上百分之十以下的罚款。</w:t>
            </w:r>
          </w:p>
        </w:tc>
      </w:tr>
      <w:tr w14:paraId="6EF5822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401" w:hRule="atLeast"/>
          <w:jc w:val="center"/>
        </w:trPr>
        <w:tc>
          <w:tcPr>
            <w:tcW w:w="443" w:type="dxa"/>
            <w:gridSpan w:val="2"/>
            <w:vMerge w:val="continue"/>
            <w:tcBorders>
              <w:tl2br w:val="nil"/>
              <w:tr2bl w:val="nil"/>
            </w:tcBorders>
            <w:vAlign w:val="center"/>
          </w:tcPr>
          <w:p w14:paraId="09A1765A">
            <w:pPr>
              <w:pStyle w:val="37"/>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Chars="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3AA5CB9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Times New Roman"/>
                <w:color w:val="auto"/>
                <w:kern w:val="0"/>
                <w:sz w:val="13"/>
                <w:szCs w:val="13"/>
                <w:highlight w:val="none"/>
              </w:rPr>
            </w:pPr>
          </w:p>
        </w:tc>
        <w:tc>
          <w:tcPr>
            <w:tcW w:w="4820" w:type="dxa"/>
            <w:vMerge w:val="continue"/>
            <w:tcBorders>
              <w:tl2br w:val="nil"/>
              <w:tr2bl w:val="nil"/>
            </w:tcBorders>
            <w:vAlign w:val="center"/>
          </w:tcPr>
          <w:p w14:paraId="1945C7E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Times New Roman"/>
                <w:color w:val="auto"/>
                <w:kern w:val="0"/>
                <w:sz w:val="13"/>
                <w:szCs w:val="13"/>
                <w:highlight w:val="none"/>
              </w:rPr>
            </w:pPr>
          </w:p>
        </w:tc>
        <w:tc>
          <w:tcPr>
            <w:tcW w:w="823" w:type="dxa"/>
            <w:vMerge w:val="restart"/>
            <w:tcBorders>
              <w:tl2br w:val="nil"/>
              <w:tr2bl w:val="nil"/>
            </w:tcBorders>
            <w:tcMar>
              <w:top w:w="15" w:type="dxa"/>
              <w:left w:w="15" w:type="dxa"/>
              <w:bottom w:w="15" w:type="dxa"/>
              <w:right w:w="15" w:type="dxa"/>
            </w:tcMar>
            <w:vAlign w:val="center"/>
          </w:tcPr>
          <w:p w14:paraId="34FDFE3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Times New Roman"/>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从重情节</w:t>
            </w:r>
          </w:p>
        </w:tc>
        <w:tc>
          <w:tcPr>
            <w:tcW w:w="3437" w:type="dxa"/>
            <w:gridSpan w:val="2"/>
            <w:tcBorders>
              <w:tl2br w:val="nil"/>
              <w:tr2bl w:val="nil"/>
            </w:tcBorders>
            <w:tcMar>
              <w:top w:w="15" w:type="dxa"/>
              <w:left w:w="15" w:type="dxa"/>
              <w:bottom w:w="15" w:type="dxa"/>
              <w:right w:w="15" w:type="dxa"/>
            </w:tcMar>
            <w:vAlign w:val="center"/>
          </w:tcPr>
          <w:p w14:paraId="0D90887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s="Times New Roman"/>
                <w:strike/>
                <w:color w:val="auto"/>
                <w:kern w:val="0"/>
                <w:sz w:val="13"/>
                <w:szCs w:val="13"/>
                <w:highlight w:val="none"/>
              </w:rPr>
            </w:pPr>
            <w:r>
              <w:rPr>
                <w:rFonts w:hint="eastAsia" w:ascii="仿宋_GB2312" w:hAnsi="宋体" w:eastAsia="仿宋_GB2312"/>
                <w:color w:val="auto"/>
                <w:kern w:val="0"/>
                <w:sz w:val="13"/>
                <w:szCs w:val="13"/>
                <w:highlight w:val="none"/>
              </w:rPr>
              <w:t>（1）造成3人以下死亡，或者10人以下重伤，或者1000万元以下直接经济损失的。</w:t>
            </w:r>
          </w:p>
        </w:tc>
        <w:tc>
          <w:tcPr>
            <w:tcW w:w="3058" w:type="dxa"/>
            <w:tcBorders>
              <w:tl2br w:val="nil"/>
              <w:tr2bl w:val="nil"/>
            </w:tcBorders>
            <w:tcMar>
              <w:top w:w="15" w:type="dxa"/>
              <w:left w:w="15" w:type="dxa"/>
              <w:bottom w:w="15" w:type="dxa"/>
              <w:right w:w="15" w:type="dxa"/>
            </w:tcMar>
            <w:vAlign w:val="center"/>
          </w:tcPr>
          <w:p w14:paraId="056FE5E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s="Times New Roman"/>
                <w:strike/>
                <w:color w:val="auto"/>
                <w:sz w:val="13"/>
                <w:szCs w:val="13"/>
                <w:highlight w:val="none"/>
              </w:rPr>
            </w:pPr>
            <w:r>
              <w:rPr>
                <w:rFonts w:hint="eastAsia" w:ascii="仿宋_GB2312" w:hAnsi="宋体" w:eastAsia="仿宋_GB2312" w:cs="Times New Roman"/>
                <w:color w:val="auto"/>
                <w:kern w:val="0"/>
                <w:sz w:val="13"/>
                <w:szCs w:val="13"/>
                <w:highlight w:val="none"/>
              </w:rPr>
              <w:t>处</w:t>
            </w:r>
            <w:r>
              <w:rPr>
                <w:rFonts w:ascii="仿宋_GB2312" w:hAnsi="宋体" w:eastAsia="仿宋_GB2312" w:cs="Times New Roman"/>
                <w:color w:val="auto"/>
                <w:kern w:val="0"/>
                <w:sz w:val="13"/>
                <w:szCs w:val="13"/>
                <w:highlight w:val="none"/>
              </w:rPr>
              <w:t>20</w:t>
            </w:r>
            <w:r>
              <w:rPr>
                <w:rFonts w:hint="eastAsia" w:ascii="仿宋_GB2312" w:hAnsi="宋体" w:eastAsia="仿宋_GB2312" w:cs="Times New Roman"/>
                <w:color w:val="auto"/>
                <w:kern w:val="0"/>
                <w:sz w:val="13"/>
                <w:szCs w:val="13"/>
                <w:highlight w:val="none"/>
              </w:rPr>
              <w:t>万元以上</w:t>
            </w:r>
            <w:r>
              <w:rPr>
                <w:rFonts w:ascii="仿宋_GB2312" w:hAnsi="宋体" w:eastAsia="仿宋_GB2312" w:cs="Times New Roman"/>
                <w:color w:val="auto"/>
                <w:kern w:val="0"/>
                <w:sz w:val="13"/>
                <w:szCs w:val="13"/>
                <w:highlight w:val="none"/>
              </w:rPr>
              <w:t>3</w:t>
            </w:r>
            <w:r>
              <w:rPr>
                <w:rFonts w:hint="eastAsia" w:ascii="仿宋_GB2312" w:hAnsi="宋体" w:eastAsia="仿宋_GB2312" w:cs="Times New Roman"/>
                <w:color w:val="auto"/>
                <w:kern w:val="0"/>
                <w:sz w:val="13"/>
                <w:szCs w:val="13"/>
                <w:highlight w:val="none"/>
              </w:rPr>
              <w:t>0万元以下的罚款，对单位直接负责的主管人员和其他直接责任人员处单位罚款数额百分之十的罚款，责令停业整顿</w:t>
            </w:r>
            <w:r>
              <w:rPr>
                <w:rFonts w:hint="eastAsia" w:ascii="仿宋_GB2312" w:hAnsi="宋体" w:eastAsia="仿宋_GB2312" w:cs="Times New Roman"/>
                <w:color w:val="auto"/>
                <w:kern w:val="0"/>
                <w:sz w:val="13"/>
                <w:szCs w:val="13"/>
                <w:highlight w:val="none"/>
                <w:lang w:eastAsia="zh-CN"/>
              </w:rPr>
              <w:t>30日-</w:t>
            </w:r>
            <w:r>
              <w:rPr>
                <w:rFonts w:ascii="仿宋_GB2312" w:hAnsi="宋体" w:eastAsia="仿宋_GB2312" w:cs="Times New Roman"/>
                <w:color w:val="auto"/>
                <w:kern w:val="0"/>
                <w:sz w:val="13"/>
                <w:szCs w:val="13"/>
                <w:highlight w:val="none"/>
              </w:rPr>
              <w:t>60日</w:t>
            </w:r>
            <w:r>
              <w:rPr>
                <w:rFonts w:hint="eastAsia" w:ascii="仿宋_GB2312" w:hAnsi="宋体" w:eastAsia="仿宋_GB2312" w:cs="Times New Roman"/>
                <w:color w:val="auto"/>
                <w:kern w:val="0"/>
                <w:sz w:val="13"/>
                <w:szCs w:val="13"/>
                <w:highlight w:val="none"/>
              </w:rPr>
              <w:t>。</w:t>
            </w:r>
          </w:p>
        </w:tc>
      </w:tr>
      <w:tr w14:paraId="250068E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25" w:hRule="atLeast"/>
          <w:jc w:val="center"/>
        </w:trPr>
        <w:tc>
          <w:tcPr>
            <w:tcW w:w="443" w:type="dxa"/>
            <w:gridSpan w:val="2"/>
            <w:vMerge w:val="continue"/>
            <w:tcBorders>
              <w:tl2br w:val="nil"/>
              <w:tr2bl w:val="nil"/>
            </w:tcBorders>
            <w:vAlign w:val="center"/>
          </w:tcPr>
          <w:p w14:paraId="7B98030C">
            <w:pPr>
              <w:pStyle w:val="37"/>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Chars="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3D00186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Times New Roman"/>
                <w:color w:val="auto"/>
                <w:kern w:val="0"/>
                <w:sz w:val="13"/>
                <w:szCs w:val="13"/>
                <w:highlight w:val="none"/>
              </w:rPr>
            </w:pPr>
          </w:p>
        </w:tc>
        <w:tc>
          <w:tcPr>
            <w:tcW w:w="4820" w:type="dxa"/>
            <w:vMerge w:val="continue"/>
            <w:tcBorders>
              <w:tl2br w:val="nil"/>
              <w:tr2bl w:val="nil"/>
            </w:tcBorders>
            <w:vAlign w:val="center"/>
          </w:tcPr>
          <w:p w14:paraId="63CA3CD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Times New Roman"/>
                <w:color w:val="auto"/>
                <w:kern w:val="0"/>
                <w:sz w:val="13"/>
                <w:szCs w:val="13"/>
                <w:highlight w:val="none"/>
              </w:rPr>
            </w:pPr>
          </w:p>
        </w:tc>
        <w:tc>
          <w:tcPr>
            <w:tcW w:w="823" w:type="dxa"/>
            <w:vMerge w:val="continue"/>
            <w:tcBorders>
              <w:tl2br w:val="nil"/>
              <w:tr2bl w:val="nil"/>
            </w:tcBorders>
            <w:tcMar>
              <w:top w:w="15" w:type="dxa"/>
              <w:left w:w="15" w:type="dxa"/>
              <w:bottom w:w="15" w:type="dxa"/>
              <w:right w:w="15" w:type="dxa"/>
            </w:tcMar>
            <w:vAlign w:val="center"/>
          </w:tcPr>
          <w:p w14:paraId="22F6B91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Times New Roman"/>
                <w:color w:val="auto"/>
                <w:kern w:val="0"/>
                <w:sz w:val="13"/>
                <w:szCs w:val="13"/>
                <w:highlight w:val="none"/>
              </w:rPr>
            </w:pPr>
          </w:p>
        </w:tc>
        <w:tc>
          <w:tcPr>
            <w:tcW w:w="3437" w:type="dxa"/>
            <w:gridSpan w:val="2"/>
            <w:tcBorders>
              <w:tl2br w:val="nil"/>
              <w:tr2bl w:val="nil"/>
            </w:tcBorders>
            <w:tcMar>
              <w:top w:w="15" w:type="dxa"/>
              <w:left w:w="15" w:type="dxa"/>
              <w:bottom w:w="15" w:type="dxa"/>
              <w:right w:w="15" w:type="dxa"/>
            </w:tcMar>
            <w:vAlign w:val="center"/>
          </w:tcPr>
          <w:p w14:paraId="561FC4E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s="Times New Roman"/>
                <w:color w:val="auto"/>
                <w:kern w:val="0"/>
                <w:sz w:val="13"/>
                <w:szCs w:val="13"/>
                <w:highlight w:val="none"/>
              </w:rPr>
            </w:pPr>
            <w:r>
              <w:rPr>
                <w:rFonts w:hint="eastAsia" w:ascii="仿宋_GB2312" w:hAnsi="宋体" w:eastAsia="仿宋_GB2312"/>
                <w:color w:val="auto"/>
                <w:kern w:val="0"/>
                <w:sz w:val="13"/>
                <w:szCs w:val="13"/>
                <w:highlight w:val="none"/>
              </w:rPr>
              <w:t>（2）造成3人以上5人以下死亡，或者10人以上20人以下重伤，或者1000万元以上2000万元以下直接经济损失的。</w:t>
            </w:r>
          </w:p>
        </w:tc>
        <w:tc>
          <w:tcPr>
            <w:tcW w:w="3058" w:type="dxa"/>
            <w:tcBorders>
              <w:tl2br w:val="nil"/>
              <w:tr2bl w:val="nil"/>
            </w:tcBorders>
            <w:tcMar>
              <w:top w:w="15" w:type="dxa"/>
              <w:left w:w="15" w:type="dxa"/>
              <w:bottom w:w="15" w:type="dxa"/>
              <w:right w:w="15" w:type="dxa"/>
            </w:tcMar>
            <w:vAlign w:val="center"/>
          </w:tcPr>
          <w:p w14:paraId="5208180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处30万元罚款，对单位直接负责的主管人员和其他直接责任人员处单位罚款数额百分之十的罚款，责令停业整顿</w:t>
            </w:r>
            <w:r>
              <w:rPr>
                <w:rFonts w:hint="eastAsia" w:ascii="仿宋_GB2312" w:hAnsi="宋体" w:eastAsia="仿宋_GB2312" w:cs="Times New Roman"/>
                <w:color w:val="auto"/>
                <w:kern w:val="0"/>
                <w:sz w:val="13"/>
                <w:szCs w:val="13"/>
                <w:highlight w:val="none"/>
                <w:lang w:eastAsia="zh-CN"/>
              </w:rPr>
              <w:t>60日-</w:t>
            </w:r>
            <w:r>
              <w:rPr>
                <w:rFonts w:hint="eastAsia" w:ascii="仿宋_GB2312" w:hAnsi="宋体" w:eastAsia="仿宋_GB2312" w:cs="Times New Roman"/>
                <w:color w:val="auto"/>
                <w:kern w:val="0"/>
                <w:sz w:val="13"/>
                <w:szCs w:val="13"/>
                <w:highlight w:val="none"/>
              </w:rPr>
              <w:t>90日。</w:t>
            </w:r>
          </w:p>
        </w:tc>
      </w:tr>
      <w:tr w14:paraId="5E14990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47" w:hRule="atLeast"/>
          <w:jc w:val="center"/>
        </w:trPr>
        <w:tc>
          <w:tcPr>
            <w:tcW w:w="443" w:type="dxa"/>
            <w:gridSpan w:val="2"/>
            <w:vMerge w:val="continue"/>
            <w:tcBorders>
              <w:tl2br w:val="nil"/>
              <w:tr2bl w:val="nil"/>
            </w:tcBorders>
            <w:vAlign w:val="center"/>
          </w:tcPr>
          <w:p w14:paraId="5AC820E2">
            <w:pPr>
              <w:pStyle w:val="37"/>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Chars="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3F9A178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Times New Roman"/>
                <w:color w:val="auto"/>
                <w:kern w:val="0"/>
                <w:sz w:val="13"/>
                <w:szCs w:val="13"/>
                <w:highlight w:val="none"/>
              </w:rPr>
            </w:pPr>
          </w:p>
        </w:tc>
        <w:tc>
          <w:tcPr>
            <w:tcW w:w="4820" w:type="dxa"/>
            <w:vMerge w:val="continue"/>
            <w:tcBorders>
              <w:tl2br w:val="nil"/>
              <w:tr2bl w:val="nil"/>
            </w:tcBorders>
            <w:vAlign w:val="center"/>
          </w:tcPr>
          <w:p w14:paraId="55EC076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Times New Roman"/>
                <w:color w:val="auto"/>
                <w:kern w:val="0"/>
                <w:sz w:val="13"/>
                <w:szCs w:val="13"/>
                <w:highlight w:val="none"/>
              </w:rPr>
            </w:pPr>
          </w:p>
        </w:tc>
        <w:tc>
          <w:tcPr>
            <w:tcW w:w="823" w:type="dxa"/>
            <w:vMerge w:val="continue"/>
            <w:tcBorders>
              <w:tl2br w:val="nil"/>
              <w:tr2bl w:val="nil"/>
            </w:tcBorders>
            <w:tcMar>
              <w:top w:w="15" w:type="dxa"/>
              <w:left w:w="15" w:type="dxa"/>
              <w:bottom w:w="15" w:type="dxa"/>
              <w:right w:w="15" w:type="dxa"/>
            </w:tcMar>
            <w:vAlign w:val="center"/>
          </w:tcPr>
          <w:p w14:paraId="409CED8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Times New Roman"/>
                <w:color w:val="auto"/>
                <w:kern w:val="0"/>
                <w:sz w:val="13"/>
                <w:szCs w:val="13"/>
                <w:highlight w:val="none"/>
              </w:rPr>
            </w:pPr>
          </w:p>
        </w:tc>
        <w:tc>
          <w:tcPr>
            <w:tcW w:w="3437" w:type="dxa"/>
            <w:gridSpan w:val="2"/>
            <w:tcBorders>
              <w:tl2br w:val="nil"/>
              <w:tr2bl w:val="nil"/>
            </w:tcBorders>
            <w:tcMar>
              <w:top w:w="15" w:type="dxa"/>
              <w:left w:w="15" w:type="dxa"/>
              <w:bottom w:w="15" w:type="dxa"/>
              <w:right w:w="15" w:type="dxa"/>
            </w:tcMar>
            <w:vAlign w:val="center"/>
          </w:tcPr>
          <w:p w14:paraId="05B36D8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s="Times New Roman"/>
                <w:color w:val="auto"/>
                <w:kern w:val="0"/>
                <w:sz w:val="13"/>
                <w:szCs w:val="13"/>
                <w:highlight w:val="none"/>
              </w:rPr>
            </w:pPr>
            <w:r>
              <w:rPr>
                <w:rFonts w:hint="eastAsia" w:ascii="仿宋_GB2312" w:hAnsi="宋体" w:eastAsia="仿宋_GB2312"/>
                <w:color w:val="auto"/>
                <w:kern w:val="0"/>
                <w:sz w:val="13"/>
                <w:szCs w:val="13"/>
                <w:highlight w:val="none"/>
              </w:rPr>
              <w:t>（3）造成5人以上7人以下死亡，或者20人以上30人以下重伤，或者2000万元以上3000万元以下直接经济损失的。</w:t>
            </w:r>
          </w:p>
        </w:tc>
        <w:tc>
          <w:tcPr>
            <w:tcW w:w="3058" w:type="dxa"/>
            <w:tcBorders>
              <w:tl2br w:val="nil"/>
              <w:tr2bl w:val="nil"/>
            </w:tcBorders>
            <w:tcMar>
              <w:top w:w="15" w:type="dxa"/>
              <w:left w:w="15" w:type="dxa"/>
              <w:bottom w:w="15" w:type="dxa"/>
              <w:right w:w="15" w:type="dxa"/>
            </w:tcMar>
            <w:vAlign w:val="center"/>
          </w:tcPr>
          <w:p w14:paraId="37CD676E">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处30万元罚款，对单位直接负责的主管人员和其他直接责任人员处单位罚款数额百分之十的罚款，责令停业整顿</w:t>
            </w:r>
            <w:r>
              <w:rPr>
                <w:rFonts w:hint="eastAsia" w:ascii="仿宋_GB2312" w:hAnsi="宋体" w:eastAsia="仿宋_GB2312" w:cs="Times New Roman"/>
                <w:color w:val="auto"/>
                <w:kern w:val="0"/>
                <w:sz w:val="13"/>
                <w:szCs w:val="13"/>
                <w:highlight w:val="none"/>
                <w:lang w:eastAsia="zh-CN"/>
              </w:rPr>
              <w:t>90日-</w:t>
            </w:r>
            <w:r>
              <w:rPr>
                <w:rFonts w:hint="eastAsia" w:ascii="仿宋_GB2312" w:hAnsi="宋体" w:eastAsia="仿宋_GB2312" w:cs="Times New Roman"/>
                <w:color w:val="auto"/>
                <w:kern w:val="0"/>
                <w:sz w:val="13"/>
                <w:szCs w:val="13"/>
                <w:highlight w:val="none"/>
              </w:rPr>
              <w:t>120日。</w:t>
            </w:r>
          </w:p>
        </w:tc>
      </w:tr>
      <w:tr w14:paraId="696FBCC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47" w:hRule="atLeast"/>
          <w:jc w:val="center"/>
        </w:trPr>
        <w:tc>
          <w:tcPr>
            <w:tcW w:w="443" w:type="dxa"/>
            <w:gridSpan w:val="2"/>
            <w:vMerge w:val="continue"/>
            <w:tcBorders>
              <w:tl2br w:val="nil"/>
              <w:tr2bl w:val="nil"/>
            </w:tcBorders>
            <w:vAlign w:val="center"/>
          </w:tcPr>
          <w:p w14:paraId="7F75F8BB">
            <w:pPr>
              <w:pStyle w:val="37"/>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Chars="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7D8DE11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Times New Roman"/>
                <w:color w:val="auto"/>
                <w:kern w:val="0"/>
                <w:sz w:val="13"/>
                <w:szCs w:val="13"/>
                <w:highlight w:val="none"/>
              </w:rPr>
            </w:pPr>
          </w:p>
        </w:tc>
        <w:tc>
          <w:tcPr>
            <w:tcW w:w="4820" w:type="dxa"/>
            <w:vMerge w:val="continue"/>
            <w:tcBorders>
              <w:tl2br w:val="nil"/>
              <w:tr2bl w:val="nil"/>
            </w:tcBorders>
            <w:vAlign w:val="center"/>
          </w:tcPr>
          <w:p w14:paraId="2D7F9C8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Times New Roman"/>
                <w:color w:val="auto"/>
                <w:kern w:val="0"/>
                <w:sz w:val="13"/>
                <w:szCs w:val="13"/>
                <w:highlight w:val="none"/>
              </w:rPr>
            </w:pPr>
          </w:p>
        </w:tc>
        <w:tc>
          <w:tcPr>
            <w:tcW w:w="823" w:type="dxa"/>
            <w:vMerge w:val="continue"/>
            <w:tcBorders>
              <w:tl2br w:val="nil"/>
              <w:tr2bl w:val="nil"/>
            </w:tcBorders>
            <w:tcMar>
              <w:top w:w="15" w:type="dxa"/>
              <w:left w:w="15" w:type="dxa"/>
              <w:bottom w:w="15" w:type="dxa"/>
              <w:right w:w="15" w:type="dxa"/>
            </w:tcMar>
            <w:vAlign w:val="center"/>
          </w:tcPr>
          <w:p w14:paraId="37C88F2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Times New Roman"/>
                <w:color w:val="auto"/>
                <w:kern w:val="0"/>
                <w:sz w:val="13"/>
                <w:szCs w:val="13"/>
                <w:highlight w:val="none"/>
              </w:rPr>
            </w:pPr>
          </w:p>
        </w:tc>
        <w:tc>
          <w:tcPr>
            <w:tcW w:w="3437" w:type="dxa"/>
            <w:gridSpan w:val="2"/>
            <w:tcBorders>
              <w:tl2br w:val="nil"/>
              <w:tr2bl w:val="nil"/>
            </w:tcBorders>
            <w:tcMar>
              <w:top w:w="15" w:type="dxa"/>
              <w:left w:w="15" w:type="dxa"/>
              <w:bottom w:w="15" w:type="dxa"/>
              <w:right w:w="15" w:type="dxa"/>
            </w:tcMar>
            <w:vAlign w:val="center"/>
          </w:tcPr>
          <w:p w14:paraId="6422C56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s="Times New Roman"/>
                <w:color w:val="auto"/>
                <w:kern w:val="0"/>
                <w:sz w:val="13"/>
                <w:szCs w:val="13"/>
                <w:highlight w:val="none"/>
              </w:rPr>
            </w:pPr>
            <w:r>
              <w:rPr>
                <w:rFonts w:hint="eastAsia" w:ascii="仿宋_GB2312" w:hAnsi="宋体" w:eastAsia="仿宋_GB2312"/>
                <w:color w:val="auto"/>
                <w:kern w:val="0"/>
                <w:sz w:val="13"/>
                <w:szCs w:val="13"/>
                <w:highlight w:val="none"/>
              </w:rPr>
              <w:t>（4）造成7人以上10人以下死亡，或者30人以上50人以下重伤，或者3000万元以上5000万元以下直接经济损失的。</w:t>
            </w:r>
          </w:p>
        </w:tc>
        <w:tc>
          <w:tcPr>
            <w:tcW w:w="3058" w:type="dxa"/>
            <w:tcBorders>
              <w:tl2br w:val="nil"/>
              <w:tr2bl w:val="nil"/>
            </w:tcBorders>
            <w:tcMar>
              <w:top w:w="15" w:type="dxa"/>
              <w:left w:w="15" w:type="dxa"/>
              <w:bottom w:w="15" w:type="dxa"/>
              <w:right w:w="15" w:type="dxa"/>
            </w:tcMar>
            <w:vAlign w:val="center"/>
          </w:tcPr>
          <w:p w14:paraId="0450E415">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处30万元罚款，对单位直接负责的主管人员和其他直接责任人员处单位罚款数额百分之十的罚款，责令停业整顿</w:t>
            </w:r>
            <w:r>
              <w:rPr>
                <w:rFonts w:hint="eastAsia" w:ascii="仿宋_GB2312" w:hAnsi="宋体" w:eastAsia="仿宋_GB2312" w:cs="Times New Roman"/>
                <w:color w:val="auto"/>
                <w:kern w:val="0"/>
                <w:sz w:val="13"/>
                <w:szCs w:val="13"/>
                <w:highlight w:val="none"/>
                <w:lang w:eastAsia="zh-CN"/>
              </w:rPr>
              <w:t>120日-</w:t>
            </w:r>
            <w:r>
              <w:rPr>
                <w:rFonts w:hint="eastAsia" w:ascii="仿宋_GB2312" w:hAnsi="宋体" w:eastAsia="仿宋_GB2312" w:cs="Times New Roman"/>
                <w:color w:val="auto"/>
                <w:kern w:val="0"/>
                <w:sz w:val="13"/>
                <w:szCs w:val="13"/>
                <w:highlight w:val="none"/>
              </w:rPr>
              <w:t>180日。</w:t>
            </w:r>
          </w:p>
        </w:tc>
      </w:tr>
      <w:tr w14:paraId="44B6D52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47" w:hRule="atLeast"/>
          <w:jc w:val="center"/>
        </w:trPr>
        <w:tc>
          <w:tcPr>
            <w:tcW w:w="443" w:type="dxa"/>
            <w:gridSpan w:val="2"/>
            <w:vMerge w:val="continue"/>
            <w:tcBorders>
              <w:tl2br w:val="nil"/>
              <w:tr2bl w:val="nil"/>
            </w:tcBorders>
            <w:vAlign w:val="center"/>
          </w:tcPr>
          <w:p w14:paraId="76A541C9">
            <w:pPr>
              <w:pStyle w:val="37"/>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Chars="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180564C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Times New Roman"/>
                <w:color w:val="auto"/>
                <w:kern w:val="0"/>
                <w:sz w:val="13"/>
                <w:szCs w:val="13"/>
                <w:highlight w:val="none"/>
              </w:rPr>
            </w:pPr>
          </w:p>
        </w:tc>
        <w:tc>
          <w:tcPr>
            <w:tcW w:w="4820" w:type="dxa"/>
            <w:vMerge w:val="continue"/>
            <w:tcBorders>
              <w:tl2br w:val="nil"/>
              <w:tr2bl w:val="nil"/>
            </w:tcBorders>
            <w:vAlign w:val="center"/>
          </w:tcPr>
          <w:p w14:paraId="5C75DB4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Times New Roman"/>
                <w:color w:val="auto"/>
                <w:kern w:val="0"/>
                <w:sz w:val="13"/>
                <w:szCs w:val="13"/>
                <w:highlight w:val="none"/>
              </w:rPr>
            </w:pPr>
          </w:p>
        </w:tc>
        <w:tc>
          <w:tcPr>
            <w:tcW w:w="823" w:type="dxa"/>
            <w:vMerge w:val="continue"/>
            <w:tcBorders>
              <w:tl2br w:val="nil"/>
              <w:tr2bl w:val="nil"/>
            </w:tcBorders>
            <w:tcMar>
              <w:top w:w="15" w:type="dxa"/>
              <w:left w:w="15" w:type="dxa"/>
              <w:bottom w:w="15" w:type="dxa"/>
              <w:right w:w="15" w:type="dxa"/>
            </w:tcMar>
            <w:vAlign w:val="center"/>
          </w:tcPr>
          <w:p w14:paraId="643CCE0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Times New Roman"/>
                <w:color w:val="auto"/>
                <w:kern w:val="0"/>
                <w:sz w:val="13"/>
                <w:szCs w:val="13"/>
                <w:highlight w:val="none"/>
              </w:rPr>
            </w:pPr>
          </w:p>
        </w:tc>
        <w:tc>
          <w:tcPr>
            <w:tcW w:w="3437" w:type="dxa"/>
            <w:gridSpan w:val="2"/>
            <w:tcBorders>
              <w:tl2br w:val="nil"/>
              <w:tr2bl w:val="nil"/>
            </w:tcBorders>
            <w:tcMar>
              <w:top w:w="15" w:type="dxa"/>
              <w:left w:w="15" w:type="dxa"/>
              <w:bottom w:w="15" w:type="dxa"/>
              <w:right w:w="15" w:type="dxa"/>
            </w:tcMar>
            <w:vAlign w:val="center"/>
          </w:tcPr>
          <w:p w14:paraId="395CF573">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rPr>
              <w:t>（</w:t>
            </w:r>
            <w:r>
              <w:rPr>
                <w:rFonts w:hint="eastAsia" w:ascii="仿宋_GB2312" w:hAnsi="宋体" w:eastAsia="仿宋_GB2312"/>
                <w:color w:val="auto"/>
                <w:kern w:val="0"/>
                <w:sz w:val="13"/>
                <w:szCs w:val="13"/>
                <w:highlight w:val="none"/>
                <w:lang w:val="en-US" w:eastAsia="zh-CN"/>
              </w:rPr>
              <w:t>5</w:t>
            </w:r>
            <w:r>
              <w:rPr>
                <w:rFonts w:hint="eastAsia" w:ascii="仿宋_GB2312" w:hAnsi="宋体" w:eastAsia="仿宋_GB2312"/>
                <w:color w:val="auto"/>
                <w:kern w:val="0"/>
                <w:sz w:val="13"/>
                <w:szCs w:val="13"/>
                <w:highlight w:val="none"/>
              </w:rPr>
              <w:t>）造成重大工程质量事故的</w:t>
            </w:r>
            <w:r>
              <w:rPr>
                <w:rFonts w:hint="eastAsia" w:ascii="仿宋_GB2312" w:hAnsi="宋体" w:eastAsia="仿宋_GB2312"/>
                <w:color w:val="auto"/>
                <w:kern w:val="0"/>
                <w:sz w:val="13"/>
                <w:szCs w:val="13"/>
                <w:highlight w:val="none"/>
                <w:lang w:val="en-US" w:eastAsia="zh-CN"/>
              </w:rPr>
              <w:t>。</w:t>
            </w:r>
          </w:p>
        </w:tc>
        <w:tc>
          <w:tcPr>
            <w:tcW w:w="3058" w:type="dxa"/>
            <w:tcBorders>
              <w:tl2br w:val="nil"/>
              <w:tr2bl w:val="nil"/>
            </w:tcBorders>
            <w:tcMar>
              <w:top w:w="15" w:type="dxa"/>
              <w:left w:w="15" w:type="dxa"/>
              <w:bottom w:w="15" w:type="dxa"/>
              <w:right w:w="15" w:type="dxa"/>
            </w:tcMar>
            <w:vAlign w:val="center"/>
          </w:tcPr>
          <w:p w14:paraId="56AFDD00">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hint="eastAsia"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对工程勘察企业处30万元罚款，对单位直接负责的主管人员和其他直接责任人员处单位罚款数额百分之十的罚款；降低资质等级。</w:t>
            </w:r>
          </w:p>
        </w:tc>
      </w:tr>
      <w:tr w14:paraId="4DAA3FB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47" w:hRule="atLeast"/>
          <w:jc w:val="center"/>
        </w:trPr>
        <w:tc>
          <w:tcPr>
            <w:tcW w:w="443" w:type="dxa"/>
            <w:gridSpan w:val="2"/>
            <w:vMerge w:val="continue"/>
            <w:tcBorders>
              <w:tl2br w:val="nil"/>
              <w:tr2bl w:val="nil"/>
            </w:tcBorders>
            <w:vAlign w:val="center"/>
          </w:tcPr>
          <w:p w14:paraId="656978B2">
            <w:pPr>
              <w:pStyle w:val="37"/>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Chars="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46A7A10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Times New Roman"/>
                <w:color w:val="auto"/>
                <w:kern w:val="0"/>
                <w:sz w:val="13"/>
                <w:szCs w:val="13"/>
                <w:highlight w:val="none"/>
              </w:rPr>
            </w:pPr>
          </w:p>
        </w:tc>
        <w:tc>
          <w:tcPr>
            <w:tcW w:w="4820" w:type="dxa"/>
            <w:vMerge w:val="continue"/>
            <w:tcBorders>
              <w:tl2br w:val="nil"/>
              <w:tr2bl w:val="nil"/>
            </w:tcBorders>
            <w:vAlign w:val="center"/>
          </w:tcPr>
          <w:p w14:paraId="6B038C7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Times New Roman"/>
                <w:color w:val="auto"/>
                <w:kern w:val="0"/>
                <w:sz w:val="13"/>
                <w:szCs w:val="13"/>
                <w:highlight w:val="none"/>
              </w:rPr>
            </w:pPr>
          </w:p>
        </w:tc>
        <w:tc>
          <w:tcPr>
            <w:tcW w:w="823" w:type="dxa"/>
            <w:vMerge w:val="continue"/>
            <w:tcBorders>
              <w:tl2br w:val="nil"/>
              <w:tr2bl w:val="nil"/>
            </w:tcBorders>
            <w:tcMar>
              <w:top w:w="15" w:type="dxa"/>
              <w:left w:w="15" w:type="dxa"/>
              <w:bottom w:w="15" w:type="dxa"/>
              <w:right w:w="15" w:type="dxa"/>
            </w:tcMar>
            <w:vAlign w:val="center"/>
          </w:tcPr>
          <w:p w14:paraId="5746B98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Times New Roman"/>
                <w:color w:val="auto"/>
                <w:kern w:val="0"/>
                <w:sz w:val="13"/>
                <w:szCs w:val="13"/>
                <w:highlight w:val="none"/>
              </w:rPr>
            </w:pPr>
          </w:p>
        </w:tc>
        <w:tc>
          <w:tcPr>
            <w:tcW w:w="3437" w:type="dxa"/>
            <w:gridSpan w:val="2"/>
            <w:tcBorders>
              <w:tl2br w:val="nil"/>
              <w:tr2bl w:val="nil"/>
            </w:tcBorders>
            <w:tcMar>
              <w:top w:w="15" w:type="dxa"/>
              <w:left w:w="15" w:type="dxa"/>
              <w:bottom w:w="15" w:type="dxa"/>
              <w:right w:w="15" w:type="dxa"/>
            </w:tcMar>
            <w:vAlign w:val="center"/>
          </w:tcPr>
          <w:p w14:paraId="041C5F58">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w:t>
            </w:r>
            <w:r>
              <w:rPr>
                <w:rFonts w:hint="eastAsia" w:ascii="仿宋_GB2312" w:hAnsi="宋体" w:eastAsia="仿宋_GB2312"/>
                <w:color w:val="auto"/>
                <w:kern w:val="0"/>
                <w:sz w:val="13"/>
                <w:szCs w:val="13"/>
                <w:highlight w:val="none"/>
                <w:lang w:val="en-US" w:eastAsia="zh-CN"/>
              </w:rPr>
              <w:t>6</w:t>
            </w:r>
            <w:r>
              <w:rPr>
                <w:rFonts w:hint="eastAsia" w:ascii="仿宋_GB2312" w:hAnsi="宋体" w:eastAsia="仿宋_GB2312"/>
                <w:color w:val="auto"/>
                <w:kern w:val="0"/>
                <w:sz w:val="13"/>
                <w:szCs w:val="13"/>
                <w:highlight w:val="none"/>
              </w:rPr>
              <w:t>）造成特别</w:t>
            </w:r>
            <w:r>
              <w:rPr>
                <w:rFonts w:ascii="仿宋_GB2312" w:hAnsi="宋体" w:eastAsia="仿宋_GB2312"/>
                <w:color w:val="auto"/>
                <w:kern w:val="0"/>
                <w:sz w:val="13"/>
                <w:szCs w:val="13"/>
                <w:highlight w:val="none"/>
              </w:rPr>
              <w:t>重大</w:t>
            </w:r>
            <w:r>
              <w:rPr>
                <w:rFonts w:hint="eastAsia" w:ascii="仿宋_GB2312" w:hAnsi="宋体" w:eastAsia="仿宋_GB2312"/>
                <w:color w:val="auto"/>
                <w:kern w:val="0"/>
                <w:sz w:val="13"/>
                <w:szCs w:val="13"/>
                <w:highlight w:val="none"/>
              </w:rPr>
              <w:t>工程质量事故的</w:t>
            </w:r>
            <w:r>
              <w:rPr>
                <w:rFonts w:hint="eastAsia" w:ascii="仿宋_GB2312" w:hAnsi="宋体" w:eastAsia="仿宋_GB2312"/>
                <w:color w:val="auto"/>
                <w:kern w:val="0"/>
                <w:sz w:val="13"/>
                <w:szCs w:val="13"/>
                <w:highlight w:val="none"/>
                <w:lang w:eastAsia="zh-CN"/>
              </w:rPr>
              <w:t>；</w:t>
            </w:r>
            <w:r>
              <w:rPr>
                <w:rFonts w:hint="eastAsia" w:ascii="仿宋_GB2312" w:hAnsi="宋体" w:eastAsia="仿宋_GB2312"/>
                <w:color w:val="auto"/>
                <w:kern w:val="0"/>
                <w:sz w:val="13"/>
                <w:szCs w:val="13"/>
                <w:highlight w:val="none"/>
                <w:lang w:val="en-US" w:eastAsia="zh-CN"/>
              </w:rPr>
              <w:t>或造成特别严重社会影响。</w:t>
            </w:r>
          </w:p>
        </w:tc>
        <w:tc>
          <w:tcPr>
            <w:tcW w:w="3058" w:type="dxa"/>
            <w:tcBorders>
              <w:tl2br w:val="nil"/>
              <w:tr2bl w:val="nil"/>
            </w:tcBorders>
            <w:tcMar>
              <w:top w:w="15" w:type="dxa"/>
              <w:left w:w="15" w:type="dxa"/>
              <w:bottom w:w="15" w:type="dxa"/>
              <w:right w:w="15" w:type="dxa"/>
            </w:tcMar>
            <w:vAlign w:val="center"/>
          </w:tcPr>
          <w:p w14:paraId="21657399">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hint="eastAsia"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对工程勘察企业处30万元罚款，对单位直接负责的主管人员和其他直接责任人员处单位罚款数额百分之十的罚款；吊销资质证书。</w:t>
            </w:r>
          </w:p>
        </w:tc>
      </w:tr>
      <w:tr w14:paraId="7166554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425" w:hRule="atLeast"/>
          <w:jc w:val="center"/>
        </w:trPr>
        <w:tc>
          <w:tcPr>
            <w:tcW w:w="443" w:type="dxa"/>
            <w:gridSpan w:val="2"/>
            <w:vMerge w:val="restart"/>
            <w:tcBorders>
              <w:tl2br w:val="nil"/>
              <w:tr2bl w:val="nil"/>
            </w:tcBorders>
            <w:vAlign w:val="center"/>
          </w:tcPr>
          <w:p w14:paraId="41406953">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Times New Roman"/>
                <w:color w:val="auto"/>
                <w:sz w:val="13"/>
                <w:szCs w:val="13"/>
                <w:highlight w:val="none"/>
                <w:lang w:val="en-US" w:eastAsia="zh-CN"/>
              </w:rPr>
            </w:pPr>
            <w:r>
              <w:rPr>
                <w:rFonts w:hint="eastAsia" w:ascii="仿宋_GB2312" w:hAnsi="宋体" w:eastAsia="仿宋_GB2312" w:cs="仿宋_GB2312"/>
                <w:i w:val="0"/>
                <w:color w:val="auto"/>
                <w:kern w:val="0"/>
                <w:sz w:val="13"/>
                <w:szCs w:val="13"/>
                <w:highlight w:val="none"/>
                <w:u w:val="none"/>
                <w:lang w:val="en-US" w:eastAsia="zh-CN" w:bidi="ar"/>
              </w:rPr>
              <w:t>226</w:t>
            </w:r>
          </w:p>
        </w:tc>
        <w:tc>
          <w:tcPr>
            <w:tcW w:w="1550" w:type="dxa"/>
            <w:vMerge w:val="restart"/>
            <w:tcBorders>
              <w:tl2br w:val="nil"/>
              <w:tr2bl w:val="nil"/>
            </w:tcBorders>
            <w:vAlign w:val="center"/>
          </w:tcPr>
          <w:p w14:paraId="5F445F3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Times New Roman"/>
                <w:color w:val="auto"/>
                <w:sz w:val="13"/>
                <w:szCs w:val="13"/>
                <w:highlight w:val="none"/>
              </w:rPr>
            </w:pPr>
            <w:r>
              <w:rPr>
                <w:rFonts w:hint="eastAsia" w:ascii="仿宋_GB2312" w:hAnsi="宋体" w:eastAsia="仿宋_GB2312"/>
                <w:color w:val="auto"/>
                <w:kern w:val="0"/>
                <w:sz w:val="13"/>
                <w:szCs w:val="13"/>
                <w:highlight w:val="none"/>
              </w:rPr>
              <w:t>工程勘察企业有下列行为之一的：（一）使用的勘察仪器、设备不满足相关规定；（二）司钻员、描述员、土工试验员等关键岗位作业人员未接受专业培训；（三）未按规定参加建设单位组织的勘察技术交底或者验槽；（四）原始记录弄虚作假；（五）未将钻探、取样、原位测试、室内试验等主要过程的影像资料留存备查；（六）未按规定及时将工程勘察文件和勘探、试验、测试原始记录及成果、质量安全管理记录归档保存。</w:t>
            </w:r>
          </w:p>
        </w:tc>
        <w:tc>
          <w:tcPr>
            <w:tcW w:w="4820" w:type="dxa"/>
            <w:vMerge w:val="restart"/>
            <w:tcBorders>
              <w:tl2br w:val="nil"/>
              <w:tr2bl w:val="nil"/>
            </w:tcBorders>
            <w:vAlign w:val="center"/>
          </w:tcPr>
          <w:p w14:paraId="6FC4F49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《建设工程勘察质量管理办法》第二十四条</w:t>
            </w:r>
          </w:p>
          <w:p w14:paraId="2B80555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违反本办法规定，工程勘察企业有下列行为之一的，由工程勘察质量监督部门责令改正，处1万元以上3万元以下的罚款：（一）使用的勘察仪器、设备不满足相关规定；（二）司钻员、描述员、土工试验员等关键岗位作业人员未接受专业培训；（三）未按规定参加建设单位组织的勘察技术交底或者验槽；（四）原始记录弄虚作假；（五）未将钻探、取样、原位测试、室内试验等主要过程的影像资料留存备查；（六）未按规定及时将工程勘察文件和勘探、试验、测试原始记录及成果、质量安全管理记录归档保存。</w:t>
            </w:r>
          </w:p>
          <w:p w14:paraId="713434A0">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rPr>
                <w:color w:val="auto"/>
                <w:sz w:val="13"/>
                <w:szCs w:val="13"/>
                <w:highlight w:val="none"/>
              </w:rPr>
            </w:pPr>
          </w:p>
          <w:p w14:paraId="516CEA1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olor w:val="auto"/>
                <w:sz w:val="13"/>
                <w:szCs w:val="13"/>
                <w:highlight w:val="none"/>
              </w:rPr>
            </w:pPr>
            <w:r>
              <w:rPr>
                <w:rFonts w:hint="eastAsia" w:ascii="仿宋_GB2312" w:hAnsi="宋体" w:eastAsia="仿宋_GB2312"/>
                <w:color w:val="auto"/>
                <w:sz w:val="13"/>
                <w:szCs w:val="13"/>
                <w:highlight w:val="none"/>
              </w:rPr>
              <w:t>《建设工程勘察质量管理办法》第二十七条</w:t>
            </w:r>
          </w:p>
          <w:p w14:paraId="560E88BE">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rPr>
                <w:color w:val="auto"/>
                <w:sz w:val="13"/>
                <w:szCs w:val="13"/>
                <w:highlight w:val="none"/>
              </w:rPr>
            </w:pPr>
            <w:r>
              <w:rPr>
                <w:rFonts w:hint="eastAsia" w:ascii="仿宋_GB2312" w:hAnsi="宋体" w:eastAsia="仿宋_GB2312"/>
                <w:color w:val="auto"/>
                <w:sz w:val="13"/>
                <w:szCs w:val="13"/>
                <w:highlight w:val="none"/>
              </w:rPr>
              <w:t>依照本办法规定，给予建设单位、勘察企业罚款处罚的，由工程勘察质量监督部门对建设单位、勘察企业的法定代表人和其他直接责任人员处以企业罚款数额的5%以上10%以下的罚款。</w:t>
            </w:r>
          </w:p>
        </w:tc>
        <w:tc>
          <w:tcPr>
            <w:tcW w:w="823" w:type="dxa"/>
            <w:tcBorders>
              <w:tl2br w:val="nil"/>
              <w:tr2bl w:val="nil"/>
            </w:tcBorders>
            <w:tcMar>
              <w:top w:w="15" w:type="dxa"/>
              <w:left w:w="15" w:type="dxa"/>
              <w:bottom w:w="15" w:type="dxa"/>
              <w:right w:w="15" w:type="dxa"/>
            </w:tcMar>
            <w:vAlign w:val="center"/>
          </w:tcPr>
          <w:p w14:paraId="39F506F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Times New Roman"/>
                <w:color w:val="auto"/>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tcMar>
              <w:top w:w="15" w:type="dxa"/>
              <w:left w:w="15" w:type="dxa"/>
              <w:bottom w:w="15" w:type="dxa"/>
              <w:right w:w="15" w:type="dxa"/>
            </w:tcMar>
            <w:vAlign w:val="center"/>
          </w:tcPr>
          <w:p w14:paraId="16AB7A6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Times New Roman"/>
                <w:color w:val="auto"/>
                <w:sz w:val="13"/>
                <w:szCs w:val="13"/>
                <w:highlight w:val="none"/>
              </w:rPr>
            </w:pPr>
            <w:r>
              <w:rPr>
                <w:rFonts w:hint="eastAsia" w:ascii="仿宋_GB2312" w:hAnsi="宋体" w:eastAsia="仿宋_GB2312"/>
                <w:color w:val="auto"/>
                <w:kern w:val="0"/>
                <w:sz w:val="13"/>
                <w:szCs w:val="13"/>
                <w:highlight w:val="none"/>
              </w:rPr>
              <w:t>初次违法，危害后果轻微，主动消除或减轻危害后果的。</w:t>
            </w:r>
          </w:p>
        </w:tc>
        <w:tc>
          <w:tcPr>
            <w:tcW w:w="3058" w:type="dxa"/>
            <w:tcBorders>
              <w:tl2br w:val="nil"/>
              <w:tr2bl w:val="nil"/>
            </w:tcBorders>
            <w:tcMar>
              <w:top w:w="15" w:type="dxa"/>
              <w:left w:w="15" w:type="dxa"/>
              <w:bottom w:w="15" w:type="dxa"/>
              <w:right w:w="15" w:type="dxa"/>
            </w:tcMar>
            <w:vAlign w:val="center"/>
          </w:tcPr>
          <w:p w14:paraId="759D9BE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Times New Roman"/>
                <w:color w:val="auto"/>
                <w:sz w:val="13"/>
                <w:szCs w:val="13"/>
                <w:highlight w:val="none"/>
              </w:rPr>
            </w:pPr>
            <w:r>
              <w:rPr>
                <w:rFonts w:hint="eastAsia" w:ascii="仿宋_GB2312" w:hAnsi="宋体" w:eastAsia="仿宋_GB2312" w:cs="Times New Roman"/>
                <w:color w:val="auto"/>
                <w:kern w:val="0"/>
                <w:sz w:val="13"/>
                <w:szCs w:val="13"/>
                <w:highlight w:val="none"/>
              </w:rPr>
              <w:t>责令改正,对工程勘察企业处1万元罚款，对企业的法定代表人和其他直接责任人员处以企业罚款数额的百分之五的罚款。</w:t>
            </w:r>
          </w:p>
        </w:tc>
      </w:tr>
      <w:tr w14:paraId="559E752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486" w:hRule="atLeast"/>
          <w:jc w:val="center"/>
        </w:trPr>
        <w:tc>
          <w:tcPr>
            <w:tcW w:w="443" w:type="dxa"/>
            <w:gridSpan w:val="2"/>
            <w:vMerge w:val="continue"/>
            <w:tcBorders>
              <w:tl2br w:val="nil"/>
              <w:tr2bl w:val="nil"/>
            </w:tcBorders>
            <w:vAlign w:val="center"/>
          </w:tcPr>
          <w:p w14:paraId="0AD7AB1E">
            <w:pPr>
              <w:pStyle w:val="37"/>
              <w:keepNext w:val="0"/>
              <w:keepLines w:val="0"/>
              <w:pageBreakBefore w:val="0"/>
              <w:widowControl/>
              <w:numPr>
                <w:ilvl w:val="0"/>
                <w:numId w:val="4"/>
              </w:numPr>
              <w:kinsoku/>
              <w:overflowPunct/>
              <w:topLinePunct w:val="0"/>
              <w:autoSpaceDE/>
              <w:autoSpaceDN/>
              <w:bidi w:val="0"/>
              <w:adjustRightInd/>
              <w:snapToGrid/>
              <w:spacing w:beforeAutospacing="0" w:afterAutospacing="0" w:line="260" w:lineRule="exact"/>
              <w:ind w:left="0" w:leftChars="0" w:right="0" w:rightChars="0" w:firstLineChars="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4BA8456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Times New Roman"/>
                <w:color w:val="auto"/>
                <w:kern w:val="0"/>
                <w:sz w:val="13"/>
                <w:szCs w:val="13"/>
                <w:highlight w:val="none"/>
              </w:rPr>
            </w:pPr>
          </w:p>
        </w:tc>
        <w:tc>
          <w:tcPr>
            <w:tcW w:w="4820" w:type="dxa"/>
            <w:vMerge w:val="continue"/>
            <w:tcBorders>
              <w:tl2br w:val="nil"/>
              <w:tr2bl w:val="nil"/>
            </w:tcBorders>
            <w:vAlign w:val="center"/>
          </w:tcPr>
          <w:p w14:paraId="4451418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Times New Roman"/>
                <w:color w:val="auto"/>
                <w:kern w:val="0"/>
                <w:sz w:val="13"/>
                <w:szCs w:val="13"/>
                <w:highlight w:val="none"/>
              </w:rPr>
            </w:pPr>
          </w:p>
        </w:tc>
        <w:tc>
          <w:tcPr>
            <w:tcW w:w="823" w:type="dxa"/>
            <w:tcBorders>
              <w:tl2br w:val="nil"/>
              <w:tr2bl w:val="nil"/>
            </w:tcBorders>
            <w:tcMar>
              <w:top w:w="15" w:type="dxa"/>
              <w:left w:w="15" w:type="dxa"/>
              <w:bottom w:w="15" w:type="dxa"/>
              <w:right w:w="15" w:type="dxa"/>
            </w:tcMar>
            <w:vAlign w:val="center"/>
          </w:tcPr>
          <w:p w14:paraId="6E1DC5C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Times New Roman"/>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一般情节</w:t>
            </w:r>
          </w:p>
        </w:tc>
        <w:tc>
          <w:tcPr>
            <w:tcW w:w="3437" w:type="dxa"/>
            <w:gridSpan w:val="2"/>
            <w:tcBorders>
              <w:tl2br w:val="nil"/>
              <w:tr2bl w:val="nil"/>
            </w:tcBorders>
            <w:tcMar>
              <w:top w:w="15" w:type="dxa"/>
              <w:left w:w="15" w:type="dxa"/>
              <w:bottom w:w="15" w:type="dxa"/>
              <w:right w:w="15" w:type="dxa"/>
            </w:tcMar>
            <w:vAlign w:val="center"/>
          </w:tcPr>
          <w:p w14:paraId="48E06094">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olor w:val="auto"/>
                <w:kern w:val="0"/>
                <w:sz w:val="13"/>
                <w:szCs w:val="13"/>
                <w:highlight w:val="none"/>
              </w:rPr>
              <w:t>不具有从轻、</w:t>
            </w:r>
            <w:r>
              <w:rPr>
                <w:rFonts w:hint="eastAsia" w:ascii="仿宋_GB2312" w:hAnsi="宋体" w:eastAsia="仿宋_GB2312"/>
                <w:color w:val="auto"/>
                <w:kern w:val="0"/>
                <w:sz w:val="13"/>
                <w:szCs w:val="13"/>
                <w:highlight w:val="none"/>
                <w:lang w:eastAsia="zh-CN"/>
              </w:rPr>
              <w:t>从重情节</w:t>
            </w:r>
            <w:r>
              <w:rPr>
                <w:rFonts w:hint="eastAsia" w:ascii="仿宋_GB2312" w:hAnsi="宋体" w:eastAsia="仿宋_GB2312"/>
                <w:color w:val="auto"/>
                <w:kern w:val="0"/>
                <w:sz w:val="13"/>
                <w:szCs w:val="13"/>
                <w:highlight w:val="none"/>
              </w:rPr>
              <w:t>的。</w:t>
            </w:r>
          </w:p>
        </w:tc>
        <w:tc>
          <w:tcPr>
            <w:tcW w:w="3058" w:type="dxa"/>
            <w:tcBorders>
              <w:tl2br w:val="nil"/>
              <w:tr2bl w:val="nil"/>
            </w:tcBorders>
            <w:tcMar>
              <w:top w:w="15" w:type="dxa"/>
              <w:left w:w="15" w:type="dxa"/>
              <w:bottom w:w="15" w:type="dxa"/>
              <w:right w:w="15" w:type="dxa"/>
            </w:tcMar>
            <w:vAlign w:val="center"/>
          </w:tcPr>
          <w:p w14:paraId="75044EF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责令改正，对工程勘察企业处1万元以上</w:t>
            </w:r>
            <w:r>
              <w:rPr>
                <w:rFonts w:ascii="仿宋_GB2312" w:hAnsi="宋体" w:eastAsia="仿宋_GB2312" w:cs="Times New Roman"/>
                <w:color w:val="auto"/>
                <w:kern w:val="0"/>
                <w:sz w:val="13"/>
                <w:szCs w:val="13"/>
                <w:highlight w:val="none"/>
              </w:rPr>
              <w:t>2</w:t>
            </w:r>
            <w:r>
              <w:rPr>
                <w:rFonts w:hint="eastAsia" w:ascii="仿宋_GB2312" w:hAnsi="宋体" w:eastAsia="仿宋_GB2312" w:cs="Times New Roman"/>
                <w:color w:val="auto"/>
                <w:kern w:val="0"/>
                <w:sz w:val="13"/>
                <w:szCs w:val="13"/>
                <w:highlight w:val="none"/>
              </w:rPr>
              <w:t>万元以下的罚款，对企业的法定代表人和其他直接责任人员处以企业罚款数额的百分之五以上百分之七点五以下的罚款。</w:t>
            </w:r>
          </w:p>
        </w:tc>
      </w:tr>
      <w:tr w14:paraId="5D64411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691" w:hRule="atLeast"/>
          <w:jc w:val="center"/>
        </w:trPr>
        <w:tc>
          <w:tcPr>
            <w:tcW w:w="443" w:type="dxa"/>
            <w:gridSpan w:val="2"/>
            <w:vMerge w:val="continue"/>
            <w:tcBorders>
              <w:tl2br w:val="nil"/>
              <w:tr2bl w:val="nil"/>
            </w:tcBorders>
            <w:vAlign w:val="center"/>
          </w:tcPr>
          <w:p w14:paraId="16305F36">
            <w:pPr>
              <w:pStyle w:val="37"/>
              <w:keepNext w:val="0"/>
              <w:keepLines w:val="0"/>
              <w:pageBreakBefore w:val="0"/>
              <w:widowControl/>
              <w:numPr>
                <w:ilvl w:val="0"/>
                <w:numId w:val="4"/>
              </w:numPr>
              <w:kinsoku/>
              <w:overflowPunct/>
              <w:topLinePunct w:val="0"/>
              <w:autoSpaceDE/>
              <w:autoSpaceDN/>
              <w:bidi w:val="0"/>
              <w:adjustRightInd/>
              <w:snapToGrid/>
              <w:spacing w:beforeAutospacing="0" w:afterAutospacing="0" w:line="260" w:lineRule="exact"/>
              <w:ind w:left="0" w:leftChars="0" w:right="0" w:rightChars="0" w:firstLineChars="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61FD052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Times New Roman"/>
                <w:color w:val="auto"/>
                <w:kern w:val="0"/>
                <w:sz w:val="13"/>
                <w:szCs w:val="13"/>
                <w:highlight w:val="none"/>
              </w:rPr>
            </w:pPr>
          </w:p>
        </w:tc>
        <w:tc>
          <w:tcPr>
            <w:tcW w:w="4820" w:type="dxa"/>
            <w:vMerge w:val="continue"/>
            <w:tcBorders>
              <w:tl2br w:val="nil"/>
              <w:tr2bl w:val="nil"/>
            </w:tcBorders>
            <w:vAlign w:val="center"/>
          </w:tcPr>
          <w:p w14:paraId="49AAC04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Times New Roman"/>
                <w:color w:val="auto"/>
                <w:kern w:val="0"/>
                <w:sz w:val="13"/>
                <w:szCs w:val="13"/>
                <w:highlight w:val="none"/>
              </w:rPr>
            </w:pPr>
          </w:p>
        </w:tc>
        <w:tc>
          <w:tcPr>
            <w:tcW w:w="823" w:type="dxa"/>
            <w:vMerge w:val="restart"/>
            <w:tcBorders>
              <w:tl2br w:val="nil"/>
              <w:tr2bl w:val="nil"/>
            </w:tcBorders>
            <w:tcMar>
              <w:top w:w="15" w:type="dxa"/>
              <w:left w:w="15" w:type="dxa"/>
              <w:bottom w:w="15" w:type="dxa"/>
              <w:right w:w="15" w:type="dxa"/>
            </w:tcMar>
            <w:vAlign w:val="center"/>
          </w:tcPr>
          <w:p w14:paraId="69B0220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Times New Roman"/>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从重情节</w:t>
            </w:r>
          </w:p>
        </w:tc>
        <w:tc>
          <w:tcPr>
            <w:tcW w:w="3437" w:type="dxa"/>
            <w:gridSpan w:val="2"/>
            <w:vMerge w:val="restart"/>
            <w:tcBorders>
              <w:tl2br w:val="nil"/>
              <w:tr2bl w:val="nil"/>
            </w:tcBorders>
            <w:tcMar>
              <w:top w:w="15" w:type="dxa"/>
              <w:left w:w="15" w:type="dxa"/>
              <w:bottom w:w="15" w:type="dxa"/>
              <w:right w:w="15" w:type="dxa"/>
            </w:tcMar>
            <w:vAlign w:val="center"/>
          </w:tcPr>
          <w:p w14:paraId="0EF5FA96">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Times New Roman"/>
                <w:strike/>
                <w:color w:val="auto"/>
                <w:sz w:val="13"/>
                <w:szCs w:val="13"/>
                <w:highlight w:val="none"/>
              </w:rPr>
            </w:pPr>
            <w:r>
              <w:rPr>
                <w:rFonts w:hint="eastAsia" w:ascii="仿宋_GB2312" w:hAnsi="宋体" w:eastAsia="仿宋_GB2312"/>
                <w:color w:val="auto"/>
                <w:kern w:val="0"/>
                <w:sz w:val="13"/>
                <w:szCs w:val="13"/>
                <w:highlight w:val="none"/>
              </w:rPr>
              <w:t>（1）2年内2次及以上同类型违法的；（2）拒不改正违法行为的。（3）发生工程质量事故的</w:t>
            </w:r>
          </w:p>
        </w:tc>
        <w:tc>
          <w:tcPr>
            <w:tcW w:w="3058" w:type="dxa"/>
            <w:vMerge w:val="restart"/>
            <w:tcBorders>
              <w:tl2br w:val="nil"/>
              <w:tr2bl w:val="nil"/>
            </w:tcBorders>
            <w:tcMar>
              <w:top w:w="15" w:type="dxa"/>
              <w:left w:w="15" w:type="dxa"/>
              <w:bottom w:w="15" w:type="dxa"/>
              <w:right w:w="15" w:type="dxa"/>
            </w:tcMar>
            <w:vAlign w:val="center"/>
          </w:tcPr>
          <w:p w14:paraId="5EB59E2B">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Times New Roman"/>
                <w:strike/>
                <w:color w:val="auto"/>
                <w:sz w:val="13"/>
                <w:szCs w:val="13"/>
                <w:highlight w:val="none"/>
              </w:rPr>
            </w:pPr>
            <w:r>
              <w:rPr>
                <w:rFonts w:hint="eastAsia" w:ascii="仿宋_GB2312" w:hAnsi="宋体" w:eastAsia="仿宋_GB2312" w:cs="Times New Roman"/>
                <w:color w:val="auto"/>
                <w:kern w:val="0"/>
                <w:sz w:val="13"/>
                <w:szCs w:val="13"/>
                <w:highlight w:val="none"/>
              </w:rPr>
              <w:t>责令改正，对工程勘察企业处</w:t>
            </w:r>
            <w:r>
              <w:rPr>
                <w:rFonts w:ascii="仿宋_GB2312" w:hAnsi="宋体" w:eastAsia="仿宋_GB2312" w:cs="Times New Roman"/>
                <w:color w:val="auto"/>
                <w:kern w:val="0"/>
                <w:sz w:val="13"/>
                <w:szCs w:val="13"/>
                <w:highlight w:val="none"/>
              </w:rPr>
              <w:t>2</w:t>
            </w:r>
            <w:r>
              <w:rPr>
                <w:rFonts w:hint="eastAsia" w:ascii="仿宋_GB2312" w:hAnsi="宋体" w:eastAsia="仿宋_GB2312" w:cs="Times New Roman"/>
                <w:color w:val="auto"/>
                <w:kern w:val="0"/>
                <w:sz w:val="13"/>
                <w:szCs w:val="13"/>
                <w:highlight w:val="none"/>
              </w:rPr>
              <w:t>万元以上</w:t>
            </w:r>
            <w:r>
              <w:rPr>
                <w:rFonts w:ascii="仿宋_GB2312" w:hAnsi="宋体" w:eastAsia="仿宋_GB2312" w:cs="Times New Roman"/>
                <w:color w:val="auto"/>
                <w:kern w:val="0"/>
                <w:sz w:val="13"/>
                <w:szCs w:val="13"/>
                <w:highlight w:val="none"/>
              </w:rPr>
              <w:t>3</w:t>
            </w:r>
            <w:r>
              <w:rPr>
                <w:rFonts w:hint="eastAsia" w:ascii="仿宋_GB2312" w:hAnsi="宋体" w:eastAsia="仿宋_GB2312" w:cs="Times New Roman"/>
                <w:color w:val="auto"/>
                <w:kern w:val="0"/>
                <w:sz w:val="13"/>
                <w:szCs w:val="13"/>
                <w:highlight w:val="none"/>
              </w:rPr>
              <w:t>万元以下的罚款，对企业的法定代表人和其他直接责任人员处以企业罚款数额的百分之七点五以上百分之十以下的罚款。</w:t>
            </w:r>
          </w:p>
        </w:tc>
      </w:tr>
      <w:tr w14:paraId="0B42538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719" w:hRule="atLeast"/>
          <w:jc w:val="center"/>
        </w:trPr>
        <w:tc>
          <w:tcPr>
            <w:tcW w:w="443" w:type="dxa"/>
            <w:gridSpan w:val="2"/>
            <w:vMerge w:val="continue"/>
            <w:tcBorders>
              <w:tl2br w:val="nil"/>
              <w:tr2bl w:val="nil"/>
            </w:tcBorders>
            <w:vAlign w:val="center"/>
          </w:tcPr>
          <w:p w14:paraId="0CA57B49">
            <w:pPr>
              <w:pStyle w:val="37"/>
              <w:keepNext w:val="0"/>
              <w:keepLines w:val="0"/>
              <w:pageBreakBefore w:val="0"/>
              <w:widowControl/>
              <w:numPr>
                <w:ilvl w:val="0"/>
                <w:numId w:val="4"/>
              </w:numPr>
              <w:kinsoku/>
              <w:overflowPunct/>
              <w:topLinePunct w:val="0"/>
              <w:autoSpaceDE/>
              <w:autoSpaceDN/>
              <w:bidi w:val="0"/>
              <w:adjustRightInd/>
              <w:snapToGrid/>
              <w:spacing w:beforeAutospacing="0" w:afterAutospacing="0" w:line="260" w:lineRule="exact"/>
              <w:ind w:left="0" w:leftChars="0" w:right="0" w:rightChars="0" w:firstLineChars="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5EC284D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center"/>
              <w:rPr>
                <w:rFonts w:ascii="仿宋_GB2312" w:hAnsi="宋体" w:eastAsia="仿宋_GB2312" w:cs="Times New Roman"/>
                <w:color w:val="auto"/>
                <w:sz w:val="13"/>
                <w:szCs w:val="13"/>
                <w:highlight w:val="none"/>
              </w:rPr>
            </w:pPr>
          </w:p>
        </w:tc>
        <w:tc>
          <w:tcPr>
            <w:tcW w:w="4820" w:type="dxa"/>
            <w:vMerge w:val="continue"/>
            <w:tcBorders>
              <w:tl2br w:val="nil"/>
              <w:tr2bl w:val="nil"/>
            </w:tcBorders>
            <w:vAlign w:val="center"/>
          </w:tcPr>
          <w:p w14:paraId="3CDE46C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center"/>
              <w:textAlignment w:val="center"/>
              <w:rPr>
                <w:rFonts w:ascii="仿宋_GB2312" w:hAnsi="宋体" w:eastAsia="仿宋_GB2312" w:cs="Times New Roman"/>
                <w:color w:val="auto"/>
                <w:kern w:val="0"/>
                <w:sz w:val="13"/>
                <w:szCs w:val="13"/>
                <w:highlight w:val="none"/>
              </w:rPr>
            </w:pPr>
          </w:p>
        </w:tc>
        <w:tc>
          <w:tcPr>
            <w:tcW w:w="823" w:type="dxa"/>
            <w:vMerge w:val="continue"/>
            <w:tcBorders>
              <w:tl2br w:val="nil"/>
              <w:tr2bl w:val="nil"/>
            </w:tcBorders>
            <w:tcMar>
              <w:top w:w="15" w:type="dxa"/>
              <w:left w:w="15" w:type="dxa"/>
              <w:bottom w:w="15" w:type="dxa"/>
              <w:right w:w="15" w:type="dxa"/>
            </w:tcMar>
            <w:vAlign w:val="center"/>
          </w:tcPr>
          <w:p w14:paraId="47CF9E1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color w:val="auto"/>
                <w:kern w:val="0"/>
                <w:sz w:val="13"/>
                <w:szCs w:val="13"/>
                <w:highlight w:val="none"/>
              </w:rPr>
            </w:pPr>
          </w:p>
        </w:tc>
        <w:tc>
          <w:tcPr>
            <w:tcW w:w="3437" w:type="dxa"/>
            <w:gridSpan w:val="2"/>
            <w:vMerge w:val="continue"/>
            <w:tcBorders>
              <w:tl2br w:val="nil"/>
              <w:tr2bl w:val="nil"/>
            </w:tcBorders>
            <w:tcMar>
              <w:top w:w="15" w:type="dxa"/>
              <w:left w:w="15" w:type="dxa"/>
              <w:bottom w:w="15" w:type="dxa"/>
              <w:right w:w="15" w:type="dxa"/>
            </w:tcMar>
            <w:vAlign w:val="center"/>
          </w:tcPr>
          <w:p w14:paraId="384F3E30">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center"/>
              <w:textAlignment w:val="center"/>
              <w:rPr>
                <w:rFonts w:ascii="仿宋_GB2312" w:hAnsi="宋体" w:eastAsia="仿宋_GB2312" w:cs="Times New Roman"/>
                <w:color w:val="auto"/>
                <w:kern w:val="0"/>
                <w:sz w:val="13"/>
                <w:szCs w:val="13"/>
                <w:highlight w:val="none"/>
              </w:rPr>
            </w:pPr>
          </w:p>
        </w:tc>
        <w:tc>
          <w:tcPr>
            <w:tcW w:w="3058" w:type="dxa"/>
            <w:vMerge w:val="continue"/>
            <w:tcBorders>
              <w:tl2br w:val="nil"/>
              <w:tr2bl w:val="nil"/>
            </w:tcBorders>
            <w:tcMar>
              <w:top w:w="15" w:type="dxa"/>
              <w:left w:w="15" w:type="dxa"/>
              <w:bottom w:w="15" w:type="dxa"/>
              <w:right w:w="15" w:type="dxa"/>
            </w:tcMar>
            <w:vAlign w:val="center"/>
          </w:tcPr>
          <w:p w14:paraId="226E5C0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center"/>
              <w:textAlignment w:val="center"/>
              <w:rPr>
                <w:rFonts w:ascii="仿宋_GB2312" w:hAnsi="宋体" w:eastAsia="仿宋_GB2312" w:cs="Times New Roman"/>
                <w:color w:val="auto"/>
                <w:kern w:val="0"/>
                <w:sz w:val="13"/>
                <w:szCs w:val="13"/>
                <w:highlight w:val="none"/>
              </w:rPr>
            </w:pPr>
          </w:p>
        </w:tc>
      </w:tr>
      <w:tr w14:paraId="790EF29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38" w:hRule="atLeast"/>
          <w:jc w:val="center"/>
        </w:trPr>
        <w:tc>
          <w:tcPr>
            <w:tcW w:w="443" w:type="dxa"/>
            <w:gridSpan w:val="2"/>
            <w:vMerge w:val="restart"/>
            <w:tcBorders>
              <w:tl2br w:val="nil"/>
              <w:tr2bl w:val="nil"/>
            </w:tcBorders>
            <w:tcMar>
              <w:top w:w="15" w:type="dxa"/>
              <w:left w:w="15" w:type="dxa"/>
              <w:bottom w:w="15" w:type="dxa"/>
              <w:right w:w="15" w:type="dxa"/>
            </w:tcMar>
            <w:vAlign w:val="center"/>
          </w:tcPr>
          <w:p w14:paraId="7449F001">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Times New Roman"/>
                <w:color w:val="auto"/>
                <w:sz w:val="13"/>
                <w:szCs w:val="13"/>
                <w:highlight w:val="none"/>
                <w:lang w:val="en-US" w:eastAsia="zh-CN"/>
              </w:rPr>
            </w:pPr>
            <w:r>
              <w:rPr>
                <w:rFonts w:hint="eastAsia" w:ascii="仿宋_GB2312" w:hAnsi="宋体" w:eastAsia="仿宋_GB2312" w:cs="仿宋_GB2312"/>
                <w:i w:val="0"/>
                <w:color w:val="auto"/>
                <w:kern w:val="0"/>
                <w:sz w:val="13"/>
                <w:szCs w:val="13"/>
                <w:highlight w:val="none"/>
                <w:u w:val="none"/>
                <w:lang w:val="en-US" w:eastAsia="zh-CN" w:bidi="ar"/>
              </w:rPr>
              <w:t>227</w:t>
            </w:r>
          </w:p>
        </w:tc>
        <w:tc>
          <w:tcPr>
            <w:tcW w:w="1550" w:type="dxa"/>
            <w:vMerge w:val="restart"/>
            <w:tcBorders>
              <w:tl2br w:val="nil"/>
              <w:tr2bl w:val="nil"/>
            </w:tcBorders>
            <w:tcMar>
              <w:top w:w="15" w:type="dxa"/>
              <w:left w:w="15" w:type="dxa"/>
              <w:bottom w:w="15" w:type="dxa"/>
              <w:right w:w="15" w:type="dxa"/>
            </w:tcMar>
            <w:vAlign w:val="center"/>
          </w:tcPr>
          <w:p w14:paraId="7CB7EE9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Times New Roman"/>
                <w:color w:val="auto"/>
                <w:sz w:val="13"/>
                <w:szCs w:val="13"/>
                <w:highlight w:val="none"/>
              </w:rPr>
            </w:pPr>
            <w:r>
              <w:rPr>
                <w:rFonts w:hint="eastAsia" w:ascii="仿宋_GB2312" w:hAnsi="宋体" w:eastAsia="仿宋_GB2312"/>
                <w:color w:val="auto"/>
                <w:kern w:val="0"/>
                <w:sz w:val="13"/>
                <w:szCs w:val="13"/>
                <w:highlight w:val="none"/>
              </w:rPr>
              <w:t>施工单位未对建筑材料、建筑构配件、设备和商品混凝土进行检验，或者未对涉及结构安全的试块、试件以及有关材料取样检测的</w:t>
            </w:r>
          </w:p>
        </w:tc>
        <w:tc>
          <w:tcPr>
            <w:tcW w:w="4820" w:type="dxa"/>
            <w:vMerge w:val="restart"/>
            <w:tcBorders>
              <w:tl2br w:val="nil"/>
              <w:tr2bl w:val="nil"/>
            </w:tcBorders>
            <w:tcMar>
              <w:top w:w="15" w:type="dxa"/>
              <w:left w:w="15" w:type="dxa"/>
              <w:bottom w:w="15" w:type="dxa"/>
              <w:right w:w="15" w:type="dxa"/>
            </w:tcMar>
            <w:vAlign w:val="center"/>
          </w:tcPr>
          <w:p w14:paraId="04EEAC7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《建设工程质量管理条例》第六十五条</w:t>
            </w:r>
          </w:p>
          <w:p w14:paraId="190E010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违反本条例规定，施工单位未对建筑材料、建筑构配件、设备和商品混凝土进行检验，或者未对涉及结构安全的试块、试件以及有关材料取样检测的，责令改正，处10万元以上20万元以下的罚款；情节严重的，责令停业整顿，降低资质等级或者吊销资质证书；造成损失的，依法承担赔偿责任。</w:t>
            </w:r>
          </w:p>
          <w:p w14:paraId="1B0251B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olor w:val="auto"/>
                <w:kern w:val="0"/>
                <w:sz w:val="13"/>
                <w:szCs w:val="13"/>
                <w:highlight w:val="none"/>
              </w:rPr>
            </w:pPr>
          </w:p>
          <w:p w14:paraId="361E2F8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olor w:val="auto"/>
                <w:sz w:val="13"/>
                <w:szCs w:val="13"/>
                <w:highlight w:val="none"/>
              </w:rPr>
            </w:pPr>
            <w:r>
              <w:rPr>
                <w:rFonts w:hint="eastAsia" w:ascii="仿宋_GB2312" w:hAnsi="宋体" w:eastAsia="仿宋_GB2312"/>
                <w:color w:val="auto"/>
                <w:sz w:val="13"/>
                <w:szCs w:val="13"/>
                <w:highlight w:val="none"/>
              </w:rPr>
              <w:t>《建设工程质量管理条例》第七十三条</w:t>
            </w:r>
          </w:p>
          <w:p w14:paraId="2FC4CA0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Times New Roman"/>
                <w:strike/>
                <w:color w:val="auto"/>
                <w:kern w:val="0"/>
                <w:sz w:val="13"/>
                <w:szCs w:val="13"/>
                <w:highlight w:val="none"/>
              </w:rPr>
            </w:pPr>
            <w:r>
              <w:rPr>
                <w:rFonts w:hint="eastAsia" w:ascii="仿宋_GB2312" w:hAnsi="宋体" w:eastAsia="仿宋_GB2312"/>
                <w:color w:val="auto"/>
                <w:sz w:val="13"/>
                <w:szCs w:val="13"/>
                <w:highlight w:val="none"/>
              </w:rPr>
              <w:t>依照本条例规定，给予单位罚款处罚的，对单位直接负责的主管人员和其他直接责任人员处单位罚款数额百分之五以上百分之十以下的罚款。</w:t>
            </w:r>
          </w:p>
        </w:tc>
        <w:tc>
          <w:tcPr>
            <w:tcW w:w="823" w:type="dxa"/>
            <w:tcBorders>
              <w:tl2br w:val="nil"/>
              <w:tr2bl w:val="nil"/>
            </w:tcBorders>
            <w:tcMar>
              <w:top w:w="15" w:type="dxa"/>
              <w:left w:w="15" w:type="dxa"/>
              <w:bottom w:w="15" w:type="dxa"/>
              <w:right w:w="15" w:type="dxa"/>
            </w:tcMar>
            <w:vAlign w:val="center"/>
          </w:tcPr>
          <w:p w14:paraId="25E1FEB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Times New Roman"/>
                <w:color w:val="auto"/>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tcMar>
              <w:top w:w="15" w:type="dxa"/>
              <w:left w:w="15" w:type="dxa"/>
              <w:bottom w:w="15" w:type="dxa"/>
              <w:right w:w="15" w:type="dxa"/>
            </w:tcMar>
            <w:vAlign w:val="center"/>
          </w:tcPr>
          <w:p w14:paraId="692A614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Times New Roman"/>
                <w:color w:val="auto"/>
                <w:sz w:val="13"/>
                <w:szCs w:val="13"/>
                <w:highlight w:val="none"/>
              </w:rPr>
            </w:pPr>
            <w:r>
              <w:rPr>
                <w:rFonts w:hint="eastAsia" w:ascii="仿宋_GB2312" w:hAnsi="宋体" w:eastAsia="仿宋_GB2312"/>
                <w:color w:val="auto"/>
                <w:kern w:val="0"/>
                <w:sz w:val="13"/>
                <w:szCs w:val="13"/>
                <w:highlight w:val="none"/>
              </w:rPr>
              <w:t>初次违法，主动消除或减轻违法行为危害后果的。</w:t>
            </w:r>
          </w:p>
        </w:tc>
        <w:tc>
          <w:tcPr>
            <w:tcW w:w="3058" w:type="dxa"/>
            <w:tcBorders>
              <w:tl2br w:val="nil"/>
              <w:tr2bl w:val="nil"/>
            </w:tcBorders>
            <w:tcMar>
              <w:top w:w="15" w:type="dxa"/>
              <w:left w:w="15" w:type="dxa"/>
              <w:bottom w:w="15" w:type="dxa"/>
              <w:right w:w="15" w:type="dxa"/>
            </w:tcMar>
            <w:vAlign w:val="center"/>
          </w:tcPr>
          <w:p w14:paraId="126F314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Times New Roman"/>
                <w:color w:val="auto"/>
                <w:sz w:val="13"/>
                <w:szCs w:val="13"/>
                <w:highlight w:val="none"/>
              </w:rPr>
            </w:pPr>
            <w:r>
              <w:rPr>
                <w:rFonts w:hint="eastAsia" w:ascii="仿宋_GB2312" w:hAnsi="宋体" w:eastAsia="仿宋_GB2312" w:cs="Times New Roman"/>
                <w:color w:val="auto"/>
                <w:kern w:val="0"/>
                <w:sz w:val="13"/>
                <w:szCs w:val="13"/>
                <w:highlight w:val="none"/>
              </w:rPr>
              <w:t>责令改正，处</w:t>
            </w:r>
            <w:r>
              <w:rPr>
                <w:rFonts w:ascii="仿宋_GB2312" w:hAnsi="宋体" w:eastAsia="仿宋_GB2312" w:cs="Times New Roman"/>
                <w:color w:val="auto"/>
                <w:kern w:val="0"/>
                <w:sz w:val="13"/>
                <w:szCs w:val="13"/>
                <w:highlight w:val="none"/>
              </w:rPr>
              <w:t>10</w:t>
            </w:r>
            <w:r>
              <w:rPr>
                <w:rFonts w:hint="eastAsia" w:ascii="仿宋_GB2312" w:hAnsi="宋体" w:eastAsia="仿宋_GB2312" w:cs="Times New Roman"/>
                <w:color w:val="auto"/>
                <w:kern w:val="0"/>
                <w:sz w:val="13"/>
                <w:szCs w:val="13"/>
                <w:highlight w:val="none"/>
              </w:rPr>
              <w:t>万元罚款，对单位直接负责的主管人员和其他直接责任人员处单位罚款数额百分之五的罚款。</w:t>
            </w:r>
          </w:p>
        </w:tc>
      </w:tr>
      <w:tr w14:paraId="2B4E858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462" w:hRule="atLeast"/>
          <w:jc w:val="center"/>
        </w:trPr>
        <w:tc>
          <w:tcPr>
            <w:tcW w:w="443" w:type="dxa"/>
            <w:gridSpan w:val="2"/>
            <w:vMerge w:val="continue"/>
            <w:tcBorders>
              <w:tl2br w:val="nil"/>
              <w:tr2bl w:val="nil"/>
            </w:tcBorders>
            <w:vAlign w:val="center"/>
          </w:tcPr>
          <w:p w14:paraId="1FB89AA8">
            <w:pPr>
              <w:pStyle w:val="37"/>
              <w:keepNext w:val="0"/>
              <w:keepLines w:val="0"/>
              <w:pageBreakBefore w:val="0"/>
              <w:widowControl/>
              <w:numPr>
                <w:ilvl w:val="0"/>
                <w:numId w:val="4"/>
              </w:numPr>
              <w:kinsoku/>
              <w:overflowPunct/>
              <w:topLinePunct w:val="0"/>
              <w:autoSpaceDE/>
              <w:autoSpaceDN/>
              <w:bidi w:val="0"/>
              <w:adjustRightInd/>
              <w:snapToGrid/>
              <w:spacing w:beforeAutospacing="0" w:afterAutospacing="0" w:line="260" w:lineRule="exact"/>
              <w:ind w:left="0" w:leftChars="0" w:right="0" w:rightChars="0" w:firstLineChars="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4CF355F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rPr>
                <w:rFonts w:ascii="仿宋_GB2312" w:hAnsi="宋体" w:eastAsia="仿宋_GB2312" w:cs="Times New Roman"/>
                <w:color w:val="auto"/>
                <w:sz w:val="13"/>
                <w:szCs w:val="13"/>
                <w:highlight w:val="none"/>
              </w:rPr>
            </w:pPr>
          </w:p>
        </w:tc>
        <w:tc>
          <w:tcPr>
            <w:tcW w:w="4820" w:type="dxa"/>
            <w:vMerge w:val="continue"/>
            <w:tcBorders>
              <w:tl2br w:val="nil"/>
              <w:tr2bl w:val="nil"/>
            </w:tcBorders>
            <w:vAlign w:val="center"/>
          </w:tcPr>
          <w:p w14:paraId="4A7A582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Times New Roman"/>
                <w:color w:val="auto"/>
                <w:kern w:val="0"/>
                <w:sz w:val="13"/>
                <w:szCs w:val="13"/>
                <w:highlight w:val="none"/>
              </w:rPr>
            </w:pPr>
          </w:p>
        </w:tc>
        <w:tc>
          <w:tcPr>
            <w:tcW w:w="823" w:type="dxa"/>
            <w:tcBorders>
              <w:tl2br w:val="nil"/>
              <w:tr2bl w:val="nil"/>
            </w:tcBorders>
            <w:tcMar>
              <w:top w:w="15" w:type="dxa"/>
              <w:left w:w="15" w:type="dxa"/>
              <w:bottom w:w="15" w:type="dxa"/>
              <w:right w:w="15" w:type="dxa"/>
            </w:tcMar>
            <w:vAlign w:val="center"/>
          </w:tcPr>
          <w:p w14:paraId="5D36530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Times New Roman"/>
                <w:color w:val="auto"/>
                <w:sz w:val="13"/>
                <w:szCs w:val="13"/>
                <w:highlight w:val="none"/>
                <w:lang w:eastAsia="zh-CN"/>
              </w:rPr>
            </w:pPr>
            <w:r>
              <w:rPr>
                <w:rFonts w:hint="eastAsia" w:ascii="仿宋_GB2312" w:hAnsi="宋体" w:eastAsia="仿宋_GB2312"/>
                <w:color w:val="auto"/>
                <w:kern w:val="0"/>
                <w:sz w:val="13"/>
                <w:szCs w:val="13"/>
                <w:highlight w:val="none"/>
                <w:lang w:eastAsia="zh-CN"/>
              </w:rPr>
              <w:t>一般情节</w:t>
            </w:r>
          </w:p>
        </w:tc>
        <w:tc>
          <w:tcPr>
            <w:tcW w:w="3437" w:type="dxa"/>
            <w:gridSpan w:val="2"/>
            <w:tcBorders>
              <w:tl2br w:val="nil"/>
              <w:tr2bl w:val="nil"/>
            </w:tcBorders>
            <w:tcMar>
              <w:top w:w="15" w:type="dxa"/>
              <w:left w:w="15" w:type="dxa"/>
              <w:bottom w:w="15" w:type="dxa"/>
              <w:right w:w="15" w:type="dxa"/>
            </w:tcMar>
            <w:vAlign w:val="center"/>
          </w:tcPr>
          <w:p w14:paraId="608BA6A7">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Times New Roman"/>
                <w:color w:val="auto"/>
                <w:sz w:val="13"/>
                <w:szCs w:val="13"/>
                <w:highlight w:val="none"/>
              </w:rPr>
            </w:pPr>
            <w:r>
              <w:rPr>
                <w:rFonts w:hint="eastAsia" w:ascii="仿宋_GB2312" w:hAnsi="宋体" w:eastAsia="仿宋_GB2312"/>
                <w:color w:val="auto"/>
                <w:sz w:val="13"/>
                <w:szCs w:val="13"/>
                <w:highlight w:val="none"/>
              </w:rPr>
              <w:t>未造成质量事故，不具有从轻、</w:t>
            </w:r>
            <w:r>
              <w:rPr>
                <w:rFonts w:hint="eastAsia" w:ascii="仿宋_GB2312" w:hAnsi="宋体" w:eastAsia="仿宋_GB2312"/>
                <w:color w:val="auto"/>
                <w:sz w:val="13"/>
                <w:szCs w:val="13"/>
                <w:highlight w:val="none"/>
                <w:lang w:eastAsia="zh-CN"/>
              </w:rPr>
              <w:t>从重情节</w:t>
            </w:r>
            <w:r>
              <w:rPr>
                <w:rFonts w:hint="eastAsia" w:ascii="仿宋_GB2312" w:hAnsi="宋体" w:eastAsia="仿宋_GB2312"/>
                <w:color w:val="auto"/>
                <w:sz w:val="13"/>
                <w:szCs w:val="13"/>
                <w:highlight w:val="none"/>
              </w:rPr>
              <w:t>的。</w:t>
            </w:r>
          </w:p>
        </w:tc>
        <w:tc>
          <w:tcPr>
            <w:tcW w:w="3058" w:type="dxa"/>
            <w:tcBorders>
              <w:tl2br w:val="nil"/>
              <w:tr2bl w:val="nil"/>
            </w:tcBorders>
            <w:tcMar>
              <w:top w:w="15" w:type="dxa"/>
              <w:left w:w="15" w:type="dxa"/>
              <w:bottom w:w="15" w:type="dxa"/>
              <w:right w:w="15" w:type="dxa"/>
            </w:tcMar>
            <w:vAlign w:val="center"/>
          </w:tcPr>
          <w:p w14:paraId="4FADAA24">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Times New Roman"/>
                <w:strike/>
                <w:color w:val="auto"/>
                <w:sz w:val="13"/>
                <w:szCs w:val="13"/>
                <w:highlight w:val="none"/>
              </w:rPr>
            </w:pPr>
            <w:r>
              <w:rPr>
                <w:rFonts w:hint="eastAsia" w:ascii="仿宋_GB2312" w:hAnsi="宋体" w:eastAsia="仿宋_GB2312" w:cs="Times New Roman"/>
                <w:color w:val="auto"/>
                <w:kern w:val="0"/>
                <w:sz w:val="13"/>
                <w:szCs w:val="13"/>
                <w:highlight w:val="none"/>
              </w:rPr>
              <w:t>责令改正，处10万元以上15万元以下的罚款，对单位直接负责的主管人员和其他直接责任人员处单位罚款数额百分</w:t>
            </w:r>
            <w:r>
              <w:rPr>
                <w:rFonts w:ascii="仿宋_GB2312" w:hAnsi="宋体" w:eastAsia="仿宋_GB2312" w:cs="Times New Roman"/>
                <w:color w:val="auto"/>
                <w:kern w:val="0"/>
                <w:sz w:val="13"/>
                <w:szCs w:val="13"/>
                <w:highlight w:val="none"/>
              </w:rPr>
              <w:t>之五</w:t>
            </w:r>
            <w:r>
              <w:rPr>
                <w:rFonts w:hint="eastAsia" w:ascii="仿宋_GB2312" w:hAnsi="宋体" w:eastAsia="仿宋_GB2312" w:cs="Times New Roman"/>
                <w:color w:val="auto"/>
                <w:kern w:val="0"/>
                <w:sz w:val="13"/>
                <w:szCs w:val="13"/>
                <w:highlight w:val="none"/>
              </w:rPr>
              <w:t>以上百分</w:t>
            </w:r>
            <w:r>
              <w:rPr>
                <w:rFonts w:ascii="仿宋_GB2312" w:hAnsi="宋体" w:eastAsia="仿宋_GB2312" w:cs="Times New Roman"/>
                <w:color w:val="auto"/>
                <w:kern w:val="0"/>
                <w:sz w:val="13"/>
                <w:szCs w:val="13"/>
                <w:highlight w:val="none"/>
              </w:rPr>
              <w:t>之</w:t>
            </w:r>
            <w:r>
              <w:rPr>
                <w:rFonts w:hint="eastAsia" w:ascii="仿宋_GB2312" w:hAnsi="宋体" w:eastAsia="仿宋_GB2312" w:cs="Times New Roman"/>
                <w:color w:val="auto"/>
                <w:kern w:val="0"/>
                <w:sz w:val="13"/>
                <w:szCs w:val="13"/>
                <w:highlight w:val="none"/>
              </w:rPr>
              <w:t>七以下的罚款。</w:t>
            </w:r>
          </w:p>
        </w:tc>
      </w:tr>
      <w:tr w14:paraId="295FA59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519" w:hRule="atLeast"/>
          <w:jc w:val="center"/>
        </w:trPr>
        <w:tc>
          <w:tcPr>
            <w:tcW w:w="443" w:type="dxa"/>
            <w:gridSpan w:val="2"/>
            <w:vMerge w:val="continue"/>
            <w:tcBorders>
              <w:tl2br w:val="nil"/>
              <w:tr2bl w:val="nil"/>
            </w:tcBorders>
            <w:vAlign w:val="center"/>
          </w:tcPr>
          <w:p w14:paraId="5F0A96C5">
            <w:pPr>
              <w:pStyle w:val="37"/>
              <w:keepNext w:val="0"/>
              <w:keepLines w:val="0"/>
              <w:pageBreakBefore w:val="0"/>
              <w:widowControl/>
              <w:numPr>
                <w:ilvl w:val="0"/>
                <w:numId w:val="4"/>
              </w:numPr>
              <w:kinsoku/>
              <w:overflowPunct/>
              <w:topLinePunct w:val="0"/>
              <w:autoSpaceDE/>
              <w:autoSpaceDN/>
              <w:bidi w:val="0"/>
              <w:adjustRightInd/>
              <w:snapToGrid/>
              <w:spacing w:beforeAutospacing="0" w:afterAutospacing="0" w:line="260" w:lineRule="exact"/>
              <w:ind w:left="0" w:leftChars="0" w:right="0" w:rightChars="0" w:firstLineChars="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2265C0B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rPr>
                <w:rFonts w:ascii="仿宋_GB2312" w:hAnsi="宋体" w:eastAsia="仿宋_GB2312" w:cs="Times New Roman"/>
                <w:color w:val="auto"/>
                <w:sz w:val="13"/>
                <w:szCs w:val="13"/>
                <w:highlight w:val="none"/>
              </w:rPr>
            </w:pPr>
          </w:p>
        </w:tc>
        <w:tc>
          <w:tcPr>
            <w:tcW w:w="4820" w:type="dxa"/>
            <w:vMerge w:val="continue"/>
            <w:tcBorders>
              <w:tl2br w:val="nil"/>
              <w:tr2bl w:val="nil"/>
            </w:tcBorders>
            <w:vAlign w:val="center"/>
          </w:tcPr>
          <w:p w14:paraId="7FC20D3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Times New Roman"/>
                <w:color w:val="auto"/>
                <w:kern w:val="0"/>
                <w:sz w:val="13"/>
                <w:szCs w:val="13"/>
                <w:highlight w:val="none"/>
              </w:rPr>
            </w:pPr>
          </w:p>
        </w:tc>
        <w:tc>
          <w:tcPr>
            <w:tcW w:w="823" w:type="dxa"/>
            <w:vMerge w:val="restart"/>
            <w:tcBorders>
              <w:tl2br w:val="nil"/>
              <w:tr2bl w:val="nil"/>
            </w:tcBorders>
            <w:tcMar>
              <w:top w:w="15" w:type="dxa"/>
              <w:left w:w="15" w:type="dxa"/>
              <w:bottom w:w="15" w:type="dxa"/>
              <w:right w:w="15" w:type="dxa"/>
            </w:tcMar>
            <w:vAlign w:val="center"/>
          </w:tcPr>
          <w:p w14:paraId="0FCDDAD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Times New Roman"/>
                <w:color w:val="auto"/>
                <w:sz w:val="13"/>
                <w:szCs w:val="13"/>
                <w:highlight w:val="none"/>
                <w:lang w:eastAsia="zh-CN"/>
              </w:rPr>
            </w:pPr>
            <w:r>
              <w:rPr>
                <w:rFonts w:hint="eastAsia" w:ascii="仿宋_GB2312" w:hAnsi="宋体" w:eastAsia="仿宋_GB2312"/>
                <w:color w:val="auto"/>
                <w:kern w:val="0"/>
                <w:sz w:val="13"/>
                <w:szCs w:val="13"/>
                <w:highlight w:val="none"/>
                <w:lang w:eastAsia="zh-CN"/>
              </w:rPr>
              <w:t>从重情节</w:t>
            </w:r>
          </w:p>
        </w:tc>
        <w:tc>
          <w:tcPr>
            <w:tcW w:w="3437" w:type="dxa"/>
            <w:gridSpan w:val="2"/>
            <w:tcBorders>
              <w:tl2br w:val="nil"/>
              <w:tr2bl w:val="nil"/>
            </w:tcBorders>
            <w:tcMar>
              <w:top w:w="15" w:type="dxa"/>
              <w:left w:w="15" w:type="dxa"/>
              <w:bottom w:w="15" w:type="dxa"/>
              <w:right w:w="15" w:type="dxa"/>
            </w:tcMar>
            <w:vAlign w:val="center"/>
          </w:tcPr>
          <w:p w14:paraId="463710B8">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Times New Roman"/>
                <w:strike/>
                <w:color w:val="auto"/>
                <w:sz w:val="13"/>
                <w:szCs w:val="13"/>
                <w:highlight w:val="none"/>
              </w:rPr>
            </w:pPr>
            <w:r>
              <w:rPr>
                <w:rFonts w:hint="eastAsia" w:ascii="仿宋_GB2312" w:hAnsi="宋体" w:eastAsia="仿宋_GB2312"/>
                <w:color w:val="auto"/>
                <w:kern w:val="0"/>
                <w:sz w:val="13"/>
                <w:szCs w:val="13"/>
                <w:highlight w:val="none"/>
              </w:rPr>
              <w:t>（1）造成</w:t>
            </w:r>
            <w:r>
              <w:rPr>
                <w:rFonts w:ascii="仿宋_GB2312" w:hAnsi="宋体" w:eastAsia="仿宋_GB2312"/>
                <w:color w:val="auto"/>
                <w:kern w:val="0"/>
                <w:sz w:val="13"/>
                <w:szCs w:val="13"/>
                <w:highlight w:val="none"/>
              </w:rPr>
              <w:t>3</w:t>
            </w:r>
            <w:r>
              <w:rPr>
                <w:rFonts w:hint="eastAsia" w:ascii="仿宋_GB2312" w:hAnsi="宋体" w:eastAsia="仿宋_GB2312"/>
                <w:color w:val="auto"/>
                <w:kern w:val="0"/>
                <w:sz w:val="13"/>
                <w:szCs w:val="13"/>
                <w:highlight w:val="none"/>
              </w:rPr>
              <w:t>人以下死亡，或者</w:t>
            </w:r>
            <w:r>
              <w:rPr>
                <w:rFonts w:ascii="仿宋_GB2312" w:hAnsi="宋体" w:eastAsia="仿宋_GB2312"/>
                <w:color w:val="auto"/>
                <w:kern w:val="0"/>
                <w:sz w:val="13"/>
                <w:szCs w:val="13"/>
                <w:highlight w:val="none"/>
              </w:rPr>
              <w:t>10</w:t>
            </w:r>
            <w:r>
              <w:rPr>
                <w:rFonts w:hint="eastAsia" w:ascii="仿宋_GB2312" w:hAnsi="宋体" w:eastAsia="仿宋_GB2312"/>
                <w:color w:val="auto"/>
                <w:kern w:val="0"/>
                <w:sz w:val="13"/>
                <w:szCs w:val="13"/>
                <w:highlight w:val="none"/>
              </w:rPr>
              <w:t>人以下重伤，或者100万以上</w:t>
            </w:r>
            <w:r>
              <w:rPr>
                <w:rFonts w:ascii="仿宋_GB2312" w:hAnsi="宋体" w:eastAsia="仿宋_GB2312"/>
                <w:color w:val="auto"/>
                <w:kern w:val="0"/>
                <w:sz w:val="13"/>
                <w:szCs w:val="13"/>
                <w:highlight w:val="none"/>
              </w:rPr>
              <w:t>1000</w:t>
            </w:r>
            <w:r>
              <w:rPr>
                <w:rFonts w:hint="eastAsia" w:ascii="仿宋_GB2312" w:hAnsi="宋体" w:eastAsia="仿宋_GB2312"/>
                <w:color w:val="auto"/>
                <w:kern w:val="0"/>
                <w:sz w:val="13"/>
                <w:szCs w:val="13"/>
                <w:highlight w:val="none"/>
              </w:rPr>
              <w:t>万元以下直接经济损失的。</w:t>
            </w:r>
          </w:p>
        </w:tc>
        <w:tc>
          <w:tcPr>
            <w:tcW w:w="3058" w:type="dxa"/>
            <w:tcBorders>
              <w:tl2br w:val="nil"/>
              <w:tr2bl w:val="nil"/>
            </w:tcBorders>
            <w:tcMar>
              <w:top w:w="15" w:type="dxa"/>
              <w:left w:w="15" w:type="dxa"/>
              <w:bottom w:w="15" w:type="dxa"/>
              <w:right w:w="15" w:type="dxa"/>
            </w:tcMar>
            <w:vAlign w:val="center"/>
          </w:tcPr>
          <w:p w14:paraId="340AC92F">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Times New Roman"/>
                <w:strike/>
                <w:color w:val="auto"/>
                <w:sz w:val="13"/>
                <w:szCs w:val="13"/>
                <w:highlight w:val="none"/>
              </w:rPr>
            </w:pPr>
            <w:r>
              <w:rPr>
                <w:rFonts w:hint="eastAsia" w:ascii="仿宋_GB2312" w:hAnsi="宋体" w:eastAsia="仿宋_GB2312" w:cs="Times New Roman"/>
                <w:color w:val="auto"/>
                <w:kern w:val="0"/>
                <w:sz w:val="13"/>
                <w:szCs w:val="13"/>
                <w:highlight w:val="none"/>
              </w:rPr>
              <w:t>责令改正，处1</w:t>
            </w:r>
            <w:r>
              <w:rPr>
                <w:rFonts w:ascii="仿宋_GB2312" w:hAnsi="宋体" w:eastAsia="仿宋_GB2312" w:cs="Times New Roman"/>
                <w:color w:val="auto"/>
                <w:kern w:val="0"/>
                <w:sz w:val="13"/>
                <w:szCs w:val="13"/>
                <w:highlight w:val="none"/>
              </w:rPr>
              <w:t>5</w:t>
            </w:r>
            <w:r>
              <w:rPr>
                <w:rFonts w:hint="eastAsia" w:ascii="仿宋_GB2312" w:hAnsi="宋体" w:eastAsia="仿宋_GB2312" w:cs="Times New Roman"/>
                <w:color w:val="auto"/>
                <w:kern w:val="0"/>
                <w:sz w:val="13"/>
                <w:szCs w:val="13"/>
                <w:highlight w:val="none"/>
              </w:rPr>
              <w:t>万元以上</w:t>
            </w:r>
            <w:r>
              <w:rPr>
                <w:rFonts w:ascii="仿宋_GB2312" w:hAnsi="宋体" w:eastAsia="仿宋_GB2312" w:cs="Times New Roman"/>
                <w:color w:val="auto"/>
                <w:kern w:val="0"/>
                <w:sz w:val="13"/>
                <w:szCs w:val="13"/>
                <w:highlight w:val="none"/>
              </w:rPr>
              <w:t>17</w:t>
            </w:r>
            <w:r>
              <w:rPr>
                <w:rFonts w:hint="eastAsia" w:ascii="仿宋_GB2312" w:hAnsi="宋体" w:eastAsia="仿宋_GB2312" w:cs="Times New Roman"/>
                <w:color w:val="auto"/>
                <w:kern w:val="0"/>
                <w:sz w:val="13"/>
                <w:szCs w:val="13"/>
                <w:highlight w:val="none"/>
              </w:rPr>
              <w:t>万元以下的罚款，对单位直接负责的主管人员和其他直接责任人员处单位罚款数额百分</w:t>
            </w:r>
            <w:r>
              <w:rPr>
                <w:rFonts w:ascii="仿宋_GB2312" w:hAnsi="宋体" w:eastAsia="仿宋_GB2312" w:cs="Times New Roman"/>
                <w:color w:val="auto"/>
                <w:kern w:val="0"/>
                <w:sz w:val="13"/>
                <w:szCs w:val="13"/>
                <w:highlight w:val="none"/>
              </w:rPr>
              <w:t>之七</w:t>
            </w:r>
            <w:r>
              <w:rPr>
                <w:rFonts w:hint="eastAsia" w:ascii="仿宋_GB2312" w:hAnsi="宋体" w:eastAsia="仿宋_GB2312" w:cs="Times New Roman"/>
                <w:color w:val="auto"/>
                <w:kern w:val="0"/>
                <w:sz w:val="13"/>
                <w:szCs w:val="13"/>
                <w:highlight w:val="none"/>
              </w:rPr>
              <w:t>以上百分之八以下的罚款，责令停业整顿</w:t>
            </w:r>
            <w:r>
              <w:rPr>
                <w:rFonts w:hint="eastAsia" w:ascii="仿宋_GB2312" w:hAnsi="宋体" w:eastAsia="仿宋_GB2312" w:cs="Times New Roman"/>
                <w:color w:val="auto"/>
                <w:kern w:val="0"/>
                <w:sz w:val="13"/>
                <w:szCs w:val="13"/>
                <w:highlight w:val="none"/>
                <w:lang w:eastAsia="zh-CN"/>
              </w:rPr>
              <w:t>30日-</w:t>
            </w:r>
            <w:r>
              <w:rPr>
                <w:rFonts w:ascii="仿宋_GB2312" w:hAnsi="宋体" w:eastAsia="仿宋_GB2312" w:cs="Times New Roman"/>
                <w:color w:val="auto"/>
                <w:kern w:val="0"/>
                <w:sz w:val="13"/>
                <w:szCs w:val="13"/>
                <w:highlight w:val="none"/>
              </w:rPr>
              <w:t>60日</w:t>
            </w:r>
            <w:r>
              <w:rPr>
                <w:rFonts w:hint="eastAsia" w:ascii="仿宋_GB2312" w:hAnsi="宋体" w:eastAsia="仿宋_GB2312" w:cs="Times New Roman"/>
                <w:color w:val="auto"/>
                <w:kern w:val="0"/>
                <w:sz w:val="13"/>
                <w:szCs w:val="13"/>
                <w:highlight w:val="none"/>
              </w:rPr>
              <w:t>。</w:t>
            </w:r>
          </w:p>
        </w:tc>
      </w:tr>
      <w:tr w14:paraId="010EC2C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403" w:hRule="atLeast"/>
          <w:jc w:val="center"/>
        </w:trPr>
        <w:tc>
          <w:tcPr>
            <w:tcW w:w="443" w:type="dxa"/>
            <w:gridSpan w:val="2"/>
            <w:vMerge w:val="continue"/>
            <w:tcBorders>
              <w:tl2br w:val="nil"/>
              <w:tr2bl w:val="nil"/>
            </w:tcBorders>
            <w:vAlign w:val="center"/>
          </w:tcPr>
          <w:p w14:paraId="69F1DAFC">
            <w:pPr>
              <w:pStyle w:val="37"/>
              <w:keepNext w:val="0"/>
              <w:keepLines w:val="0"/>
              <w:pageBreakBefore w:val="0"/>
              <w:widowControl/>
              <w:numPr>
                <w:ilvl w:val="0"/>
                <w:numId w:val="4"/>
              </w:numPr>
              <w:kinsoku/>
              <w:overflowPunct/>
              <w:topLinePunct w:val="0"/>
              <w:autoSpaceDE/>
              <w:autoSpaceDN/>
              <w:bidi w:val="0"/>
              <w:adjustRightInd/>
              <w:snapToGrid/>
              <w:spacing w:beforeAutospacing="0" w:afterAutospacing="0" w:line="260" w:lineRule="exact"/>
              <w:ind w:left="0" w:leftChars="0" w:right="0" w:rightChars="0" w:firstLineChars="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40004B3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rPr>
                <w:rFonts w:ascii="仿宋_GB2312" w:hAnsi="宋体" w:eastAsia="仿宋_GB2312" w:cs="Times New Roman"/>
                <w:color w:val="auto"/>
                <w:sz w:val="13"/>
                <w:szCs w:val="13"/>
                <w:highlight w:val="none"/>
              </w:rPr>
            </w:pPr>
          </w:p>
        </w:tc>
        <w:tc>
          <w:tcPr>
            <w:tcW w:w="4820" w:type="dxa"/>
            <w:vMerge w:val="continue"/>
            <w:tcBorders>
              <w:tl2br w:val="nil"/>
              <w:tr2bl w:val="nil"/>
            </w:tcBorders>
            <w:vAlign w:val="center"/>
          </w:tcPr>
          <w:p w14:paraId="2B5146F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Times New Roman"/>
                <w:color w:val="auto"/>
                <w:kern w:val="0"/>
                <w:sz w:val="13"/>
                <w:szCs w:val="13"/>
                <w:highlight w:val="none"/>
              </w:rPr>
            </w:pPr>
          </w:p>
        </w:tc>
        <w:tc>
          <w:tcPr>
            <w:tcW w:w="823" w:type="dxa"/>
            <w:vMerge w:val="continue"/>
            <w:tcBorders>
              <w:tl2br w:val="nil"/>
              <w:tr2bl w:val="nil"/>
            </w:tcBorders>
            <w:tcMar>
              <w:top w:w="15" w:type="dxa"/>
              <w:left w:w="15" w:type="dxa"/>
              <w:bottom w:w="15" w:type="dxa"/>
              <w:right w:w="15" w:type="dxa"/>
            </w:tcMar>
            <w:vAlign w:val="center"/>
          </w:tcPr>
          <w:p w14:paraId="69B9B6C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Times New Roman"/>
                <w:color w:val="auto"/>
                <w:kern w:val="0"/>
                <w:sz w:val="13"/>
                <w:szCs w:val="13"/>
                <w:highlight w:val="none"/>
              </w:rPr>
            </w:pPr>
          </w:p>
        </w:tc>
        <w:tc>
          <w:tcPr>
            <w:tcW w:w="3437" w:type="dxa"/>
            <w:gridSpan w:val="2"/>
            <w:tcBorders>
              <w:tl2br w:val="nil"/>
              <w:tr2bl w:val="nil"/>
            </w:tcBorders>
            <w:tcMar>
              <w:top w:w="15" w:type="dxa"/>
              <w:left w:w="15" w:type="dxa"/>
              <w:bottom w:w="15" w:type="dxa"/>
              <w:right w:w="15" w:type="dxa"/>
            </w:tcMar>
            <w:vAlign w:val="center"/>
          </w:tcPr>
          <w:p w14:paraId="772C35E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Times New Roman"/>
                <w:color w:val="auto"/>
                <w:sz w:val="13"/>
                <w:szCs w:val="13"/>
                <w:highlight w:val="none"/>
              </w:rPr>
            </w:pPr>
            <w:r>
              <w:rPr>
                <w:rFonts w:hint="eastAsia" w:ascii="仿宋_GB2312" w:hAnsi="宋体" w:eastAsia="仿宋_GB2312"/>
                <w:color w:val="auto"/>
                <w:sz w:val="13"/>
                <w:szCs w:val="13"/>
                <w:highlight w:val="none"/>
              </w:rPr>
              <w:t>（2）</w:t>
            </w:r>
            <w:r>
              <w:rPr>
                <w:rFonts w:hint="eastAsia" w:ascii="仿宋" w:hAnsi="仿宋" w:eastAsia="仿宋"/>
                <w:color w:val="auto"/>
                <w:sz w:val="13"/>
                <w:szCs w:val="13"/>
                <w:highlight w:val="none"/>
              </w:rPr>
              <w:t>①</w:t>
            </w:r>
            <w:r>
              <w:rPr>
                <w:rFonts w:hint="eastAsia" w:ascii="仿宋_GB2312" w:hAnsi="宋体" w:eastAsia="仿宋_GB2312"/>
                <w:color w:val="auto"/>
                <w:sz w:val="13"/>
                <w:szCs w:val="13"/>
                <w:highlight w:val="none"/>
              </w:rPr>
              <w:t>造成较大质量事故（3人以上5人以下死亡，或者10人以上20人以下重伤，或者1000万元以上2000万元以下直接经济损失）的；</w:t>
            </w:r>
            <w:r>
              <w:rPr>
                <w:rFonts w:hint="eastAsia" w:ascii="仿宋" w:hAnsi="仿宋" w:eastAsia="仿宋"/>
                <w:color w:val="auto"/>
                <w:sz w:val="13"/>
                <w:szCs w:val="13"/>
                <w:highlight w:val="none"/>
              </w:rPr>
              <w:t>②</w:t>
            </w:r>
            <w:r>
              <w:rPr>
                <w:rFonts w:hint="eastAsia" w:ascii="仿宋_GB2312" w:hAnsi="宋体" w:eastAsia="仿宋_GB2312"/>
                <w:color w:val="auto"/>
                <w:sz w:val="13"/>
                <w:szCs w:val="13"/>
                <w:highlight w:val="none"/>
              </w:rPr>
              <w:t>造成重要的检验批达不到设计要求的。</w:t>
            </w:r>
          </w:p>
        </w:tc>
        <w:tc>
          <w:tcPr>
            <w:tcW w:w="3058" w:type="dxa"/>
            <w:tcBorders>
              <w:tl2br w:val="nil"/>
              <w:tr2bl w:val="nil"/>
            </w:tcBorders>
            <w:tcMar>
              <w:top w:w="15" w:type="dxa"/>
              <w:left w:w="15" w:type="dxa"/>
              <w:bottom w:w="15" w:type="dxa"/>
              <w:right w:w="15" w:type="dxa"/>
            </w:tcMar>
            <w:vAlign w:val="center"/>
          </w:tcPr>
          <w:p w14:paraId="5636571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责令改正，处1</w:t>
            </w:r>
            <w:r>
              <w:rPr>
                <w:rFonts w:ascii="仿宋_GB2312" w:hAnsi="宋体" w:eastAsia="仿宋_GB2312" w:cs="Times New Roman"/>
                <w:color w:val="auto"/>
                <w:kern w:val="0"/>
                <w:sz w:val="13"/>
                <w:szCs w:val="13"/>
                <w:highlight w:val="none"/>
              </w:rPr>
              <w:t>7</w:t>
            </w:r>
            <w:r>
              <w:rPr>
                <w:rFonts w:hint="eastAsia" w:ascii="仿宋_GB2312" w:hAnsi="宋体" w:eastAsia="仿宋_GB2312" w:cs="Times New Roman"/>
                <w:color w:val="auto"/>
                <w:kern w:val="0"/>
                <w:sz w:val="13"/>
                <w:szCs w:val="13"/>
                <w:highlight w:val="none"/>
              </w:rPr>
              <w:t>万元以上</w:t>
            </w:r>
            <w:r>
              <w:rPr>
                <w:rFonts w:ascii="仿宋_GB2312" w:hAnsi="宋体" w:eastAsia="仿宋_GB2312" w:cs="Times New Roman"/>
                <w:color w:val="auto"/>
                <w:kern w:val="0"/>
                <w:sz w:val="13"/>
                <w:szCs w:val="13"/>
                <w:highlight w:val="none"/>
              </w:rPr>
              <w:t>19</w:t>
            </w:r>
            <w:r>
              <w:rPr>
                <w:rFonts w:hint="eastAsia" w:ascii="仿宋_GB2312" w:hAnsi="宋体" w:eastAsia="仿宋_GB2312" w:cs="Times New Roman"/>
                <w:color w:val="auto"/>
                <w:kern w:val="0"/>
                <w:sz w:val="13"/>
                <w:szCs w:val="13"/>
                <w:highlight w:val="none"/>
              </w:rPr>
              <w:t>万元以下的罚款，对单位直接负责的主管人员和其他直接责任人员处单位罚款数额百分</w:t>
            </w:r>
            <w:r>
              <w:rPr>
                <w:rFonts w:ascii="仿宋_GB2312" w:hAnsi="宋体" w:eastAsia="仿宋_GB2312" w:cs="Times New Roman"/>
                <w:color w:val="auto"/>
                <w:kern w:val="0"/>
                <w:sz w:val="13"/>
                <w:szCs w:val="13"/>
                <w:highlight w:val="none"/>
              </w:rPr>
              <w:t>之八</w:t>
            </w:r>
            <w:r>
              <w:rPr>
                <w:rFonts w:hint="eastAsia" w:ascii="仿宋_GB2312" w:hAnsi="宋体" w:eastAsia="仿宋_GB2312" w:cs="Times New Roman"/>
                <w:color w:val="auto"/>
                <w:kern w:val="0"/>
                <w:sz w:val="13"/>
                <w:szCs w:val="13"/>
                <w:highlight w:val="none"/>
              </w:rPr>
              <w:t>以上百分之九以下的罚款，责令停业整顿</w:t>
            </w:r>
            <w:r>
              <w:rPr>
                <w:rFonts w:hint="eastAsia" w:ascii="仿宋_GB2312" w:hAnsi="宋体" w:eastAsia="仿宋_GB2312" w:cs="Times New Roman"/>
                <w:color w:val="auto"/>
                <w:kern w:val="0"/>
                <w:sz w:val="13"/>
                <w:szCs w:val="13"/>
                <w:highlight w:val="none"/>
                <w:lang w:eastAsia="zh-CN"/>
              </w:rPr>
              <w:t>60日-</w:t>
            </w:r>
            <w:r>
              <w:rPr>
                <w:rFonts w:ascii="仿宋_GB2312" w:hAnsi="宋体" w:eastAsia="仿宋_GB2312" w:cs="Times New Roman"/>
                <w:color w:val="auto"/>
                <w:kern w:val="0"/>
                <w:sz w:val="13"/>
                <w:szCs w:val="13"/>
                <w:highlight w:val="none"/>
              </w:rPr>
              <w:t>9</w:t>
            </w:r>
            <w:r>
              <w:rPr>
                <w:rFonts w:hint="eastAsia" w:ascii="仿宋_GB2312" w:hAnsi="宋体" w:eastAsia="仿宋_GB2312" w:cs="Times New Roman"/>
                <w:color w:val="auto"/>
                <w:kern w:val="0"/>
                <w:sz w:val="13"/>
                <w:szCs w:val="13"/>
                <w:highlight w:val="none"/>
              </w:rPr>
              <w:t>0日。</w:t>
            </w:r>
          </w:p>
        </w:tc>
      </w:tr>
      <w:tr w14:paraId="408AB8A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9" w:hRule="atLeast"/>
          <w:jc w:val="center"/>
        </w:trPr>
        <w:tc>
          <w:tcPr>
            <w:tcW w:w="443" w:type="dxa"/>
            <w:gridSpan w:val="2"/>
            <w:vMerge w:val="continue"/>
            <w:tcBorders>
              <w:tl2br w:val="nil"/>
              <w:tr2bl w:val="nil"/>
            </w:tcBorders>
            <w:vAlign w:val="center"/>
          </w:tcPr>
          <w:p w14:paraId="23D086C9">
            <w:pPr>
              <w:pStyle w:val="37"/>
              <w:keepNext w:val="0"/>
              <w:keepLines w:val="0"/>
              <w:pageBreakBefore w:val="0"/>
              <w:widowControl/>
              <w:numPr>
                <w:ilvl w:val="0"/>
                <w:numId w:val="4"/>
              </w:numPr>
              <w:kinsoku/>
              <w:overflowPunct/>
              <w:topLinePunct w:val="0"/>
              <w:autoSpaceDE/>
              <w:autoSpaceDN/>
              <w:bidi w:val="0"/>
              <w:adjustRightInd/>
              <w:snapToGrid/>
              <w:spacing w:beforeAutospacing="0" w:afterAutospacing="0" w:line="260" w:lineRule="exact"/>
              <w:ind w:left="0" w:leftChars="0" w:right="0" w:rightChars="0" w:firstLineChars="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2555726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rPr>
                <w:rFonts w:ascii="仿宋_GB2312" w:hAnsi="宋体" w:eastAsia="仿宋_GB2312" w:cs="Times New Roman"/>
                <w:color w:val="auto"/>
                <w:sz w:val="13"/>
                <w:szCs w:val="13"/>
                <w:highlight w:val="none"/>
              </w:rPr>
            </w:pPr>
          </w:p>
        </w:tc>
        <w:tc>
          <w:tcPr>
            <w:tcW w:w="4820" w:type="dxa"/>
            <w:vMerge w:val="continue"/>
            <w:tcBorders>
              <w:tl2br w:val="nil"/>
              <w:tr2bl w:val="nil"/>
            </w:tcBorders>
            <w:vAlign w:val="center"/>
          </w:tcPr>
          <w:p w14:paraId="6DB26E9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Times New Roman"/>
                <w:color w:val="auto"/>
                <w:kern w:val="0"/>
                <w:sz w:val="13"/>
                <w:szCs w:val="13"/>
                <w:highlight w:val="none"/>
              </w:rPr>
            </w:pPr>
          </w:p>
        </w:tc>
        <w:tc>
          <w:tcPr>
            <w:tcW w:w="823" w:type="dxa"/>
            <w:vMerge w:val="continue"/>
            <w:tcBorders>
              <w:tl2br w:val="nil"/>
              <w:tr2bl w:val="nil"/>
            </w:tcBorders>
            <w:tcMar>
              <w:top w:w="15" w:type="dxa"/>
              <w:left w:w="15" w:type="dxa"/>
              <w:bottom w:w="15" w:type="dxa"/>
              <w:right w:w="15" w:type="dxa"/>
            </w:tcMar>
            <w:vAlign w:val="center"/>
          </w:tcPr>
          <w:p w14:paraId="6232914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Times New Roman"/>
                <w:color w:val="auto"/>
                <w:kern w:val="0"/>
                <w:sz w:val="13"/>
                <w:szCs w:val="13"/>
                <w:highlight w:val="none"/>
              </w:rPr>
            </w:pPr>
          </w:p>
        </w:tc>
        <w:tc>
          <w:tcPr>
            <w:tcW w:w="3437" w:type="dxa"/>
            <w:gridSpan w:val="2"/>
            <w:tcBorders>
              <w:tl2br w:val="nil"/>
              <w:tr2bl w:val="nil"/>
            </w:tcBorders>
            <w:tcMar>
              <w:top w:w="15" w:type="dxa"/>
              <w:left w:w="15" w:type="dxa"/>
              <w:bottom w:w="15" w:type="dxa"/>
              <w:right w:w="15" w:type="dxa"/>
            </w:tcMar>
            <w:vAlign w:val="center"/>
          </w:tcPr>
          <w:p w14:paraId="4052C5B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rPr>
                <w:rFonts w:ascii="仿宋_GB2312" w:hAnsi="宋体" w:eastAsia="仿宋_GB2312" w:cs="Times New Roman"/>
                <w:color w:val="auto"/>
                <w:kern w:val="0"/>
                <w:sz w:val="13"/>
                <w:szCs w:val="13"/>
                <w:highlight w:val="none"/>
              </w:rPr>
            </w:pPr>
            <w:r>
              <w:rPr>
                <w:rFonts w:hint="eastAsia" w:ascii="仿宋_GB2312" w:hAnsi="宋体" w:eastAsia="仿宋_GB2312"/>
                <w:color w:val="auto"/>
                <w:kern w:val="0"/>
                <w:sz w:val="13"/>
                <w:szCs w:val="13"/>
                <w:highlight w:val="none"/>
              </w:rPr>
              <w:t>（2）</w:t>
            </w:r>
            <w:r>
              <w:rPr>
                <w:rFonts w:hint="eastAsia" w:ascii="仿宋" w:hAnsi="仿宋" w:eastAsia="仿宋"/>
                <w:color w:val="auto"/>
                <w:kern w:val="0"/>
                <w:sz w:val="13"/>
                <w:szCs w:val="13"/>
                <w:highlight w:val="none"/>
              </w:rPr>
              <w:t>①</w:t>
            </w:r>
            <w:r>
              <w:rPr>
                <w:rFonts w:hint="eastAsia" w:ascii="仿宋_GB2312" w:hAnsi="宋体" w:eastAsia="仿宋_GB2312"/>
                <w:color w:val="auto"/>
                <w:kern w:val="0"/>
                <w:sz w:val="13"/>
                <w:szCs w:val="13"/>
                <w:highlight w:val="none"/>
              </w:rPr>
              <w:t>造成较大质量事故（5人以上7人以下死亡，或者20人以上30人以下重伤，或者2000万元以上3000万元以下直接经济损失）的；</w:t>
            </w:r>
            <w:r>
              <w:rPr>
                <w:rFonts w:hint="eastAsia" w:ascii="仿宋" w:hAnsi="仿宋" w:eastAsia="仿宋"/>
                <w:color w:val="auto"/>
                <w:kern w:val="0"/>
                <w:sz w:val="13"/>
                <w:szCs w:val="13"/>
                <w:highlight w:val="none"/>
              </w:rPr>
              <w:t>②</w:t>
            </w:r>
            <w:r>
              <w:rPr>
                <w:rFonts w:hint="eastAsia" w:ascii="仿宋_GB2312" w:hAnsi="宋体" w:eastAsia="仿宋_GB2312"/>
                <w:color w:val="auto"/>
                <w:kern w:val="0"/>
                <w:sz w:val="13"/>
                <w:szCs w:val="13"/>
                <w:highlight w:val="none"/>
              </w:rPr>
              <w:t>造成重要的分项工程质量不符合要求的。</w:t>
            </w:r>
          </w:p>
        </w:tc>
        <w:tc>
          <w:tcPr>
            <w:tcW w:w="3058" w:type="dxa"/>
            <w:tcBorders>
              <w:tl2br w:val="nil"/>
              <w:tr2bl w:val="nil"/>
            </w:tcBorders>
            <w:tcMar>
              <w:top w:w="15" w:type="dxa"/>
              <w:left w:w="15" w:type="dxa"/>
              <w:bottom w:w="15" w:type="dxa"/>
              <w:right w:w="15" w:type="dxa"/>
            </w:tcMar>
            <w:vAlign w:val="center"/>
          </w:tcPr>
          <w:p w14:paraId="09C0A2F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责令改正，处1</w:t>
            </w:r>
            <w:r>
              <w:rPr>
                <w:rFonts w:ascii="仿宋_GB2312" w:hAnsi="宋体" w:eastAsia="仿宋_GB2312" w:cs="Times New Roman"/>
                <w:color w:val="auto"/>
                <w:kern w:val="0"/>
                <w:sz w:val="13"/>
                <w:szCs w:val="13"/>
                <w:highlight w:val="none"/>
              </w:rPr>
              <w:t>9</w:t>
            </w:r>
            <w:r>
              <w:rPr>
                <w:rFonts w:hint="eastAsia" w:ascii="仿宋_GB2312" w:hAnsi="宋体" w:eastAsia="仿宋_GB2312" w:cs="Times New Roman"/>
                <w:color w:val="auto"/>
                <w:kern w:val="0"/>
                <w:sz w:val="13"/>
                <w:szCs w:val="13"/>
                <w:highlight w:val="none"/>
              </w:rPr>
              <w:t>万元以上20万元以下的罚款，对单位直接负责的主管人员和其他直接责任人员处单位罚款数额百分</w:t>
            </w:r>
            <w:r>
              <w:rPr>
                <w:rFonts w:ascii="仿宋_GB2312" w:hAnsi="宋体" w:eastAsia="仿宋_GB2312" w:cs="Times New Roman"/>
                <w:color w:val="auto"/>
                <w:kern w:val="0"/>
                <w:sz w:val="13"/>
                <w:szCs w:val="13"/>
                <w:highlight w:val="none"/>
              </w:rPr>
              <w:t>之</w:t>
            </w:r>
            <w:r>
              <w:rPr>
                <w:rFonts w:hint="eastAsia" w:ascii="仿宋_GB2312" w:hAnsi="宋体" w:eastAsia="仿宋_GB2312" w:cs="Times New Roman"/>
                <w:color w:val="auto"/>
                <w:kern w:val="0"/>
                <w:sz w:val="13"/>
                <w:szCs w:val="13"/>
                <w:highlight w:val="none"/>
              </w:rPr>
              <w:t>九以上百分</w:t>
            </w:r>
            <w:r>
              <w:rPr>
                <w:rFonts w:ascii="仿宋_GB2312" w:hAnsi="宋体" w:eastAsia="仿宋_GB2312" w:cs="Times New Roman"/>
                <w:color w:val="auto"/>
                <w:kern w:val="0"/>
                <w:sz w:val="13"/>
                <w:szCs w:val="13"/>
                <w:highlight w:val="none"/>
              </w:rPr>
              <w:t>之</w:t>
            </w:r>
            <w:r>
              <w:rPr>
                <w:rFonts w:hint="eastAsia" w:ascii="仿宋_GB2312" w:hAnsi="宋体" w:eastAsia="仿宋_GB2312" w:cs="Times New Roman"/>
                <w:color w:val="auto"/>
                <w:kern w:val="0"/>
                <w:sz w:val="13"/>
                <w:szCs w:val="13"/>
                <w:highlight w:val="none"/>
              </w:rPr>
              <w:t>十以下的罚款，责令停业整顿</w:t>
            </w:r>
            <w:r>
              <w:rPr>
                <w:rFonts w:hint="eastAsia" w:ascii="仿宋_GB2312" w:hAnsi="宋体" w:eastAsia="仿宋_GB2312" w:cs="Times New Roman"/>
                <w:color w:val="auto"/>
                <w:kern w:val="0"/>
                <w:sz w:val="13"/>
                <w:szCs w:val="13"/>
                <w:highlight w:val="none"/>
                <w:lang w:eastAsia="zh-CN"/>
              </w:rPr>
              <w:t>90日-</w:t>
            </w:r>
            <w:r>
              <w:rPr>
                <w:rFonts w:ascii="仿宋_GB2312" w:hAnsi="宋体" w:eastAsia="仿宋_GB2312" w:cs="Times New Roman"/>
                <w:color w:val="auto"/>
                <w:kern w:val="0"/>
                <w:sz w:val="13"/>
                <w:szCs w:val="13"/>
                <w:highlight w:val="none"/>
              </w:rPr>
              <w:t>12</w:t>
            </w:r>
            <w:r>
              <w:rPr>
                <w:rFonts w:hint="eastAsia" w:ascii="仿宋_GB2312" w:hAnsi="宋体" w:eastAsia="仿宋_GB2312" w:cs="Times New Roman"/>
                <w:color w:val="auto"/>
                <w:kern w:val="0"/>
                <w:sz w:val="13"/>
                <w:szCs w:val="13"/>
                <w:highlight w:val="none"/>
              </w:rPr>
              <w:t>0日。</w:t>
            </w:r>
          </w:p>
        </w:tc>
      </w:tr>
      <w:tr w14:paraId="734EAAC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481" w:hRule="atLeast"/>
          <w:jc w:val="center"/>
        </w:trPr>
        <w:tc>
          <w:tcPr>
            <w:tcW w:w="443" w:type="dxa"/>
            <w:gridSpan w:val="2"/>
            <w:vMerge w:val="continue"/>
            <w:tcBorders>
              <w:tl2br w:val="nil"/>
              <w:tr2bl w:val="nil"/>
            </w:tcBorders>
            <w:vAlign w:val="center"/>
          </w:tcPr>
          <w:p w14:paraId="2F688EF1">
            <w:pPr>
              <w:pStyle w:val="37"/>
              <w:keepNext w:val="0"/>
              <w:keepLines w:val="0"/>
              <w:pageBreakBefore w:val="0"/>
              <w:widowControl/>
              <w:numPr>
                <w:ilvl w:val="0"/>
                <w:numId w:val="4"/>
              </w:numPr>
              <w:kinsoku/>
              <w:overflowPunct/>
              <w:topLinePunct w:val="0"/>
              <w:autoSpaceDE/>
              <w:autoSpaceDN/>
              <w:bidi w:val="0"/>
              <w:adjustRightInd/>
              <w:snapToGrid/>
              <w:spacing w:beforeAutospacing="0" w:afterAutospacing="0" w:line="260" w:lineRule="exact"/>
              <w:ind w:left="0" w:leftChars="0" w:right="0" w:rightChars="0" w:firstLineChars="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771B158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rPr>
                <w:rFonts w:ascii="仿宋_GB2312" w:hAnsi="宋体" w:eastAsia="仿宋_GB2312" w:cs="Times New Roman"/>
                <w:color w:val="auto"/>
                <w:sz w:val="13"/>
                <w:szCs w:val="13"/>
                <w:highlight w:val="none"/>
              </w:rPr>
            </w:pPr>
          </w:p>
        </w:tc>
        <w:tc>
          <w:tcPr>
            <w:tcW w:w="4820" w:type="dxa"/>
            <w:vMerge w:val="continue"/>
            <w:tcBorders>
              <w:tl2br w:val="nil"/>
              <w:tr2bl w:val="nil"/>
            </w:tcBorders>
            <w:vAlign w:val="center"/>
          </w:tcPr>
          <w:p w14:paraId="4D2529D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Times New Roman"/>
                <w:color w:val="auto"/>
                <w:kern w:val="0"/>
                <w:sz w:val="13"/>
                <w:szCs w:val="13"/>
                <w:highlight w:val="none"/>
              </w:rPr>
            </w:pPr>
          </w:p>
        </w:tc>
        <w:tc>
          <w:tcPr>
            <w:tcW w:w="823" w:type="dxa"/>
            <w:vMerge w:val="continue"/>
            <w:tcBorders>
              <w:tl2br w:val="nil"/>
              <w:tr2bl w:val="nil"/>
            </w:tcBorders>
            <w:tcMar>
              <w:top w:w="15" w:type="dxa"/>
              <w:left w:w="15" w:type="dxa"/>
              <w:bottom w:w="15" w:type="dxa"/>
              <w:right w:w="15" w:type="dxa"/>
            </w:tcMar>
            <w:vAlign w:val="center"/>
          </w:tcPr>
          <w:p w14:paraId="31FADFE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Times New Roman"/>
                <w:color w:val="auto"/>
                <w:kern w:val="0"/>
                <w:sz w:val="13"/>
                <w:szCs w:val="13"/>
                <w:highlight w:val="none"/>
              </w:rPr>
            </w:pPr>
          </w:p>
        </w:tc>
        <w:tc>
          <w:tcPr>
            <w:tcW w:w="3437" w:type="dxa"/>
            <w:gridSpan w:val="2"/>
            <w:tcBorders>
              <w:tl2br w:val="nil"/>
              <w:tr2bl w:val="nil"/>
            </w:tcBorders>
            <w:tcMar>
              <w:top w:w="15" w:type="dxa"/>
              <w:left w:w="15" w:type="dxa"/>
              <w:bottom w:w="15" w:type="dxa"/>
              <w:right w:w="15" w:type="dxa"/>
            </w:tcMar>
            <w:vAlign w:val="center"/>
          </w:tcPr>
          <w:p w14:paraId="0D186FA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rPr>
                <w:rFonts w:ascii="仿宋_GB2312" w:hAnsi="宋体" w:eastAsia="仿宋_GB2312" w:cs="Times New Roman"/>
                <w:color w:val="auto"/>
                <w:kern w:val="0"/>
                <w:sz w:val="13"/>
                <w:szCs w:val="13"/>
                <w:highlight w:val="none"/>
              </w:rPr>
            </w:pPr>
            <w:r>
              <w:rPr>
                <w:rFonts w:hint="eastAsia" w:ascii="仿宋_GB2312" w:hAnsi="宋体" w:eastAsia="仿宋_GB2312"/>
                <w:color w:val="auto"/>
                <w:kern w:val="0"/>
                <w:sz w:val="13"/>
                <w:szCs w:val="13"/>
                <w:highlight w:val="none"/>
              </w:rPr>
              <w:t>（3）</w:t>
            </w:r>
            <w:r>
              <w:rPr>
                <w:rFonts w:hint="eastAsia" w:ascii="仿宋" w:hAnsi="仿宋" w:eastAsia="仿宋"/>
                <w:color w:val="auto"/>
                <w:kern w:val="0"/>
                <w:sz w:val="13"/>
                <w:szCs w:val="13"/>
                <w:highlight w:val="none"/>
              </w:rPr>
              <w:t>①</w:t>
            </w:r>
            <w:r>
              <w:rPr>
                <w:rFonts w:hint="eastAsia" w:ascii="仿宋_GB2312" w:hAnsi="宋体" w:eastAsia="仿宋_GB2312"/>
                <w:color w:val="auto"/>
                <w:kern w:val="0"/>
                <w:sz w:val="13"/>
                <w:szCs w:val="13"/>
                <w:highlight w:val="none"/>
              </w:rPr>
              <w:t>造成较大质量事故（7人以上10人以下死亡，或者30人以上50人以下重伤，或者3000万元以上5000万元以下直接经济损失）的；</w:t>
            </w:r>
            <w:r>
              <w:rPr>
                <w:rFonts w:hint="eastAsia" w:ascii="仿宋" w:hAnsi="仿宋" w:eastAsia="仿宋"/>
                <w:color w:val="auto"/>
                <w:kern w:val="0"/>
                <w:sz w:val="13"/>
                <w:szCs w:val="13"/>
                <w:highlight w:val="none"/>
              </w:rPr>
              <w:t>②</w:t>
            </w:r>
            <w:r>
              <w:rPr>
                <w:rFonts w:hint="eastAsia" w:ascii="仿宋_GB2312" w:hAnsi="宋体" w:eastAsia="仿宋_GB2312"/>
                <w:color w:val="auto"/>
                <w:kern w:val="0"/>
                <w:sz w:val="13"/>
                <w:szCs w:val="13"/>
                <w:highlight w:val="none"/>
              </w:rPr>
              <w:t>造成重要分部工程质量不符合要求，经返修或加固处理才能满足安全使用要求的。</w:t>
            </w:r>
          </w:p>
        </w:tc>
        <w:tc>
          <w:tcPr>
            <w:tcW w:w="3058" w:type="dxa"/>
            <w:tcBorders>
              <w:tl2br w:val="nil"/>
              <w:tr2bl w:val="nil"/>
            </w:tcBorders>
            <w:tcMar>
              <w:top w:w="15" w:type="dxa"/>
              <w:left w:w="15" w:type="dxa"/>
              <w:bottom w:w="15" w:type="dxa"/>
              <w:right w:w="15" w:type="dxa"/>
            </w:tcMar>
            <w:vAlign w:val="center"/>
          </w:tcPr>
          <w:p w14:paraId="2429D09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责令改正，处1</w:t>
            </w:r>
            <w:r>
              <w:rPr>
                <w:rFonts w:ascii="仿宋_GB2312" w:hAnsi="宋体" w:eastAsia="仿宋_GB2312" w:cs="Times New Roman"/>
                <w:color w:val="auto"/>
                <w:kern w:val="0"/>
                <w:sz w:val="13"/>
                <w:szCs w:val="13"/>
                <w:highlight w:val="none"/>
              </w:rPr>
              <w:t>9</w:t>
            </w:r>
            <w:r>
              <w:rPr>
                <w:rFonts w:hint="eastAsia" w:ascii="仿宋_GB2312" w:hAnsi="宋体" w:eastAsia="仿宋_GB2312" w:cs="Times New Roman"/>
                <w:color w:val="auto"/>
                <w:kern w:val="0"/>
                <w:sz w:val="13"/>
                <w:szCs w:val="13"/>
                <w:highlight w:val="none"/>
              </w:rPr>
              <w:t>万元以上20万元以下的罚款，对单位直接负责的主管人员和其他直接责任人员处单位罚款数额百分</w:t>
            </w:r>
            <w:r>
              <w:rPr>
                <w:rFonts w:ascii="仿宋_GB2312" w:hAnsi="宋体" w:eastAsia="仿宋_GB2312" w:cs="Times New Roman"/>
                <w:color w:val="auto"/>
                <w:kern w:val="0"/>
                <w:sz w:val="13"/>
                <w:szCs w:val="13"/>
                <w:highlight w:val="none"/>
              </w:rPr>
              <w:t>之十</w:t>
            </w:r>
            <w:r>
              <w:rPr>
                <w:rFonts w:hint="eastAsia" w:ascii="仿宋_GB2312" w:hAnsi="宋体" w:eastAsia="仿宋_GB2312" w:cs="Times New Roman"/>
                <w:color w:val="auto"/>
                <w:kern w:val="0"/>
                <w:sz w:val="13"/>
                <w:szCs w:val="13"/>
                <w:highlight w:val="none"/>
              </w:rPr>
              <w:t>的罚款，责令停业整顿</w:t>
            </w:r>
            <w:r>
              <w:rPr>
                <w:rFonts w:hint="eastAsia" w:ascii="仿宋_GB2312" w:hAnsi="宋体" w:eastAsia="仿宋_GB2312" w:cs="Times New Roman"/>
                <w:color w:val="auto"/>
                <w:kern w:val="0"/>
                <w:sz w:val="13"/>
                <w:szCs w:val="13"/>
                <w:highlight w:val="none"/>
                <w:lang w:eastAsia="zh-CN"/>
              </w:rPr>
              <w:t>120日-</w:t>
            </w:r>
            <w:r>
              <w:rPr>
                <w:rFonts w:ascii="仿宋_GB2312" w:hAnsi="宋体" w:eastAsia="仿宋_GB2312" w:cs="Times New Roman"/>
                <w:color w:val="auto"/>
                <w:kern w:val="0"/>
                <w:sz w:val="13"/>
                <w:szCs w:val="13"/>
                <w:highlight w:val="none"/>
              </w:rPr>
              <w:t>18</w:t>
            </w:r>
            <w:r>
              <w:rPr>
                <w:rFonts w:hint="eastAsia" w:ascii="仿宋_GB2312" w:hAnsi="宋体" w:eastAsia="仿宋_GB2312" w:cs="Times New Roman"/>
                <w:color w:val="auto"/>
                <w:kern w:val="0"/>
                <w:sz w:val="13"/>
                <w:szCs w:val="13"/>
                <w:highlight w:val="none"/>
              </w:rPr>
              <w:t>0日。</w:t>
            </w:r>
          </w:p>
        </w:tc>
      </w:tr>
      <w:tr w14:paraId="1F7DD93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47" w:hRule="atLeast"/>
          <w:jc w:val="center"/>
        </w:trPr>
        <w:tc>
          <w:tcPr>
            <w:tcW w:w="443" w:type="dxa"/>
            <w:gridSpan w:val="2"/>
            <w:vMerge w:val="continue"/>
            <w:tcBorders>
              <w:tl2br w:val="nil"/>
              <w:tr2bl w:val="nil"/>
            </w:tcBorders>
            <w:vAlign w:val="center"/>
          </w:tcPr>
          <w:p w14:paraId="63201CD2">
            <w:pPr>
              <w:pStyle w:val="37"/>
              <w:keepNext w:val="0"/>
              <w:keepLines w:val="0"/>
              <w:pageBreakBefore w:val="0"/>
              <w:widowControl/>
              <w:numPr>
                <w:ilvl w:val="0"/>
                <w:numId w:val="4"/>
              </w:numPr>
              <w:kinsoku/>
              <w:overflowPunct/>
              <w:topLinePunct w:val="0"/>
              <w:autoSpaceDE/>
              <w:autoSpaceDN/>
              <w:bidi w:val="0"/>
              <w:adjustRightInd/>
              <w:snapToGrid/>
              <w:spacing w:beforeAutospacing="0" w:afterAutospacing="0" w:line="260" w:lineRule="exact"/>
              <w:ind w:left="0" w:leftChars="0" w:right="0" w:rightChars="0" w:firstLineChars="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3805F8E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rPr>
                <w:rFonts w:ascii="仿宋_GB2312" w:hAnsi="宋体" w:eastAsia="仿宋_GB2312" w:cs="Times New Roman"/>
                <w:color w:val="auto"/>
                <w:sz w:val="13"/>
                <w:szCs w:val="13"/>
                <w:highlight w:val="none"/>
              </w:rPr>
            </w:pPr>
          </w:p>
        </w:tc>
        <w:tc>
          <w:tcPr>
            <w:tcW w:w="4820" w:type="dxa"/>
            <w:vMerge w:val="continue"/>
            <w:tcBorders>
              <w:tl2br w:val="nil"/>
              <w:tr2bl w:val="nil"/>
            </w:tcBorders>
            <w:vAlign w:val="center"/>
          </w:tcPr>
          <w:p w14:paraId="1840FF9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Times New Roman"/>
                <w:color w:val="auto"/>
                <w:kern w:val="0"/>
                <w:sz w:val="13"/>
                <w:szCs w:val="13"/>
                <w:highlight w:val="none"/>
              </w:rPr>
            </w:pPr>
          </w:p>
        </w:tc>
        <w:tc>
          <w:tcPr>
            <w:tcW w:w="823" w:type="dxa"/>
            <w:vMerge w:val="continue"/>
            <w:tcBorders>
              <w:tl2br w:val="nil"/>
              <w:tr2bl w:val="nil"/>
            </w:tcBorders>
            <w:tcMar>
              <w:top w:w="15" w:type="dxa"/>
              <w:left w:w="15" w:type="dxa"/>
              <w:bottom w:w="15" w:type="dxa"/>
              <w:right w:w="15" w:type="dxa"/>
            </w:tcMar>
            <w:vAlign w:val="center"/>
          </w:tcPr>
          <w:p w14:paraId="3D21F4A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Times New Roman"/>
                <w:color w:val="auto"/>
                <w:kern w:val="0"/>
                <w:sz w:val="13"/>
                <w:szCs w:val="13"/>
                <w:highlight w:val="none"/>
              </w:rPr>
            </w:pPr>
          </w:p>
        </w:tc>
        <w:tc>
          <w:tcPr>
            <w:tcW w:w="3437" w:type="dxa"/>
            <w:gridSpan w:val="2"/>
            <w:tcBorders>
              <w:tl2br w:val="nil"/>
              <w:tr2bl w:val="nil"/>
            </w:tcBorders>
            <w:tcMar>
              <w:top w:w="15" w:type="dxa"/>
              <w:left w:w="15" w:type="dxa"/>
              <w:bottom w:w="15" w:type="dxa"/>
              <w:right w:w="15" w:type="dxa"/>
            </w:tcMar>
            <w:vAlign w:val="center"/>
          </w:tcPr>
          <w:p w14:paraId="705C6DE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olor w:val="auto"/>
                <w:kern w:val="0"/>
                <w:sz w:val="13"/>
                <w:szCs w:val="13"/>
                <w:highlight w:val="none"/>
              </w:rPr>
              <w:t>（4）造成重大质量事故的；</w:t>
            </w:r>
            <w:r>
              <w:rPr>
                <w:rFonts w:hint="eastAsia" w:ascii="仿宋_GB2312" w:hAnsi="宋体" w:eastAsia="仿宋_GB2312"/>
                <w:color w:val="auto"/>
                <w:kern w:val="0"/>
                <w:sz w:val="13"/>
                <w:szCs w:val="13"/>
                <w:highlight w:val="none"/>
                <w:lang w:val="en-US" w:eastAsia="zh-CN"/>
              </w:rPr>
              <w:t>或</w:t>
            </w:r>
            <w:r>
              <w:rPr>
                <w:rFonts w:hint="eastAsia" w:ascii="仿宋_GB2312" w:hAnsi="宋体" w:eastAsia="仿宋_GB2312"/>
                <w:color w:val="auto"/>
                <w:kern w:val="0"/>
                <w:sz w:val="13"/>
                <w:szCs w:val="13"/>
                <w:highlight w:val="none"/>
              </w:rPr>
              <w:t>造成分部工程存在严重缺陷，经返修和加固处理仍不能满足安全使用要求的。</w:t>
            </w:r>
          </w:p>
        </w:tc>
        <w:tc>
          <w:tcPr>
            <w:tcW w:w="3058" w:type="dxa"/>
            <w:tcBorders>
              <w:tl2br w:val="nil"/>
              <w:tr2bl w:val="nil"/>
            </w:tcBorders>
            <w:tcMar>
              <w:top w:w="15" w:type="dxa"/>
              <w:left w:w="15" w:type="dxa"/>
              <w:bottom w:w="15" w:type="dxa"/>
              <w:right w:w="15" w:type="dxa"/>
            </w:tcMar>
            <w:vAlign w:val="center"/>
          </w:tcPr>
          <w:p w14:paraId="684B20B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责令改正，处20万元的罚款，对单位直接负责的主管人员和其他直接责任人员处单位罚款数额百分</w:t>
            </w:r>
            <w:r>
              <w:rPr>
                <w:rFonts w:ascii="仿宋_GB2312" w:hAnsi="宋体" w:eastAsia="仿宋_GB2312" w:cs="Times New Roman"/>
                <w:color w:val="auto"/>
                <w:kern w:val="0"/>
                <w:sz w:val="13"/>
                <w:szCs w:val="13"/>
                <w:highlight w:val="none"/>
              </w:rPr>
              <w:t>之十</w:t>
            </w:r>
            <w:r>
              <w:rPr>
                <w:rFonts w:hint="eastAsia" w:ascii="仿宋_GB2312" w:hAnsi="宋体" w:eastAsia="仿宋_GB2312" w:cs="Times New Roman"/>
                <w:color w:val="auto"/>
                <w:kern w:val="0"/>
                <w:sz w:val="13"/>
                <w:szCs w:val="13"/>
                <w:highlight w:val="none"/>
              </w:rPr>
              <w:t>的罚款，降低资质等级。</w:t>
            </w:r>
          </w:p>
        </w:tc>
      </w:tr>
      <w:tr w14:paraId="79B6342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25" w:hRule="atLeast"/>
          <w:jc w:val="center"/>
        </w:trPr>
        <w:tc>
          <w:tcPr>
            <w:tcW w:w="443" w:type="dxa"/>
            <w:gridSpan w:val="2"/>
            <w:vMerge w:val="continue"/>
            <w:tcBorders>
              <w:tl2br w:val="nil"/>
              <w:tr2bl w:val="nil"/>
            </w:tcBorders>
            <w:vAlign w:val="center"/>
          </w:tcPr>
          <w:p w14:paraId="02E9A86F">
            <w:pPr>
              <w:pStyle w:val="37"/>
              <w:keepNext w:val="0"/>
              <w:keepLines w:val="0"/>
              <w:pageBreakBefore w:val="0"/>
              <w:widowControl/>
              <w:numPr>
                <w:ilvl w:val="0"/>
                <w:numId w:val="4"/>
              </w:numPr>
              <w:kinsoku/>
              <w:overflowPunct/>
              <w:topLinePunct w:val="0"/>
              <w:autoSpaceDE/>
              <w:autoSpaceDN/>
              <w:bidi w:val="0"/>
              <w:adjustRightInd/>
              <w:snapToGrid/>
              <w:spacing w:beforeAutospacing="0" w:afterAutospacing="0" w:line="260" w:lineRule="exact"/>
              <w:ind w:left="0" w:leftChars="0" w:right="0" w:rightChars="0" w:firstLineChars="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2D4427C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rPr>
                <w:rFonts w:ascii="仿宋_GB2312" w:hAnsi="宋体" w:eastAsia="仿宋_GB2312" w:cs="Times New Roman"/>
                <w:color w:val="auto"/>
                <w:sz w:val="13"/>
                <w:szCs w:val="13"/>
                <w:highlight w:val="none"/>
              </w:rPr>
            </w:pPr>
          </w:p>
        </w:tc>
        <w:tc>
          <w:tcPr>
            <w:tcW w:w="4820" w:type="dxa"/>
            <w:vMerge w:val="continue"/>
            <w:tcBorders>
              <w:tl2br w:val="nil"/>
              <w:tr2bl w:val="nil"/>
            </w:tcBorders>
            <w:vAlign w:val="center"/>
          </w:tcPr>
          <w:p w14:paraId="0817271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Times New Roman"/>
                <w:color w:val="auto"/>
                <w:kern w:val="0"/>
                <w:sz w:val="13"/>
                <w:szCs w:val="13"/>
                <w:highlight w:val="none"/>
              </w:rPr>
            </w:pPr>
          </w:p>
        </w:tc>
        <w:tc>
          <w:tcPr>
            <w:tcW w:w="823" w:type="dxa"/>
            <w:vMerge w:val="continue"/>
            <w:tcBorders>
              <w:tl2br w:val="nil"/>
              <w:tr2bl w:val="nil"/>
            </w:tcBorders>
            <w:tcMar>
              <w:top w:w="15" w:type="dxa"/>
              <w:left w:w="15" w:type="dxa"/>
              <w:bottom w:w="15" w:type="dxa"/>
              <w:right w:w="15" w:type="dxa"/>
            </w:tcMar>
            <w:vAlign w:val="center"/>
          </w:tcPr>
          <w:p w14:paraId="3B01FA4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Times New Roman"/>
                <w:color w:val="auto"/>
                <w:kern w:val="0"/>
                <w:sz w:val="13"/>
                <w:szCs w:val="13"/>
                <w:highlight w:val="none"/>
              </w:rPr>
            </w:pPr>
          </w:p>
        </w:tc>
        <w:tc>
          <w:tcPr>
            <w:tcW w:w="3437" w:type="dxa"/>
            <w:gridSpan w:val="2"/>
            <w:tcBorders>
              <w:tl2br w:val="nil"/>
              <w:tr2bl w:val="nil"/>
            </w:tcBorders>
            <w:tcMar>
              <w:top w:w="15" w:type="dxa"/>
              <w:left w:w="15" w:type="dxa"/>
              <w:bottom w:w="15" w:type="dxa"/>
              <w:right w:w="15" w:type="dxa"/>
            </w:tcMar>
            <w:vAlign w:val="center"/>
          </w:tcPr>
          <w:p w14:paraId="780B35F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Times New Roman"/>
                <w:color w:val="auto"/>
                <w:sz w:val="13"/>
                <w:szCs w:val="13"/>
                <w:highlight w:val="none"/>
              </w:rPr>
            </w:pPr>
            <w:r>
              <w:rPr>
                <w:rFonts w:hint="eastAsia" w:ascii="仿宋_GB2312" w:hAnsi="宋体" w:eastAsia="仿宋_GB2312"/>
                <w:color w:val="auto"/>
                <w:kern w:val="0"/>
                <w:sz w:val="13"/>
                <w:szCs w:val="13"/>
                <w:highlight w:val="none"/>
              </w:rPr>
              <w:t>（5）造成特别重大质量事故的；造成单位（子单位）工程存在严重缺陷，经返修和加固处理仍不能满足安全使用要求的</w:t>
            </w:r>
            <w:r>
              <w:rPr>
                <w:rFonts w:hint="eastAsia" w:ascii="仿宋_GB2312" w:hAnsi="宋体" w:eastAsia="仿宋_GB2312"/>
                <w:color w:val="auto"/>
                <w:kern w:val="0"/>
                <w:sz w:val="13"/>
                <w:szCs w:val="13"/>
                <w:highlight w:val="none"/>
                <w:lang w:eastAsia="zh-CN"/>
              </w:rPr>
              <w:t>；</w:t>
            </w:r>
            <w:r>
              <w:rPr>
                <w:rFonts w:hint="eastAsia" w:ascii="仿宋_GB2312" w:hAnsi="宋体" w:eastAsia="仿宋_GB2312"/>
                <w:color w:val="auto"/>
                <w:kern w:val="0"/>
                <w:sz w:val="13"/>
                <w:szCs w:val="13"/>
                <w:highlight w:val="none"/>
                <w:lang w:val="en-US" w:eastAsia="zh-CN"/>
              </w:rPr>
              <w:t>或造成特别严重社会影响。</w:t>
            </w:r>
          </w:p>
        </w:tc>
        <w:tc>
          <w:tcPr>
            <w:tcW w:w="3058" w:type="dxa"/>
            <w:tcBorders>
              <w:tl2br w:val="nil"/>
              <w:tr2bl w:val="nil"/>
            </w:tcBorders>
            <w:tcMar>
              <w:top w:w="15" w:type="dxa"/>
              <w:left w:w="15" w:type="dxa"/>
              <w:bottom w:w="15" w:type="dxa"/>
              <w:right w:w="15" w:type="dxa"/>
            </w:tcMar>
            <w:vAlign w:val="center"/>
          </w:tcPr>
          <w:p w14:paraId="077CD13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责令改正，处20万元的罚款，对单位直接负责的主管人员和其他直接责任人员处单位罚款数额百分</w:t>
            </w:r>
            <w:r>
              <w:rPr>
                <w:rFonts w:ascii="仿宋_GB2312" w:hAnsi="宋体" w:eastAsia="仿宋_GB2312" w:cs="Times New Roman"/>
                <w:color w:val="auto"/>
                <w:kern w:val="0"/>
                <w:sz w:val="13"/>
                <w:szCs w:val="13"/>
                <w:highlight w:val="none"/>
              </w:rPr>
              <w:t>之十</w:t>
            </w:r>
            <w:r>
              <w:rPr>
                <w:rFonts w:hint="eastAsia" w:ascii="仿宋_GB2312" w:hAnsi="宋体" w:eastAsia="仿宋_GB2312" w:cs="Times New Roman"/>
                <w:color w:val="auto"/>
                <w:kern w:val="0"/>
                <w:sz w:val="13"/>
                <w:szCs w:val="13"/>
                <w:highlight w:val="none"/>
              </w:rPr>
              <w:t>的罚款，吊销资质证书。</w:t>
            </w:r>
          </w:p>
        </w:tc>
      </w:tr>
      <w:tr w14:paraId="0AFD124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156" w:hRule="atLeast"/>
          <w:jc w:val="center"/>
        </w:trPr>
        <w:tc>
          <w:tcPr>
            <w:tcW w:w="443" w:type="dxa"/>
            <w:gridSpan w:val="2"/>
            <w:vMerge w:val="restart"/>
            <w:tcBorders>
              <w:tl2br w:val="nil"/>
              <w:tr2bl w:val="nil"/>
            </w:tcBorders>
            <w:vAlign w:val="center"/>
          </w:tcPr>
          <w:p w14:paraId="5E7ED583">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Times New Roman"/>
                <w:color w:val="auto"/>
                <w:sz w:val="13"/>
                <w:szCs w:val="13"/>
                <w:highlight w:val="none"/>
                <w:lang w:val="en-US" w:eastAsia="zh-CN"/>
              </w:rPr>
            </w:pPr>
            <w:r>
              <w:rPr>
                <w:rFonts w:hint="eastAsia" w:ascii="仿宋_GB2312" w:hAnsi="宋体" w:eastAsia="仿宋_GB2312" w:cs="仿宋_GB2312"/>
                <w:i w:val="0"/>
                <w:color w:val="auto"/>
                <w:kern w:val="0"/>
                <w:sz w:val="13"/>
                <w:szCs w:val="13"/>
                <w:highlight w:val="none"/>
                <w:u w:val="none"/>
                <w:lang w:val="en-US" w:eastAsia="zh-CN" w:bidi="ar"/>
              </w:rPr>
              <w:t>228</w:t>
            </w:r>
          </w:p>
        </w:tc>
        <w:tc>
          <w:tcPr>
            <w:tcW w:w="1550" w:type="dxa"/>
            <w:vMerge w:val="restart"/>
            <w:tcBorders>
              <w:tl2br w:val="nil"/>
              <w:tr2bl w:val="nil"/>
            </w:tcBorders>
            <w:vAlign w:val="center"/>
          </w:tcPr>
          <w:p w14:paraId="20F193B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sz w:val="13"/>
                <w:szCs w:val="13"/>
                <w:highlight w:val="none"/>
              </w:rPr>
            </w:pPr>
            <w:r>
              <w:rPr>
                <w:rFonts w:hint="eastAsia" w:ascii="仿宋_GB2312" w:hAnsi="宋体" w:eastAsia="仿宋_GB2312"/>
                <w:color w:val="auto"/>
                <w:sz w:val="13"/>
                <w:szCs w:val="13"/>
                <w:highlight w:val="none"/>
              </w:rPr>
              <w:t>审查机构有下列行为之一的：（一）超出范围从事施工图审查的；</w:t>
            </w:r>
          </w:p>
          <w:p w14:paraId="0FDB827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sz w:val="13"/>
                <w:szCs w:val="13"/>
                <w:highlight w:val="none"/>
              </w:rPr>
            </w:pPr>
            <w:r>
              <w:rPr>
                <w:rFonts w:hint="eastAsia" w:ascii="仿宋_GB2312" w:hAnsi="宋体" w:eastAsia="仿宋_GB2312"/>
                <w:color w:val="auto"/>
                <w:sz w:val="13"/>
                <w:szCs w:val="13"/>
                <w:highlight w:val="none"/>
              </w:rPr>
              <w:t>（二）使用不符合条件审查人员的；</w:t>
            </w:r>
          </w:p>
          <w:p w14:paraId="724B015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sz w:val="13"/>
                <w:szCs w:val="13"/>
                <w:highlight w:val="none"/>
              </w:rPr>
            </w:pPr>
            <w:r>
              <w:rPr>
                <w:rFonts w:hint="eastAsia" w:ascii="仿宋_GB2312" w:hAnsi="宋体" w:eastAsia="仿宋_GB2312"/>
                <w:color w:val="auto"/>
                <w:sz w:val="13"/>
                <w:szCs w:val="13"/>
                <w:highlight w:val="none"/>
              </w:rPr>
              <w:t>（三）未按规定的内容进行审查的；</w:t>
            </w:r>
          </w:p>
          <w:p w14:paraId="3AB0FE8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s="Times New Roman"/>
                <w:color w:val="auto"/>
                <w:sz w:val="13"/>
                <w:szCs w:val="13"/>
                <w:highlight w:val="none"/>
              </w:rPr>
            </w:pPr>
            <w:r>
              <w:rPr>
                <w:rFonts w:hint="eastAsia" w:ascii="仿宋_GB2312" w:hAnsi="宋体" w:eastAsia="仿宋_GB2312"/>
                <w:color w:val="auto"/>
                <w:sz w:val="13"/>
                <w:szCs w:val="13"/>
                <w:highlight w:val="none"/>
              </w:rPr>
              <w:t>（四）未按规定上报审查过程中发现的违法违规行为的；（五）未按规定填写审查意见告知书的；（六）未按规定在审查合格书和施工图上签字盖章的；（七）已出具审查合格书的施工图，仍有违反法律、法规和工程建设强制性标准的。</w:t>
            </w:r>
          </w:p>
        </w:tc>
        <w:tc>
          <w:tcPr>
            <w:tcW w:w="4820" w:type="dxa"/>
            <w:vMerge w:val="restart"/>
            <w:tcBorders>
              <w:tl2br w:val="nil"/>
              <w:tr2bl w:val="nil"/>
            </w:tcBorders>
            <w:vAlign w:val="center"/>
          </w:tcPr>
          <w:p w14:paraId="6AD9452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sz w:val="13"/>
                <w:szCs w:val="13"/>
                <w:highlight w:val="none"/>
              </w:rPr>
            </w:pPr>
            <w:r>
              <w:rPr>
                <w:rFonts w:hint="eastAsia" w:ascii="仿宋_GB2312" w:hAnsi="宋体" w:eastAsia="仿宋_GB2312"/>
                <w:color w:val="auto"/>
                <w:sz w:val="13"/>
                <w:szCs w:val="13"/>
                <w:highlight w:val="none"/>
              </w:rPr>
              <w:t>《房屋建筑和市政基础设施工程施工图设计文件审查管理办法》第二十四条</w:t>
            </w:r>
          </w:p>
          <w:p w14:paraId="655F094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sz w:val="13"/>
                <w:szCs w:val="13"/>
                <w:highlight w:val="none"/>
                <w:lang w:eastAsia="zh-CN"/>
              </w:rPr>
            </w:pPr>
            <w:r>
              <w:rPr>
                <w:rFonts w:ascii="仿宋_GB2312" w:hAnsi="宋体" w:eastAsia="仿宋_GB2312"/>
                <w:color w:val="auto"/>
                <w:sz w:val="13"/>
                <w:szCs w:val="13"/>
                <w:highlight w:val="none"/>
              </w:rPr>
              <w:t>审查机构违反本办法规定，有下列行为之一的，由县级以上地方人民政府住房城乡建设主管部门责令改正，处3万元罚款，并记入信用档案；情节严重的，省、自治区、直辖市人民政府住房城乡建设主管部门不再将其列入审查机构名录：</w:t>
            </w:r>
          </w:p>
          <w:p w14:paraId="3E2D3E2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sz w:val="13"/>
                <w:szCs w:val="13"/>
                <w:highlight w:val="none"/>
                <w:lang w:eastAsia="zh-CN"/>
              </w:rPr>
            </w:pPr>
            <w:r>
              <w:rPr>
                <w:rFonts w:ascii="仿宋_GB2312" w:hAnsi="宋体" w:eastAsia="仿宋_GB2312"/>
                <w:color w:val="auto"/>
                <w:sz w:val="13"/>
                <w:szCs w:val="13"/>
                <w:highlight w:val="none"/>
              </w:rPr>
              <w:t>（一）超出范围从事施工图审查的；</w:t>
            </w:r>
          </w:p>
          <w:p w14:paraId="0B592F2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sz w:val="13"/>
                <w:szCs w:val="13"/>
                <w:highlight w:val="none"/>
                <w:lang w:eastAsia="zh-CN"/>
              </w:rPr>
            </w:pPr>
            <w:r>
              <w:rPr>
                <w:rFonts w:ascii="仿宋_GB2312" w:hAnsi="宋体" w:eastAsia="仿宋_GB2312"/>
                <w:color w:val="auto"/>
                <w:sz w:val="13"/>
                <w:szCs w:val="13"/>
                <w:highlight w:val="none"/>
              </w:rPr>
              <w:t>（二）使用不符合条件审查人员的；</w:t>
            </w:r>
          </w:p>
          <w:p w14:paraId="2FD3ABC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sz w:val="13"/>
                <w:szCs w:val="13"/>
                <w:highlight w:val="none"/>
                <w:lang w:eastAsia="zh-CN"/>
              </w:rPr>
            </w:pPr>
            <w:r>
              <w:rPr>
                <w:rFonts w:ascii="仿宋_GB2312" w:hAnsi="宋体" w:eastAsia="仿宋_GB2312"/>
                <w:color w:val="auto"/>
                <w:sz w:val="13"/>
                <w:szCs w:val="13"/>
                <w:highlight w:val="none"/>
              </w:rPr>
              <w:t>（三）未按规定的内容进行审查的；</w:t>
            </w:r>
          </w:p>
          <w:p w14:paraId="3042948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sz w:val="13"/>
                <w:szCs w:val="13"/>
                <w:highlight w:val="none"/>
                <w:lang w:eastAsia="zh-CN"/>
              </w:rPr>
            </w:pPr>
            <w:r>
              <w:rPr>
                <w:rFonts w:ascii="仿宋_GB2312" w:hAnsi="宋体" w:eastAsia="仿宋_GB2312"/>
                <w:color w:val="auto"/>
                <w:sz w:val="13"/>
                <w:szCs w:val="13"/>
                <w:highlight w:val="none"/>
              </w:rPr>
              <w:t>（四）未按规定上报审查过程中发现的违法违规行为的；</w:t>
            </w:r>
          </w:p>
          <w:p w14:paraId="0FBBF16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sz w:val="13"/>
                <w:szCs w:val="13"/>
                <w:highlight w:val="none"/>
                <w:lang w:eastAsia="zh-CN"/>
              </w:rPr>
            </w:pPr>
            <w:r>
              <w:rPr>
                <w:rFonts w:ascii="仿宋_GB2312" w:hAnsi="宋体" w:eastAsia="仿宋_GB2312"/>
                <w:color w:val="auto"/>
                <w:sz w:val="13"/>
                <w:szCs w:val="13"/>
                <w:highlight w:val="none"/>
              </w:rPr>
              <w:t>（五）未按规定填写审查意见告知书的；</w:t>
            </w:r>
          </w:p>
          <w:p w14:paraId="5227F2C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sz w:val="13"/>
                <w:szCs w:val="13"/>
                <w:highlight w:val="none"/>
                <w:lang w:eastAsia="zh-CN"/>
              </w:rPr>
            </w:pPr>
            <w:r>
              <w:rPr>
                <w:rFonts w:ascii="仿宋_GB2312" w:hAnsi="宋体" w:eastAsia="仿宋_GB2312"/>
                <w:color w:val="auto"/>
                <w:sz w:val="13"/>
                <w:szCs w:val="13"/>
                <w:highlight w:val="none"/>
              </w:rPr>
              <w:t>（六）未按规定在审查合格书和施工图上签字盖章的；</w:t>
            </w:r>
          </w:p>
          <w:p w14:paraId="71B06C9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sz w:val="13"/>
                <w:szCs w:val="13"/>
                <w:highlight w:val="none"/>
              </w:rPr>
            </w:pPr>
            <w:r>
              <w:rPr>
                <w:rFonts w:ascii="仿宋_GB2312" w:hAnsi="宋体" w:eastAsia="仿宋_GB2312"/>
                <w:color w:val="auto"/>
                <w:sz w:val="13"/>
                <w:szCs w:val="13"/>
                <w:highlight w:val="none"/>
              </w:rPr>
              <w:t>（七）已出具审查合格书的施工图，仍有违反法律、法规和工程建设强制性标准的。</w:t>
            </w:r>
          </w:p>
          <w:p w14:paraId="4148F09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sz w:val="13"/>
                <w:szCs w:val="13"/>
                <w:highlight w:val="none"/>
              </w:rPr>
            </w:pPr>
            <w:r>
              <w:rPr>
                <w:rFonts w:hint="eastAsia" w:ascii="仿宋_GB2312" w:hAnsi="宋体" w:eastAsia="仿宋_GB2312"/>
                <w:color w:val="auto"/>
                <w:sz w:val="13"/>
                <w:szCs w:val="13"/>
                <w:highlight w:val="none"/>
              </w:rPr>
              <w:t>《房屋建筑和市政基础设施工程施工图设计文件审查管理办法》第二十七条</w:t>
            </w:r>
          </w:p>
          <w:p w14:paraId="4757FAF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olor w:val="auto"/>
                <w:sz w:val="13"/>
                <w:szCs w:val="13"/>
                <w:highlight w:val="none"/>
              </w:rPr>
              <w:t>依照本办法规定，给予审查机构罚款处罚的，对机构的法定代表人和其他直接责任人员处机构罚款数额5%以上10%以下的罚款，并记入信用档案。</w:t>
            </w:r>
          </w:p>
        </w:tc>
        <w:tc>
          <w:tcPr>
            <w:tcW w:w="823" w:type="dxa"/>
            <w:tcBorders>
              <w:tl2br w:val="nil"/>
              <w:tr2bl w:val="nil"/>
            </w:tcBorders>
            <w:tcMar>
              <w:top w:w="15" w:type="dxa"/>
              <w:left w:w="15" w:type="dxa"/>
              <w:bottom w:w="15" w:type="dxa"/>
              <w:right w:w="15" w:type="dxa"/>
            </w:tcMar>
            <w:vAlign w:val="center"/>
          </w:tcPr>
          <w:p w14:paraId="03978A0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Times New Roman"/>
                <w:color w:val="auto"/>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tcMar>
              <w:top w:w="15" w:type="dxa"/>
              <w:left w:w="15" w:type="dxa"/>
              <w:bottom w:w="15" w:type="dxa"/>
              <w:right w:w="15" w:type="dxa"/>
            </w:tcMar>
            <w:vAlign w:val="center"/>
          </w:tcPr>
          <w:p w14:paraId="34A6938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s="Times New Roman"/>
                <w:color w:val="auto"/>
                <w:sz w:val="13"/>
                <w:szCs w:val="13"/>
                <w:highlight w:val="none"/>
              </w:rPr>
            </w:pPr>
            <w:r>
              <w:rPr>
                <w:rFonts w:hint="eastAsia" w:ascii="仿宋_GB2312" w:hAnsi="宋体" w:eastAsia="仿宋_GB2312"/>
                <w:color w:val="auto"/>
                <w:kern w:val="0"/>
                <w:sz w:val="13"/>
                <w:szCs w:val="13"/>
                <w:highlight w:val="none"/>
              </w:rPr>
              <w:t>初次违法，危害后果轻微，主动消除或减轻危害后果的。</w:t>
            </w:r>
          </w:p>
        </w:tc>
        <w:tc>
          <w:tcPr>
            <w:tcW w:w="3058" w:type="dxa"/>
            <w:tcBorders>
              <w:tl2br w:val="nil"/>
              <w:tr2bl w:val="nil"/>
            </w:tcBorders>
            <w:tcMar>
              <w:top w:w="15" w:type="dxa"/>
              <w:left w:w="15" w:type="dxa"/>
              <w:bottom w:w="15" w:type="dxa"/>
              <w:right w:w="15" w:type="dxa"/>
            </w:tcMar>
            <w:vAlign w:val="center"/>
          </w:tcPr>
          <w:p w14:paraId="33DD2FA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责令改正，处3万元罚款，对机构的法定代表人和其他直接责任人员处机构罚款数额百分之五的罚款。</w:t>
            </w:r>
          </w:p>
        </w:tc>
      </w:tr>
      <w:tr w14:paraId="16815CA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50" w:hRule="atLeast"/>
          <w:jc w:val="center"/>
        </w:trPr>
        <w:tc>
          <w:tcPr>
            <w:tcW w:w="443" w:type="dxa"/>
            <w:gridSpan w:val="2"/>
            <w:vMerge w:val="continue"/>
            <w:tcBorders>
              <w:tl2br w:val="nil"/>
              <w:tr2bl w:val="nil"/>
            </w:tcBorders>
            <w:vAlign w:val="center"/>
          </w:tcPr>
          <w:p w14:paraId="26D33452">
            <w:pPr>
              <w:pStyle w:val="37"/>
              <w:keepNext w:val="0"/>
              <w:keepLines w:val="0"/>
              <w:pageBreakBefore w:val="0"/>
              <w:widowControl/>
              <w:numPr>
                <w:ilvl w:val="0"/>
                <w:numId w:val="4"/>
              </w:numPr>
              <w:kinsoku/>
              <w:overflowPunct/>
              <w:topLinePunct w:val="0"/>
              <w:autoSpaceDE/>
              <w:autoSpaceDN/>
              <w:bidi w:val="0"/>
              <w:adjustRightInd/>
              <w:snapToGrid/>
              <w:spacing w:beforeAutospacing="0" w:afterAutospacing="0" w:line="260" w:lineRule="exact"/>
              <w:ind w:left="0" w:leftChars="0" w:right="0" w:rightChars="0" w:firstLineChars="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2B25959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s="Times New Roman"/>
                <w:color w:val="auto"/>
                <w:sz w:val="13"/>
                <w:szCs w:val="13"/>
                <w:highlight w:val="none"/>
              </w:rPr>
            </w:pPr>
          </w:p>
        </w:tc>
        <w:tc>
          <w:tcPr>
            <w:tcW w:w="4820" w:type="dxa"/>
            <w:vMerge w:val="continue"/>
            <w:tcBorders>
              <w:tl2br w:val="nil"/>
              <w:tr2bl w:val="nil"/>
            </w:tcBorders>
            <w:vAlign w:val="center"/>
          </w:tcPr>
          <w:p w14:paraId="52F0CE9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s="Times New Roman"/>
                <w:color w:val="auto"/>
                <w:kern w:val="0"/>
                <w:sz w:val="13"/>
                <w:szCs w:val="13"/>
                <w:highlight w:val="none"/>
              </w:rPr>
            </w:pPr>
          </w:p>
        </w:tc>
        <w:tc>
          <w:tcPr>
            <w:tcW w:w="823" w:type="dxa"/>
            <w:tcBorders>
              <w:tl2br w:val="nil"/>
              <w:tr2bl w:val="nil"/>
            </w:tcBorders>
            <w:tcMar>
              <w:top w:w="15" w:type="dxa"/>
              <w:left w:w="15" w:type="dxa"/>
              <w:bottom w:w="15" w:type="dxa"/>
              <w:right w:w="15" w:type="dxa"/>
            </w:tcMar>
            <w:vAlign w:val="center"/>
          </w:tcPr>
          <w:p w14:paraId="2126A01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Times New Roman"/>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一般情节</w:t>
            </w:r>
          </w:p>
        </w:tc>
        <w:tc>
          <w:tcPr>
            <w:tcW w:w="3437" w:type="dxa"/>
            <w:gridSpan w:val="2"/>
            <w:tcBorders>
              <w:tl2br w:val="nil"/>
              <w:tr2bl w:val="nil"/>
            </w:tcBorders>
            <w:tcMar>
              <w:top w:w="15" w:type="dxa"/>
              <w:left w:w="15" w:type="dxa"/>
              <w:bottom w:w="15" w:type="dxa"/>
              <w:right w:w="15" w:type="dxa"/>
            </w:tcMar>
            <w:vAlign w:val="center"/>
          </w:tcPr>
          <w:p w14:paraId="1A1CC64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olor w:val="auto"/>
                <w:kern w:val="0"/>
                <w:sz w:val="13"/>
                <w:szCs w:val="13"/>
                <w:highlight w:val="none"/>
              </w:rPr>
              <w:t>不具有从轻、</w:t>
            </w:r>
            <w:r>
              <w:rPr>
                <w:rFonts w:hint="eastAsia" w:ascii="仿宋_GB2312" w:hAnsi="宋体" w:eastAsia="仿宋_GB2312"/>
                <w:color w:val="auto"/>
                <w:kern w:val="0"/>
                <w:sz w:val="13"/>
                <w:szCs w:val="13"/>
                <w:highlight w:val="none"/>
                <w:lang w:eastAsia="zh-CN"/>
              </w:rPr>
              <w:t>从重情节</w:t>
            </w:r>
            <w:r>
              <w:rPr>
                <w:rFonts w:hint="eastAsia" w:ascii="仿宋_GB2312" w:hAnsi="宋体" w:eastAsia="仿宋_GB2312"/>
                <w:color w:val="auto"/>
                <w:kern w:val="0"/>
                <w:sz w:val="13"/>
                <w:szCs w:val="13"/>
                <w:highlight w:val="none"/>
              </w:rPr>
              <w:t>的。</w:t>
            </w:r>
          </w:p>
        </w:tc>
        <w:tc>
          <w:tcPr>
            <w:tcW w:w="3058" w:type="dxa"/>
            <w:tcBorders>
              <w:tl2br w:val="nil"/>
              <w:tr2bl w:val="nil"/>
            </w:tcBorders>
            <w:tcMar>
              <w:top w:w="15" w:type="dxa"/>
              <w:left w:w="15" w:type="dxa"/>
              <w:bottom w:w="15" w:type="dxa"/>
              <w:right w:w="15" w:type="dxa"/>
            </w:tcMar>
            <w:vAlign w:val="center"/>
          </w:tcPr>
          <w:p w14:paraId="36E6EEA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责令改正，处3万元罚款，对机构的法定代表人和其他直接责任人员处机构罚款数额百分</w:t>
            </w:r>
            <w:r>
              <w:rPr>
                <w:rFonts w:ascii="仿宋_GB2312" w:hAnsi="宋体" w:eastAsia="仿宋_GB2312" w:cs="Times New Roman"/>
                <w:color w:val="auto"/>
                <w:kern w:val="0"/>
                <w:sz w:val="13"/>
                <w:szCs w:val="13"/>
                <w:highlight w:val="none"/>
              </w:rPr>
              <w:t>之五</w:t>
            </w:r>
            <w:r>
              <w:rPr>
                <w:rFonts w:hint="eastAsia" w:ascii="仿宋_GB2312" w:hAnsi="宋体" w:eastAsia="仿宋_GB2312" w:cs="Times New Roman"/>
                <w:color w:val="auto"/>
                <w:kern w:val="0"/>
                <w:sz w:val="13"/>
                <w:szCs w:val="13"/>
                <w:highlight w:val="none"/>
              </w:rPr>
              <w:t>以上百分</w:t>
            </w:r>
            <w:r>
              <w:rPr>
                <w:rFonts w:ascii="仿宋_GB2312" w:hAnsi="宋体" w:eastAsia="仿宋_GB2312" w:cs="Times New Roman"/>
                <w:color w:val="auto"/>
                <w:kern w:val="0"/>
                <w:sz w:val="13"/>
                <w:szCs w:val="13"/>
                <w:highlight w:val="none"/>
              </w:rPr>
              <w:t>之七点五</w:t>
            </w:r>
            <w:r>
              <w:rPr>
                <w:rFonts w:hint="eastAsia" w:ascii="仿宋_GB2312" w:hAnsi="宋体" w:eastAsia="仿宋_GB2312" w:cs="Times New Roman"/>
                <w:color w:val="auto"/>
                <w:kern w:val="0"/>
                <w:sz w:val="13"/>
                <w:szCs w:val="13"/>
                <w:highlight w:val="none"/>
              </w:rPr>
              <w:t>以下的罚款。</w:t>
            </w:r>
          </w:p>
        </w:tc>
      </w:tr>
      <w:tr w14:paraId="115248E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936" w:hRule="atLeast"/>
          <w:jc w:val="center"/>
        </w:trPr>
        <w:tc>
          <w:tcPr>
            <w:tcW w:w="443" w:type="dxa"/>
            <w:gridSpan w:val="2"/>
            <w:vMerge w:val="continue"/>
            <w:tcBorders>
              <w:tl2br w:val="nil"/>
              <w:tr2bl w:val="nil"/>
            </w:tcBorders>
            <w:vAlign w:val="center"/>
          </w:tcPr>
          <w:p w14:paraId="35B5BF75">
            <w:pPr>
              <w:pStyle w:val="37"/>
              <w:keepNext w:val="0"/>
              <w:keepLines w:val="0"/>
              <w:pageBreakBefore w:val="0"/>
              <w:widowControl/>
              <w:numPr>
                <w:ilvl w:val="0"/>
                <w:numId w:val="4"/>
              </w:numPr>
              <w:kinsoku/>
              <w:overflowPunct/>
              <w:topLinePunct w:val="0"/>
              <w:autoSpaceDE/>
              <w:autoSpaceDN/>
              <w:bidi w:val="0"/>
              <w:adjustRightInd/>
              <w:snapToGrid/>
              <w:spacing w:beforeAutospacing="0" w:afterAutospacing="0" w:line="260" w:lineRule="exact"/>
              <w:ind w:left="0" w:leftChars="0" w:right="0" w:rightChars="0" w:firstLineChars="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0940D32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s="Times New Roman"/>
                <w:color w:val="auto"/>
                <w:sz w:val="13"/>
                <w:szCs w:val="13"/>
                <w:highlight w:val="none"/>
              </w:rPr>
            </w:pPr>
          </w:p>
        </w:tc>
        <w:tc>
          <w:tcPr>
            <w:tcW w:w="4820" w:type="dxa"/>
            <w:vMerge w:val="continue"/>
            <w:tcBorders>
              <w:tl2br w:val="nil"/>
              <w:tr2bl w:val="nil"/>
            </w:tcBorders>
            <w:vAlign w:val="center"/>
          </w:tcPr>
          <w:p w14:paraId="3A17377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s="Times New Roman"/>
                <w:color w:val="auto"/>
                <w:kern w:val="0"/>
                <w:sz w:val="13"/>
                <w:szCs w:val="13"/>
                <w:highlight w:val="none"/>
              </w:rPr>
            </w:pPr>
          </w:p>
        </w:tc>
        <w:tc>
          <w:tcPr>
            <w:tcW w:w="823" w:type="dxa"/>
            <w:tcBorders>
              <w:tl2br w:val="nil"/>
              <w:tr2bl w:val="nil"/>
            </w:tcBorders>
            <w:tcMar>
              <w:top w:w="15" w:type="dxa"/>
              <w:left w:w="15" w:type="dxa"/>
              <w:bottom w:w="15" w:type="dxa"/>
              <w:right w:w="15" w:type="dxa"/>
            </w:tcMar>
            <w:vAlign w:val="center"/>
          </w:tcPr>
          <w:p w14:paraId="19C739A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Times New Roman"/>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从重情节</w:t>
            </w:r>
          </w:p>
        </w:tc>
        <w:tc>
          <w:tcPr>
            <w:tcW w:w="3437" w:type="dxa"/>
            <w:gridSpan w:val="2"/>
            <w:tcBorders>
              <w:tl2br w:val="nil"/>
              <w:tr2bl w:val="nil"/>
            </w:tcBorders>
            <w:tcMar>
              <w:top w:w="15" w:type="dxa"/>
              <w:left w:w="15" w:type="dxa"/>
              <w:bottom w:w="15" w:type="dxa"/>
              <w:right w:w="15" w:type="dxa"/>
            </w:tcMar>
            <w:vAlign w:val="center"/>
          </w:tcPr>
          <w:p w14:paraId="60AA8DF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olor w:val="auto"/>
                <w:kern w:val="0"/>
                <w:sz w:val="13"/>
                <w:szCs w:val="13"/>
                <w:highlight w:val="none"/>
              </w:rPr>
              <w:t>曾因该违法行为被查处，再次实施违法行为的</w:t>
            </w:r>
            <w:r>
              <w:rPr>
                <w:rFonts w:hint="eastAsia" w:ascii="仿宋_GB2312" w:hAnsi="宋体" w:eastAsia="仿宋_GB2312"/>
                <w:color w:val="auto"/>
                <w:kern w:val="0"/>
                <w:sz w:val="13"/>
                <w:szCs w:val="13"/>
                <w:highlight w:val="none"/>
                <w:lang w:eastAsia="zh-CN"/>
              </w:rPr>
              <w:t>，</w:t>
            </w:r>
            <w:r>
              <w:rPr>
                <w:rFonts w:hint="eastAsia" w:ascii="仿宋_GB2312" w:hAnsi="宋体" w:eastAsia="仿宋_GB2312"/>
                <w:color w:val="auto"/>
                <w:kern w:val="0"/>
                <w:sz w:val="13"/>
                <w:szCs w:val="13"/>
                <w:highlight w:val="none"/>
                <w:lang w:val="en-US" w:eastAsia="zh-CN"/>
              </w:rPr>
              <w:t>或</w:t>
            </w:r>
            <w:r>
              <w:rPr>
                <w:rFonts w:hint="eastAsia" w:ascii="仿宋_GB2312" w:hAnsi="宋体" w:eastAsia="仿宋_GB2312"/>
                <w:color w:val="auto"/>
                <w:kern w:val="0"/>
                <w:sz w:val="13"/>
                <w:szCs w:val="13"/>
                <w:highlight w:val="none"/>
              </w:rPr>
              <w:t>经责令改正后，拒绝采取改正措施的。</w:t>
            </w:r>
          </w:p>
        </w:tc>
        <w:tc>
          <w:tcPr>
            <w:tcW w:w="3058" w:type="dxa"/>
            <w:tcBorders>
              <w:tl2br w:val="nil"/>
              <w:tr2bl w:val="nil"/>
            </w:tcBorders>
            <w:tcMar>
              <w:top w:w="15" w:type="dxa"/>
              <w:left w:w="15" w:type="dxa"/>
              <w:bottom w:w="15" w:type="dxa"/>
              <w:right w:w="15" w:type="dxa"/>
            </w:tcMar>
            <w:vAlign w:val="center"/>
          </w:tcPr>
          <w:p w14:paraId="20A5249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责令改正，处3万元罚款，对机构的法定代表人和其他直接责任人员处机构罚款数额百分</w:t>
            </w:r>
            <w:r>
              <w:rPr>
                <w:rFonts w:ascii="仿宋_GB2312" w:hAnsi="宋体" w:eastAsia="仿宋_GB2312" w:cs="Times New Roman"/>
                <w:color w:val="auto"/>
                <w:kern w:val="0"/>
                <w:sz w:val="13"/>
                <w:szCs w:val="13"/>
                <w:highlight w:val="none"/>
              </w:rPr>
              <w:t>之七点五</w:t>
            </w:r>
            <w:r>
              <w:rPr>
                <w:rFonts w:hint="eastAsia" w:ascii="仿宋_GB2312" w:hAnsi="宋体" w:eastAsia="仿宋_GB2312" w:cs="Times New Roman"/>
                <w:color w:val="auto"/>
                <w:kern w:val="0"/>
                <w:sz w:val="13"/>
                <w:szCs w:val="13"/>
                <w:highlight w:val="none"/>
              </w:rPr>
              <w:t>以上百分之十以下的罚款</w:t>
            </w:r>
            <w:r>
              <w:rPr>
                <w:rFonts w:hint="eastAsia" w:ascii="仿宋_GB2312" w:hAnsi="宋体" w:eastAsia="仿宋_GB2312" w:cs="Times New Roman"/>
                <w:color w:val="auto"/>
                <w:kern w:val="0"/>
                <w:sz w:val="13"/>
                <w:szCs w:val="13"/>
                <w:highlight w:val="none"/>
                <w:lang w:eastAsia="zh-CN"/>
              </w:rPr>
              <w:t>，不再列入审查机构名录。</w:t>
            </w:r>
          </w:p>
        </w:tc>
      </w:tr>
      <w:tr w14:paraId="2A4BB47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48" w:hRule="atLeast"/>
          <w:jc w:val="center"/>
        </w:trPr>
        <w:tc>
          <w:tcPr>
            <w:tcW w:w="443" w:type="dxa"/>
            <w:gridSpan w:val="2"/>
            <w:vMerge w:val="restart"/>
            <w:tcBorders>
              <w:tl2br w:val="nil"/>
              <w:tr2bl w:val="nil"/>
            </w:tcBorders>
            <w:vAlign w:val="center"/>
          </w:tcPr>
          <w:p w14:paraId="3EA42825">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Times New Roman"/>
                <w:color w:val="auto"/>
                <w:sz w:val="13"/>
                <w:szCs w:val="13"/>
                <w:highlight w:val="none"/>
                <w:lang w:val="en-US" w:eastAsia="zh-CN"/>
              </w:rPr>
            </w:pPr>
            <w:r>
              <w:rPr>
                <w:rFonts w:hint="eastAsia" w:ascii="仿宋_GB2312" w:hAnsi="宋体" w:eastAsia="仿宋_GB2312" w:cs="仿宋_GB2312"/>
                <w:i w:val="0"/>
                <w:color w:val="auto"/>
                <w:kern w:val="0"/>
                <w:sz w:val="13"/>
                <w:szCs w:val="13"/>
                <w:highlight w:val="none"/>
                <w:u w:val="none"/>
                <w:lang w:val="en-US" w:eastAsia="zh-CN" w:bidi="ar"/>
              </w:rPr>
              <w:t>229</w:t>
            </w:r>
          </w:p>
        </w:tc>
        <w:tc>
          <w:tcPr>
            <w:tcW w:w="1550" w:type="dxa"/>
            <w:vMerge w:val="restart"/>
            <w:tcBorders>
              <w:tl2br w:val="nil"/>
              <w:tr2bl w:val="nil"/>
            </w:tcBorders>
            <w:vAlign w:val="center"/>
          </w:tcPr>
          <w:p w14:paraId="373B349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rPr>
                <w:rFonts w:ascii="仿宋_GB2312" w:hAnsi="宋体" w:eastAsia="仿宋_GB2312" w:cs="Times New Roman"/>
                <w:color w:val="auto"/>
                <w:sz w:val="13"/>
                <w:szCs w:val="13"/>
                <w:highlight w:val="none"/>
              </w:rPr>
            </w:pPr>
            <w:r>
              <w:rPr>
                <w:rFonts w:hint="eastAsia" w:ascii="仿宋_GB2312" w:hAnsi="宋体" w:eastAsia="仿宋_GB2312"/>
                <w:color w:val="auto"/>
                <w:sz w:val="13"/>
                <w:szCs w:val="13"/>
                <w:highlight w:val="none"/>
              </w:rPr>
              <w:t>审查机构出具虚假审查合格书的</w:t>
            </w:r>
          </w:p>
        </w:tc>
        <w:tc>
          <w:tcPr>
            <w:tcW w:w="4820" w:type="dxa"/>
            <w:vMerge w:val="restart"/>
            <w:tcBorders>
              <w:tl2br w:val="nil"/>
              <w:tr2bl w:val="nil"/>
            </w:tcBorders>
            <w:vAlign w:val="center"/>
          </w:tcPr>
          <w:p w14:paraId="30EEA3F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rPr>
                <w:rFonts w:ascii="仿宋_GB2312" w:hAnsi="宋体" w:eastAsia="仿宋_GB2312"/>
                <w:color w:val="auto"/>
                <w:sz w:val="13"/>
                <w:szCs w:val="13"/>
                <w:highlight w:val="none"/>
              </w:rPr>
            </w:pPr>
            <w:r>
              <w:rPr>
                <w:rFonts w:hint="eastAsia" w:ascii="仿宋_GB2312" w:hAnsi="宋体" w:eastAsia="仿宋_GB2312"/>
                <w:color w:val="auto"/>
                <w:sz w:val="13"/>
                <w:szCs w:val="13"/>
                <w:highlight w:val="none"/>
              </w:rPr>
              <w:t>《房屋建筑和市政基础设施工程施工图设计文件审查管理办法》第二十五条第一款</w:t>
            </w:r>
          </w:p>
          <w:p w14:paraId="56472B2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rPr>
                <w:rFonts w:ascii="仿宋_GB2312" w:hAnsi="宋体" w:eastAsia="仿宋_GB2312"/>
                <w:color w:val="auto"/>
                <w:sz w:val="13"/>
                <w:szCs w:val="13"/>
                <w:highlight w:val="none"/>
              </w:rPr>
            </w:pPr>
            <w:r>
              <w:rPr>
                <w:rFonts w:hint="eastAsia" w:ascii="仿宋_GB2312" w:hAnsi="宋体" w:eastAsia="仿宋_GB2312"/>
                <w:color w:val="auto"/>
                <w:sz w:val="13"/>
                <w:szCs w:val="13"/>
                <w:highlight w:val="none"/>
              </w:rPr>
              <w:t>审查机构出具虚假审查合格书的，审查合格书无效，县级以上地方人民政府住房城乡建设主管部门处3万元罚款，省、自治区、直辖市人民政府住房城乡建设主管部门不再将其列入审查机构名录。</w:t>
            </w:r>
          </w:p>
          <w:p w14:paraId="62650BB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olor w:val="auto"/>
                <w:sz w:val="13"/>
                <w:szCs w:val="13"/>
                <w:highlight w:val="none"/>
              </w:rPr>
            </w:pPr>
            <w:r>
              <w:rPr>
                <w:rFonts w:hint="eastAsia" w:ascii="仿宋_GB2312" w:hAnsi="宋体" w:eastAsia="仿宋_GB2312"/>
                <w:color w:val="auto"/>
                <w:sz w:val="13"/>
                <w:szCs w:val="13"/>
                <w:highlight w:val="none"/>
              </w:rPr>
              <w:t>《房屋建筑和市政基础设施工程施工图设计文件审查管理办法》第二十七条</w:t>
            </w:r>
          </w:p>
          <w:p w14:paraId="1E768B9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olor w:val="auto"/>
                <w:sz w:val="13"/>
                <w:szCs w:val="13"/>
                <w:highlight w:val="none"/>
              </w:rPr>
              <w:t>依照本办法规定，给予审查机构罚款处罚的，对机构的法定代表人和其他直接责任人员处机构罚款数额5%以上10%以下的罚款，并记入信用档案。</w:t>
            </w:r>
          </w:p>
        </w:tc>
        <w:tc>
          <w:tcPr>
            <w:tcW w:w="823" w:type="dxa"/>
            <w:tcBorders>
              <w:tl2br w:val="nil"/>
              <w:tr2bl w:val="nil"/>
            </w:tcBorders>
            <w:tcMar>
              <w:top w:w="15" w:type="dxa"/>
              <w:left w:w="15" w:type="dxa"/>
              <w:bottom w:w="15" w:type="dxa"/>
              <w:right w:w="15" w:type="dxa"/>
            </w:tcMar>
            <w:vAlign w:val="center"/>
          </w:tcPr>
          <w:p w14:paraId="117D5DA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Times New Roman"/>
                <w:color w:val="auto"/>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tcMar>
              <w:top w:w="15" w:type="dxa"/>
              <w:left w:w="15" w:type="dxa"/>
              <w:bottom w:w="15" w:type="dxa"/>
              <w:right w:w="15" w:type="dxa"/>
            </w:tcMar>
            <w:vAlign w:val="center"/>
          </w:tcPr>
          <w:p w14:paraId="34DE11F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Times New Roman"/>
                <w:color w:val="auto"/>
                <w:sz w:val="13"/>
                <w:szCs w:val="13"/>
                <w:highlight w:val="none"/>
              </w:rPr>
            </w:pPr>
            <w:r>
              <w:rPr>
                <w:rFonts w:hint="eastAsia" w:ascii="仿宋_GB2312" w:hAnsi="宋体" w:eastAsia="仿宋_GB2312"/>
                <w:color w:val="auto"/>
                <w:kern w:val="0"/>
                <w:sz w:val="13"/>
                <w:szCs w:val="13"/>
                <w:highlight w:val="none"/>
              </w:rPr>
              <w:t>初次违法，危害后果轻微，主动消除或减轻危害后果的。</w:t>
            </w:r>
          </w:p>
        </w:tc>
        <w:tc>
          <w:tcPr>
            <w:tcW w:w="3058" w:type="dxa"/>
            <w:tcBorders>
              <w:tl2br w:val="nil"/>
              <w:tr2bl w:val="nil"/>
            </w:tcBorders>
            <w:tcMar>
              <w:top w:w="15" w:type="dxa"/>
              <w:left w:w="15" w:type="dxa"/>
              <w:bottom w:w="15" w:type="dxa"/>
              <w:right w:w="15" w:type="dxa"/>
            </w:tcMar>
            <w:vAlign w:val="center"/>
          </w:tcPr>
          <w:p w14:paraId="42D5B9E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责令改正，处3万元罚款，对机构的法定代表人和其他直接责任人员处机构罚款数额百分</w:t>
            </w:r>
            <w:r>
              <w:rPr>
                <w:rFonts w:ascii="仿宋_GB2312" w:hAnsi="宋体" w:eastAsia="仿宋_GB2312" w:cs="Times New Roman"/>
                <w:color w:val="auto"/>
                <w:kern w:val="0"/>
                <w:sz w:val="13"/>
                <w:szCs w:val="13"/>
                <w:highlight w:val="none"/>
              </w:rPr>
              <w:t>之五</w:t>
            </w:r>
            <w:r>
              <w:rPr>
                <w:rFonts w:hint="eastAsia" w:ascii="仿宋_GB2312" w:hAnsi="宋体" w:eastAsia="仿宋_GB2312" w:cs="Times New Roman"/>
                <w:color w:val="auto"/>
                <w:kern w:val="0"/>
                <w:sz w:val="13"/>
                <w:szCs w:val="13"/>
                <w:highlight w:val="none"/>
              </w:rPr>
              <w:t>的罚款</w:t>
            </w:r>
            <w:r>
              <w:rPr>
                <w:rFonts w:hint="eastAsia" w:ascii="仿宋_GB2312" w:hAnsi="宋体" w:eastAsia="仿宋_GB2312" w:cs="Times New Roman"/>
                <w:color w:val="auto"/>
                <w:kern w:val="0"/>
                <w:sz w:val="13"/>
                <w:szCs w:val="13"/>
                <w:highlight w:val="none"/>
                <w:lang w:eastAsia="zh-CN"/>
              </w:rPr>
              <w:t>，不再列入审查机构名录。</w:t>
            </w:r>
          </w:p>
        </w:tc>
      </w:tr>
      <w:tr w14:paraId="316C1A0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94" w:hRule="atLeast"/>
          <w:jc w:val="center"/>
        </w:trPr>
        <w:tc>
          <w:tcPr>
            <w:tcW w:w="443" w:type="dxa"/>
            <w:gridSpan w:val="2"/>
            <w:vMerge w:val="continue"/>
            <w:tcBorders>
              <w:tl2br w:val="nil"/>
              <w:tr2bl w:val="nil"/>
            </w:tcBorders>
            <w:vAlign w:val="center"/>
          </w:tcPr>
          <w:p w14:paraId="06BFC418">
            <w:pPr>
              <w:pStyle w:val="37"/>
              <w:keepNext w:val="0"/>
              <w:keepLines w:val="0"/>
              <w:pageBreakBefore w:val="0"/>
              <w:widowControl/>
              <w:numPr>
                <w:ilvl w:val="0"/>
                <w:numId w:val="4"/>
              </w:numPr>
              <w:kinsoku/>
              <w:overflowPunct/>
              <w:topLinePunct w:val="0"/>
              <w:autoSpaceDE/>
              <w:autoSpaceDN/>
              <w:bidi w:val="0"/>
              <w:adjustRightInd/>
              <w:snapToGrid/>
              <w:spacing w:beforeAutospacing="0" w:afterAutospacing="0" w:line="260" w:lineRule="exact"/>
              <w:ind w:left="0" w:leftChars="0" w:right="0" w:rightChars="0" w:firstLineChars="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587F413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rPr>
                <w:rFonts w:ascii="仿宋_GB2312" w:hAnsi="宋体" w:eastAsia="仿宋_GB2312" w:cs="Times New Roman"/>
                <w:color w:val="auto"/>
                <w:sz w:val="13"/>
                <w:szCs w:val="13"/>
                <w:highlight w:val="none"/>
              </w:rPr>
            </w:pPr>
          </w:p>
        </w:tc>
        <w:tc>
          <w:tcPr>
            <w:tcW w:w="4820" w:type="dxa"/>
            <w:vMerge w:val="continue"/>
            <w:tcBorders>
              <w:tl2br w:val="nil"/>
              <w:tr2bl w:val="nil"/>
            </w:tcBorders>
            <w:vAlign w:val="center"/>
          </w:tcPr>
          <w:p w14:paraId="05DDBEF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rPr>
                <w:rFonts w:ascii="仿宋_GB2312" w:hAnsi="宋体" w:eastAsia="仿宋_GB2312" w:cs="Times New Roman"/>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534DF61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Times New Roman"/>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一般情节</w:t>
            </w:r>
          </w:p>
        </w:tc>
        <w:tc>
          <w:tcPr>
            <w:tcW w:w="3437" w:type="dxa"/>
            <w:gridSpan w:val="2"/>
            <w:tcBorders>
              <w:tl2br w:val="nil"/>
              <w:tr2bl w:val="nil"/>
            </w:tcBorders>
            <w:tcMar>
              <w:top w:w="15" w:type="dxa"/>
              <w:left w:w="15" w:type="dxa"/>
              <w:bottom w:w="15" w:type="dxa"/>
              <w:right w:w="15" w:type="dxa"/>
            </w:tcMar>
            <w:vAlign w:val="center"/>
          </w:tcPr>
          <w:p w14:paraId="344E05C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Times New Roman"/>
                <w:color w:val="auto"/>
                <w:kern w:val="0"/>
                <w:sz w:val="13"/>
                <w:szCs w:val="13"/>
                <w:highlight w:val="none"/>
              </w:rPr>
            </w:pPr>
            <w:r>
              <w:rPr>
                <w:rFonts w:ascii="仿宋_GB2312" w:hAnsi="宋体" w:eastAsia="仿宋_GB2312"/>
                <w:color w:val="auto"/>
                <w:kern w:val="0"/>
                <w:sz w:val="13"/>
                <w:szCs w:val="13"/>
                <w:highlight w:val="none"/>
              </w:rPr>
              <w:t>不具有从轻</w:t>
            </w:r>
            <w:r>
              <w:rPr>
                <w:rFonts w:hint="eastAsia" w:ascii="仿宋_GB2312" w:hAnsi="宋体" w:eastAsia="仿宋_GB2312"/>
                <w:color w:val="auto"/>
                <w:kern w:val="0"/>
                <w:sz w:val="13"/>
                <w:szCs w:val="13"/>
                <w:highlight w:val="none"/>
              </w:rPr>
              <w:t>、</w:t>
            </w:r>
            <w:r>
              <w:rPr>
                <w:rFonts w:hint="eastAsia" w:ascii="仿宋_GB2312" w:hAnsi="宋体" w:eastAsia="仿宋_GB2312"/>
                <w:color w:val="auto"/>
                <w:kern w:val="0"/>
                <w:sz w:val="13"/>
                <w:szCs w:val="13"/>
                <w:highlight w:val="none"/>
                <w:lang w:eastAsia="zh-CN"/>
              </w:rPr>
              <w:t>从重情节</w:t>
            </w:r>
            <w:r>
              <w:rPr>
                <w:rFonts w:hint="eastAsia" w:ascii="仿宋_GB2312" w:hAnsi="宋体" w:eastAsia="仿宋_GB2312"/>
                <w:color w:val="auto"/>
                <w:kern w:val="0"/>
                <w:sz w:val="13"/>
                <w:szCs w:val="13"/>
                <w:highlight w:val="none"/>
              </w:rPr>
              <w:t>的。</w:t>
            </w:r>
          </w:p>
        </w:tc>
        <w:tc>
          <w:tcPr>
            <w:tcW w:w="3058" w:type="dxa"/>
            <w:tcBorders>
              <w:tl2br w:val="nil"/>
              <w:tr2bl w:val="nil"/>
            </w:tcBorders>
            <w:tcMar>
              <w:top w:w="15" w:type="dxa"/>
              <w:left w:w="15" w:type="dxa"/>
              <w:bottom w:w="15" w:type="dxa"/>
              <w:right w:w="15" w:type="dxa"/>
            </w:tcMar>
            <w:vAlign w:val="center"/>
          </w:tcPr>
          <w:p w14:paraId="14E4B30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责令改正，处3万元罚款，对机构的法定代表人和其他直接责任人员处机构罚款数额百分</w:t>
            </w:r>
            <w:r>
              <w:rPr>
                <w:rFonts w:ascii="仿宋_GB2312" w:hAnsi="宋体" w:eastAsia="仿宋_GB2312" w:cs="Times New Roman"/>
                <w:color w:val="auto"/>
                <w:kern w:val="0"/>
                <w:sz w:val="13"/>
                <w:szCs w:val="13"/>
                <w:highlight w:val="none"/>
              </w:rPr>
              <w:t>之</w:t>
            </w:r>
            <w:r>
              <w:rPr>
                <w:rFonts w:hint="eastAsia" w:ascii="仿宋_GB2312" w:hAnsi="宋体" w:eastAsia="仿宋_GB2312" w:cs="Times New Roman"/>
                <w:color w:val="auto"/>
                <w:kern w:val="0"/>
                <w:sz w:val="13"/>
                <w:szCs w:val="13"/>
                <w:highlight w:val="none"/>
              </w:rPr>
              <w:t>五以上百分</w:t>
            </w:r>
            <w:r>
              <w:rPr>
                <w:rFonts w:ascii="仿宋_GB2312" w:hAnsi="宋体" w:eastAsia="仿宋_GB2312" w:cs="Times New Roman"/>
                <w:color w:val="auto"/>
                <w:kern w:val="0"/>
                <w:sz w:val="13"/>
                <w:szCs w:val="13"/>
                <w:highlight w:val="none"/>
              </w:rPr>
              <w:t>之</w:t>
            </w:r>
            <w:r>
              <w:rPr>
                <w:rFonts w:hint="eastAsia" w:ascii="仿宋_GB2312" w:hAnsi="宋体" w:eastAsia="仿宋_GB2312" w:cs="Times New Roman"/>
                <w:color w:val="auto"/>
                <w:kern w:val="0"/>
                <w:sz w:val="13"/>
                <w:szCs w:val="13"/>
                <w:highlight w:val="none"/>
              </w:rPr>
              <w:t>七点五以下的罚款</w:t>
            </w:r>
            <w:r>
              <w:rPr>
                <w:rFonts w:hint="eastAsia" w:ascii="仿宋_GB2312" w:hAnsi="宋体" w:eastAsia="仿宋_GB2312" w:cs="Times New Roman"/>
                <w:color w:val="auto"/>
                <w:kern w:val="0"/>
                <w:sz w:val="13"/>
                <w:szCs w:val="13"/>
                <w:highlight w:val="none"/>
                <w:lang w:eastAsia="zh-CN"/>
              </w:rPr>
              <w:t>，不再列入审查机构名录。</w:t>
            </w:r>
          </w:p>
        </w:tc>
      </w:tr>
      <w:tr w14:paraId="30B8B18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47" w:hRule="atLeast"/>
          <w:jc w:val="center"/>
        </w:trPr>
        <w:tc>
          <w:tcPr>
            <w:tcW w:w="443" w:type="dxa"/>
            <w:gridSpan w:val="2"/>
            <w:vMerge w:val="continue"/>
            <w:tcBorders>
              <w:tl2br w:val="nil"/>
              <w:tr2bl w:val="nil"/>
            </w:tcBorders>
            <w:vAlign w:val="center"/>
          </w:tcPr>
          <w:p w14:paraId="623F388B">
            <w:pPr>
              <w:pStyle w:val="37"/>
              <w:keepNext w:val="0"/>
              <w:keepLines w:val="0"/>
              <w:pageBreakBefore w:val="0"/>
              <w:widowControl/>
              <w:numPr>
                <w:ilvl w:val="0"/>
                <w:numId w:val="4"/>
              </w:numPr>
              <w:kinsoku/>
              <w:overflowPunct/>
              <w:topLinePunct w:val="0"/>
              <w:autoSpaceDE/>
              <w:autoSpaceDN/>
              <w:bidi w:val="0"/>
              <w:adjustRightInd/>
              <w:snapToGrid/>
              <w:spacing w:beforeAutospacing="0" w:afterAutospacing="0" w:line="260" w:lineRule="exact"/>
              <w:ind w:left="0" w:leftChars="0" w:right="0" w:rightChars="0" w:firstLineChars="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4EDC0FC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rPr>
                <w:rFonts w:ascii="仿宋_GB2312" w:hAnsi="宋体" w:eastAsia="仿宋_GB2312" w:cs="Times New Roman"/>
                <w:color w:val="auto"/>
                <w:sz w:val="13"/>
                <w:szCs w:val="13"/>
                <w:highlight w:val="none"/>
              </w:rPr>
            </w:pPr>
          </w:p>
        </w:tc>
        <w:tc>
          <w:tcPr>
            <w:tcW w:w="4820" w:type="dxa"/>
            <w:vMerge w:val="continue"/>
            <w:tcBorders>
              <w:tl2br w:val="nil"/>
              <w:tr2bl w:val="nil"/>
            </w:tcBorders>
            <w:vAlign w:val="center"/>
          </w:tcPr>
          <w:p w14:paraId="1134FAE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rPr>
                <w:rFonts w:ascii="仿宋_GB2312" w:hAnsi="宋体" w:eastAsia="仿宋_GB2312" w:cs="Times New Roman"/>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0CBB08F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Times New Roman"/>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从重情节</w:t>
            </w:r>
          </w:p>
        </w:tc>
        <w:tc>
          <w:tcPr>
            <w:tcW w:w="3437" w:type="dxa"/>
            <w:gridSpan w:val="2"/>
            <w:tcBorders>
              <w:tl2br w:val="nil"/>
              <w:tr2bl w:val="nil"/>
            </w:tcBorders>
            <w:tcMar>
              <w:top w:w="15" w:type="dxa"/>
              <w:left w:w="15" w:type="dxa"/>
              <w:bottom w:w="15" w:type="dxa"/>
              <w:right w:w="15" w:type="dxa"/>
            </w:tcMar>
            <w:vAlign w:val="center"/>
          </w:tcPr>
          <w:p w14:paraId="11DB9E7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olor w:val="auto"/>
                <w:kern w:val="0"/>
                <w:sz w:val="13"/>
                <w:szCs w:val="13"/>
                <w:highlight w:val="none"/>
              </w:rPr>
              <w:t>曾发生该违法行为，2年内2次及以上实施同类型违法行为的</w:t>
            </w:r>
            <w:r>
              <w:rPr>
                <w:rFonts w:hint="eastAsia" w:ascii="仿宋_GB2312" w:hAnsi="宋体" w:eastAsia="仿宋_GB2312"/>
                <w:color w:val="auto"/>
                <w:kern w:val="0"/>
                <w:sz w:val="13"/>
                <w:szCs w:val="13"/>
                <w:highlight w:val="none"/>
                <w:lang w:eastAsia="zh-CN"/>
              </w:rPr>
              <w:t>，</w:t>
            </w:r>
            <w:r>
              <w:rPr>
                <w:rFonts w:hint="eastAsia" w:ascii="仿宋_GB2312" w:hAnsi="宋体" w:eastAsia="仿宋_GB2312"/>
                <w:color w:val="auto"/>
                <w:kern w:val="0"/>
                <w:sz w:val="13"/>
                <w:szCs w:val="13"/>
                <w:highlight w:val="none"/>
                <w:lang w:val="en-US" w:eastAsia="zh-CN"/>
              </w:rPr>
              <w:t>或</w:t>
            </w:r>
            <w:r>
              <w:rPr>
                <w:rFonts w:hint="eastAsia" w:ascii="仿宋_GB2312" w:hAnsi="宋体" w:eastAsia="仿宋_GB2312"/>
                <w:color w:val="auto"/>
                <w:kern w:val="0"/>
                <w:sz w:val="13"/>
                <w:szCs w:val="13"/>
                <w:highlight w:val="none"/>
              </w:rPr>
              <w:t>经责令改正后，拒绝采取措施改正的。</w:t>
            </w:r>
          </w:p>
        </w:tc>
        <w:tc>
          <w:tcPr>
            <w:tcW w:w="3058" w:type="dxa"/>
            <w:tcBorders>
              <w:tl2br w:val="nil"/>
              <w:tr2bl w:val="nil"/>
            </w:tcBorders>
            <w:tcMar>
              <w:top w:w="15" w:type="dxa"/>
              <w:left w:w="15" w:type="dxa"/>
              <w:bottom w:w="15" w:type="dxa"/>
              <w:right w:w="15" w:type="dxa"/>
            </w:tcMar>
            <w:vAlign w:val="center"/>
          </w:tcPr>
          <w:p w14:paraId="65E2035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责令改正，处3万元罚款，对机构的法定代表人和其他直接责任人员处机构罚款数额百分</w:t>
            </w:r>
            <w:r>
              <w:rPr>
                <w:rFonts w:ascii="仿宋_GB2312" w:hAnsi="宋体" w:eastAsia="仿宋_GB2312" w:cs="Times New Roman"/>
                <w:color w:val="auto"/>
                <w:kern w:val="0"/>
                <w:sz w:val="13"/>
                <w:szCs w:val="13"/>
                <w:highlight w:val="none"/>
              </w:rPr>
              <w:t>之七点五</w:t>
            </w:r>
            <w:r>
              <w:rPr>
                <w:rFonts w:hint="eastAsia" w:ascii="仿宋_GB2312" w:hAnsi="宋体" w:eastAsia="仿宋_GB2312" w:cs="Times New Roman"/>
                <w:color w:val="auto"/>
                <w:kern w:val="0"/>
                <w:sz w:val="13"/>
                <w:szCs w:val="13"/>
                <w:highlight w:val="none"/>
              </w:rPr>
              <w:t>以上百分之</w:t>
            </w:r>
            <w:r>
              <w:rPr>
                <w:rFonts w:ascii="仿宋_GB2312" w:hAnsi="宋体" w:eastAsia="仿宋_GB2312" w:cs="Times New Roman"/>
                <w:color w:val="auto"/>
                <w:kern w:val="0"/>
                <w:sz w:val="13"/>
                <w:szCs w:val="13"/>
                <w:highlight w:val="none"/>
              </w:rPr>
              <w:t>十</w:t>
            </w:r>
            <w:r>
              <w:rPr>
                <w:rFonts w:hint="eastAsia" w:ascii="仿宋_GB2312" w:hAnsi="宋体" w:eastAsia="仿宋_GB2312" w:cs="Times New Roman"/>
                <w:color w:val="auto"/>
                <w:kern w:val="0"/>
                <w:sz w:val="13"/>
                <w:szCs w:val="13"/>
                <w:highlight w:val="none"/>
              </w:rPr>
              <w:t>以下的罚款</w:t>
            </w:r>
            <w:r>
              <w:rPr>
                <w:rFonts w:hint="eastAsia" w:ascii="仿宋_GB2312" w:hAnsi="宋体" w:eastAsia="仿宋_GB2312" w:cs="Times New Roman"/>
                <w:color w:val="auto"/>
                <w:kern w:val="0"/>
                <w:sz w:val="13"/>
                <w:szCs w:val="13"/>
                <w:highlight w:val="none"/>
                <w:lang w:eastAsia="zh-CN"/>
              </w:rPr>
              <w:t>，不再列入审查机构名录。</w:t>
            </w:r>
          </w:p>
        </w:tc>
      </w:tr>
      <w:tr w14:paraId="1BDFE70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18" w:hRule="atLeast"/>
          <w:jc w:val="center"/>
        </w:trPr>
        <w:tc>
          <w:tcPr>
            <w:tcW w:w="443" w:type="dxa"/>
            <w:gridSpan w:val="2"/>
            <w:vMerge w:val="restart"/>
            <w:tcBorders>
              <w:tl2br w:val="nil"/>
              <w:tr2bl w:val="nil"/>
            </w:tcBorders>
            <w:vAlign w:val="center"/>
          </w:tcPr>
          <w:p w14:paraId="2021F735">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Times New Roman"/>
                <w:color w:val="auto"/>
                <w:sz w:val="13"/>
                <w:szCs w:val="13"/>
                <w:highlight w:val="none"/>
                <w:lang w:val="en-US" w:eastAsia="zh-CN"/>
              </w:rPr>
            </w:pPr>
            <w:r>
              <w:rPr>
                <w:rFonts w:hint="eastAsia" w:ascii="仿宋_GB2312" w:hAnsi="宋体" w:eastAsia="仿宋_GB2312" w:cs="仿宋_GB2312"/>
                <w:i w:val="0"/>
                <w:color w:val="auto"/>
                <w:kern w:val="0"/>
                <w:sz w:val="13"/>
                <w:szCs w:val="13"/>
                <w:highlight w:val="none"/>
                <w:u w:val="none"/>
                <w:lang w:val="en-US" w:eastAsia="zh-CN" w:bidi="ar"/>
              </w:rPr>
              <w:t>230</w:t>
            </w:r>
          </w:p>
        </w:tc>
        <w:tc>
          <w:tcPr>
            <w:tcW w:w="1550" w:type="dxa"/>
            <w:vMerge w:val="restart"/>
            <w:tcBorders>
              <w:tl2br w:val="nil"/>
              <w:tr2bl w:val="nil"/>
            </w:tcBorders>
            <w:vAlign w:val="center"/>
          </w:tcPr>
          <w:p w14:paraId="56FD6B1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sz w:val="13"/>
                <w:szCs w:val="13"/>
                <w:highlight w:val="none"/>
              </w:rPr>
            </w:pPr>
            <w:r>
              <w:rPr>
                <w:rFonts w:hint="eastAsia" w:ascii="仿宋_GB2312" w:hAnsi="宋体" w:eastAsia="仿宋_GB2312"/>
                <w:color w:val="auto"/>
                <w:sz w:val="13"/>
                <w:szCs w:val="13"/>
                <w:highlight w:val="none"/>
              </w:rPr>
              <w:t>建设单位有下列行为之一的：</w:t>
            </w:r>
          </w:p>
          <w:p w14:paraId="025D76E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sz w:val="13"/>
                <w:szCs w:val="13"/>
                <w:highlight w:val="none"/>
              </w:rPr>
            </w:pPr>
            <w:r>
              <w:rPr>
                <w:rFonts w:hint="eastAsia" w:ascii="仿宋_GB2312" w:hAnsi="宋体" w:eastAsia="仿宋_GB2312"/>
                <w:color w:val="auto"/>
                <w:sz w:val="13"/>
                <w:szCs w:val="13"/>
                <w:highlight w:val="none"/>
              </w:rPr>
              <w:t>（一）压缩合理审查周期的；</w:t>
            </w:r>
          </w:p>
          <w:p w14:paraId="73909B8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sz w:val="13"/>
                <w:szCs w:val="13"/>
                <w:highlight w:val="none"/>
              </w:rPr>
            </w:pPr>
            <w:r>
              <w:rPr>
                <w:rFonts w:hint="eastAsia" w:ascii="仿宋_GB2312" w:hAnsi="宋体" w:eastAsia="仿宋_GB2312"/>
                <w:color w:val="auto"/>
                <w:sz w:val="13"/>
                <w:szCs w:val="13"/>
                <w:highlight w:val="none"/>
              </w:rPr>
              <w:t>（二）提供不真实送审资料的；</w:t>
            </w:r>
          </w:p>
          <w:p w14:paraId="14FA0F2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s="Times New Roman"/>
                <w:color w:val="auto"/>
                <w:sz w:val="13"/>
                <w:szCs w:val="13"/>
                <w:highlight w:val="none"/>
              </w:rPr>
            </w:pPr>
            <w:r>
              <w:rPr>
                <w:rFonts w:hint="eastAsia" w:ascii="仿宋_GB2312" w:hAnsi="宋体" w:eastAsia="仿宋_GB2312"/>
                <w:color w:val="auto"/>
                <w:sz w:val="13"/>
                <w:szCs w:val="13"/>
                <w:highlight w:val="none"/>
              </w:rPr>
              <w:t>（三）对审查机构提出不符合法律、法规和工程建设强制性标准要求的。</w:t>
            </w:r>
          </w:p>
        </w:tc>
        <w:tc>
          <w:tcPr>
            <w:tcW w:w="4820" w:type="dxa"/>
            <w:vMerge w:val="restart"/>
            <w:tcBorders>
              <w:tl2br w:val="nil"/>
              <w:tr2bl w:val="nil"/>
            </w:tcBorders>
            <w:vAlign w:val="center"/>
          </w:tcPr>
          <w:p w14:paraId="464A2C1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sz w:val="13"/>
                <w:szCs w:val="13"/>
                <w:highlight w:val="none"/>
              </w:rPr>
            </w:pPr>
            <w:r>
              <w:rPr>
                <w:rFonts w:hint="eastAsia" w:ascii="仿宋_GB2312" w:hAnsi="宋体" w:eastAsia="仿宋_GB2312"/>
                <w:color w:val="auto"/>
                <w:sz w:val="13"/>
                <w:szCs w:val="13"/>
                <w:highlight w:val="none"/>
              </w:rPr>
              <w:t>《房屋建筑和市政基础设施工程施工图设计文件审查管理办法》第二十六条</w:t>
            </w:r>
          </w:p>
          <w:p w14:paraId="54443A5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sz w:val="13"/>
                <w:szCs w:val="13"/>
                <w:highlight w:val="none"/>
              </w:rPr>
            </w:pPr>
            <w:r>
              <w:rPr>
                <w:rFonts w:hint="eastAsia" w:ascii="仿宋_GB2312" w:hAnsi="宋体" w:eastAsia="仿宋_GB2312"/>
                <w:color w:val="auto"/>
                <w:sz w:val="13"/>
                <w:szCs w:val="13"/>
                <w:highlight w:val="none"/>
              </w:rPr>
              <w:t>建设单位违反本办法规定，有下列行为之一的，由县级以上地方人民政府住房城乡建设主管部门责令改正，处3万元罚款；情节严重的，予以通报：</w:t>
            </w:r>
          </w:p>
          <w:p w14:paraId="265D96A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sz w:val="13"/>
                <w:szCs w:val="13"/>
                <w:highlight w:val="none"/>
              </w:rPr>
            </w:pPr>
            <w:r>
              <w:rPr>
                <w:rFonts w:hint="eastAsia" w:ascii="仿宋_GB2312" w:hAnsi="宋体" w:eastAsia="仿宋_GB2312"/>
                <w:color w:val="auto"/>
                <w:sz w:val="13"/>
                <w:szCs w:val="13"/>
                <w:highlight w:val="none"/>
              </w:rPr>
              <w:t>（一）压缩合理审查周期的；</w:t>
            </w:r>
          </w:p>
          <w:p w14:paraId="1B0145E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sz w:val="13"/>
                <w:szCs w:val="13"/>
                <w:highlight w:val="none"/>
              </w:rPr>
            </w:pPr>
            <w:r>
              <w:rPr>
                <w:rFonts w:hint="eastAsia" w:ascii="仿宋_GB2312" w:hAnsi="宋体" w:eastAsia="仿宋_GB2312"/>
                <w:color w:val="auto"/>
                <w:sz w:val="13"/>
                <w:szCs w:val="13"/>
                <w:highlight w:val="none"/>
              </w:rPr>
              <w:t>（二）提供不真实送审资料的；</w:t>
            </w:r>
          </w:p>
          <w:p w14:paraId="3649383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sz w:val="13"/>
                <w:szCs w:val="13"/>
                <w:highlight w:val="none"/>
              </w:rPr>
            </w:pPr>
            <w:r>
              <w:rPr>
                <w:rFonts w:hint="eastAsia" w:ascii="仿宋_GB2312" w:hAnsi="宋体" w:eastAsia="仿宋_GB2312"/>
                <w:color w:val="auto"/>
                <w:sz w:val="13"/>
                <w:szCs w:val="13"/>
                <w:highlight w:val="none"/>
              </w:rPr>
              <w:t>（三）对审查机构提出不符合法律、法规和工程建设强制性标准要求的。</w:t>
            </w:r>
          </w:p>
          <w:p w14:paraId="4B23B4C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olor w:val="auto"/>
                <w:sz w:val="13"/>
                <w:szCs w:val="13"/>
                <w:highlight w:val="none"/>
              </w:rPr>
              <w:t>建设单位为房地产开发企业的，还应当依照《房地产开发企业资质管理规定》进行处理。</w:t>
            </w:r>
          </w:p>
        </w:tc>
        <w:tc>
          <w:tcPr>
            <w:tcW w:w="823" w:type="dxa"/>
            <w:tcBorders>
              <w:tl2br w:val="nil"/>
              <w:tr2bl w:val="nil"/>
            </w:tcBorders>
            <w:tcMar>
              <w:top w:w="15" w:type="dxa"/>
              <w:left w:w="15" w:type="dxa"/>
              <w:bottom w:w="15" w:type="dxa"/>
              <w:right w:w="15" w:type="dxa"/>
            </w:tcMar>
            <w:vAlign w:val="center"/>
          </w:tcPr>
          <w:p w14:paraId="0BDCFBD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Times New Roman"/>
                <w:color w:val="auto"/>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tcMar>
              <w:top w:w="15" w:type="dxa"/>
              <w:left w:w="15" w:type="dxa"/>
              <w:bottom w:w="15" w:type="dxa"/>
              <w:right w:w="15" w:type="dxa"/>
            </w:tcMar>
            <w:vAlign w:val="center"/>
          </w:tcPr>
          <w:p w14:paraId="4F331D5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s="Times New Roman"/>
                <w:color w:val="auto"/>
                <w:sz w:val="13"/>
                <w:szCs w:val="13"/>
                <w:highlight w:val="none"/>
              </w:rPr>
            </w:pPr>
            <w:r>
              <w:rPr>
                <w:rFonts w:hint="eastAsia" w:ascii="仿宋_GB2312" w:hAnsi="宋体" w:eastAsia="仿宋_GB2312"/>
                <w:color w:val="auto"/>
                <w:kern w:val="0"/>
                <w:sz w:val="13"/>
                <w:szCs w:val="13"/>
                <w:highlight w:val="none"/>
              </w:rPr>
              <w:t>初次违法，危害后果轻微，主动消除或减轻危害后果的。</w:t>
            </w:r>
          </w:p>
        </w:tc>
        <w:tc>
          <w:tcPr>
            <w:tcW w:w="3058" w:type="dxa"/>
            <w:tcBorders>
              <w:tl2br w:val="nil"/>
              <w:tr2bl w:val="nil"/>
            </w:tcBorders>
            <w:tcMar>
              <w:top w:w="15" w:type="dxa"/>
              <w:left w:w="15" w:type="dxa"/>
              <w:bottom w:w="15" w:type="dxa"/>
              <w:right w:w="15" w:type="dxa"/>
            </w:tcMar>
            <w:vAlign w:val="center"/>
          </w:tcPr>
          <w:p w14:paraId="156C3AC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责令改正，处3万元罚款。</w:t>
            </w:r>
          </w:p>
        </w:tc>
      </w:tr>
      <w:tr w14:paraId="4298B2A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25" w:hRule="atLeast"/>
          <w:jc w:val="center"/>
        </w:trPr>
        <w:tc>
          <w:tcPr>
            <w:tcW w:w="443" w:type="dxa"/>
            <w:gridSpan w:val="2"/>
            <w:vMerge w:val="continue"/>
            <w:tcBorders>
              <w:tl2br w:val="nil"/>
              <w:tr2bl w:val="nil"/>
            </w:tcBorders>
            <w:vAlign w:val="center"/>
          </w:tcPr>
          <w:p w14:paraId="567DE33C">
            <w:pPr>
              <w:pStyle w:val="37"/>
              <w:keepNext w:val="0"/>
              <w:keepLines w:val="0"/>
              <w:pageBreakBefore w:val="0"/>
              <w:widowControl/>
              <w:numPr>
                <w:ilvl w:val="0"/>
                <w:numId w:val="4"/>
              </w:numPr>
              <w:kinsoku/>
              <w:overflowPunct/>
              <w:topLinePunct w:val="0"/>
              <w:autoSpaceDE/>
              <w:autoSpaceDN/>
              <w:bidi w:val="0"/>
              <w:adjustRightInd/>
              <w:snapToGrid/>
              <w:spacing w:beforeAutospacing="0" w:afterAutospacing="0" w:line="260" w:lineRule="exact"/>
              <w:ind w:left="0" w:leftChars="0" w:right="0" w:rightChars="0" w:firstLineChars="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4D26C27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s="Times New Roman"/>
                <w:color w:val="auto"/>
                <w:sz w:val="13"/>
                <w:szCs w:val="13"/>
                <w:highlight w:val="none"/>
              </w:rPr>
            </w:pPr>
          </w:p>
        </w:tc>
        <w:tc>
          <w:tcPr>
            <w:tcW w:w="4820" w:type="dxa"/>
            <w:vMerge w:val="continue"/>
            <w:tcBorders>
              <w:tl2br w:val="nil"/>
              <w:tr2bl w:val="nil"/>
            </w:tcBorders>
            <w:vAlign w:val="center"/>
          </w:tcPr>
          <w:p w14:paraId="2CD0BF9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s="Times New Roman"/>
                <w:color w:val="auto"/>
                <w:kern w:val="0"/>
                <w:sz w:val="13"/>
                <w:szCs w:val="13"/>
                <w:highlight w:val="none"/>
              </w:rPr>
            </w:pPr>
          </w:p>
        </w:tc>
        <w:tc>
          <w:tcPr>
            <w:tcW w:w="823" w:type="dxa"/>
            <w:tcBorders>
              <w:tl2br w:val="nil"/>
              <w:tr2bl w:val="nil"/>
            </w:tcBorders>
            <w:tcMar>
              <w:top w:w="15" w:type="dxa"/>
              <w:left w:w="15" w:type="dxa"/>
              <w:bottom w:w="15" w:type="dxa"/>
              <w:right w:w="15" w:type="dxa"/>
            </w:tcMar>
            <w:vAlign w:val="center"/>
          </w:tcPr>
          <w:p w14:paraId="167A61A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Times New Roman"/>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一般情节</w:t>
            </w:r>
          </w:p>
        </w:tc>
        <w:tc>
          <w:tcPr>
            <w:tcW w:w="3437" w:type="dxa"/>
            <w:gridSpan w:val="2"/>
            <w:tcBorders>
              <w:tl2br w:val="nil"/>
              <w:tr2bl w:val="nil"/>
            </w:tcBorders>
            <w:tcMar>
              <w:top w:w="15" w:type="dxa"/>
              <w:left w:w="15" w:type="dxa"/>
              <w:bottom w:w="15" w:type="dxa"/>
              <w:right w:w="15" w:type="dxa"/>
            </w:tcMar>
            <w:vAlign w:val="center"/>
          </w:tcPr>
          <w:p w14:paraId="3CE599E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s="Times New Roman"/>
                <w:color w:val="auto"/>
                <w:sz w:val="13"/>
                <w:szCs w:val="13"/>
                <w:highlight w:val="none"/>
              </w:rPr>
            </w:pPr>
            <w:r>
              <w:rPr>
                <w:rFonts w:hint="eastAsia" w:ascii="仿宋_GB2312" w:hAnsi="宋体" w:eastAsia="仿宋_GB2312"/>
                <w:color w:val="auto"/>
                <w:kern w:val="0"/>
                <w:sz w:val="13"/>
                <w:szCs w:val="13"/>
                <w:highlight w:val="none"/>
              </w:rPr>
              <w:t>不具有从轻、</w:t>
            </w:r>
            <w:r>
              <w:rPr>
                <w:rFonts w:hint="eastAsia" w:ascii="仿宋_GB2312" w:hAnsi="宋体" w:eastAsia="仿宋_GB2312"/>
                <w:color w:val="auto"/>
                <w:kern w:val="0"/>
                <w:sz w:val="13"/>
                <w:szCs w:val="13"/>
                <w:highlight w:val="none"/>
                <w:lang w:eastAsia="zh-CN"/>
              </w:rPr>
              <w:t>从重情节</w:t>
            </w:r>
            <w:r>
              <w:rPr>
                <w:rFonts w:hint="eastAsia" w:ascii="仿宋_GB2312" w:hAnsi="宋体" w:eastAsia="仿宋_GB2312"/>
                <w:color w:val="auto"/>
                <w:kern w:val="0"/>
                <w:sz w:val="13"/>
                <w:szCs w:val="13"/>
                <w:highlight w:val="none"/>
              </w:rPr>
              <w:t>的。</w:t>
            </w:r>
          </w:p>
        </w:tc>
        <w:tc>
          <w:tcPr>
            <w:tcW w:w="3058" w:type="dxa"/>
            <w:tcBorders>
              <w:tl2br w:val="nil"/>
              <w:tr2bl w:val="nil"/>
            </w:tcBorders>
            <w:tcMar>
              <w:top w:w="15" w:type="dxa"/>
              <w:left w:w="15" w:type="dxa"/>
              <w:bottom w:w="15" w:type="dxa"/>
              <w:right w:w="15" w:type="dxa"/>
            </w:tcMar>
            <w:vAlign w:val="center"/>
          </w:tcPr>
          <w:p w14:paraId="7C8EB46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责令改正，处3万元罚款。</w:t>
            </w:r>
          </w:p>
        </w:tc>
      </w:tr>
      <w:tr w14:paraId="22AB147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459" w:hRule="atLeast"/>
          <w:jc w:val="center"/>
        </w:trPr>
        <w:tc>
          <w:tcPr>
            <w:tcW w:w="443" w:type="dxa"/>
            <w:gridSpan w:val="2"/>
            <w:vMerge w:val="continue"/>
            <w:tcBorders>
              <w:tl2br w:val="nil"/>
              <w:tr2bl w:val="nil"/>
            </w:tcBorders>
            <w:vAlign w:val="center"/>
          </w:tcPr>
          <w:p w14:paraId="4FA52206">
            <w:pPr>
              <w:pStyle w:val="37"/>
              <w:keepNext w:val="0"/>
              <w:keepLines w:val="0"/>
              <w:pageBreakBefore w:val="0"/>
              <w:widowControl/>
              <w:numPr>
                <w:ilvl w:val="0"/>
                <w:numId w:val="4"/>
              </w:numPr>
              <w:kinsoku/>
              <w:overflowPunct/>
              <w:topLinePunct w:val="0"/>
              <w:autoSpaceDE/>
              <w:autoSpaceDN/>
              <w:bidi w:val="0"/>
              <w:adjustRightInd/>
              <w:snapToGrid/>
              <w:spacing w:beforeAutospacing="0" w:afterAutospacing="0" w:line="260" w:lineRule="exact"/>
              <w:ind w:left="0" w:leftChars="0" w:right="0" w:rightChars="0" w:firstLineChars="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53EDA23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s="Times New Roman"/>
                <w:color w:val="auto"/>
                <w:sz w:val="13"/>
                <w:szCs w:val="13"/>
                <w:highlight w:val="none"/>
              </w:rPr>
            </w:pPr>
          </w:p>
        </w:tc>
        <w:tc>
          <w:tcPr>
            <w:tcW w:w="4820" w:type="dxa"/>
            <w:vMerge w:val="continue"/>
            <w:tcBorders>
              <w:tl2br w:val="nil"/>
              <w:tr2bl w:val="nil"/>
            </w:tcBorders>
            <w:vAlign w:val="center"/>
          </w:tcPr>
          <w:p w14:paraId="5890A24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s="Times New Roman"/>
                <w:color w:val="auto"/>
                <w:kern w:val="0"/>
                <w:sz w:val="13"/>
                <w:szCs w:val="13"/>
                <w:highlight w:val="none"/>
              </w:rPr>
            </w:pPr>
          </w:p>
        </w:tc>
        <w:tc>
          <w:tcPr>
            <w:tcW w:w="823" w:type="dxa"/>
            <w:tcBorders>
              <w:tl2br w:val="nil"/>
              <w:tr2bl w:val="nil"/>
            </w:tcBorders>
            <w:tcMar>
              <w:top w:w="15" w:type="dxa"/>
              <w:left w:w="15" w:type="dxa"/>
              <w:bottom w:w="15" w:type="dxa"/>
              <w:right w:w="15" w:type="dxa"/>
            </w:tcMar>
            <w:vAlign w:val="center"/>
          </w:tcPr>
          <w:p w14:paraId="54779A6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Times New Roman"/>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从重情节</w:t>
            </w:r>
          </w:p>
        </w:tc>
        <w:tc>
          <w:tcPr>
            <w:tcW w:w="3437" w:type="dxa"/>
            <w:gridSpan w:val="2"/>
            <w:tcBorders>
              <w:tl2br w:val="nil"/>
              <w:tr2bl w:val="nil"/>
            </w:tcBorders>
            <w:tcMar>
              <w:top w:w="15" w:type="dxa"/>
              <w:left w:w="15" w:type="dxa"/>
              <w:bottom w:w="15" w:type="dxa"/>
              <w:right w:w="15" w:type="dxa"/>
            </w:tcMar>
            <w:vAlign w:val="center"/>
          </w:tcPr>
          <w:p w14:paraId="3F37535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olor w:val="auto"/>
                <w:kern w:val="0"/>
                <w:sz w:val="13"/>
                <w:szCs w:val="13"/>
                <w:highlight w:val="none"/>
              </w:rPr>
              <w:t>2年内2次及以上实施同类型违法行为的</w:t>
            </w:r>
            <w:r>
              <w:rPr>
                <w:rFonts w:hint="eastAsia" w:ascii="仿宋_GB2312" w:hAnsi="宋体" w:eastAsia="仿宋_GB2312"/>
                <w:color w:val="auto"/>
                <w:kern w:val="0"/>
                <w:sz w:val="13"/>
                <w:szCs w:val="13"/>
                <w:highlight w:val="none"/>
                <w:lang w:eastAsia="zh-CN"/>
              </w:rPr>
              <w:t>，</w:t>
            </w:r>
            <w:r>
              <w:rPr>
                <w:rFonts w:hint="eastAsia" w:ascii="仿宋_GB2312" w:hAnsi="宋体" w:eastAsia="仿宋_GB2312"/>
                <w:color w:val="auto"/>
                <w:kern w:val="0"/>
                <w:sz w:val="13"/>
                <w:szCs w:val="13"/>
                <w:highlight w:val="none"/>
                <w:lang w:val="en-US" w:eastAsia="zh-CN"/>
              </w:rPr>
              <w:t>或</w:t>
            </w:r>
            <w:r>
              <w:rPr>
                <w:rFonts w:hint="eastAsia" w:ascii="仿宋_GB2312" w:hAnsi="宋体" w:eastAsia="仿宋_GB2312"/>
                <w:color w:val="auto"/>
                <w:kern w:val="0"/>
                <w:sz w:val="13"/>
                <w:szCs w:val="13"/>
                <w:highlight w:val="none"/>
              </w:rPr>
              <w:t>经责令改正后，拒绝采取措施改正的</w:t>
            </w:r>
            <w:r>
              <w:rPr>
                <w:rFonts w:hint="eastAsia" w:ascii="仿宋_GB2312" w:hAnsi="宋体" w:eastAsia="仿宋_GB2312"/>
                <w:color w:val="auto"/>
                <w:kern w:val="0"/>
                <w:sz w:val="13"/>
                <w:szCs w:val="13"/>
                <w:highlight w:val="none"/>
                <w:lang w:eastAsia="zh-CN"/>
              </w:rPr>
              <w:t>，</w:t>
            </w:r>
            <w:r>
              <w:rPr>
                <w:rFonts w:hint="eastAsia" w:ascii="仿宋_GB2312" w:hAnsi="宋体" w:eastAsia="仿宋_GB2312"/>
                <w:color w:val="auto"/>
                <w:kern w:val="0"/>
                <w:sz w:val="13"/>
                <w:szCs w:val="13"/>
                <w:highlight w:val="none"/>
                <w:lang w:val="en-US" w:eastAsia="zh-CN"/>
              </w:rPr>
              <w:t>或</w:t>
            </w:r>
            <w:r>
              <w:rPr>
                <w:rFonts w:hint="eastAsia" w:ascii="仿宋_GB2312" w:hAnsi="宋体" w:eastAsia="仿宋_GB2312"/>
                <w:color w:val="auto"/>
                <w:kern w:val="0"/>
                <w:sz w:val="13"/>
                <w:szCs w:val="13"/>
                <w:highlight w:val="none"/>
              </w:rPr>
              <w:t>造成质量安全事故的。</w:t>
            </w:r>
          </w:p>
        </w:tc>
        <w:tc>
          <w:tcPr>
            <w:tcW w:w="3058" w:type="dxa"/>
            <w:tcBorders>
              <w:tl2br w:val="nil"/>
              <w:tr2bl w:val="nil"/>
            </w:tcBorders>
            <w:tcMar>
              <w:top w:w="15" w:type="dxa"/>
              <w:left w:w="15" w:type="dxa"/>
              <w:bottom w:w="15" w:type="dxa"/>
              <w:right w:w="15" w:type="dxa"/>
            </w:tcMar>
            <w:vAlign w:val="center"/>
          </w:tcPr>
          <w:p w14:paraId="6AA16CC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责令改正，处3万元罚款，通报。</w:t>
            </w:r>
          </w:p>
        </w:tc>
      </w:tr>
      <w:tr w14:paraId="646D834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68" w:hRule="atLeast"/>
          <w:jc w:val="center"/>
        </w:trPr>
        <w:tc>
          <w:tcPr>
            <w:tcW w:w="443" w:type="dxa"/>
            <w:gridSpan w:val="2"/>
            <w:vMerge w:val="restart"/>
            <w:tcBorders>
              <w:tl2br w:val="nil"/>
              <w:tr2bl w:val="nil"/>
            </w:tcBorders>
            <w:vAlign w:val="center"/>
          </w:tcPr>
          <w:p w14:paraId="034D0A24">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Times New Roman"/>
                <w:color w:val="auto"/>
                <w:sz w:val="13"/>
                <w:szCs w:val="13"/>
                <w:highlight w:val="none"/>
                <w:lang w:val="en-US" w:eastAsia="zh-CN"/>
              </w:rPr>
            </w:pPr>
            <w:r>
              <w:rPr>
                <w:rFonts w:hint="eastAsia" w:ascii="仿宋_GB2312" w:hAnsi="宋体" w:eastAsia="仿宋_GB2312" w:cs="仿宋_GB2312"/>
                <w:i w:val="0"/>
                <w:color w:val="auto"/>
                <w:kern w:val="0"/>
                <w:sz w:val="13"/>
                <w:szCs w:val="13"/>
                <w:highlight w:val="none"/>
                <w:u w:val="none"/>
                <w:lang w:val="en-US" w:eastAsia="zh-CN" w:bidi="ar"/>
              </w:rPr>
              <w:t>231</w:t>
            </w:r>
          </w:p>
        </w:tc>
        <w:tc>
          <w:tcPr>
            <w:tcW w:w="1550" w:type="dxa"/>
            <w:vMerge w:val="restart"/>
            <w:tcBorders>
              <w:tl2br w:val="nil"/>
              <w:tr2bl w:val="nil"/>
            </w:tcBorders>
            <w:vAlign w:val="center"/>
          </w:tcPr>
          <w:p w14:paraId="1BEB3C0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s="Times New Roman"/>
                <w:color w:val="auto"/>
                <w:sz w:val="13"/>
                <w:szCs w:val="13"/>
                <w:highlight w:val="none"/>
              </w:rPr>
            </w:pPr>
            <w:r>
              <w:rPr>
                <w:rFonts w:hint="eastAsia" w:ascii="仿宋_GB2312" w:hAnsi="宋体" w:eastAsia="仿宋_GB2312"/>
                <w:color w:val="auto"/>
                <w:sz w:val="13"/>
                <w:szCs w:val="13"/>
                <w:highlight w:val="none"/>
              </w:rPr>
              <w:t>勘察、设计单位违反规定，未按照抗震设防专项审查意见进行超限高层建筑工程勘察、设计的</w:t>
            </w:r>
          </w:p>
        </w:tc>
        <w:tc>
          <w:tcPr>
            <w:tcW w:w="4820" w:type="dxa"/>
            <w:vMerge w:val="restart"/>
            <w:tcBorders>
              <w:tl2br w:val="nil"/>
              <w:tr2bl w:val="nil"/>
            </w:tcBorders>
            <w:vAlign w:val="center"/>
          </w:tcPr>
          <w:p w14:paraId="5BF5EB0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《超限高层建筑工程抗震设防管理规定》第十八条</w:t>
            </w:r>
          </w:p>
          <w:p w14:paraId="05E4C69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olor w:val="auto"/>
                <w:kern w:val="0"/>
                <w:sz w:val="13"/>
                <w:szCs w:val="13"/>
                <w:highlight w:val="none"/>
              </w:rPr>
              <w:t>勘察、设计单位违反本规定，未按照抗震设防专项审查意见进行超限高层建筑工程勘察、设计的，责令改正，处以1万元以上3万元以下的罚款；造成损失的，依法承担赔偿责任。</w:t>
            </w:r>
          </w:p>
        </w:tc>
        <w:tc>
          <w:tcPr>
            <w:tcW w:w="823" w:type="dxa"/>
            <w:tcBorders>
              <w:tl2br w:val="nil"/>
              <w:tr2bl w:val="nil"/>
            </w:tcBorders>
            <w:tcMar>
              <w:top w:w="15" w:type="dxa"/>
              <w:left w:w="15" w:type="dxa"/>
              <w:bottom w:w="15" w:type="dxa"/>
              <w:right w:w="15" w:type="dxa"/>
            </w:tcMar>
            <w:vAlign w:val="center"/>
          </w:tcPr>
          <w:p w14:paraId="4895A03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Times New Roman"/>
                <w:color w:val="auto"/>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tcMar>
              <w:top w:w="15" w:type="dxa"/>
              <w:left w:w="15" w:type="dxa"/>
              <w:bottom w:w="15" w:type="dxa"/>
              <w:right w:w="15" w:type="dxa"/>
            </w:tcMar>
            <w:vAlign w:val="center"/>
          </w:tcPr>
          <w:p w14:paraId="4445837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s="Times New Roman"/>
                <w:color w:val="auto"/>
                <w:sz w:val="13"/>
                <w:szCs w:val="13"/>
                <w:highlight w:val="none"/>
              </w:rPr>
            </w:pPr>
            <w:r>
              <w:rPr>
                <w:rFonts w:hint="eastAsia" w:ascii="仿宋_GB2312" w:hAnsi="宋体" w:eastAsia="仿宋_GB2312"/>
                <w:color w:val="auto"/>
                <w:kern w:val="0"/>
                <w:sz w:val="13"/>
                <w:szCs w:val="13"/>
                <w:highlight w:val="none"/>
              </w:rPr>
              <w:t>初次违法，危害后果轻微，主动消除或减轻违法行为危害后果的。</w:t>
            </w:r>
          </w:p>
        </w:tc>
        <w:tc>
          <w:tcPr>
            <w:tcW w:w="3058" w:type="dxa"/>
            <w:tcBorders>
              <w:tl2br w:val="nil"/>
              <w:tr2bl w:val="nil"/>
            </w:tcBorders>
            <w:tcMar>
              <w:top w:w="15" w:type="dxa"/>
              <w:left w:w="15" w:type="dxa"/>
              <w:bottom w:w="15" w:type="dxa"/>
              <w:right w:w="15" w:type="dxa"/>
            </w:tcMar>
            <w:vAlign w:val="center"/>
          </w:tcPr>
          <w:p w14:paraId="4911D44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s="Times New Roman"/>
                <w:color w:val="auto"/>
                <w:sz w:val="13"/>
                <w:szCs w:val="13"/>
                <w:highlight w:val="none"/>
              </w:rPr>
            </w:pPr>
            <w:r>
              <w:rPr>
                <w:rFonts w:hint="eastAsia" w:ascii="仿宋_GB2312" w:hAnsi="宋体" w:eastAsia="仿宋_GB2312" w:cs="Times New Roman"/>
                <w:color w:val="auto"/>
                <w:kern w:val="0"/>
                <w:sz w:val="13"/>
                <w:szCs w:val="13"/>
                <w:highlight w:val="none"/>
              </w:rPr>
              <w:t>责令改正，处1万元罚款。</w:t>
            </w:r>
          </w:p>
        </w:tc>
      </w:tr>
      <w:tr w14:paraId="7F57544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02" w:hRule="atLeast"/>
          <w:jc w:val="center"/>
        </w:trPr>
        <w:tc>
          <w:tcPr>
            <w:tcW w:w="443" w:type="dxa"/>
            <w:gridSpan w:val="2"/>
            <w:vMerge w:val="continue"/>
            <w:tcBorders>
              <w:tl2br w:val="nil"/>
              <w:tr2bl w:val="nil"/>
            </w:tcBorders>
            <w:vAlign w:val="center"/>
          </w:tcPr>
          <w:p w14:paraId="18EA87C6">
            <w:pPr>
              <w:pStyle w:val="37"/>
              <w:keepNext w:val="0"/>
              <w:keepLines w:val="0"/>
              <w:pageBreakBefore w:val="0"/>
              <w:widowControl/>
              <w:numPr>
                <w:ilvl w:val="0"/>
                <w:numId w:val="4"/>
              </w:numPr>
              <w:kinsoku/>
              <w:overflowPunct/>
              <w:topLinePunct w:val="0"/>
              <w:autoSpaceDE/>
              <w:autoSpaceDN/>
              <w:bidi w:val="0"/>
              <w:adjustRightInd/>
              <w:snapToGrid/>
              <w:spacing w:beforeAutospacing="0" w:afterAutospacing="0" w:line="260" w:lineRule="exact"/>
              <w:ind w:left="0" w:leftChars="0" w:right="0" w:rightChars="0" w:firstLineChars="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1B6B8CA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s="Times New Roman"/>
                <w:color w:val="auto"/>
                <w:sz w:val="13"/>
                <w:szCs w:val="13"/>
                <w:highlight w:val="none"/>
              </w:rPr>
            </w:pPr>
          </w:p>
        </w:tc>
        <w:tc>
          <w:tcPr>
            <w:tcW w:w="4820" w:type="dxa"/>
            <w:vMerge w:val="continue"/>
            <w:tcBorders>
              <w:tl2br w:val="nil"/>
              <w:tr2bl w:val="nil"/>
            </w:tcBorders>
            <w:vAlign w:val="center"/>
          </w:tcPr>
          <w:p w14:paraId="07371E0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s="Times New Roman"/>
                <w:color w:val="auto"/>
                <w:kern w:val="0"/>
                <w:sz w:val="13"/>
                <w:szCs w:val="13"/>
                <w:highlight w:val="none"/>
              </w:rPr>
            </w:pPr>
          </w:p>
        </w:tc>
        <w:tc>
          <w:tcPr>
            <w:tcW w:w="823" w:type="dxa"/>
            <w:tcBorders>
              <w:tl2br w:val="nil"/>
              <w:tr2bl w:val="nil"/>
            </w:tcBorders>
            <w:tcMar>
              <w:top w:w="15" w:type="dxa"/>
              <w:left w:w="15" w:type="dxa"/>
              <w:bottom w:w="15" w:type="dxa"/>
              <w:right w:w="15" w:type="dxa"/>
            </w:tcMar>
            <w:vAlign w:val="center"/>
          </w:tcPr>
          <w:p w14:paraId="06B81BD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Times New Roman"/>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一般情节</w:t>
            </w:r>
          </w:p>
        </w:tc>
        <w:tc>
          <w:tcPr>
            <w:tcW w:w="3437" w:type="dxa"/>
            <w:gridSpan w:val="2"/>
            <w:tcBorders>
              <w:tl2br w:val="nil"/>
              <w:tr2bl w:val="nil"/>
            </w:tcBorders>
            <w:tcMar>
              <w:top w:w="15" w:type="dxa"/>
              <w:left w:w="15" w:type="dxa"/>
              <w:bottom w:w="15" w:type="dxa"/>
              <w:right w:w="15" w:type="dxa"/>
            </w:tcMar>
            <w:vAlign w:val="center"/>
          </w:tcPr>
          <w:p w14:paraId="2CCD574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olor w:val="auto"/>
                <w:kern w:val="0"/>
                <w:sz w:val="13"/>
                <w:szCs w:val="13"/>
                <w:highlight w:val="none"/>
              </w:rPr>
              <w:t>不具有从轻、</w:t>
            </w:r>
            <w:r>
              <w:rPr>
                <w:rFonts w:hint="eastAsia" w:ascii="仿宋_GB2312" w:hAnsi="宋体" w:eastAsia="仿宋_GB2312"/>
                <w:color w:val="auto"/>
                <w:kern w:val="0"/>
                <w:sz w:val="13"/>
                <w:szCs w:val="13"/>
                <w:highlight w:val="none"/>
                <w:lang w:eastAsia="zh-CN"/>
              </w:rPr>
              <w:t>从重情节</w:t>
            </w:r>
            <w:r>
              <w:rPr>
                <w:rFonts w:hint="eastAsia" w:ascii="仿宋_GB2312" w:hAnsi="宋体" w:eastAsia="仿宋_GB2312"/>
                <w:color w:val="auto"/>
                <w:kern w:val="0"/>
                <w:sz w:val="13"/>
                <w:szCs w:val="13"/>
                <w:highlight w:val="none"/>
              </w:rPr>
              <w:t>的。</w:t>
            </w:r>
          </w:p>
        </w:tc>
        <w:tc>
          <w:tcPr>
            <w:tcW w:w="3058" w:type="dxa"/>
            <w:tcBorders>
              <w:tl2br w:val="nil"/>
              <w:tr2bl w:val="nil"/>
            </w:tcBorders>
            <w:tcMar>
              <w:top w:w="15" w:type="dxa"/>
              <w:left w:w="15" w:type="dxa"/>
              <w:bottom w:w="15" w:type="dxa"/>
              <w:right w:w="15" w:type="dxa"/>
            </w:tcMar>
            <w:vAlign w:val="center"/>
          </w:tcPr>
          <w:p w14:paraId="7BAFB91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责令改正，处1万元以上</w:t>
            </w:r>
            <w:r>
              <w:rPr>
                <w:rFonts w:ascii="仿宋_GB2312" w:hAnsi="宋体" w:eastAsia="仿宋_GB2312" w:cs="Times New Roman"/>
                <w:color w:val="auto"/>
                <w:kern w:val="0"/>
                <w:sz w:val="13"/>
                <w:szCs w:val="13"/>
                <w:highlight w:val="none"/>
              </w:rPr>
              <w:t>2</w:t>
            </w:r>
            <w:r>
              <w:rPr>
                <w:rFonts w:hint="eastAsia" w:ascii="仿宋_GB2312" w:hAnsi="宋体" w:eastAsia="仿宋_GB2312" w:cs="Times New Roman"/>
                <w:color w:val="auto"/>
                <w:kern w:val="0"/>
                <w:sz w:val="13"/>
                <w:szCs w:val="13"/>
                <w:highlight w:val="none"/>
              </w:rPr>
              <w:t>万元以下的罚款。</w:t>
            </w:r>
          </w:p>
        </w:tc>
      </w:tr>
      <w:tr w14:paraId="799F800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47" w:hRule="atLeast"/>
          <w:jc w:val="center"/>
        </w:trPr>
        <w:tc>
          <w:tcPr>
            <w:tcW w:w="443" w:type="dxa"/>
            <w:gridSpan w:val="2"/>
            <w:vMerge w:val="continue"/>
            <w:tcBorders>
              <w:tl2br w:val="nil"/>
              <w:tr2bl w:val="nil"/>
            </w:tcBorders>
            <w:vAlign w:val="center"/>
          </w:tcPr>
          <w:p w14:paraId="64DD7559">
            <w:pPr>
              <w:pStyle w:val="37"/>
              <w:keepNext w:val="0"/>
              <w:keepLines w:val="0"/>
              <w:pageBreakBefore w:val="0"/>
              <w:widowControl/>
              <w:numPr>
                <w:ilvl w:val="0"/>
                <w:numId w:val="4"/>
              </w:numPr>
              <w:kinsoku/>
              <w:overflowPunct/>
              <w:topLinePunct w:val="0"/>
              <w:autoSpaceDE/>
              <w:autoSpaceDN/>
              <w:bidi w:val="0"/>
              <w:adjustRightInd/>
              <w:snapToGrid/>
              <w:spacing w:beforeAutospacing="0" w:afterAutospacing="0" w:line="260" w:lineRule="exact"/>
              <w:ind w:left="0" w:leftChars="0" w:right="0" w:rightChars="0" w:firstLineChars="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5D75BB7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s="Times New Roman"/>
                <w:color w:val="auto"/>
                <w:sz w:val="13"/>
                <w:szCs w:val="13"/>
                <w:highlight w:val="none"/>
              </w:rPr>
            </w:pPr>
          </w:p>
        </w:tc>
        <w:tc>
          <w:tcPr>
            <w:tcW w:w="4820" w:type="dxa"/>
            <w:vMerge w:val="continue"/>
            <w:tcBorders>
              <w:tl2br w:val="nil"/>
              <w:tr2bl w:val="nil"/>
            </w:tcBorders>
            <w:vAlign w:val="center"/>
          </w:tcPr>
          <w:p w14:paraId="49DEC52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s="Times New Roman"/>
                <w:color w:val="auto"/>
                <w:kern w:val="0"/>
                <w:sz w:val="13"/>
                <w:szCs w:val="13"/>
                <w:highlight w:val="none"/>
              </w:rPr>
            </w:pPr>
          </w:p>
        </w:tc>
        <w:tc>
          <w:tcPr>
            <w:tcW w:w="823" w:type="dxa"/>
            <w:tcBorders>
              <w:tl2br w:val="nil"/>
              <w:tr2bl w:val="nil"/>
            </w:tcBorders>
            <w:tcMar>
              <w:top w:w="15" w:type="dxa"/>
              <w:left w:w="15" w:type="dxa"/>
              <w:bottom w:w="15" w:type="dxa"/>
              <w:right w:w="15" w:type="dxa"/>
            </w:tcMar>
            <w:vAlign w:val="center"/>
          </w:tcPr>
          <w:p w14:paraId="33CE2FB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Times New Roman"/>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从重情节</w:t>
            </w:r>
          </w:p>
        </w:tc>
        <w:tc>
          <w:tcPr>
            <w:tcW w:w="3437" w:type="dxa"/>
            <w:gridSpan w:val="2"/>
            <w:tcBorders>
              <w:tl2br w:val="nil"/>
              <w:tr2bl w:val="nil"/>
            </w:tcBorders>
            <w:tcMar>
              <w:top w:w="15" w:type="dxa"/>
              <w:left w:w="15" w:type="dxa"/>
              <w:bottom w:w="15" w:type="dxa"/>
              <w:right w:w="15" w:type="dxa"/>
            </w:tcMar>
            <w:vAlign w:val="center"/>
          </w:tcPr>
          <w:p w14:paraId="679BF26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olor w:val="auto"/>
                <w:kern w:val="0"/>
                <w:sz w:val="13"/>
                <w:szCs w:val="13"/>
                <w:highlight w:val="none"/>
              </w:rPr>
              <w:t>2年内2次及以上实施同类型违法行为的</w:t>
            </w:r>
            <w:r>
              <w:rPr>
                <w:rFonts w:hint="eastAsia" w:ascii="仿宋_GB2312" w:hAnsi="宋体" w:eastAsia="仿宋_GB2312"/>
                <w:color w:val="auto"/>
                <w:kern w:val="0"/>
                <w:sz w:val="13"/>
                <w:szCs w:val="13"/>
                <w:highlight w:val="none"/>
                <w:lang w:eastAsia="zh-CN"/>
              </w:rPr>
              <w:t>，</w:t>
            </w:r>
            <w:r>
              <w:rPr>
                <w:rFonts w:hint="eastAsia" w:ascii="仿宋_GB2312" w:hAnsi="宋体" w:eastAsia="仿宋_GB2312"/>
                <w:color w:val="auto"/>
                <w:kern w:val="0"/>
                <w:sz w:val="13"/>
                <w:szCs w:val="13"/>
                <w:highlight w:val="none"/>
                <w:lang w:val="en-US" w:eastAsia="zh-CN"/>
              </w:rPr>
              <w:t>或</w:t>
            </w:r>
            <w:r>
              <w:rPr>
                <w:rFonts w:hint="eastAsia" w:ascii="仿宋_GB2312" w:hAnsi="宋体" w:eastAsia="仿宋_GB2312"/>
                <w:color w:val="auto"/>
                <w:kern w:val="0"/>
                <w:sz w:val="13"/>
                <w:szCs w:val="13"/>
                <w:highlight w:val="none"/>
              </w:rPr>
              <w:t>经责令改正后，拒绝采取措施改正的</w:t>
            </w:r>
            <w:r>
              <w:rPr>
                <w:rFonts w:hint="eastAsia" w:ascii="仿宋_GB2312" w:hAnsi="宋体" w:eastAsia="仿宋_GB2312"/>
                <w:color w:val="auto"/>
                <w:kern w:val="0"/>
                <w:sz w:val="13"/>
                <w:szCs w:val="13"/>
                <w:highlight w:val="none"/>
                <w:lang w:eastAsia="zh-CN"/>
              </w:rPr>
              <w:t>，</w:t>
            </w:r>
            <w:r>
              <w:rPr>
                <w:rFonts w:hint="eastAsia" w:ascii="仿宋_GB2312" w:hAnsi="宋体" w:eastAsia="仿宋_GB2312"/>
                <w:color w:val="auto"/>
                <w:kern w:val="0"/>
                <w:sz w:val="13"/>
                <w:szCs w:val="13"/>
                <w:highlight w:val="none"/>
                <w:lang w:val="en-US" w:eastAsia="zh-CN"/>
              </w:rPr>
              <w:t>或</w:t>
            </w:r>
            <w:r>
              <w:rPr>
                <w:rFonts w:hint="eastAsia" w:ascii="仿宋_GB2312" w:hAnsi="宋体" w:eastAsia="仿宋_GB2312"/>
                <w:color w:val="auto"/>
                <w:kern w:val="0"/>
                <w:sz w:val="13"/>
                <w:szCs w:val="13"/>
                <w:highlight w:val="none"/>
              </w:rPr>
              <w:t>造成质量安全事故的。</w:t>
            </w:r>
          </w:p>
        </w:tc>
        <w:tc>
          <w:tcPr>
            <w:tcW w:w="3058" w:type="dxa"/>
            <w:tcBorders>
              <w:tl2br w:val="nil"/>
              <w:tr2bl w:val="nil"/>
            </w:tcBorders>
            <w:tcMar>
              <w:top w:w="15" w:type="dxa"/>
              <w:left w:w="15" w:type="dxa"/>
              <w:bottom w:w="15" w:type="dxa"/>
              <w:right w:w="15" w:type="dxa"/>
            </w:tcMar>
            <w:vAlign w:val="center"/>
          </w:tcPr>
          <w:p w14:paraId="501C84C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责令改正，处</w:t>
            </w:r>
            <w:r>
              <w:rPr>
                <w:rFonts w:ascii="仿宋_GB2312" w:hAnsi="宋体" w:eastAsia="仿宋_GB2312" w:cs="Times New Roman"/>
                <w:color w:val="auto"/>
                <w:kern w:val="0"/>
                <w:sz w:val="13"/>
                <w:szCs w:val="13"/>
                <w:highlight w:val="none"/>
              </w:rPr>
              <w:t>2</w:t>
            </w:r>
            <w:r>
              <w:rPr>
                <w:rFonts w:hint="eastAsia" w:ascii="仿宋_GB2312" w:hAnsi="宋体" w:eastAsia="仿宋_GB2312" w:cs="Times New Roman"/>
                <w:color w:val="auto"/>
                <w:kern w:val="0"/>
                <w:sz w:val="13"/>
                <w:szCs w:val="13"/>
                <w:highlight w:val="none"/>
              </w:rPr>
              <w:t>万元以上</w:t>
            </w:r>
            <w:r>
              <w:rPr>
                <w:rFonts w:ascii="仿宋_GB2312" w:hAnsi="宋体" w:eastAsia="仿宋_GB2312" w:cs="Times New Roman"/>
                <w:color w:val="auto"/>
                <w:kern w:val="0"/>
                <w:sz w:val="13"/>
                <w:szCs w:val="13"/>
                <w:highlight w:val="none"/>
              </w:rPr>
              <w:t>3</w:t>
            </w:r>
            <w:r>
              <w:rPr>
                <w:rFonts w:hint="eastAsia" w:ascii="仿宋_GB2312" w:hAnsi="宋体" w:eastAsia="仿宋_GB2312" w:cs="Times New Roman"/>
                <w:color w:val="auto"/>
                <w:kern w:val="0"/>
                <w:sz w:val="13"/>
                <w:szCs w:val="13"/>
                <w:highlight w:val="none"/>
              </w:rPr>
              <w:t>万元以下的罚款。</w:t>
            </w:r>
          </w:p>
        </w:tc>
      </w:tr>
      <w:tr w14:paraId="18C6F87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70" w:hRule="atLeast"/>
          <w:jc w:val="center"/>
        </w:trPr>
        <w:tc>
          <w:tcPr>
            <w:tcW w:w="14131" w:type="dxa"/>
            <w:gridSpan w:val="8"/>
            <w:tcBorders>
              <w:tl2br w:val="nil"/>
              <w:tr2bl w:val="nil"/>
            </w:tcBorders>
            <w:vAlign w:val="center"/>
          </w:tcPr>
          <w:p w14:paraId="05B9CE0F">
            <w:pPr>
              <w:pStyle w:val="10"/>
              <w:bidi w:val="0"/>
              <w:jc w:val="center"/>
              <w:rPr>
                <w:rFonts w:hint="eastAsia"/>
                <w:color w:val="auto"/>
              </w:rPr>
            </w:pPr>
            <w:bookmarkStart w:id="12" w:name="_Toc622"/>
            <w:bookmarkStart w:id="13" w:name="_Toc29908"/>
            <w:r>
              <w:rPr>
                <w:rFonts w:hint="eastAsia"/>
                <w:color w:val="auto"/>
                <w:lang w:val="en-US" w:eastAsia="zh-CN"/>
              </w:rPr>
              <w:t>六、</w:t>
            </w:r>
            <w:r>
              <w:rPr>
                <w:rFonts w:hint="eastAsia"/>
                <w:color w:val="auto"/>
              </w:rPr>
              <w:t>建设工程消防设计审查验收类（</w:t>
            </w:r>
            <w:r>
              <w:rPr>
                <w:rFonts w:hint="eastAsia"/>
                <w:color w:val="auto"/>
                <w:lang w:val="en-US" w:eastAsia="zh-CN"/>
              </w:rPr>
              <w:t>3</w:t>
            </w:r>
            <w:r>
              <w:rPr>
                <w:rFonts w:hint="eastAsia"/>
                <w:color w:val="auto"/>
              </w:rPr>
              <w:t>项）</w:t>
            </w:r>
            <w:bookmarkEnd w:id="12"/>
            <w:bookmarkEnd w:id="13"/>
          </w:p>
        </w:tc>
      </w:tr>
      <w:tr w14:paraId="6E0C611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085" w:hRule="atLeast"/>
          <w:jc w:val="center"/>
        </w:trPr>
        <w:tc>
          <w:tcPr>
            <w:tcW w:w="443" w:type="dxa"/>
            <w:gridSpan w:val="2"/>
            <w:vMerge w:val="restart"/>
            <w:tcBorders>
              <w:tl2br w:val="nil"/>
              <w:tr2bl w:val="nil"/>
            </w:tcBorders>
            <w:vAlign w:val="center"/>
          </w:tcPr>
          <w:p w14:paraId="0A37BE2F">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Calibri" w:eastAsia="仿宋_GB2312" w:cs="Times New Roman"/>
                <w:color w:val="auto"/>
                <w:sz w:val="13"/>
                <w:szCs w:val="13"/>
                <w:highlight w:val="none"/>
                <w:lang w:val="en-US" w:eastAsia="zh-CN"/>
              </w:rPr>
            </w:pPr>
            <w:r>
              <w:rPr>
                <w:rFonts w:hint="eastAsia" w:ascii="仿宋_GB2312" w:hAnsi="宋体" w:eastAsia="仿宋_GB2312" w:cs="仿宋_GB2312"/>
                <w:i w:val="0"/>
                <w:color w:val="auto"/>
                <w:kern w:val="0"/>
                <w:sz w:val="13"/>
                <w:szCs w:val="13"/>
                <w:highlight w:val="none"/>
                <w:u w:val="none"/>
                <w:lang w:val="en-US" w:eastAsia="zh-CN" w:bidi="ar"/>
              </w:rPr>
              <w:t>232</w:t>
            </w:r>
          </w:p>
        </w:tc>
        <w:tc>
          <w:tcPr>
            <w:tcW w:w="1550" w:type="dxa"/>
            <w:vMerge w:val="restart"/>
            <w:tcBorders>
              <w:tl2br w:val="nil"/>
              <w:tr2bl w:val="nil"/>
            </w:tcBorders>
            <w:vAlign w:val="center"/>
          </w:tcPr>
          <w:p w14:paraId="4F533EF1">
            <w:pPr>
              <w:keepNext w:val="0"/>
              <w:keepLines w:val="0"/>
              <w:pageBreakBefore w:val="0"/>
              <w:widowControl/>
              <w:numPr>
                <w:ilvl w:val="0"/>
                <w:numId w:val="0"/>
              </w:numPr>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hint="eastAsia" w:ascii="仿宋_GB2312" w:hAnsi="宋体" w:eastAsia="仿宋_GB2312" w:cs="Times New Roman"/>
                <w:color w:val="auto"/>
                <w:kern w:val="0"/>
                <w:sz w:val="13"/>
                <w:szCs w:val="13"/>
                <w:highlight w:val="none"/>
                <w:lang w:eastAsia="zh-CN"/>
              </w:rPr>
            </w:pPr>
            <w:r>
              <w:rPr>
                <w:rFonts w:hint="eastAsia" w:ascii="仿宋_GB2312" w:hAnsi="宋体" w:eastAsia="仿宋_GB2312" w:cs="Times New Roman"/>
                <w:color w:val="auto"/>
                <w:kern w:val="0"/>
                <w:sz w:val="13"/>
                <w:szCs w:val="13"/>
                <w:highlight w:val="none"/>
              </w:rPr>
              <w:t>有下列行为之一的</w:t>
            </w:r>
            <w:r>
              <w:rPr>
                <w:rFonts w:hint="eastAsia" w:ascii="仿宋_GB2312" w:hAnsi="宋体" w:eastAsia="仿宋_GB2312" w:cs="Times New Roman"/>
                <w:color w:val="auto"/>
                <w:kern w:val="0"/>
                <w:sz w:val="13"/>
                <w:szCs w:val="13"/>
                <w:highlight w:val="none"/>
                <w:lang w:eastAsia="zh-CN"/>
              </w:rPr>
              <w:t>：</w:t>
            </w:r>
          </w:p>
          <w:p w14:paraId="39C24019">
            <w:pPr>
              <w:keepNext w:val="0"/>
              <w:keepLines w:val="0"/>
              <w:pageBreakBefore w:val="0"/>
              <w:widowControl/>
              <w:numPr>
                <w:ilvl w:val="0"/>
                <w:numId w:val="0"/>
              </w:numPr>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hint="eastAsia"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lang w:val="en-US" w:eastAsia="zh-CN" w:bidi="ar-SA"/>
              </w:rPr>
              <w:t>（一）</w:t>
            </w:r>
            <w:r>
              <w:rPr>
                <w:rFonts w:hint="eastAsia" w:ascii="仿宋_GB2312" w:hAnsi="宋体" w:eastAsia="仿宋_GB2312" w:cs="Times New Roman"/>
                <w:color w:val="auto"/>
                <w:kern w:val="0"/>
                <w:sz w:val="13"/>
                <w:szCs w:val="13"/>
                <w:highlight w:val="none"/>
              </w:rPr>
              <w:t>依法应当进行消防设计审查的建设工程，未经依法审查或者审查不合格，擅自施工的；</w:t>
            </w:r>
          </w:p>
          <w:p w14:paraId="1F3BFEFD">
            <w:pPr>
              <w:keepNext w:val="0"/>
              <w:keepLines w:val="0"/>
              <w:pageBreakBefore w:val="0"/>
              <w:widowControl/>
              <w:numPr>
                <w:ilvl w:val="0"/>
                <w:numId w:val="0"/>
              </w:numPr>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hint="eastAsia"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lang w:val="en-US" w:eastAsia="zh-CN" w:bidi="ar-SA"/>
              </w:rPr>
              <w:t>（二）</w:t>
            </w:r>
            <w:r>
              <w:rPr>
                <w:rFonts w:hint="eastAsia" w:ascii="仿宋_GB2312" w:hAnsi="宋体" w:eastAsia="仿宋_GB2312" w:cs="Times New Roman"/>
                <w:color w:val="auto"/>
                <w:kern w:val="0"/>
                <w:sz w:val="13"/>
                <w:szCs w:val="13"/>
                <w:highlight w:val="none"/>
              </w:rPr>
              <w:t>依法应当进行消防验收的建设工程，未经消防验收或者消防验收不合格，擅自投入使用的；</w:t>
            </w:r>
          </w:p>
          <w:p w14:paraId="670CB51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s="Times New Roman"/>
                <w:color w:val="auto"/>
                <w:sz w:val="13"/>
                <w:szCs w:val="13"/>
                <w:highlight w:val="none"/>
              </w:rPr>
            </w:pPr>
            <w:r>
              <w:rPr>
                <w:rFonts w:hint="eastAsia" w:ascii="仿宋_GB2312" w:hAnsi="宋体" w:eastAsia="仿宋_GB2312" w:cs="Times New Roman"/>
                <w:color w:val="auto"/>
                <w:kern w:val="0"/>
                <w:sz w:val="13"/>
                <w:szCs w:val="13"/>
                <w:highlight w:val="none"/>
              </w:rPr>
              <w:t>（三）本法第十三条规定的其他建设工程验收后经依法抽查不合格，不停止使用的；</w:t>
            </w:r>
          </w:p>
        </w:tc>
        <w:tc>
          <w:tcPr>
            <w:tcW w:w="4820" w:type="dxa"/>
            <w:vMerge w:val="restart"/>
            <w:tcBorders>
              <w:tl2br w:val="nil"/>
              <w:tr2bl w:val="nil"/>
            </w:tcBorders>
            <w:vAlign w:val="center"/>
          </w:tcPr>
          <w:p w14:paraId="51CE55F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《中华人民共和国消防法》</w:t>
            </w:r>
            <w:r>
              <w:rPr>
                <w:rFonts w:hint="eastAsia" w:ascii="仿宋_GB2312" w:hAnsi="宋体" w:eastAsia="仿宋_GB2312" w:cs="Times New Roman"/>
                <w:b/>
                <w:bCs/>
                <w:color w:val="auto"/>
                <w:kern w:val="0"/>
                <w:sz w:val="13"/>
                <w:szCs w:val="13"/>
                <w:highlight w:val="none"/>
              </w:rPr>
              <w:t>第五十八条第一款</w:t>
            </w:r>
            <w:r>
              <w:rPr>
                <w:rFonts w:hint="eastAsia" w:ascii="仿宋_GB2312" w:hAnsi="宋体" w:eastAsia="仿宋_GB2312" w:cs="Times New Roman"/>
                <w:color w:val="auto"/>
                <w:kern w:val="0"/>
                <w:sz w:val="13"/>
                <w:szCs w:val="13"/>
                <w:highlight w:val="none"/>
              </w:rPr>
              <w:t>违反本法规定，有下列行为之一的，由住房和城乡建设主管部门、消防救援机构按照各自职权责令停止施工、停止使用或者停产停业，并处三万元以上三十万元以下罚款：</w:t>
            </w:r>
          </w:p>
          <w:p w14:paraId="629AD241">
            <w:pPr>
              <w:keepNext w:val="0"/>
              <w:keepLines w:val="0"/>
              <w:pageBreakBefore w:val="0"/>
              <w:widowControl/>
              <w:numPr>
                <w:ilvl w:val="0"/>
                <w:numId w:val="0"/>
              </w:numPr>
              <w:kinsoku/>
              <w:overflowPunct/>
              <w:topLinePunct w:val="0"/>
              <w:autoSpaceDE/>
              <w:autoSpaceDN/>
              <w:bidi w:val="0"/>
              <w:adjustRightInd/>
              <w:snapToGrid/>
              <w:spacing w:beforeAutospacing="0" w:afterAutospacing="0" w:line="260" w:lineRule="exact"/>
              <w:ind w:left="0" w:leftChars="0" w:right="0" w:rightChars="0" w:firstLine="260" w:firstLineChars="200"/>
              <w:jc w:val="left"/>
              <w:textAlignment w:val="center"/>
              <w:rPr>
                <w:rFonts w:hint="eastAsia"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lang w:val="en-US" w:eastAsia="zh-CN" w:bidi="ar-SA"/>
              </w:rPr>
              <w:t>（一）</w:t>
            </w:r>
            <w:r>
              <w:rPr>
                <w:rFonts w:hint="eastAsia" w:ascii="仿宋_GB2312" w:hAnsi="宋体" w:eastAsia="仿宋_GB2312" w:cs="Times New Roman"/>
                <w:color w:val="auto"/>
                <w:kern w:val="0"/>
                <w:sz w:val="13"/>
                <w:szCs w:val="13"/>
                <w:highlight w:val="none"/>
              </w:rPr>
              <w:t>依法应当进行消防设计审查的建设工程，未经依法审查或者审查不合格，擅自施工的；</w:t>
            </w:r>
          </w:p>
          <w:p w14:paraId="08E24EAD">
            <w:pPr>
              <w:keepNext w:val="0"/>
              <w:keepLines w:val="0"/>
              <w:pageBreakBefore w:val="0"/>
              <w:widowControl/>
              <w:numPr>
                <w:ilvl w:val="0"/>
                <w:numId w:val="0"/>
              </w:numPr>
              <w:kinsoku/>
              <w:overflowPunct/>
              <w:topLinePunct w:val="0"/>
              <w:autoSpaceDE/>
              <w:autoSpaceDN/>
              <w:bidi w:val="0"/>
              <w:adjustRightInd/>
              <w:snapToGrid/>
              <w:spacing w:beforeAutospacing="0" w:afterAutospacing="0" w:line="260" w:lineRule="exact"/>
              <w:ind w:left="0" w:leftChars="0" w:right="0" w:rightChars="0" w:firstLine="260" w:firstLineChars="200"/>
              <w:jc w:val="left"/>
              <w:textAlignment w:val="center"/>
              <w:rPr>
                <w:rFonts w:hint="eastAsia"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lang w:val="en-US" w:eastAsia="zh-CN" w:bidi="ar-SA"/>
              </w:rPr>
              <w:t>（二）</w:t>
            </w:r>
            <w:r>
              <w:rPr>
                <w:rFonts w:hint="eastAsia" w:ascii="仿宋_GB2312" w:hAnsi="宋体" w:eastAsia="仿宋_GB2312" w:cs="Times New Roman"/>
                <w:color w:val="auto"/>
                <w:kern w:val="0"/>
                <w:sz w:val="13"/>
                <w:szCs w:val="13"/>
                <w:highlight w:val="none"/>
              </w:rPr>
              <w:t>依法应当进行消防验收的建设工程，未经消防验收或者消防验收不合格，擅自投入使用的；</w:t>
            </w:r>
          </w:p>
          <w:p w14:paraId="6E573922">
            <w:pPr>
              <w:keepNext w:val="0"/>
              <w:keepLines w:val="0"/>
              <w:pageBreakBefore w:val="0"/>
              <w:widowControl/>
              <w:numPr>
                <w:ilvl w:val="0"/>
                <w:numId w:val="0"/>
              </w:numPr>
              <w:kinsoku/>
              <w:overflowPunct/>
              <w:topLinePunct w:val="0"/>
              <w:autoSpaceDE/>
              <w:autoSpaceDN/>
              <w:bidi w:val="0"/>
              <w:adjustRightInd/>
              <w:snapToGrid/>
              <w:spacing w:beforeAutospacing="0" w:afterAutospacing="0" w:line="260" w:lineRule="exact"/>
              <w:ind w:left="0" w:leftChars="0" w:right="0" w:rightChars="0" w:firstLine="260" w:firstLineChars="200"/>
              <w:jc w:val="left"/>
              <w:textAlignment w:val="center"/>
              <w:rPr>
                <w:rFonts w:hint="eastAsia"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（三）本法第十三条规定的其他建设工程验收后经依法抽查不合格，不停止使用的；</w:t>
            </w:r>
          </w:p>
        </w:tc>
        <w:tc>
          <w:tcPr>
            <w:tcW w:w="823" w:type="dxa"/>
            <w:tcBorders>
              <w:tl2br w:val="nil"/>
              <w:tr2bl w:val="nil"/>
            </w:tcBorders>
            <w:tcMar>
              <w:top w:w="15" w:type="dxa"/>
              <w:left w:w="15" w:type="dxa"/>
              <w:bottom w:w="15" w:type="dxa"/>
              <w:right w:w="15" w:type="dxa"/>
            </w:tcMar>
            <w:vAlign w:val="center"/>
          </w:tcPr>
          <w:p w14:paraId="2937C6AA">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Calibri" w:eastAsia="仿宋_GB2312" w:cs="Times New Roman"/>
                <w:color w:val="auto"/>
                <w:sz w:val="13"/>
                <w:szCs w:val="13"/>
                <w:highlight w:val="none"/>
                <w:lang w:eastAsia="zh-CN"/>
              </w:rPr>
            </w:pPr>
            <w:r>
              <w:rPr>
                <w:rFonts w:hint="eastAsia" w:ascii="仿宋_GB2312" w:hAnsi="宋体" w:eastAsia="仿宋_GB2312" w:cs="Times New Roman"/>
                <w:color w:val="auto"/>
                <w:kern w:val="0"/>
                <w:sz w:val="13"/>
                <w:szCs w:val="13"/>
                <w:highlight w:val="none"/>
                <w:lang w:eastAsia="zh-CN"/>
              </w:rPr>
              <w:t>从轻情节</w:t>
            </w:r>
          </w:p>
        </w:tc>
        <w:tc>
          <w:tcPr>
            <w:tcW w:w="3437" w:type="dxa"/>
            <w:gridSpan w:val="2"/>
            <w:tcBorders>
              <w:tl2br w:val="nil"/>
              <w:tr2bl w:val="nil"/>
            </w:tcBorders>
            <w:tcMar>
              <w:top w:w="15" w:type="dxa"/>
              <w:left w:w="15" w:type="dxa"/>
              <w:bottom w:w="15" w:type="dxa"/>
              <w:right w:w="15" w:type="dxa"/>
            </w:tcMar>
            <w:vAlign w:val="center"/>
          </w:tcPr>
          <w:p w14:paraId="6492423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主动停止违法行为、积极申报消防审查</w:t>
            </w:r>
            <w:r>
              <w:rPr>
                <w:rFonts w:hint="eastAsia" w:ascii="仿宋_GB2312" w:hAnsi="宋体" w:eastAsia="仿宋_GB2312" w:cs="Times New Roman"/>
                <w:color w:val="auto"/>
                <w:kern w:val="0"/>
                <w:sz w:val="13"/>
                <w:szCs w:val="13"/>
                <w:highlight w:val="none"/>
                <w:lang w:eastAsia="zh-CN"/>
              </w:rPr>
              <w:t>、</w:t>
            </w:r>
            <w:r>
              <w:rPr>
                <w:rFonts w:hint="eastAsia" w:ascii="仿宋_GB2312" w:hAnsi="宋体" w:eastAsia="仿宋_GB2312" w:cs="Times New Roman"/>
                <w:color w:val="auto"/>
                <w:kern w:val="0"/>
                <w:sz w:val="13"/>
                <w:szCs w:val="13"/>
                <w:highlight w:val="none"/>
                <w:lang w:val="en-US" w:eastAsia="zh-CN"/>
              </w:rPr>
              <w:t>验收</w:t>
            </w:r>
            <w:r>
              <w:rPr>
                <w:rFonts w:hint="eastAsia" w:ascii="仿宋_GB2312" w:hAnsi="宋体" w:eastAsia="仿宋_GB2312" w:cs="Times New Roman"/>
                <w:color w:val="auto"/>
                <w:kern w:val="0"/>
                <w:sz w:val="13"/>
                <w:szCs w:val="13"/>
                <w:highlight w:val="none"/>
              </w:rPr>
              <w:t>手续，并未造成危害后果。</w:t>
            </w:r>
          </w:p>
        </w:tc>
        <w:tc>
          <w:tcPr>
            <w:tcW w:w="3058" w:type="dxa"/>
            <w:tcBorders>
              <w:tl2br w:val="nil"/>
              <w:tr2bl w:val="nil"/>
            </w:tcBorders>
            <w:tcMar>
              <w:top w:w="15" w:type="dxa"/>
              <w:left w:w="15" w:type="dxa"/>
              <w:bottom w:w="15" w:type="dxa"/>
              <w:right w:w="15" w:type="dxa"/>
            </w:tcMar>
            <w:vAlign w:val="center"/>
          </w:tcPr>
          <w:p w14:paraId="0A6FB48C">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hint="eastAsia" w:ascii="仿宋_GB2312" w:hAnsi="宋体" w:eastAsia="仿宋_GB2312" w:cs="Times New Roman"/>
                <w:color w:val="auto"/>
                <w:kern w:val="0"/>
                <w:sz w:val="13"/>
                <w:szCs w:val="13"/>
                <w:highlight w:val="none"/>
                <w:lang w:eastAsia="zh-CN"/>
              </w:rPr>
            </w:pPr>
            <w:r>
              <w:rPr>
                <w:rFonts w:hint="eastAsia" w:ascii="仿宋_GB2312" w:hAnsi="宋体" w:eastAsia="仿宋_GB2312" w:cs="Times New Roman"/>
                <w:color w:val="auto"/>
                <w:kern w:val="0"/>
                <w:sz w:val="13"/>
                <w:szCs w:val="13"/>
                <w:highlight w:val="none"/>
                <w:lang w:val="en-US" w:eastAsia="zh-CN"/>
              </w:rPr>
              <w:t>责令停止施工、停止使用或者停产停业，并处3万以上10万元以下罚款。</w:t>
            </w:r>
          </w:p>
        </w:tc>
      </w:tr>
      <w:tr w14:paraId="541659B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913" w:hRule="atLeast"/>
          <w:jc w:val="center"/>
        </w:trPr>
        <w:tc>
          <w:tcPr>
            <w:tcW w:w="443" w:type="dxa"/>
            <w:gridSpan w:val="2"/>
            <w:vMerge w:val="continue"/>
            <w:tcBorders>
              <w:tl2br w:val="nil"/>
              <w:tr2bl w:val="nil"/>
            </w:tcBorders>
            <w:vAlign w:val="center"/>
          </w:tcPr>
          <w:p w14:paraId="2D75FDF0">
            <w:pPr>
              <w:pStyle w:val="37"/>
              <w:keepNext w:val="0"/>
              <w:keepLines w:val="0"/>
              <w:pageBreakBefore w:val="0"/>
              <w:widowControl/>
              <w:numPr>
                <w:ilvl w:val="0"/>
                <w:numId w:val="4"/>
              </w:numPr>
              <w:kinsoku/>
              <w:overflowPunct/>
              <w:topLinePunct w:val="0"/>
              <w:autoSpaceDE/>
              <w:autoSpaceDN/>
              <w:bidi w:val="0"/>
              <w:adjustRightInd/>
              <w:snapToGrid/>
              <w:spacing w:beforeAutospacing="0" w:afterAutospacing="0" w:line="260" w:lineRule="exact"/>
              <w:ind w:left="0" w:leftChars="0" w:right="0" w:rightChars="0" w:firstLineChars="0"/>
              <w:jc w:val="right"/>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12EEB83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s="Times New Roman"/>
                <w:color w:val="auto"/>
                <w:sz w:val="13"/>
                <w:szCs w:val="13"/>
                <w:highlight w:val="none"/>
              </w:rPr>
            </w:pPr>
          </w:p>
        </w:tc>
        <w:tc>
          <w:tcPr>
            <w:tcW w:w="4820" w:type="dxa"/>
            <w:vMerge w:val="continue"/>
            <w:tcBorders>
              <w:tl2br w:val="nil"/>
              <w:tr2bl w:val="nil"/>
            </w:tcBorders>
            <w:vAlign w:val="center"/>
          </w:tcPr>
          <w:p w14:paraId="6D1DC36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s="Times New Roman"/>
                <w:color w:val="auto"/>
                <w:kern w:val="0"/>
                <w:sz w:val="13"/>
                <w:szCs w:val="13"/>
                <w:highlight w:val="none"/>
              </w:rPr>
            </w:pPr>
          </w:p>
        </w:tc>
        <w:tc>
          <w:tcPr>
            <w:tcW w:w="823" w:type="dxa"/>
            <w:tcBorders>
              <w:tl2br w:val="nil"/>
              <w:tr2bl w:val="nil"/>
            </w:tcBorders>
            <w:tcMar>
              <w:top w:w="15" w:type="dxa"/>
              <w:left w:w="15" w:type="dxa"/>
              <w:bottom w:w="15" w:type="dxa"/>
              <w:right w:w="15" w:type="dxa"/>
            </w:tcMar>
            <w:vAlign w:val="center"/>
          </w:tcPr>
          <w:p w14:paraId="3CF00E4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Times New Roman"/>
                <w:color w:val="auto"/>
                <w:kern w:val="0"/>
                <w:sz w:val="13"/>
                <w:szCs w:val="13"/>
                <w:highlight w:val="none"/>
                <w:lang w:eastAsia="zh-CN"/>
              </w:rPr>
            </w:pPr>
            <w:r>
              <w:rPr>
                <w:rFonts w:hint="eastAsia" w:ascii="仿宋_GB2312" w:hAnsi="宋体" w:eastAsia="仿宋_GB2312" w:cs="Times New Roman"/>
                <w:color w:val="auto"/>
                <w:kern w:val="0"/>
                <w:sz w:val="13"/>
                <w:szCs w:val="13"/>
                <w:highlight w:val="none"/>
                <w:lang w:eastAsia="zh-CN"/>
              </w:rPr>
              <w:t>一般情节</w:t>
            </w:r>
          </w:p>
        </w:tc>
        <w:tc>
          <w:tcPr>
            <w:tcW w:w="3437" w:type="dxa"/>
            <w:gridSpan w:val="2"/>
            <w:tcBorders>
              <w:tl2br w:val="nil"/>
              <w:tr2bl w:val="nil"/>
            </w:tcBorders>
            <w:tcMar>
              <w:top w:w="15" w:type="dxa"/>
              <w:left w:w="15" w:type="dxa"/>
              <w:bottom w:w="15" w:type="dxa"/>
              <w:right w:w="15" w:type="dxa"/>
            </w:tcMar>
            <w:vAlign w:val="center"/>
          </w:tcPr>
          <w:p w14:paraId="59B97EC5">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不具有从轻、</w:t>
            </w:r>
            <w:r>
              <w:rPr>
                <w:rFonts w:hint="eastAsia" w:ascii="仿宋_GB2312" w:hAnsi="宋体" w:eastAsia="仿宋_GB2312" w:cs="Times New Roman"/>
                <w:color w:val="auto"/>
                <w:kern w:val="0"/>
                <w:sz w:val="13"/>
                <w:szCs w:val="13"/>
                <w:highlight w:val="none"/>
                <w:lang w:eastAsia="zh-CN"/>
              </w:rPr>
              <w:t>从重情节</w:t>
            </w:r>
            <w:r>
              <w:rPr>
                <w:rFonts w:hint="eastAsia" w:ascii="仿宋_GB2312" w:hAnsi="宋体" w:eastAsia="仿宋_GB2312" w:cs="Times New Roman"/>
                <w:color w:val="auto"/>
                <w:kern w:val="0"/>
                <w:sz w:val="13"/>
                <w:szCs w:val="13"/>
                <w:highlight w:val="none"/>
              </w:rPr>
              <w:t>的。</w:t>
            </w:r>
          </w:p>
        </w:tc>
        <w:tc>
          <w:tcPr>
            <w:tcW w:w="3058" w:type="dxa"/>
            <w:tcBorders>
              <w:tl2br w:val="nil"/>
              <w:tr2bl w:val="nil"/>
            </w:tcBorders>
            <w:tcMar>
              <w:top w:w="15" w:type="dxa"/>
              <w:left w:w="15" w:type="dxa"/>
              <w:bottom w:w="15" w:type="dxa"/>
              <w:right w:w="15" w:type="dxa"/>
            </w:tcMar>
            <w:vAlign w:val="center"/>
          </w:tcPr>
          <w:p w14:paraId="3407D790">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hint="eastAsia" w:ascii="仿宋_GB2312" w:hAnsi="宋体" w:eastAsia="仿宋_GB2312" w:cs="Times New Roman"/>
                <w:color w:val="auto"/>
                <w:kern w:val="0"/>
                <w:sz w:val="13"/>
                <w:szCs w:val="13"/>
                <w:highlight w:val="none"/>
                <w:lang w:eastAsia="zh-CN"/>
              </w:rPr>
            </w:pPr>
            <w:r>
              <w:rPr>
                <w:rFonts w:hint="eastAsia" w:ascii="仿宋_GB2312" w:hAnsi="宋体" w:eastAsia="仿宋_GB2312" w:cs="Times New Roman"/>
                <w:color w:val="auto"/>
                <w:kern w:val="0"/>
                <w:sz w:val="13"/>
                <w:szCs w:val="13"/>
                <w:highlight w:val="none"/>
                <w:lang w:val="en-US" w:eastAsia="zh-CN"/>
              </w:rPr>
              <w:t>责令停止施工、停止使用或者停产停业，并处10万元以上17万元以下罚款。</w:t>
            </w:r>
          </w:p>
        </w:tc>
      </w:tr>
      <w:tr w14:paraId="5FD13B8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82" w:hRule="atLeast"/>
          <w:jc w:val="center"/>
        </w:trPr>
        <w:tc>
          <w:tcPr>
            <w:tcW w:w="443" w:type="dxa"/>
            <w:gridSpan w:val="2"/>
            <w:vMerge w:val="continue"/>
            <w:tcBorders>
              <w:tl2br w:val="nil"/>
              <w:tr2bl w:val="nil"/>
            </w:tcBorders>
            <w:vAlign w:val="center"/>
          </w:tcPr>
          <w:p w14:paraId="228A71D5">
            <w:pPr>
              <w:pStyle w:val="37"/>
              <w:keepNext w:val="0"/>
              <w:keepLines w:val="0"/>
              <w:pageBreakBefore w:val="0"/>
              <w:widowControl/>
              <w:numPr>
                <w:ilvl w:val="0"/>
                <w:numId w:val="4"/>
              </w:numPr>
              <w:kinsoku/>
              <w:overflowPunct/>
              <w:topLinePunct w:val="0"/>
              <w:autoSpaceDE/>
              <w:autoSpaceDN/>
              <w:bidi w:val="0"/>
              <w:adjustRightInd/>
              <w:snapToGrid/>
              <w:spacing w:beforeAutospacing="0" w:afterAutospacing="0" w:line="260" w:lineRule="exact"/>
              <w:ind w:left="0" w:leftChars="0" w:right="0" w:rightChars="0" w:firstLineChars="0"/>
              <w:jc w:val="right"/>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5E1DA10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s="Times New Roman"/>
                <w:color w:val="auto"/>
                <w:sz w:val="13"/>
                <w:szCs w:val="13"/>
                <w:highlight w:val="none"/>
              </w:rPr>
            </w:pPr>
          </w:p>
        </w:tc>
        <w:tc>
          <w:tcPr>
            <w:tcW w:w="4820" w:type="dxa"/>
            <w:vMerge w:val="continue"/>
            <w:tcBorders>
              <w:tl2br w:val="nil"/>
              <w:tr2bl w:val="nil"/>
            </w:tcBorders>
            <w:vAlign w:val="center"/>
          </w:tcPr>
          <w:p w14:paraId="53F1FE7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s="Times New Roman"/>
                <w:color w:val="auto"/>
                <w:kern w:val="0"/>
                <w:sz w:val="13"/>
                <w:szCs w:val="13"/>
                <w:highlight w:val="none"/>
              </w:rPr>
            </w:pPr>
          </w:p>
        </w:tc>
        <w:tc>
          <w:tcPr>
            <w:tcW w:w="823" w:type="dxa"/>
            <w:tcBorders>
              <w:tl2br w:val="nil"/>
              <w:tr2bl w:val="nil"/>
            </w:tcBorders>
            <w:tcMar>
              <w:top w:w="15" w:type="dxa"/>
              <w:left w:w="15" w:type="dxa"/>
              <w:bottom w:w="15" w:type="dxa"/>
              <w:right w:w="15" w:type="dxa"/>
            </w:tcMar>
            <w:vAlign w:val="center"/>
          </w:tcPr>
          <w:p w14:paraId="3FC0C75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Times New Roman"/>
                <w:color w:val="auto"/>
                <w:kern w:val="0"/>
                <w:sz w:val="13"/>
                <w:szCs w:val="13"/>
                <w:highlight w:val="none"/>
                <w:lang w:eastAsia="zh-CN"/>
              </w:rPr>
            </w:pPr>
            <w:r>
              <w:rPr>
                <w:rFonts w:hint="eastAsia" w:ascii="仿宋_GB2312" w:hAnsi="宋体" w:eastAsia="仿宋_GB2312" w:cs="Times New Roman"/>
                <w:color w:val="auto"/>
                <w:kern w:val="0"/>
                <w:sz w:val="13"/>
                <w:szCs w:val="13"/>
                <w:highlight w:val="none"/>
                <w:lang w:eastAsia="zh-CN"/>
              </w:rPr>
              <w:t>从重情节</w:t>
            </w:r>
          </w:p>
        </w:tc>
        <w:tc>
          <w:tcPr>
            <w:tcW w:w="3437" w:type="dxa"/>
            <w:gridSpan w:val="2"/>
            <w:tcBorders>
              <w:tl2br w:val="nil"/>
              <w:tr2bl w:val="nil"/>
            </w:tcBorders>
            <w:tcMar>
              <w:top w:w="15" w:type="dxa"/>
              <w:left w:w="15" w:type="dxa"/>
              <w:bottom w:w="15" w:type="dxa"/>
              <w:right w:w="15" w:type="dxa"/>
            </w:tcMar>
            <w:vAlign w:val="center"/>
          </w:tcPr>
          <w:p w14:paraId="23247B89">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s="Times New Roman"/>
                <w:strike/>
                <w:color w:val="auto"/>
                <w:kern w:val="0"/>
                <w:sz w:val="13"/>
                <w:szCs w:val="13"/>
                <w:highlight w:val="none"/>
              </w:rPr>
            </w:pPr>
            <w:r>
              <w:rPr>
                <w:rFonts w:hint="eastAsia" w:ascii="仿宋_GB2312" w:hAnsi="宋体" w:eastAsia="仿宋_GB2312" w:cs="Times New Roman"/>
                <w:color w:val="auto"/>
                <w:kern w:val="0"/>
                <w:sz w:val="13"/>
                <w:szCs w:val="13"/>
                <w:highlight w:val="none"/>
              </w:rPr>
              <w:t>拒不停止违法行为、拒不申报消防审查</w:t>
            </w:r>
            <w:r>
              <w:rPr>
                <w:rFonts w:hint="eastAsia" w:ascii="仿宋_GB2312" w:hAnsi="宋体" w:eastAsia="仿宋_GB2312" w:cs="Times New Roman"/>
                <w:color w:val="auto"/>
                <w:kern w:val="0"/>
                <w:sz w:val="13"/>
                <w:szCs w:val="13"/>
                <w:highlight w:val="none"/>
                <w:lang w:eastAsia="zh-CN"/>
              </w:rPr>
              <w:t>、</w:t>
            </w:r>
            <w:r>
              <w:rPr>
                <w:rFonts w:hint="eastAsia" w:ascii="仿宋_GB2312" w:hAnsi="宋体" w:eastAsia="仿宋_GB2312" w:cs="Times New Roman"/>
                <w:color w:val="auto"/>
                <w:kern w:val="0"/>
                <w:sz w:val="13"/>
                <w:szCs w:val="13"/>
                <w:highlight w:val="none"/>
                <w:lang w:val="en-US" w:eastAsia="zh-CN"/>
              </w:rPr>
              <w:t>验收</w:t>
            </w:r>
            <w:r>
              <w:rPr>
                <w:rFonts w:hint="eastAsia" w:ascii="仿宋_GB2312" w:hAnsi="宋体" w:eastAsia="仿宋_GB2312" w:cs="Times New Roman"/>
                <w:color w:val="auto"/>
                <w:kern w:val="0"/>
                <w:sz w:val="13"/>
                <w:szCs w:val="13"/>
                <w:highlight w:val="none"/>
              </w:rPr>
              <w:t>手续</w:t>
            </w:r>
            <w:r>
              <w:rPr>
                <w:rFonts w:hint="eastAsia" w:ascii="仿宋_GB2312" w:hAnsi="宋体" w:eastAsia="仿宋_GB2312" w:cs="Times New Roman"/>
                <w:color w:val="auto"/>
                <w:kern w:val="0"/>
                <w:sz w:val="13"/>
                <w:szCs w:val="13"/>
                <w:highlight w:val="none"/>
                <w:lang w:eastAsia="zh-CN"/>
              </w:rPr>
              <w:t>，</w:t>
            </w:r>
            <w:r>
              <w:rPr>
                <w:rFonts w:hint="eastAsia" w:ascii="仿宋_GB2312" w:hAnsi="宋体" w:eastAsia="仿宋_GB2312" w:cs="Times New Roman"/>
                <w:color w:val="auto"/>
                <w:kern w:val="0"/>
                <w:sz w:val="13"/>
                <w:szCs w:val="13"/>
                <w:highlight w:val="none"/>
              </w:rPr>
              <w:t>或已造成火灾、难以整改的火灾隐患等严重后果。</w:t>
            </w:r>
          </w:p>
        </w:tc>
        <w:tc>
          <w:tcPr>
            <w:tcW w:w="3058" w:type="dxa"/>
            <w:tcBorders>
              <w:tl2br w:val="nil"/>
              <w:tr2bl w:val="nil"/>
            </w:tcBorders>
            <w:tcMar>
              <w:top w:w="15" w:type="dxa"/>
              <w:left w:w="15" w:type="dxa"/>
              <w:bottom w:w="15" w:type="dxa"/>
              <w:right w:w="15" w:type="dxa"/>
            </w:tcMar>
            <w:vAlign w:val="center"/>
          </w:tcPr>
          <w:p w14:paraId="1E70B628">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hint="eastAsia" w:ascii="仿宋_GB2312" w:hAnsi="宋体" w:eastAsia="仿宋_GB2312" w:cs="Times New Roman"/>
                <w:color w:val="auto"/>
                <w:kern w:val="0"/>
                <w:sz w:val="13"/>
                <w:szCs w:val="13"/>
                <w:highlight w:val="none"/>
                <w:lang w:eastAsia="zh-CN"/>
              </w:rPr>
            </w:pPr>
            <w:r>
              <w:rPr>
                <w:rFonts w:hint="eastAsia" w:ascii="仿宋_GB2312" w:hAnsi="宋体" w:eastAsia="仿宋_GB2312" w:cs="Times New Roman"/>
                <w:color w:val="auto"/>
                <w:kern w:val="0"/>
                <w:sz w:val="13"/>
                <w:szCs w:val="13"/>
                <w:highlight w:val="none"/>
                <w:lang w:val="en-US" w:eastAsia="zh-CN"/>
              </w:rPr>
              <w:t>责令停止施工、停止使用或者停产停业，并处17万元以上30万元以下罚款。</w:t>
            </w:r>
          </w:p>
        </w:tc>
      </w:tr>
      <w:tr w14:paraId="420B0D3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18" w:hRule="atLeast"/>
          <w:jc w:val="center"/>
        </w:trPr>
        <w:tc>
          <w:tcPr>
            <w:tcW w:w="443" w:type="dxa"/>
            <w:gridSpan w:val="2"/>
            <w:vMerge w:val="restart"/>
            <w:tcBorders>
              <w:tl2br w:val="nil"/>
              <w:tr2bl w:val="nil"/>
            </w:tcBorders>
            <w:vAlign w:val="center"/>
          </w:tcPr>
          <w:p w14:paraId="20D2285A">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Times New Roman"/>
                <w:color w:val="auto"/>
                <w:sz w:val="13"/>
                <w:szCs w:val="13"/>
                <w:highlight w:val="none"/>
                <w:lang w:val="en-US" w:eastAsia="zh-CN"/>
              </w:rPr>
            </w:pPr>
            <w:r>
              <w:rPr>
                <w:rFonts w:hint="eastAsia" w:ascii="仿宋_GB2312" w:hAnsi="宋体" w:eastAsia="仿宋_GB2312" w:cs="Times New Roman"/>
                <w:color w:val="auto"/>
                <w:sz w:val="13"/>
                <w:szCs w:val="13"/>
                <w:highlight w:val="none"/>
                <w:lang w:val="en-US" w:eastAsia="zh-CN"/>
              </w:rPr>
              <w:t>233</w:t>
            </w:r>
          </w:p>
        </w:tc>
        <w:tc>
          <w:tcPr>
            <w:tcW w:w="1550" w:type="dxa"/>
            <w:vMerge w:val="restart"/>
            <w:tcBorders>
              <w:tl2br w:val="nil"/>
              <w:tr2bl w:val="nil"/>
            </w:tcBorders>
            <w:vAlign w:val="center"/>
          </w:tcPr>
          <w:p w14:paraId="0CAE885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Times New Roman"/>
                <w:color w:val="auto"/>
                <w:sz w:val="13"/>
                <w:szCs w:val="13"/>
                <w:highlight w:val="none"/>
              </w:rPr>
            </w:pPr>
            <w:r>
              <w:rPr>
                <w:rFonts w:hint="eastAsia" w:ascii="仿宋_GB2312" w:hAnsi="宋体" w:eastAsia="仿宋_GB2312" w:cs="Times New Roman"/>
                <w:color w:val="auto"/>
                <w:sz w:val="13"/>
                <w:szCs w:val="13"/>
                <w:highlight w:val="none"/>
              </w:rPr>
              <w:t>国务院住房和城乡建设主管部门规定应当申请消防验收的建设工程以外的其他建设工程</w:t>
            </w:r>
            <w:r>
              <w:rPr>
                <w:rFonts w:hint="eastAsia" w:ascii="仿宋_GB2312" w:hAnsi="宋体" w:eastAsia="仿宋_GB2312" w:cs="Times New Roman"/>
                <w:color w:val="auto"/>
                <w:kern w:val="0"/>
                <w:sz w:val="13"/>
                <w:szCs w:val="13"/>
                <w:highlight w:val="none"/>
              </w:rPr>
              <w:t>建设单位未在验收后报住房和城乡建设主管部门备案的</w:t>
            </w:r>
          </w:p>
        </w:tc>
        <w:tc>
          <w:tcPr>
            <w:tcW w:w="4820" w:type="dxa"/>
            <w:vMerge w:val="restart"/>
            <w:tcBorders>
              <w:tl2br w:val="nil"/>
              <w:tr2bl w:val="nil"/>
            </w:tcBorders>
            <w:vAlign w:val="center"/>
          </w:tcPr>
          <w:p w14:paraId="6157A31C">
            <w:pPr>
              <w:keepNext w:val="0"/>
              <w:keepLines w:val="0"/>
              <w:pageBreakBefore w:val="0"/>
              <w:widowControl/>
              <w:kinsoku/>
              <w:overflowPunct/>
              <w:topLinePunct w:val="0"/>
              <w:autoSpaceDE/>
              <w:autoSpaceDN/>
              <w:bidi w:val="0"/>
              <w:adjustRightInd/>
              <w:snapToGrid/>
              <w:spacing w:beforeAutospacing="0" w:afterAutospacing="0" w:line="260" w:lineRule="exact"/>
              <w:ind w:left="65" w:leftChars="0" w:right="0" w:rightChars="0" w:hanging="65" w:hangingChars="50"/>
              <w:textAlignment w:val="center"/>
              <w:rPr>
                <w:rFonts w:hint="eastAsia" w:ascii="仿宋_GB2312" w:hAnsi="宋体" w:eastAsia="仿宋_GB2312" w:cs="Times New Roman"/>
                <w:color w:val="auto"/>
                <w:kern w:val="0"/>
                <w:sz w:val="13"/>
                <w:szCs w:val="13"/>
                <w:highlight w:val="none"/>
                <w:lang w:eastAsia="zh-CN"/>
              </w:rPr>
            </w:pPr>
            <w:r>
              <w:rPr>
                <w:rFonts w:hint="eastAsia" w:ascii="仿宋_GB2312" w:hAnsi="宋体" w:eastAsia="仿宋_GB2312" w:cs="Times New Roman"/>
                <w:color w:val="auto"/>
                <w:kern w:val="0"/>
                <w:sz w:val="13"/>
                <w:szCs w:val="13"/>
                <w:highlight w:val="none"/>
              </w:rPr>
              <w:t>《中华人民共和国消防法》</w:t>
            </w:r>
            <w:r>
              <w:rPr>
                <w:rFonts w:hint="eastAsia" w:ascii="仿宋_GB2312" w:hAnsi="宋体" w:eastAsia="仿宋_GB2312" w:cs="Times New Roman"/>
                <w:b/>
                <w:bCs/>
                <w:color w:val="auto"/>
                <w:kern w:val="0"/>
                <w:sz w:val="13"/>
                <w:szCs w:val="13"/>
                <w:highlight w:val="none"/>
              </w:rPr>
              <w:t>第五十八条第</w:t>
            </w:r>
            <w:r>
              <w:rPr>
                <w:rFonts w:hint="eastAsia" w:ascii="仿宋_GB2312" w:hAnsi="宋体" w:eastAsia="仿宋_GB2312" w:cs="Times New Roman"/>
                <w:b/>
                <w:bCs/>
                <w:color w:val="auto"/>
                <w:kern w:val="0"/>
                <w:sz w:val="13"/>
                <w:szCs w:val="13"/>
                <w:highlight w:val="none"/>
                <w:lang w:eastAsia="zh-CN"/>
              </w:rPr>
              <w:t>三</w:t>
            </w:r>
            <w:r>
              <w:rPr>
                <w:rFonts w:hint="eastAsia" w:ascii="仿宋_GB2312" w:hAnsi="宋体" w:eastAsia="仿宋_GB2312" w:cs="Times New Roman"/>
                <w:b/>
                <w:bCs/>
                <w:color w:val="auto"/>
                <w:kern w:val="0"/>
                <w:sz w:val="13"/>
                <w:szCs w:val="13"/>
                <w:highlight w:val="none"/>
              </w:rPr>
              <w:t>款</w:t>
            </w:r>
            <w:r>
              <w:rPr>
                <w:rFonts w:hint="eastAsia" w:ascii="仿宋_GB2312" w:hAnsi="宋体" w:eastAsia="仿宋_GB2312" w:cs="Times New Roman"/>
                <w:b/>
                <w:bCs/>
                <w:color w:val="auto"/>
                <w:kern w:val="0"/>
                <w:sz w:val="13"/>
                <w:szCs w:val="13"/>
                <w:highlight w:val="none"/>
                <w:lang w:eastAsia="zh-CN"/>
              </w:rPr>
              <w:t>：</w:t>
            </w:r>
          </w:p>
          <w:p w14:paraId="2329A74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Times New Roman"/>
                <w:strike/>
                <w:color w:val="auto"/>
                <w:kern w:val="0"/>
                <w:sz w:val="13"/>
                <w:szCs w:val="13"/>
                <w:highlight w:val="none"/>
              </w:rPr>
            </w:pPr>
            <w:r>
              <w:rPr>
                <w:rFonts w:hint="eastAsia" w:ascii="仿宋_GB2312" w:hAnsi="宋体" w:eastAsia="仿宋_GB2312" w:cs="Times New Roman"/>
                <w:color w:val="auto"/>
                <w:kern w:val="0"/>
                <w:sz w:val="13"/>
                <w:szCs w:val="13"/>
                <w:highlight w:val="none"/>
              </w:rPr>
              <w:t>建设单位未依照本法规定在验收后报住房和城乡建设主管部门备案的，由住房和城乡建设主管部门责令改正，处五千元以下罚款。</w:t>
            </w:r>
          </w:p>
        </w:tc>
        <w:tc>
          <w:tcPr>
            <w:tcW w:w="823" w:type="dxa"/>
            <w:tcBorders>
              <w:tl2br w:val="nil"/>
              <w:tr2bl w:val="nil"/>
            </w:tcBorders>
            <w:tcMar>
              <w:top w:w="15" w:type="dxa"/>
              <w:left w:w="15" w:type="dxa"/>
              <w:bottom w:w="15" w:type="dxa"/>
              <w:right w:w="15" w:type="dxa"/>
            </w:tcMar>
            <w:vAlign w:val="center"/>
          </w:tcPr>
          <w:p w14:paraId="508846A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Times New Roman"/>
                <w:color w:val="auto"/>
                <w:kern w:val="0"/>
                <w:sz w:val="13"/>
                <w:szCs w:val="13"/>
                <w:highlight w:val="none"/>
                <w:lang w:eastAsia="zh-CN"/>
              </w:rPr>
            </w:pPr>
            <w:r>
              <w:rPr>
                <w:rFonts w:hint="eastAsia" w:ascii="仿宋_GB2312" w:hAnsi="宋体" w:eastAsia="仿宋_GB2312" w:cs="Times New Roman"/>
                <w:color w:val="auto"/>
                <w:kern w:val="0"/>
                <w:sz w:val="13"/>
                <w:szCs w:val="13"/>
                <w:highlight w:val="none"/>
                <w:lang w:eastAsia="zh-CN"/>
              </w:rPr>
              <w:t>从轻情节</w:t>
            </w:r>
          </w:p>
        </w:tc>
        <w:tc>
          <w:tcPr>
            <w:tcW w:w="3437" w:type="dxa"/>
            <w:gridSpan w:val="2"/>
            <w:tcBorders>
              <w:tl2br w:val="nil"/>
              <w:tr2bl w:val="nil"/>
            </w:tcBorders>
            <w:tcMar>
              <w:top w:w="15" w:type="dxa"/>
              <w:left w:w="15" w:type="dxa"/>
              <w:bottom w:w="15" w:type="dxa"/>
              <w:right w:w="15" w:type="dxa"/>
            </w:tcMar>
            <w:vAlign w:val="center"/>
          </w:tcPr>
          <w:p w14:paraId="65880F4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主动停止违法行为、积极申报消防验收备案手续，并未造成危害后果。</w:t>
            </w:r>
          </w:p>
        </w:tc>
        <w:tc>
          <w:tcPr>
            <w:tcW w:w="3058" w:type="dxa"/>
            <w:tcBorders>
              <w:tl2br w:val="nil"/>
              <w:tr2bl w:val="nil"/>
            </w:tcBorders>
            <w:tcMar>
              <w:top w:w="15" w:type="dxa"/>
              <w:left w:w="15" w:type="dxa"/>
              <w:bottom w:w="15" w:type="dxa"/>
              <w:right w:w="15" w:type="dxa"/>
            </w:tcMar>
            <w:vAlign w:val="center"/>
          </w:tcPr>
          <w:p w14:paraId="5A24562F">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Calibri" w:eastAsia="仿宋_GB2312" w:cs="Times New Roman"/>
                <w:color w:val="auto"/>
                <w:sz w:val="13"/>
                <w:szCs w:val="13"/>
                <w:highlight w:val="none"/>
              </w:rPr>
            </w:pPr>
            <w:r>
              <w:rPr>
                <w:rFonts w:hint="eastAsia" w:ascii="仿宋_GB2312" w:hAnsi="宋体" w:eastAsia="仿宋_GB2312" w:cs="Times New Roman"/>
                <w:color w:val="auto"/>
                <w:kern w:val="0"/>
                <w:sz w:val="13"/>
                <w:szCs w:val="13"/>
                <w:highlight w:val="none"/>
              </w:rPr>
              <w:t>责令改正，处1千</w:t>
            </w:r>
            <w:r>
              <w:rPr>
                <w:rFonts w:hint="eastAsia" w:ascii="仿宋_GB2312" w:hAnsi="宋体" w:eastAsia="仿宋_GB2312" w:cs="Times New Roman"/>
                <w:color w:val="auto"/>
                <w:sz w:val="13"/>
                <w:szCs w:val="13"/>
                <w:highlight w:val="none"/>
              </w:rPr>
              <w:t>元罚款。</w:t>
            </w:r>
          </w:p>
        </w:tc>
      </w:tr>
      <w:tr w14:paraId="5741FA8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06" w:hRule="atLeast"/>
          <w:jc w:val="center"/>
        </w:trPr>
        <w:tc>
          <w:tcPr>
            <w:tcW w:w="443" w:type="dxa"/>
            <w:gridSpan w:val="2"/>
            <w:vMerge w:val="continue"/>
            <w:tcBorders>
              <w:tl2br w:val="nil"/>
              <w:tr2bl w:val="nil"/>
            </w:tcBorders>
            <w:vAlign w:val="center"/>
          </w:tcPr>
          <w:p w14:paraId="19800A53">
            <w:pPr>
              <w:pStyle w:val="37"/>
              <w:keepNext w:val="0"/>
              <w:keepLines w:val="0"/>
              <w:pageBreakBefore w:val="0"/>
              <w:widowControl/>
              <w:numPr>
                <w:ilvl w:val="0"/>
                <w:numId w:val="4"/>
              </w:numPr>
              <w:kinsoku/>
              <w:overflowPunct/>
              <w:topLinePunct w:val="0"/>
              <w:autoSpaceDE/>
              <w:autoSpaceDN/>
              <w:bidi w:val="0"/>
              <w:adjustRightInd/>
              <w:snapToGrid/>
              <w:spacing w:beforeAutospacing="0" w:afterAutospacing="0" w:line="260" w:lineRule="exact"/>
              <w:ind w:left="0" w:leftChars="0" w:right="0" w:rightChars="0" w:firstLineChars="0"/>
              <w:jc w:val="right"/>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6AF1BA7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rPr>
                <w:rFonts w:ascii="仿宋_GB2312" w:hAnsi="宋体" w:eastAsia="仿宋_GB2312" w:cs="Times New Roman"/>
                <w:color w:val="auto"/>
                <w:sz w:val="13"/>
                <w:szCs w:val="13"/>
                <w:highlight w:val="none"/>
              </w:rPr>
            </w:pPr>
          </w:p>
        </w:tc>
        <w:tc>
          <w:tcPr>
            <w:tcW w:w="4820" w:type="dxa"/>
            <w:vMerge w:val="continue"/>
            <w:tcBorders>
              <w:tl2br w:val="nil"/>
              <w:tr2bl w:val="nil"/>
            </w:tcBorders>
            <w:vAlign w:val="center"/>
          </w:tcPr>
          <w:p w14:paraId="13F3BDE7">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Times New Roman"/>
                <w:color w:val="auto"/>
                <w:kern w:val="0"/>
                <w:sz w:val="13"/>
                <w:szCs w:val="13"/>
                <w:highlight w:val="none"/>
              </w:rPr>
            </w:pPr>
          </w:p>
        </w:tc>
        <w:tc>
          <w:tcPr>
            <w:tcW w:w="823" w:type="dxa"/>
            <w:tcBorders>
              <w:tl2br w:val="nil"/>
              <w:tr2bl w:val="nil"/>
            </w:tcBorders>
            <w:tcMar>
              <w:top w:w="15" w:type="dxa"/>
              <w:left w:w="15" w:type="dxa"/>
              <w:bottom w:w="15" w:type="dxa"/>
              <w:right w:w="15" w:type="dxa"/>
            </w:tcMar>
            <w:vAlign w:val="center"/>
          </w:tcPr>
          <w:p w14:paraId="57A39E13">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Times New Roman"/>
                <w:color w:val="auto"/>
                <w:kern w:val="0"/>
                <w:sz w:val="13"/>
                <w:szCs w:val="13"/>
                <w:highlight w:val="none"/>
                <w:lang w:eastAsia="zh-CN"/>
              </w:rPr>
            </w:pPr>
            <w:r>
              <w:rPr>
                <w:rFonts w:hint="eastAsia" w:ascii="仿宋_GB2312" w:hAnsi="宋体" w:eastAsia="仿宋_GB2312" w:cs="Times New Roman"/>
                <w:color w:val="auto"/>
                <w:kern w:val="0"/>
                <w:sz w:val="13"/>
                <w:szCs w:val="13"/>
                <w:highlight w:val="none"/>
                <w:lang w:eastAsia="zh-CN"/>
              </w:rPr>
              <w:t>一般情节</w:t>
            </w:r>
          </w:p>
        </w:tc>
        <w:tc>
          <w:tcPr>
            <w:tcW w:w="3437" w:type="dxa"/>
            <w:gridSpan w:val="2"/>
            <w:tcBorders>
              <w:tl2br w:val="nil"/>
              <w:tr2bl w:val="nil"/>
            </w:tcBorders>
            <w:tcMar>
              <w:top w:w="15" w:type="dxa"/>
              <w:left w:w="15" w:type="dxa"/>
              <w:bottom w:w="15" w:type="dxa"/>
              <w:right w:w="15" w:type="dxa"/>
            </w:tcMar>
            <w:vAlign w:val="center"/>
          </w:tcPr>
          <w:p w14:paraId="60C4B9A4">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不具有从轻、</w:t>
            </w:r>
            <w:r>
              <w:rPr>
                <w:rFonts w:hint="eastAsia" w:ascii="仿宋_GB2312" w:hAnsi="宋体" w:eastAsia="仿宋_GB2312" w:cs="Times New Roman"/>
                <w:color w:val="auto"/>
                <w:kern w:val="0"/>
                <w:sz w:val="13"/>
                <w:szCs w:val="13"/>
                <w:highlight w:val="none"/>
                <w:lang w:eastAsia="zh-CN"/>
              </w:rPr>
              <w:t>从重情节</w:t>
            </w:r>
            <w:r>
              <w:rPr>
                <w:rFonts w:hint="eastAsia" w:ascii="仿宋_GB2312" w:hAnsi="宋体" w:eastAsia="仿宋_GB2312" w:cs="Times New Roman"/>
                <w:color w:val="auto"/>
                <w:kern w:val="0"/>
                <w:sz w:val="13"/>
                <w:szCs w:val="13"/>
                <w:highlight w:val="none"/>
              </w:rPr>
              <w:t>。</w:t>
            </w:r>
          </w:p>
        </w:tc>
        <w:tc>
          <w:tcPr>
            <w:tcW w:w="3058" w:type="dxa"/>
            <w:tcBorders>
              <w:tl2br w:val="nil"/>
              <w:tr2bl w:val="nil"/>
            </w:tcBorders>
            <w:tcMar>
              <w:top w:w="15" w:type="dxa"/>
              <w:left w:w="15" w:type="dxa"/>
              <w:bottom w:w="15" w:type="dxa"/>
              <w:right w:w="15" w:type="dxa"/>
            </w:tcMar>
            <w:vAlign w:val="center"/>
          </w:tcPr>
          <w:p w14:paraId="2D8D46CB">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Calibri" w:eastAsia="仿宋_GB2312" w:cs="Times New Roman"/>
                <w:strike/>
                <w:color w:val="auto"/>
                <w:sz w:val="13"/>
                <w:szCs w:val="13"/>
                <w:highlight w:val="none"/>
              </w:rPr>
            </w:pPr>
            <w:r>
              <w:rPr>
                <w:rFonts w:hint="eastAsia" w:ascii="仿宋_GB2312" w:hAnsi="宋体" w:eastAsia="仿宋_GB2312" w:cs="Times New Roman"/>
                <w:color w:val="auto"/>
                <w:kern w:val="0"/>
                <w:sz w:val="13"/>
                <w:szCs w:val="13"/>
                <w:highlight w:val="none"/>
              </w:rPr>
              <w:t>责令</w:t>
            </w:r>
            <w:r>
              <w:rPr>
                <w:rFonts w:ascii="仿宋_GB2312" w:hAnsi="宋体" w:eastAsia="仿宋_GB2312" w:cs="Times New Roman"/>
                <w:color w:val="auto"/>
                <w:kern w:val="0"/>
                <w:sz w:val="13"/>
                <w:szCs w:val="13"/>
                <w:highlight w:val="none"/>
              </w:rPr>
              <w:t>改正</w:t>
            </w:r>
            <w:r>
              <w:rPr>
                <w:rFonts w:hint="eastAsia" w:ascii="仿宋_GB2312" w:hAnsi="宋体" w:eastAsia="仿宋_GB2312" w:cs="Times New Roman"/>
                <w:color w:val="auto"/>
                <w:kern w:val="0"/>
                <w:sz w:val="13"/>
                <w:szCs w:val="13"/>
                <w:highlight w:val="none"/>
              </w:rPr>
              <w:t>，处1</w:t>
            </w:r>
            <w:r>
              <w:rPr>
                <w:rFonts w:ascii="仿宋_GB2312" w:hAnsi="宋体" w:eastAsia="仿宋_GB2312" w:cs="Times New Roman"/>
                <w:color w:val="auto"/>
                <w:kern w:val="0"/>
                <w:sz w:val="13"/>
                <w:szCs w:val="13"/>
                <w:highlight w:val="none"/>
              </w:rPr>
              <w:t>千元以上</w:t>
            </w:r>
            <w:r>
              <w:rPr>
                <w:rFonts w:hint="eastAsia" w:ascii="仿宋_GB2312" w:hAnsi="宋体" w:eastAsia="仿宋_GB2312" w:cs="Times New Roman"/>
                <w:color w:val="auto"/>
                <w:kern w:val="0"/>
                <w:sz w:val="13"/>
                <w:szCs w:val="13"/>
                <w:highlight w:val="none"/>
              </w:rPr>
              <w:t>5</w:t>
            </w:r>
            <w:r>
              <w:rPr>
                <w:rFonts w:ascii="仿宋_GB2312" w:hAnsi="宋体" w:eastAsia="仿宋_GB2312" w:cs="Times New Roman"/>
                <w:color w:val="auto"/>
                <w:kern w:val="0"/>
                <w:sz w:val="13"/>
                <w:szCs w:val="13"/>
                <w:highlight w:val="none"/>
              </w:rPr>
              <w:t>千元以下罚款</w:t>
            </w:r>
            <w:r>
              <w:rPr>
                <w:rFonts w:hint="eastAsia" w:ascii="仿宋_GB2312" w:hAnsi="宋体" w:eastAsia="仿宋_GB2312" w:cs="Times New Roman"/>
                <w:color w:val="auto"/>
                <w:kern w:val="0"/>
                <w:sz w:val="13"/>
                <w:szCs w:val="13"/>
                <w:highlight w:val="none"/>
              </w:rPr>
              <w:t>。</w:t>
            </w:r>
          </w:p>
        </w:tc>
      </w:tr>
      <w:tr w14:paraId="0541F77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78" w:hRule="atLeast"/>
          <w:jc w:val="center"/>
        </w:trPr>
        <w:tc>
          <w:tcPr>
            <w:tcW w:w="443" w:type="dxa"/>
            <w:gridSpan w:val="2"/>
            <w:vMerge w:val="continue"/>
            <w:tcBorders>
              <w:tl2br w:val="nil"/>
              <w:tr2bl w:val="nil"/>
            </w:tcBorders>
            <w:vAlign w:val="center"/>
          </w:tcPr>
          <w:p w14:paraId="1E468269">
            <w:pPr>
              <w:pStyle w:val="37"/>
              <w:keepNext w:val="0"/>
              <w:keepLines w:val="0"/>
              <w:pageBreakBefore w:val="0"/>
              <w:widowControl/>
              <w:numPr>
                <w:ilvl w:val="0"/>
                <w:numId w:val="4"/>
              </w:numPr>
              <w:kinsoku/>
              <w:overflowPunct/>
              <w:topLinePunct w:val="0"/>
              <w:autoSpaceDE/>
              <w:autoSpaceDN/>
              <w:bidi w:val="0"/>
              <w:adjustRightInd/>
              <w:snapToGrid/>
              <w:spacing w:beforeAutospacing="0" w:afterAutospacing="0" w:line="260" w:lineRule="exact"/>
              <w:ind w:left="0" w:leftChars="0" w:right="0" w:rightChars="0" w:firstLineChars="0"/>
              <w:jc w:val="right"/>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3C8A6D7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rPr>
                <w:rFonts w:ascii="仿宋_GB2312" w:hAnsi="宋体" w:eastAsia="仿宋_GB2312" w:cs="Times New Roman"/>
                <w:color w:val="auto"/>
                <w:sz w:val="13"/>
                <w:szCs w:val="13"/>
                <w:highlight w:val="none"/>
              </w:rPr>
            </w:pPr>
          </w:p>
        </w:tc>
        <w:tc>
          <w:tcPr>
            <w:tcW w:w="4820" w:type="dxa"/>
            <w:vMerge w:val="continue"/>
            <w:tcBorders>
              <w:tl2br w:val="nil"/>
              <w:tr2bl w:val="nil"/>
            </w:tcBorders>
            <w:vAlign w:val="center"/>
          </w:tcPr>
          <w:p w14:paraId="0F5291D3">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Times New Roman"/>
                <w:color w:val="auto"/>
                <w:kern w:val="0"/>
                <w:sz w:val="13"/>
                <w:szCs w:val="13"/>
                <w:highlight w:val="none"/>
              </w:rPr>
            </w:pPr>
          </w:p>
        </w:tc>
        <w:tc>
          <w:tcPr>
            <w:tcW w:w="823" w:type="dxa"/>
            <w:tcBorders>
              <w:tl2br w:val="nil"/>
              <w:tr2bl w:val="nil"/>
            </w:tcBorders>
            <w:tcMar>
              <w:top w:w="15" w:type="dxa"/>
              <w:left w:w="15" w:type="dxa"/>
              <w:bottom w:w="15" w:type="dxa"/>
              <w:right w:w="15" w:type="dxa"/>
            </w:tcMar>
            <w:vAlign w:val="center"/>
          </w:tcPr>
          <w:p w14:paraId="643EA781">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Times New Roman"/>
                <w:color w:val="auto"/>
                <w:kern w:val="0"/>
                <w:sz w:val="13"/>
                <w:szCs w:val="13"/>
                <w:highlight w:val="none"/>
                <w:lang w:eastAsia="zh-CN"/>
              </w:rPr>
            </w:pPr>
            <w:r>
              <w:rPr>
                <w:rFonts w:hint="eastAsia" w:ascii="仿宋_GB2312" w:hAnsi="宋体" w:eastAsia="仿宋_GB2312" w:cs="Times New Roman"/>
                <w:color w:val="auto"/>
                <w:kern w:val="0"/>
                <w:sz w:val="13"/>
                <w:szCs w:val="13"/>
                <w:highlight w:val="none"/>
                <w:lang w:eastAsia="zh-CN"/>
              </w:rPr>
              <w:t>从重情节</w:t>
            </w:r>
          </w:p>
        </w:tc>
        <w:tc>
          <w:tcPr>
            <w:tcW w:w="3437" w:type="dxa"/>
            <w:gridSpan w:val="2"/>
            <w:tcBorders>
              <w:tl2br w:val="nil"/>
              <w:tr2bl w:val="nil"/>
            </w:tcBorders>
            <w:tcMar>
              <w:top w:w="15" w:type="dxa"/>
              <w:left w:w="15" w:type="dxa"/>
              <w:bottom w:w="15" w:type="dxa"/>
              <w:right w:w="15" w:type="dxa"/>
            </w:tcMar>
            <w:vAlign w:val="center"/>
          </w:tcPr>
          <w:p w14:paraId="2C38775A">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拒不停止违法行为、拒不申报消防验收备案手续</w:t>
            </w:r>
            <w:r>
              <w:rPr>
                <w:rFonts w:hint="eastAsia" w:ascii="仿宋_GB2312" w:hAnsi="宋体" w:eastAsia="仿宋_GB2312" w:cs="Times New Roman"/>
                <w:color w:val="auto"/>
                <w:kern w:val="0"/>
                <w:sz w:val="13"/>
                <w:szCs w:val="13"/>
                <w:highlight w:val="none"/>
                <w:lang w:eastAsia="zh-CN"/>
              </w:rPr>
              <w:t>，</w:t>
            </w:r>
            <w:r>
              <w:rPr>
                <w:rFonts w:hint="eastAsia" w:ascii="仿宋_GB2312" w:hAnsi="宋体" w:eastAsia="仿宋_GB2312" w:cs="Times New Roman"/>
                <w:color w:val="auto"/>
                <w:kern w:val="0"/>
                <w:sz w:val="13"/>
                <w:szCs w:val="13"/>
                <w:highlight w:val="none"/>
              </w:rPr>
              <w:t>或已造成火灾、难以整改的火灾隐患等严重后果。</w:t>
            </w:r>
          </w:p>
        </w:tc>
        <w:tc>
          <w:tcPr>
            <w:tcW w:w="3058" w:type="dxa"/>
            <w:tcBorders>
              <w:tl2br w:val="nil"/>
              <w:tr2bl w:val="nil"/>
            </w:tcBorders>
            <w:tcMar>
              <w:top w:w="15" w:type="dxa"/>
              <w:left w:w="15" w:type="dxa"/>
              <w:bottom w:w="15" w:type="dxa"/>
              <w:right w:w="15" w:type="dxa"/>
            </w:tcMar>
            <w:vAlign w:val="center"/>
          </w:tcPr>
          <w:p w14:paraId="29E2E405">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Times New Roman"/>
                <w:strike/>
                <w:color w:val="auto"/>
                <w:kern w:val="0"/>
                <w:sz w:val="13"/>
                <w:szCs w:val="13"/>
                <w:highlight w:val="none"/>
              </w:rPr>
            </w:pPr>
            <w:r>
              <w:rPr>
                <w:rFonts w:hint="eastAsia" w:ascii="仿宋_GB2312" w:hAnsi="宋体" w:eastAsia="仿宋_GB2312" w:cs="Times New Roman"/>
                <w:color w:val="auto"/>
                <w:kern w:val="0"/>
                <w:sz w:val="13"/>
                <w:szCs w:val="13"/>
                <w:highlight w:val="none"/>
              </w:rPr>
              <w:t>责令改正，处5千元罚款。</w:t>
            </w:r>
          </w:p>
        </w:tc>
      </w:tr>
      <w:tr w14:paraId="52A3656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171" w:hRule="atLeast"/>
          <w:jc w:val="center"/>
        </w:trPr>
        <w:tc>
          <w:tcPr>
            <w:tcW w:w="443" w:type="dxa"/>
            <w:gridSpan w:val="2"/>
            <w:vMerge w:val="restart"/>
            <w:tcBorders>
              <w:tl2br w:val="nil"/>
              <w:tr2bl w:val="nil"/>
            </w:tcBorders>
            <w:vAlign w:val="center"/>
          </w:tcPr>
          <w:p w14:paraId="0E02437A">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Times New Roman"/>
                <w:color w:val="auto"/>
                <w:sz w:val="13"/>
                <w:szCs w:val="13"/>
                <w:highlight w:val="none"/>
                <w:lang w:val="en-US" w:eastAsia="zh-CN"/>
              </w:rPr>
            </w:pPr>
            <w:r>
              <w:rPr>
                <w:rFonts w:hint="eastAsia" w:ascii="仿宋_GB2312" w:hAnsi="宋体" w:eastAsia="仿宋_GB2312" w:cs="仿宋_GB2312"/>
                <w:i w:val="0"/>
                <w:color w:val="auto"/>
                <w:kern w:val="0"/>
                <w:sz w:val="13"/>
                <w:szCs w:val="13"/>
                <w:highlight w:val="none"/>
                <w:u w:val="none"/>
                <w:lang w:val="en-US" w:eastAsia="zh-CN" w:bidi="ar"/>
              </w:rPr>
              <w:t>234</w:t>
            </w:r>
          </w:p>
        </w:tc>
        <w:tc>
          <w:tcPr>
            <w:tcW w:w="1550" w:type="dxa"/>
            <w:vMerge w:val="restart"/>
            <w:tcBorders>
              <w:tl2br w:val="nil"/>
              <w:tr2bl w:val="nil"/>
            </w:tcBorders>
            <w:vAlign w:val="center"/>
          </w:tcPr>
          <w:p w14:paraId="7E19D77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hint="eastAsia" w:ascii="仿宋_GB2312" w:hAnsi="Calibri" w:eastAsia="仿宋_GB2312" w:cs="Times New Roman"/>
                <w:color w:val="auto"/>
                <w:sz w:val="13"/>
                <w:szCs w:val="13"/>
                <w:highlight w:val="none"/>
                <w:lang w:eastAsia="zh-CN"/>
              </w:rPr>
            </w:pPr>
            <w:r>
              <w:rPr>
                <w:rFonts w:hint="eastAsia" w:ascii="仿宋_GB2312" w:hAnsi="Calibri" w:eastAsia="仿宋_GB2312" w:cs="Times New Roman"/>
                <w:color w:val="auto"/>
                <w:sz w:val="13"/>
                <w:szCs w:val="13"/>
                <w:highlight w:val="none"/>
              </w:rPr>
              <w:t>有下列行为之一的</w:t>
            </w:r>
            <w:r>
              <w:rPr>
                <w:rFonts w:hint="eastAsia" w:ascii="仿宋_GB2312" w:hAnsi="Calibri" w:eastAsia="仿宋_GB2312" w:cs="Times New Roman"/>
                <w:color w:val="auto"/>
                <w:sz w:val="13"/>
                <w:szCs w:val="13"/>
                <w:highlight w:val="none"/>
                <w:lang w:eastAsia="zh-CN"/>
              </w:rPr>
              <w:t>：</w:t>
            </w:r>
          </w:p>
          <w:p w14:paraId="75C9B2E0">
            <w:pPr>
              <w:keepNext w:val="0"/>
              <w:keepLines w:val="0"/>
              <w:pageBreakBefore w:val="0"/>
              <w:numPr>
                <w:ilvl w:val="0"/>
                <w:numId w:val="0"/>
              </w:numPr>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hint="eastAsia" w:ascii="仿宋_GB2312" w:hAnsi="Calibri" w:eastAsia="仿宋_GB2312" w:cs="Times New Roman"/>
                <w:color w:val="auto"/>
                <w:sz w:val="13"/>
                <w:szCs w:val="13"/>
                <w:highlight w:val="none"/>
              </w:rPr>
            </w:pPr>
            <w:r>
              <w:rPr>
                <w:rFonts w:hint="eastAsia" w:ascii="仿宋_GB2312" w:hAnsi="Calibri" w:eastAsia="仿宋_GB2312" w:cs="Times New Roman"/>
                <w:color w:val="auto"/>
                <w:kern w:val="2"/>
                <w:sz w:val="13"/>
                <w:szCs w:val="13"/>
                <w:highlight w:val="none"/>
                <w:lang w:val="en-US" w:eastAsia="zh-CN" w:bidi="ar-SA"/>
              </w:rPr>
              <w:t>（一）</w:t>
            </w:r>
            <w:r>
              <w:rPr>
                <w:rFonts w:hint="eastAsia" w:ascii="仿宋_GB2312" w:hAnsi="Calibri" w:eastAsia="仿宋_GB2312" w:cs="Times New Roman"/>
                <w:color w:val="auto"/>
                <w:sz w:val="13"/>
                <w:szCs w:val="13"/>
                <w:highlight w:val="none"/>
              </w:rPr>
              <w:t>建设单位要求建筑设计单位或者建筑施工企业降低消防技术标准设计、施工的；</w:t>
            </w:r>
          </w:p>
          <w:p w14:paraId="679303E5">
            <w:pPr>
              <w:keepNext w:val="0"/>
              <w:keepLines w:val="0"/>
              <w:pageBreakBefore w:val="0"/>
              <w:numPr>
                <w:ilvl w:val="0"/>
                <w:numId w:val="0"/>
              </w:numPr>
              <w:kinsoku/>
              <w:overflowPunct/>
              <w:topLinePunct w:val="0"/>
              <w:autoSpaceDE/>
              <w:autoSpaceDN/>
              <w:bidi w:val="0"/>
              <w:adjustRightInd/>
              <w:snapToGrid/>
              <w:spacing w:beforeAutospacing="0" w:afterAutospacing="0" w:line="260" w:lineRule="exact"/>
              <w:ind w:left="0" w:leftChars="0" w:right="0" w:rightChars="0"/>
              <w:textAlignment w:val="center"/>
              <w:rPr>
                <w:rFonts w:hint="eastAsia" w:ascii="仿宋_GB2312" w:hAnsi="Calibri" w:eastAsia="仿宋_GB2312" w:cs="Times New Roman"/>
                <w:color w:val="auto"/>
                <w:sz w:val="13"/>
                <w:szCs w:val="13"/>
                <w:highlight w:val="none"/>
                <w:lang w:val="en-US" w:eastAsia="zh-CN"/>
              </w:rPr>
            </w:pPr>
            <w:r>
              <w:rPr>
                <w:rFonts w:hint="eastAsia" w:ascii="仿宋_GB2312" w:hAnsi="Calibri" w:eastAsia="仿宋_GB2312" w:cs="Times New Roman"/>
                <w:color w:val="auto"/>
                <w:sz w:val="13"/>
                <w:szCs w:val="13"/>
                <w:highlight w:val="none"/>
                <w:lang w:val="en-US" w:eastAsia="zh-CN"/>
              </w:rPr>
              <w:t>（二）建筑设计单位不按照消防技术标准强制性要求进行消防设计的；</w:t>
            </w:r>
          </w:p>
          <w:p w14:paraId="23C6852A">
            <w:pPr>
              <w:keepNext w:val="0"/>
              <w:keepLines w:val="0"/>
              <w:pageBreakBefore w:val="0"/>
              <w:numPr>
                <w:ilvl w:val="0"/>
                <w:numId w:val="0"/>
              </w:numPr>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hint="eastAsia" w:ascii="仿宋_GB2312" w:hAnsi="Calibri" w:eastAsia="仿宋_GB2312" w:cs="Times New Roman"/>
                <w:color w:val="auto"/>
                <w:sz w:val="13"/>
                <w:szCs w:val="13"/>
                <w:highlight w:val="none"/>
                <w:lang w:val="en-US" w:eastAsia="zh-CN"/>
              </w:rPr>
            </w:pPr>
            <w:r>
              <w:rPr>
                <w:rFonts w:hint="eastAsia" w:ascii="仿宋_GB2312" w:hAnsi="Calibri" w:eastAsia="仿宋_GB2312" w:cs="Times New Roman"/>
                <w:color w:val="auto"/>
                <w:sz w:val="13"/>
                <w:szCs w:val="13"/>
                <w:highlight w:val="none"/>
                <w:lang w:val="en-US" w:eastAsia="zh-CN"/>
              </w:rPr>
              <w:t>（三）建筑施工企业不按照消防设计文件和消防技术标准施工，降低消防施工质量的；</w:t>
            </w:r>
          </w:p>
          <w:p w14:paraId="49D4277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hint="eastAsia" w:ascii="仿宋_GB2312" w:hAnsi="Calibri" w:eastAsia="仿宋_GB2312" w:cs="Times New Roman"/>
                <w:color w:val="auto"/>
                <w:sz w:val="13"/>
                <w:szCs w:val="13"/>
                <w:highlight w:val="none"/>
                <w:lang w:eastAsia="zh-CN"/>
              </w:rPr>
            </w:pPr>
            <w:r>
              <w:rPr>
                <w:rFonts w:hint="eastAsia" w:ascii="仿宋_GB2312" w:hAnsi="Calibri" w:eastAsia="仿宋_GB2312" w:cs="Times New Roman"/>
                <w:color w:val="auto"/>
                <w:sz w:val="13"/>
                <w:szCs w:val="13"/>
                <w:highlight w:val="none"/>
                <w:lang w:val="en-US" w:eastAsia="zh-CN"/>
              </w:rPr>
              <w:t>（四）工程监理单位与建设单位或者建筑施工企业串通，弄虚作假，降低消防施工质量的。</w:t>
            </w:r>
          </w:p>
        </w:tc>
        <w:tc>
          <w:tcPr>
            <w:tcW w:w="4820" w:type="dxa"/>
            <w:vMerge w:val="restart"/>
            <w:tcBorders>
              <w:tl2br w:val="nil"/>
              <w:tr2bl w:val="nil"/>
            </w:tcBorders>
            <w:vAlign w:val="center"/>
          </w:tcPr>
          <w:p w14:paraId="39F809F2">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textAlignment w:val="center"/>
              <w:rPr>
                <w:rFonts w:hint="eastAsia" w:ascii="仿宋_GB2312" w:hAnsi="宋体" w:eastAsia="仿宋_GB2312" w:cs="Times New Roman"/>
                <w:color w:val="auto"/>
                <w:kern w:val="0"/>
                <w:sz w:val="13"/>
                <w:szCs w:val="13"/>
                <w:highlight w:val="none"/>
                <w:lang w:eastAsia="zh-CN"/>
              </w:rPr>
            </w:pPr>
            <w:r>
              <w:rPr>
                <w:rFonts w:hint="eastAsia" w:ascii="仿宋_GB2312" w:hAnsi="宋体" w:eastAsia="仿宋_GB2312" w:cs="Times New Roman"/>
                <w:color w:val="auto"/>
                <w:kern w:val="0"/>
                <w:sz w:val="13"/>
                <w:szCs w:val="13"/>
                <w:highlight w:val="none"/>
              </w:rPr>
              <w:t>《中华人民共和国消防法》</w:t>
            </w:r>
            <w:r>
              <w:rPr>
                <w:rFonts w:hint="eastAsia" w:ascii="仿宋_GB2312" w:hAnsi="宋体" w:eastAsia="仿宋_GB2312" w:cs="Times New Roman"/>
                <w:b/>
                <w:bCs/>
                <w:color w:val="auto"/>
                <w:kern w:val="0"/>
                <w:sz w:val="13"/>
                <w:szCs w:val="13"/>
                <w:highlight w:val="none"/>
              </w:rPr>
              <w:t>第五十九条</w:t>
            </w:r>
            <w:r>
              <w:rPr>
                <w:rFonts w:hint="eastAsia" w:ascii="仿宋_GB2312" w:hAnsi="宋体" w:eastAsia="仿宋_GB2312" w:cs="Times New Roman"/>
                <w:b/>
                <w:bCs/>
                <w:color w:val="auto"/>
                <w:kern w:val="0"/>
                <w:sz w:val="13"/>
                <w:szCs w:val="13"/>
                <w:highlight w:val="none"/>
                <w:lang w:eastAsia="zh-CN"/>
              </w:rPr>
              <w:t>：</w:t>
            </w:r>
          </w:p>
          <w:p w14:paraId="4D11A772">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Calibri" w:eastAsia="仿宋_GB2312" w:cs="Times New Roman"/>
                <w:color w:val="auto"/>
                <w:sz w:val="13"/>
                <w:szCs w:val="13"/>
                <w:highlight w:val="none"/>
              </w:rPr>
            </w:pPr>
            <w:r>
              <w:rPr>
                <w:rFonts w:hint="eastAsia" w:ascii="仿宋_GB2312" w:hAnsi="Calibri" w:eastAsia="仿宋_GB2312" w:cs="Times New Roman"/>
                <w:color w:val="auto"/>
                <w:sz w:val="13"/>
                <w:szCs w:val="13"/>
                <w:highlight w:val="none"/>
              </w:rPr>
              <w:t>违反本法规定，有下列行为之一的，由住房和城乡建设主管部门责令改正或者停止施工，并处一万元以上十万元以下罚款：</w:t>
            </w:r>
          </w:p>
          <w:p w14:paraId="43A3AFD2">
            <w:pPr>
              <w:keepNext w:val="0"/>
              <w:keepLines w:val="0"/>
              <w:pageBreakBefore w:val="0"/>
              <w:numPr>
                <w:ilvl w:val="0"/>
                <w:numId w:val="0"/>
              </w:numPr>
              <w:kinsoku/>
              <w:overflowPunct/>
              <w:topLinePunct w:val="0"/>
              <w:autoSpaceDE/>
              <w:autoSpaceDN/>
              <w:bidi w:val="0"/>
              <w:adjustRightInd/>
              <w:snapToGrid/>
              <w:spacing w:beforeAutospacing="0" w:afterAutospacing="0" w:line="260" w:lineRule="exact"/>
              <w:ind w:left="0" w:leftChars="0" w:right="0" w:rightChars="0" w:firstLine="260" w:firstLineChars="200"/>
              <w:textAlignment w:val="center"/>
              <w:rPr>
                <w:rFonts w:hint="eastAsia" w:ascii="仿宋_GB2312" w:hAnsi="Calibri" w:eastAsia="仿宋_GB2312" w:cs="Times New Roman"/>
                <w:color w:val="auto"/>
                <w:sz w:val="13"/>
                <w:szCs w:val="13"/>
                <w:highlight w:val="none"/>
              </w:rPr>
            </w:pPr>
            <w:r>
              <w:rPr>
                <w:rFonts w:hint="eastAsia" w:ascii="仿宋_GB2312" w:hAnsi="Calibri" w:eastAsia="仿宋_GB2312" w:cs="Times New Roman"/>
                <w:color w:val="auto"/>
                <w:kern w:val="2"/>
                <w:sz w:val="13"/>
                <w:szCs w:val="13"/>
                <w:highlight w:val="none"/>
                <w:lang w:val="en-US" w:eastAsia="zh-CN" w:bidi="ar-SA"/>
              </w:rPr>
              <w:t>（一）</w:t>
            </w:r>
            <w:r>
              <w:rPr>
                <w:rFonts w:hint="eastAsia" w:ascii="仿宋_GB2312" w:hAnsi="Calibri" w:eastAsia="仿宋_GB2312" w:cs="Times New Roman"/>
                <w:color w:val="auto"/>
                <w:sz w:val="13"/>
                <w:szCs w:val="13"/>
                <w:highlight w:val="none"/>
              </w:rPr>
              <w:t>建设单位要求建筑设计单位或者建筑施工企业降低消防技术标准设计、施工的；</w:t>
            </w:r>
          </w:p>
          <w:p w14:paraId="6FCBC992">
            <w:pPr>
              <w:keepNext w:val="0"/>
              <w:keepLines w:val="0"/>
              <w:pageBreakBefore w:val="0"/>
              <w:numPr>
                <w:ilvl w:val="0"/>
                <w:numId w:val="0"/>
              </w:numPr>
              <w:kinsoku/>
              <w:overflowPunct/>
              <w:topLinePunct w:val="0"/>
              <w:autoSpaceDE/>
              <w:autoSpaceDN/>
              <w:bidi w:val="0"/>
              <w:adjustRightInd/>
              <w:snapToGrid/>
              <w:spacing w:beforeAutospacing="0" w:afterAutospacing="0" w:line="260" w:lineRule="exact"/>
              <w:ind w:left="0" w:leftChars="0" w:right="0" w:rightChars="0"/>
              <w:textAlignment w:val="center"/>
              <w:rPr>
                <w:rFonts w:hint="eastAsia" w:ascii="仿宋_GB2312" w:hAnsi="Calibri" w:eastAsia="仿宋_GB2312" w:cs="Times New Roman"/>
                <w:color w:val="auto"/>
                <w:sz w:val="13"/>
                <w:szCs w:val="13"/>
                <w:highlight w:val="none"/>
                <w:lang w:val="en-US" w:eastAsia="zh-CN"/>
              </w:rPr>
            </w:pPr>
            <w:r>
              <w:rPr>
                <w:rFonts w:hint="eastAsia" w:ascii="仿宋_GB2312" w:hAnsi="Calibri" w:eastAsia="仿宋_GB2312" w:cs="Times New Roman"/>
                <w:color w:val="auto"/>
                <w:sz w:val="13"/>
                <w:szCs w:val="13"/>
                <w:highlight w:val="none"/>
                <w:lang w:val="en-US" w:eastAsia="zh-CN"/>
              </w:rPr>
              <w:t>（二）建筑设计单位不按照消防技术标准强制性要求进行消防设计的；</w:t>
            </w:r>
          </w:p>
          <w:p w14:paraId="59FFFDAE">
            <w:pPr>
              <w:keepNext w:val="0"/>
              <w:keepLines w:val="0"/>
              <w:pageBreakBefore w:val="0"/>
              <w:numPr>
                <w:ilvl w:val="0"/>
                <w:numId w:val="0"/>
              </w:numPr>
              <w:kinsoku/>
              <w:overflowPunct/>
              <w:topLinePunct w:val="0"/>
              <w:autoSpaceDE/>
              <w:autoSpaceDN/>
              <w:bidi w:val="0"/>
              <w:adjustRightInd/>
              <w:snapToGrid/>
              <w:spacing w:beforeAutospacing="0" w:afterAutospacing="0" w:line="260" w:lineRule="exact"/>
              <w:ind w:left="0" w:leftChars="0" w:right="0" w:rightChars="0" w:firstLine="260" w:firstLineChars="200"/>
              <w:textAlignment w:val="center"/>
              <w:rPr>
                <w:rFonts w:hint="eastAsia" w:ascii="仿宋_GB2312" w:hAnsi="Calibri" w:eastAsia="仿宋_GB2312" w:cs="Times New Roman"/>
                <w:color w:val="auto"/>
                <w:sz w:val="13"/>
                <w:szCs w:val="13"/>
                <w:highlight w:val="none"/>
                <w:lang w:val="en-US" w:eastAsia="zh-CN"/>
              </w:rPr>
            </w:pPr>
            <w:r>
              <w:rPr>
                <w:rFonts w:hint="eastAsia" w:ascii="仿宋_GB2312" w:hAnsi="Calibri" w:eastAsia="仿宋_GB2312" w:cs="Times New Roman"/>
                <w:color w:val="auto"/>
                <w:sz w:val="13"/>
                <w:szCs w:val="13"/>
                <w:highlight w:val="none"/>
                <w:lang w:val="en-US" w:eastAsia="zh-CN"/>
              </w:rPr>
              <w:t>（三）建筑施工企业不按照消防设计文件和消防技术标准施工，降低消防施工质量的；</w:t>
            </w:r>
          </w:p>
          <w:p w14:paraId="5BA91C2F">
            <w:pPr>
              <w:keepNext w:val="0"/>
              <w:keepLines w:val="0"/>
              <w:pageBreakBefore w:val="0"/>
              <w:numPr>
                <w:ilvl w:val="0"/>
                <w:numId w:val="0"/>
              </w:numPr>
              <w:kinsoku/>
              <w:overflowPunct/>
              <w:topLinePunct w:val="0"/>
              <w:autoSpaceDE/>
              <w:autoSpaceDN/>
              <w:bidi w:val="0"/>
              <w:adjustRightInd/>
              <w:snapToGrid/>
              <w:spacing w:beforeAutospacing="0" w:afterAutospacing="0" w:line="260" w:lineRule="exact"/>
              <w:ind w:left="0" w:leftChars="0" w:right="0" w:rightChars="0" w:firstLine="260" w:firstLineChars="200"/>
              <w:textAlignment w:val="center"/>
              <w:rPr>
                <w:rFonts w:hint="default" w:ascii="仿宋_GB2312" w:hAnsi="Calibri" w:eastAsia="仿宋_GB2312" w:cs="Times New Roman"/>
                <w:color w:val="auto"/>
                <w:sz w:val="13"/>
                <w:szCs w:val="13"/>
                <w:highlight w:val="none"/>
                <w:lang w:val="en-US" w:eastAsia="zh-CN"/>
              </w:rPr>
            </w:pPr>
            <w:r>
              <w:rPr>
                <w:rFonts w:hint="eastAsia" w:ascii="仿宋_GB2312" w:hAnsi="Calibri" w:eastAsia="仿宋_GB2312" w:cs="Times New Roman"/>
                <w:color w:val="auto"/>
                <w:sz w:val="13"/>
                <w:szCs w:val="13"/>
                <w:highlight w:val="none"/>
                <w:lang w:val="en-US" w:eastAsia="zh-CN"/>
              </w:rPr>
              <w:t>（四）工程监理单位与建设单位或者建筑施工企业串通，弄虚作假，降低消防施工质量的。</w:t>
            </w:r>
          </w:p>
        </w:tc>
        <w:tc>
          <w:tcPr>
            <w:tcW w:w="823" w:type="dxa"/>
            <w:tcBorders>
              <w:tl2br w:val="nil"/>
              <w:tr2bl w:val="nil"/>
            </w:tcBorders>
            <w:tcMar>
              <w:top w:w="15" w:type="dxa"/>
              <w:left w:w="15" w:type="dxa"/>
              <w:bottom w:w="15" w:type="dxa"/>
              <w:right w:w="15" w:type="dxa"/>
            </w:tcMar>
            <w:vAlign w:val="center"/>
          </w:tcPr>
          <w:p w14:paraId="5DE6E97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hint="eastAsia" w:ascii="仿宋_GB2312" w:hAnsi="宋体" w:eastAsia="仿宋_GB2312" w:cs="Times New Roman"/>
                <w:color w:val="auto"/>
                <w:kern w:val="0"/>
                <w:sz w:val="13"/>
                <w:szCs w:val="13"/>
                <w:highlight w:val="none"/>
                <w:lang w:eastAsia="zh-CN"/>
              </w:rPr>
            </w:pPr>
            <w:r>
              <w:rPr>
                <w:rFonts w:hint="eastAsia" w:ascii="仿宋_GB2312" w:hAnsi="宋体" w:eastAsia="仿宋_GB2312" w:cs="Times New Roman"/>
                <w:color w:val="auto"/>
                <w:kern w:val="0"/>
                <w:sz w:val="13"/>
                <w:szCs w:val="13"/>
                <w:highlight w:val="none"/>
                <w:lang w:eastAsia="zh-CN"/>
              </w:rPr>
              <w:t>从轻情节</w:t>
            </w:r>
          </w:p>
        </w:tc>
        <w:tc>
          <w:tcPr>
            <w:tcW w:w="3437" w:type="dxa"/>
            <w:gridSpan w:val="2"/>
            <w:tcBorders>
              <w:tl2br w:val="nil"/>
              <w:tr2bl w:val="nil"/>
            </w:tcBorders>
            <w:tcMar>
              <w:top w:w="15" w:type="dxa"/>
              <w:left w:w="15" w:type="dxa"/>
              <w:bottom w:w="15" w:type="dxa"/>
              <w:right w:w="15" w:type="dxa"/>
            </w:tcMar>
            <w:vAlign w:val="center"/>
          </w:tcPr>
          <w:p w14:paraId="20DAEB9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主动停止违法行为、积极改正存在问题，且未造成危害后果。</w:t>
            </w:r>
          </w:p>
        </w:tc>
        <w:tc>
          <w:tcPr>
            <w:tcW w:w="3058" w:type="dxa"/>
            <w:tcBorders>
              <w:tl2br w:val="nil"/>
              <w:tr2bl w:val="nil"/>
            </w:tcBorders>
            <w:tcMar>
              <w:top w:w="15" w:type="dxa"/>
              <w:left w:w="15" w:type="dxa"/>
              <w:bottom w:w="15" w:type="dxa"/>
              <w:right w:w="15" w:type="dxa"/>
            </w:tcMar>
            <w:vAlign w:val="center"/>
          </w:tcPr>
          <w:p w14:paraId="4E02AF8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Times New Roman"/>
                <w:color w:val="auto"/>
                <w:kern w:val="0"/>
                <w:sz w:val="13"/>
                <w:szCs w:val="13"/>
                <w:highlight w:val="none"/>
              </w:rPr>
            </w:pPr>
            <w:r>
              <w:rPr>
                <w:rFonts w:hint="eastAsia" w:ascii="仿宋_GB2312" w:hAnsi="Calibri" w:eastAsia="仿宋_GB2312" w:cs="Times New Roman"/>
                <w:color w:val="auto"/>
                <w:sz w:val="13"/>
                <w:szCs w:val="13"/>
                <w:highlight w:val="none"/>
              </w:rPr>
              <w:t>责令改正或者停止施工，并处1万元罚款。</w:t>
            </w:r>
          </w:p>
        </w:tc>
      </w:tr>
      <w:tr w14:paraId="099D549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374" w:hRule="atLeast"/>
          <w:jc w:val="center"/>
        </w:trPr>
        <w:tc>
          <w:tcPr>
            <w:tcW w:w="443" w:type="dxa"/>
            <w:gridSpan w:val="2"/>
            <w:vMerge w:val="continue"/>
            <w:tcBorders>
              <w:tl2br w:val="nil"/>
              <w:tr2bl w:val="nil"/>
            </w:tcBorders>
            <w:vAlign w:val="center"/>
          </w:tcPr>
          <w:p w14:paraId="37731C21">
            <w:pPr>
              <w:pStyle w:val="37"/>
              <w:keepNext w:val="0"/>
              <w:keepLines w:val="0"/>
              <w:pageBreakBefore w:val="0"/>
              <w:widowControl/>
              <w:numPr>
                <w:ilvl w:val="0"/>
                <w:numId w:val="4"/>
              </w:numPr>
              <w:kinsoku/>
              <w:overflowPunct/>
              <w:topLinePunct w:val="0"/>
              <w:autoSpaceDE/>
              <w:autoSpaceDN/>
              <w:bidi w:val="0"/>
              <w:adjustRightInd/>
              <w:snapToGrid/>
              <w:spacing w:beforeAutospacing="0" w:afterAutospacing="0" w:line="260" w:lineRule="exact"/>
              <w:ind w:left="0" w:leftChars="0" w:right="0" w:rightChars="0" w:firstLineChars="0"/>
              <w:jc w:val="right"/>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7455A32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rPr>
                <w:rFonts w:ascii="仿宋_GB2312" w:hAnsi="宋体" w:eastAsia="仿宋_GB2312" w:cs="Times New Roman"/>
                <w:color w:val="auto"/>
                <w:sz w:val="13"/>
                <w:szCs w:val="13"/>
                <w:highlight w:val="none"/>
              </w:rPr>
            </w:pPr>
          </w:p>
        </w:tc>
        <w:tc>
          <w:tcPr>
            <w:tcW w:w="4820" w:type="dxa"/>
            <w:vMerge w:val="continue"/>
            <w:tcBorders>
              <w:tl2br w:val="nil"/>
              <w:tr2bl w:val="nil"/>
            </w:tcBorders>
            <w:vAlign w:val="center"/>
          </w:tcPr>
          <w:p w14:paraId="30FC99E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Times New Roman"/>
                <w:color w:val="auto"/>
                <w:kern w:val="0"/>
                <w:sz w:val="13"/>
                <w:szCs w:val="13"/>
                <w:highlight w:val="none"/>
              </w:rPr>
            </w:pPr>
          </w:p>
        </w:tc>
        <w:tc>
          <w:tcPr>
            <w:tcW w:w="823" w:type="dxa"/>
            <w:tcBorders>
              <w:tl2br w:val="nil"/>
              <w:tr2bl w:val="nil"/>
            </w:tcBorders>
            <w:tcMar>
              <w:top w:w="15" w:type="dxa"/>
              <w:left w:w="15" w:type="dxa"/>
              <w:bottom w:w="15" w:type="dxa"/>
              <w:right w:w="15" w:type="dxa"/>
            </w:tcMar>
            <w:vAlign w:val="center"/>
          </w:tcPr>
          <w:p w14:paraId="51A41EB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hint="eastAsia" w:ascii="仿宋_GB2312" w:hAnsi="宋体" w:eastAsia="仿宋_GB2312" w:cs="Times New Roman"/>
                <w:color w:val="auto"/>
                <w:sz w:val="13"/>
                <w:szCs w:val="13"/>
                <w:highlight w:val="none"/>
                <w:lang w:eastAsia="zh-CN"/>
              </w:rPr>
            </w:pPr>
            <w:r>
              <w:rPr>
                <w:rFonts w:hint="eastAsia" w:ascii="仿宋_GB2312" w:hAnsi="宋体" w:eastAsia="仿宋_GB2312" w:cs="Times New Roman"/>
                <w:color w:val="auto"/>
                <w:kern w:val="0"/>
                <w:sz w:val="13"/>
                <w:szCs w:val="13"/>
                <w:highlight w:val="none"/>
                <w:lang w:eastAsia="zh-CN"/>
              </w:rPr>
              <w:t>一般情节</w:t>
            </w:r>
          </w:p>
        </w:tc>
        <w:tc>
          <w:tcPr>
            <w:tcW w:w="3437" w:type="dxa"/>
            <w:gridSpan w:val="2"/>
            <w:tcBorders>
              <w:tl2br w:val="nil"/>
              <w:tr2bl w:val="nil"/>
            </w:tcBorders>
            <w:tcMar>
              <w:top w:w="15" w:type="dxa"/>
              <w:left w:w="15" w:type="dxa"/>
              <w:bottom w:w="15" w:type="dxa"/>
              <w:right w:w="15" w:type="dxa"/>
            </w:tcMar>
            <w:vAlign w:val="center"/>
          </w:tcPr>
          <w:p w14:paraId="35D0D7FB">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不具有从轻、</w:t>
            </w:r>
            <w:r>
              <w:rPr>
                <w:rFonts w:hint="eastAsia" w:ascii="仿宋_GB2312" w:hAnsi="宋体" w:eastAsia="仿宋_GB2312" w:cs="Times New Roman"/>
                <w:color w:val="auto"/>
                <w:kern w:val="0"/>
                <w:sz w:val="13"/>
                <w:szCs w:val="13"/>
                <w:highlight w:val="none"/>
                <w:lang w:eastAsia="zh-CN"/>
              </w:rPr>
              <w:t>从重情节</w:t>
            </w:r>
            <w:r>
              <w:rPr>
                <w:rFonts w:hint="eastAsia" w:ascii="仿宋_GB2312" w:hAnsi="宋体" w:eastAsia="仿宋_GB2312" w:cs="Times New Roman"/>
                <w:color w:val="auto"/>
                <w:kern w:val="0"/>
                <w:sz w:val="13"/>
                <w:szCs w:val="13"/>
                <w:highlight w:val="none"/>
              </w:rPr>
              <w:t>。</w:t>
            </w:r>
          </w:p>
        </w:tc>
        <w:tc>
          <w:tcPr>
            <w:tcW w:w="3058" w:type="dxa"/>
            <w:tcBorders>
              <w:tl2br w:val="nil"/>
              <w:tr2bl w:val="nil"/>
            </w:tcBorders>
            <w:tcMar>
              <w:top w:w="15" w:type="dxa"/>
              <w:left w:w="15" w:type="dxa"/>
              <w:bottom w:w="15" w:type="dxa"/>
              <w:right w:w="15" w:type="dxa"/>
            </w:tcMar>
            <w:vAlign w:val="center"/>
          </w:tcPr>
          <w:p w14:paraId="4807B5D7">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Times New Roman"/>
                <w:strike/>
                <w:color w:val="auto"/>
                <w:kern w:val="0"/>
                <w:sz w:val="13"/>
                <w:szCs w:val="13"/>
                <w:highlight w:val="none"/>
              </w:rPr>
            </w:pPr>
            <w:r>
              <w:rPr>
                <w:rFonts w:hint="eastAsia" w:ascii="仿宋_GB2312" w:hAnsi="Calibri" w:eastAsia="仿宋_GB2312" w:cs="Times New Roman"/>
                <w:color w:val="auto"/>
                <w:sz w:val="13"/>
                <w:szCs w:val="13"/>
                <w:highlight w:val="none"/>
              </w:rPr>
              <w:t>责令改正或者停止施工，并处1万元以上6万元以下罚款。</w:t>
            </w:r>
          </w:p>
        </w:tc>
      </w:tr>
      <w:tr w14:paraId="78BEA32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82" w:hRule="atLeast"/>
          <w:jc w:val="center"/>
        </w:trPr>
        <w:tc>
          <w:tcPr>
            <w:tcW w:w="443" w:type="dxa"/>
            <w:gridSpan w:val="2"/>
            <w:vMerge w:val="continue"/>
            <w:tcBorders>
              <w:tl2br w:val="nil"/>
              <w:tr2bl w:val="nil"/>
            </w:tcBorders>
            <w:vAlign w:val="center"/>
          </w:tcPr>
          <w:p w14:paraId="2808436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332012D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rPr>
                <w:rFonts w:ascii="仿宋_GB2312" w:hAnsi="宋体" w:eastAsia="仿宋_GB2312" w:cs="Times New Roman"/>
                <w:color w:val="auto"/>
                <w:sz w:val="13"/>
                <w:szCs w:val="13"/>
                <w:highlight w:val="none"/>
              </w:rPr>
            </w:pPr>
          </w:p>
        </w:tc>
        <w:tc>
          <w:tcPr>
            <w:tcW w:w="4820" w:type="dxa"/>
            <w:vMerge w:val="continue"/>
            <w:tcBorders>
              <w:tl2br w:val="nil"/>
              <w:tr2bl w:val="nil"/>
            </w:tcBorders>
            <w:vAlign w:val="center"/>
          </w:tcPr>
          <w:p w14:paraId="453BD00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Times New Roman"/>
                <w:color w:val="auto"/>
                <w:kern w:val="0"/>
                <w:sz w:val="13"/>
                <w:szCs w:val="13"/>
                <w:highlight w:val="none"/>
              </w:rPr>
            </w:pPr>
          </w:p>
        </w:tc>
        <w:tc>
          <w:tcPr>
            <w:tcW w:w="823" w:type="dxa"/>
            <w:tcBorders>
              <w:tl2br w:val="nil"/>
              <w:tr2bl w:val="nil"/>
            </w:tcBorders>
            <w:tcMar>
              <w:top w:w="15" w:type="dxa"/>
              <w:left w:w="15" w:type="dxa"/>
              <w:bottom w:w="15" w:type="dxa"/>
              <w:right w:w="15" w:type="dxa"/>
            </w:tcMar>
            <w:vAlign w:val="center"/>
          </w:tcPr>
          <w:p w14:paraId="416204D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hint="eastAsia" w:ascii="仿宋_GB2312" w:hAnsi="宋体" w:eastAsia="仿宋_GB2312" w:cs="Times New Roman"/>
                <w:color w:val="auto"/>
                <w:kern w:val="0"/>
                <w:sz w:val="13"/>
                <w:szCs w:val="13"/>
                <w:highlight w:val="none"/>
                <w:lang w:val="en-US" w:eastAsia="zh-CN" w:bidi="ar-SA"/>
              </w:rPr>
            </w:pPr>
            <w:r>
              <w:rPr>
                <w:rFonts w:hint="eastAsia" w:ascii="仿宋_GB2312" w:hAnsi="宋体" w:eastAsia="仿宋_GB2312" w:cs="Times New Roman"/>
                <w:color w:val="auto"/>
                <w:kern w:val="0"/>
                <w:sz w:val="13"/>
                <w:szCs w:val="13"/>
                <w:highlight w:val="none"/>
                <w:lang w:eastAsia="zh-CN"/>
              </w:rPr>
              <w:t>从重情节</w:t>
            </w:r>
          </w:p>
        </w:tc>
        <w:tc>
          <w:tcPr>
            <w:tcW w:w="3437" w:type="dxa"/>
            <w:gridSpan w:val="2"/>
            <w:tcBorders>
              <w:tl2br w:val="nil"/>
              <w:tr2bl w:val="nil"/>
            </w:tcBorders>
            <w:tcMar>
              <w:top w:w="15" w:type="dxa"/>
              <w:left w:w="15" w:type="dxa"/>
              <w:bottom w:w="15" w:type="dxa"/>
              <w:right w:w="15" w:type="dxa"/>
            </w:tcMar>
            <w:vAlign w:val="center"/>
          </w:tcPr>
          <w:p w14:paraId="1B2CB1E4">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Times New Roman"/>
                <w:strike/>
                <w:color w:val="auto"/>
                <w:kern w:val="0"/>
                <w:sz w:val="13"/>
                <w:szCs w:val="13"/>
                <w:highlight w:val="none"/>
                <w:lang w:val="en-US" w:eastAsia="zh-CN" w:bidi="ar-SA"/>
              </w:rPr>
            </w:pPr>
            <w:r>
              <w:rPr>
                <w:rFonts w:hint="eastAsia" w:ascii="仿宋_GB2312" w:hAnsi="宋体" w:eastAsia="仿宋_GB2312" w:cs="Times New Roman"/>
                <w:color w:val="auto"/>
                <w:kern w:val="0"/>
                <w:sz w:val="13"/>
                <w:szCs w:val="13"/>
                <w:highlight w:val="none"/>
              </w:rPr>
              <w:t>拒不停止违法行为、拒不整改存在问题</w:t>
            </w:r>
            <w:r>
              <w:rPr>
                <w:rFonts w:hint="eastAsia" w:ascii="仿宋_GB2312" w:hAnsi="宋体" w:eastAsia="仿宋_GB2312" w:cs="Times New Roman"/>
                <w:color w:val="auto"/>
                <w:kern w:val="0"/>
                <w:sz w:val="13"/>
                <w:szCs w:val="13"/>
                <w:highlight w:val="none"/>
                <w:lang w:eastAsia="zh-CN"/>
              </w:rPr>
              <w:t>，</w:t>
            </w:r>
            <w:r>
              <w:rPr>
                <w:rFonts w:hint="eastAsia" w:ascii="仿宋_GB2312" w:hAnsi="宋体" w:eastAsia="仿宋_GB2312" w:cs="Times New Roman"/>
                <w:color w:val="auto"/>
                <w:kern w:val="0"/>
                <w:sz w:val="13"/>
                <w:szCs w:val="13"/>
                <w:highlight w:val="none"/>
              </w:rPr>
              <w:t>或已造成火灾、难以整改的火灾隐患等严重后果。</w:t>
            </w:r>
          </w:p>
        </w:tc>
        <w:tc>
          <w:tcPr>
            <w:tcW w:w="3058" w:type="dxa"/>
            <w:tcBorders>
              <w:tl2br w:val="nil"/>
              <w:tr2bl w:val="nil"/>
            </w:tcBorders>
            <w:tcMar>
              <w:top w:w="15" w:type="dxa"/>
              <w:left w:w="15" w:type="dxa"/>
              <w:bottom w:w="15" w:type="dxa"/>
              <w:right w:w="15" w:type="dxa"/>
            </w:tcMar>
            <w:vAlign w:val="center"/>
          </w:tcPr>
          <w:p w14:paraId="0C551230">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Times New Roman"/>
                <w:strike/>
                <w:color w:val="auto"/>
                <w:kern w:val="0"/>
                <w:sz w:val="13"/>
                <w:szCs w:val="13"/>
                <w:highlight w:val="none"/>
                <w:lang w:val="en-US" w:eastAsia="zh-CN" w:bidi="ar-SA"/>
              </w:rPr>
            </w:pPr>
            <w:r>
              <w:rPr>
                <w:rFonts w:ascii="仿宋_GB2312" w:hAnsi="Calibri" w:eastAsia="仿宋_GB2312" w:cs="Times New Roman"/>
                <w:color w:val="auto"/>
                <w:sz w:val="13"/>
                <w:szCs w:val="13"/>
                <w:highlight w:val="none"/>
              </w:rPr>
              <w:t>责令改正或者停止施工</w:t>
            </w:r>
            <w:r>
              <w:rPr>
                <w:rFonts w:hint="eastAsia" w:ascii="仿宋_GB2312" w:hAnsi="Calibri" w:eastAsia="仿宋_GB2312" w:cs="Times New Roman"/>
                <w:color w:val="auto"/>
                <w:sz w:val="13"/>
                <w:szCs w:val="13"/>
                <w:highlight w:val="none"/>
              </w:rPr>
              <w:t>，并处6万元以上10万元以下罚款。</w:t>
            </w:r>
          </w:p>
        </w:tc>
      </w:tr>
      <w:tr w14:paraId="2541FF0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39" w:hRule="atLeast"/>
          <w:jc w:val="center"/>
        </w:trPr>
        <w:tc>
          <w:tcPr>
            <w:tcW w:w="14131" w:type="dxa"/>
            <w:gridSpan w:val="8"/>
            <w:tcBorders>
              <w:tl2br w:val="nil"/>
              <w:tr2bl w:val="nil"/>
            </w:tcBorders>
            <w:vAlign w:val="center"/>
          </w:tcPr>
          <w:p w14:paraId="036F8AF9">
            <w:pPr>
              <w:pStyle w:val="10"/>
              <w:bidi w:val="0"/>
              <w:jc w:val="center"/>
              <w:rPr>
                <w:rFonts w:hint="eastAsia"/>
                <w:color w:val="auto"/>
              </w:rPr>
            </w:pPr>
            <w:bookmarkStart w:id="14" w:name="_Toc16750"/>
            <w:bookmarkStart w:id="15" w:name="_Toc6356"/>
            <w:r>
              <w:rPr>
                <w:rFonts w:hint="eastAsia"/>
                <w:color w:val="auto"/>
                <w:lang w:val="en-US" w:eastAsia="zh-CN"/>
              </w:rPr>
              <w:t>七、</w:t>
            </w:r>
            <w:r>
              <w:rPr>
                <w:rFonts w:hint="eastAsia"/>
                <w:color w:val="auto"/>
              </w:rPr>
              <w:t>房地产类（</w:t>
            </w:r>
            <w:r>
              <w:rPr>
                <w:rFonts w:hint="eastAsia"/>
                <w:color w:val="auto"/>
                <w:lang w:val="en-US" w:eastAsia="zh-CN"/>
              </w:rPr>
              <w:t>58</w:t>
            </w:r>
            <w:r>
              <w:rPr>
                <w:rFonts w:hint="eastAsia"/>
                <w:color w:val="auto"/>
              </w:rPr>
              <w:t>项）</w:t>
            </w:r>
            <w:bookmarkEnd w:id="14"/>
            <w:bookmarkEnd w:id="15"/>
          </w:p>
        </w:tc>
      </w:tr>
      <w:tr w14:paraId="46B58D9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443" w:type="dxa"/>
            <w:gridSpan w:val="2"/>
            <w:vMerge w:val="restart"/>
            <w:tcBorders>
              <w:tl2br w:val="nil"/>
              <w:tr2bl w:val="nil"/>
            </w:tcBorders>
            <w:vAlign w:val="center"/>
          </w:tcPr>
          <w:p w14:paraId="352257C1">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235</w:t>
            </w:r>
          </w:p>
        </w:tc>
        <w:tc>
          <w:tcPr>
            <w:tcW w:w="1550" w:type="dxa"/>
            <w:vMerge w:val="restart"/>
            <w:tcBorders>
              <w:tl2br w:val="nil"/>
              <w:tr2bl w:val="nil"/>
            </w:tcBorders>
            <w:vAlign w:val="center"/>
          </w:tcPr>
          <w:p w14:paraId="5666DEC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未取得房地产开发企业资质证书，擅自销售商品房的</w:t>
            </w:r>
          </w:p>
        </w:tc>
        <w:tc>
          <w:tcPr>
            <w:tcW w:w="4820" w:type="dxa"/>
            <w:vMerge w:val="restart"/>
            <w:tcBorders>
              <w:tl2br w:val="nil"/>
              <w:tr2bl w:val="nil"/>
            </w:tcBorders>
            <w:vAlign w:val="center"/>
          </w:tcPr>
          <w:p w14:paraId="6933E7D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《商品房销售管理办法》</w:t>
            </w:r>
            <w:r>
              <w:rPr>
                <w:rFonts w:hint="eastAsia" w:ascii="仿宋_GB2312" w:hAnsi="宋体" w:eastAsia="仿宋_GB2312" w:cs="Times New Roman"/>
                <w:b/>
                <w:bCs/>
                <w:color w:val="auto"/>
                <w:kern w:val="0"/>
                <w:sz w:val="13"/>
                <w:szCs w:val="13"/>
                <w:highlight w:val="none"/>
              </w:rPr>
              <w:t>第三十七条</w:t>
            </w:r>
            <w:r>
              <w:rPr>
                <w:rFonts w:hint="eastAsia" w:ascii="仿宋_GB2312" w:hAnsi="宋体" w:eastAsia="仿宋_GB2312" w:cs="Times New Roman"/>
                <w:b/>
                <w:bCs/>
                <w:color w:val="auto"/>
                <w:kern w:val="0"/>
                <w:sz w:val="13"/>
                <w:szCs w:val="13"/>
                <w:highlight w:val="none"/>
                <w:lang w:eastAsia="zh-CN"/>
              </w:rPr>
              <w:t>：</w:t>
            </w:r>
            <w:r>
              <w:rPr>
                <w:rFonts w:hint="eastAsia" w:ascii="仿宋_GB2312" w:hAnsi="宋体" w:eastAsia="仿宋_GB2312" w:cs="Times New Roman"/>
                <w:color w:val="auto"/>
                <w:kern w:val="0"/>
                <w:sz w:val="13"/>
                <w:szCs w:val="13"/>
                <w:highlight w:val="none"/>
              </w:rPr>
              <w:t>未取得房地产开发企业资质证书，擅自销售商品房的，责令停止销售活动，处5万元以上10万元以下的罚款。</w:t>
            </w:r>
          </w:p>
          <w:p w14:paraId="20321F3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1" w:firstLineChars="200"/>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b/>
                <w:bCs/>
                <w:color w:val="auto"/>
                <w:kern w:val="0"/>
                <w:sz w:val="13"/>
                <w:szCs w:val="13"/>
                <w:highlight w:val="none"/>
              </w:rPr>
              <w:t>第七条</w:t>
            </w:r>
            <w:r>
              <w:rPr>
                <w:rFonts w:hint="eastAsia" w:ascii="仿宋_GB2312" w:hAnsi="宋体" w:eastAsia="仿宋_GB2312" w:cs="Times New Roman"/>
                <w:b/>
                <w:bCs/>
                <w:color w:val="auto"/>
                <w:kern w:val="0"/>
                <w:sz w:val="13"/>
                <w:szCs w:val="13"/>
                <w:highlight w:val="none"/>
                <w:lang w:eastAsia="zh-CN"/>
              </w:rPr>
              <w:t>（</w:t>
            </w:r>
            <w:r>
              <w:rPr>
                <w:rFonts w:hint="eastAsia" w:ascii="仿宋_GB2312" w:hAnsi="宋体" w:eastAsia="仿宋_GB2312" w:cs="Times New Roman"/>
                <w:b/>
                <w:bCs/>
                <w:color w:val="auto"/>
                <w:kern w:val="0"/>
                <w:sz w:val="13"/>
                <w:szCs w:val="13"/>
                <w:highlight w:val="none"/>
                <w:lang w:val="en-US" w:eastAsia="zh-CN"/>
              </w:rPr>
              <w:t>一</w:t>
            </w:r>
            <w:r>
              <w:rPr>
                <w:rFonts w:hint="eastAsia" w:ascii="仿宋_GB2312" w:hAnsi="宋体" w:eastAsia="仿宋_GB2312" w:cs="Times New Roman"/>
                <w:b/>
                <w:bCs/>
                <w:color w:val="auto"/>
                <w:kern w:val="0"/>
                <w:sz w:val="13"/>
                <w:szCs w:val="13"/>
                <w:highlight w:val="none"/>
                <w:lang w:eastAsia="zh-CN"/>
              </w:rPr>
              <w:t>）</w:t>
            </w:r>
            <w:r>
              <w:rPr>
                <w:rFonts w:hint="eastAsia" w:ascii="仿宋_GB2312" w:hAnsi="宋体" w:eastAsia="仿宋_GB2312" w:cs="Times New Roman"/>
                <w:b/>
                <w:bCs/>
                <w:color w:val="auto"/>
                <w:kern w:val="0"/>
                <w:sz w:val="13"/>
                <w:szCs w:val="13"/>
                <w:highlight w:val="none"/>
              </w:rPr>
              <w:t>项</w:t>
            </w:r>
            <w:r>
              <w:rPr>
                <w:rFonts w:hint="eastAsia" w:ascii="仿宋_GB2312" w:hAnsi="宋体" w:eastAsia="仿宋_GB2312" w:cs="Times New Roman"/>
                <w:b/>
                <w:bCs/>
                <w:color w:val="auto"/>
                <w:kern w:val="0"/>
                <w:sz w:val="13"/>
                <w:szCs w:val="13"/>
                <w:highlight w:val="none"/>
                <w:lang w:eastAsia="zh-CN"/>
              </w:rPr>
              <w:t>：</w:t>
            </w:r>
            <w:r>
              <w:rPr>
                <w:rFonts w:ascii="仿宋_GB2312" w:hAnsi="宋体" w:eastAsia="仿宋_GB2312" w:cs="Times New Roman"/>
                <w:color w:val="auto"/>
                <w:kern w:val="0"/>
                <w:sz w:val="13"/>
                <w:szCs w:val="13"/>
                <w:highlight w:val="none"/>
              </w:rPr>
              <w:t>商品房现售,应当符合以下条件：</w:t>
            </w:r>
          </w:p>
          <w:p w14:paraId="06BF2DC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0" w:firstLineChars="200"/>
              <w:textAlignment w:val="center"/>
              <w:rPr>
                <w:rFonts w:ascii="仿宋_GB2312" w:hAnsi="宋体" w:eastAsia="仿宋_GB2312" w:cs="Times New Roman"/>
                <w:color w:val="auto"/>
                <w:kern w:val="0"/>
                <w:sz w:val="13"/>
                <w:szCs w:val="13"/>
                <w:highlight w:val="none"/>
              </w:rPr>
            </w:pPr>
            <w:r>
              <w:rPr>
                <w:rFonts w:ascii="仿宋_GB2312" w:hAnsi="宋体" w:eastAsia="仿宋_GB2312" w:cs="Times New Roman"/>
                <w:color w:val="auto"/>
                <w:kern w:val="0"/>
                <w:sz w:val="13"/>
                <w:szCs w:val="13"/>
                <w:highlight w:val="none"/>
              </w:rPr>
              <w:t>(一)现售商品房的房地产开发企业应当具有企业法人营业执照和房地产开发企业资质证书</w:t>
            </w:r>
            <w:r>
              <w:rPr>
                <w:rFonts w:hint="eastAsia" w:ascii="仿宋_GB2312" w:hAnsi="宋体" w:eastAsia="仿宋_GB2312" w:cs="Times New Roman"/>
                <w:color w:val="auto"/>
                <w:kern w:val="0"/>
                <w:sz w:val="13"/>
                <w:szCs w:val="13"/>
                <w:highlight w:val="none"/>
              </w:rPr>
              <w:t>。</w:t>
            </w:r>
          </w:p>
          <w:p w14:paraId="0C9C0BE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olor w:val="auto"/>
                <w:kern w:val="0"/>
                <w:sz w:val="13"/>
                <w:szCs w:val="13"/>
                <w:highlight w:val="none"/>
              </w:rPr>
            </w:pPr>
          </w:p>
        </w:tc>
        <w:tc>
          <w:tcPr>
            <w:tcW w:w="823" w:type="dxa"/>
            <w:tcBorders>
              <w:tl2br w:val="nil"/>
              <w:tr2bl w:val="nil"/>
            </w:tcBorders>
            <w:vAlign w:val="center"/>
          </w:tcPr>
          <w:p w14:paraId="17B31BF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Times New Roman"/>
                <w:color w:val="auto"/>
                <w:kern w:val="0"/>
                <w:sz w:val="13"/>
                <w:szCs w:val="13"/>
                <w:highlight w:val="none"/>
                <w:lang w:eastAsia="zh-CN"/>
              </w:rPr>
            </w:pPr>
            <w:r>
              <w:rPr>
                <w:rFonts w:hint="eastAsia" w:ascii="仿宋_GB2312" w:hAnsi="宋体" w:eastAsia="仿宋_GB2312" w:cs="Times New Roman"/>
                <w:color w:val="auto"/>
                <w:kern w:val="0"/>
                <w:sz w:val="13"/>
                <w:szCs w:val="13"/>
                <w:highlight w:val="none"/>
                <w:lang w:eastAsia="zh-CN"/>
              </w:rPr>
              <w:t>从轻情节</w:t>
            </w:r>
          </w:p>
        </w:tc>
        <w:tc>
          <w:tcPr>
            <w:tcW w:w="3437" w:type="dxa"/>
            <w:gridSpan w:val="2"/>
            <w:tcBorders>
              <w:tl2br w:val="nil"/>
              <w:tr2bl w:val="nil"/>
            </w:tcBorders>
            <w:vAlign w:val="center"/>
          </w:tcPr>
          <w:p w14:paraId="430265D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初次违法，擅自销售商品房3套以下。</w:t>
            </w:r>
          </w:p>
        </w:tc>
        <w:tc>
          <w:tcPr>
            <w:tcW w:w="3064" w:type="dxa"/>
            <w:gridSpan w:val="2"/>
            <w:tcBorders>
              <w:tl2br w:val="nil"/>
              <w:tr2bl w:val="nil"/>
            </w:tcBorders>
            <w:vAlign w:val="center"/>
          </w:tcPr>
          <w:p w14:paraId="4FCC786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责令停止销售活动，处5万元罚款。</w:t>
            </w:r>
          </w:p>
        </w:tc>
      </w:tr>
      <w:tr w14:paraId="7B4D198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443" w:type="dxa"/>
            <w:gridSpan w:val="2"/>
            <w:vMerge w:val="continue"/>
            <w:tcBorders>
              <w:tl2br w:val="nil"/>
              <w:tr2bl w:val="nil"/>
            </w:tcBorders>
            <w:vAlign w:val="center"/>
          </w:tcPr>
          <w:p w14:paraId="05365EC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olor w:val="auto"/>
                <w:kern w:val="0"/>
                <w:sz w:val="13"/>
                <w:szCs w:val="13"/>
                <w:highlight w:val="none"/>
              </w:rPr>
            </w:pPr>
          </w:p>
        </w:tc>
        <w:tc>
          <w:tcPr>
            <w:tcW w:w="1550" w:type="dxa"/>
            <w:vMerge w:val="continue"/>
            <w:tcBorders>
              <w:tl2br w:val="nil"/>
              <w:tr2bl w:val="nil"/>
            </w:tcBorders>
            <w:vAlign w:val="center"/>
          </w:tcPr>
          <w:p w14:paraId="307FF84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Times New Roman"/>
                <w:color w:val="auto"/>
                <w:kern w:val="0"/>
                <w:sz w:val="13"/>
                <w:szCs w:val="13"/>
                <w:highlight w:val="none"/>
              </w:rPr>
            </w:pPr>
          </w:p>
        </w:tc>
        <w:tc>
          <w:tcPr>
            <w:tcW w:w="4820" w:type="dxa"/>
            <w:vMerge w:val="continue"/>
            <w:tcBorders>
              <w:tl2br w:val="nil"/>
              <w:tr2bl w:val="nil"/>
            </w:tcBorders>
            <w:vAlign w:val="center"/>
          </w:tcPr>
          <w:p w14:paraId="27C7F53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Times New Roman"/>
                <w:color w:val="auto"/>
                <w:kern w:val="0"/>
                <w:sz w:val="13"/>
                <w:szCs w:val="13"/>
                <w:highlight w:val="none"/>
              </w:rPr>
            </w:pPr>
          </w:p>
        </w:tc>
        <w:tc>
          <w:tcPr>
            <w:tcW w:w="823" w:type="dxa"/>
            <w:tcBorders>
              <w:tl2br w:val="nil"/>
              <w:tr2bl w:val="nil"/>
            </w:tcBorders>
            <w:vAlign w:val="center"/>
          </w:tcPr>
          <w:p w14:paraId="1FC3BF5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Times New Roman"/>
                <w:color w:val="auto"/>
                <w:kern w:val="0"/>
                <w:sz w:val="13"/>
                <w:szCs w:val="13"/>
                <w:highlight w:val="none"/>
                <w:lang w:eastAsia="zh-CN"/>
              </w:rPr>
            </w:pPr>
            <w:r>
              <w:rPr>
                <w:rFonts w:hint="eastAsia" w:ascii="仿宋_GB2312" w:hAnsi="宋体" w:eastAsia="仿宋_GB2312" w:cs="Times New Roman"/>
                <w:color w:val="auto"/>
                <w:kern w:val="0"/>
                <w:sz w:val="13"/>
                <w:szCs w:val="13"/>
                <w:highlight w:val="none"/>
                <w:lang w:eastAsia="zh-CN"/>
              </w:rPr>
              <w:t>一般情节</w:t>
            </w:r>
          </w:p>
        </w:tc>
        <w:tc>
          <w:tcPr>
            <w:tcW w:w="3437" w:type="dxa"/>
            <w:gridSpan w:val="2"/>
            <w:tcBorders>
              <w:tl2br w:val="nil"/>
              <w:tr2bl w:val="nil"/>
            </w:tcBorders>
            <w:vAlign w:val="center"/>
          </w:tcPr>
          <w:p w14:paraId="50EBAD7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销售商品房3套以上5套以下。</w:t>
            </w:r>
          </w:p>
        </w:tc>
        <w:tc>
          <w:tcPr>
            <w:tcW w:w="3064" w:type="dxa"/>
            <w:gridSpan w:val="2"/>
            <w:tcBorders>
              <w:tl2br w:val="nil"/>
              <w:tr2bl w:val="nil"/>
            </w:tcBorders>
            <w:vAlign w:val="center"/>
          </w:tcPr>
          <w:p w14:paraId="6CEE59E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责令停止销售活动，处5万元以上7.5万元以下罚款。</w:t>
            </w:r>
          </w:p>
        </w:tc>
      </w:tr>
      <w:tr w14:paraId="77186AF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4" w:hRule="atLeast"/>
          <w:jc w:val="center"/>
        </w:trPr>
        <w:tc>
          <w:tcPr>
            <w:tcW w:w="443" w:type="dxa"/>
            <w:gridSpan w:val="2"/>
            <w:vMerge w:val="continue"/>
            <w:tcBorders>
              <w:tl2br w:val="nil"/>
              <w:tr2bl w:val="nil"/>
            </w:tcBorders>
            <w:vAlign w:val="center"/>
          </w:tcPr>
          <w:p w14:paraId="0D2FA346">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3862" w:firstLineChars="2959"/>
              <w:jc w:val="center"/>
              <w:textAlignment w:val="center"/>
              <w:rPr>
                <w:rFonts w:ascii="仿宋_GB2312" w:hAnsi="宋体" w:eastAsia="仿宋_GB2312"/>
                <w:b/>
                <w:color w:val="auto"/>
                <w:kern w:val="0"/>
                <w:sz w:val="13"/>
                <w:szCs w:val="13"/>
                <w:highlight w:val="none"/>
              </w:rPr>
            </w:pPr>
          </w:p>
        </w:tc>
        <w:tc>
          <w:tcPr>
            <w:tcW w:w="1550" w:type="dxa"/>
            <w:vMerge w:val="continue"/>
            <w:tcBorders>
              <w:tl2br w:val="nil"/>
              <w:tr2bl w:val="nil"/>
            </w:tcBorders>
            <w:vAlign w:val="center"/>
          </w:tcPr>
          <w:p w14:paraId="24C6EB91">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3862" w:firstLineChars="2959"/>
              <w:textAlignment w:val="center"/>
              <w:rPr>
                <w:rFonts w:ascii="仿宋_GB2312" w:hAnsi="宋体" w:eastAsia="仿宋_GB2312"/>
                <w:b/>
                <w:color w:val="auto"/>
                <w:kern w:val="0"/>
                <w:sz w:val="13"/>
                <w:szCs w:val="13"/>
                <w:highlight w:val="none"/>
              </w:rPr>
            </w:pPr>
          </w:p>
        </w:tc>
        <w:tc>
          <w:tcPr>
            <w:tcW w:w="4820" w:type="dxa"/>
            <w:vMerge w:val="continue"/>
            <w:tcBorders>
              <w:tl2br w:val="nil"/>
              <w:tr2bl w:val="nil"/>
            </w:tcBorders>
            <w:vAlign w:val="center"/>
          </w:tcPr>
          <w:p w14:paraId="17EC0332">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3862" w:firstLineChars="2959"/>
              <w:textAlignment w:val="center"/>
              <w:rPr>
                <w:rFonts w:ascii="仿宋_GB2312" w:hAnsi="宋体" w:eastAsia="仿宋_GB2312"/>
                <w:b/>
                <w:color w:val="auto"/>
                <w:kern w:val="0"/>
                <w:sz w:val="13"/>
                <w:szCs w:val="13"/>
                <w:highlight w:val="none"/>
              </w:rPr>
            </w:pPr>
          </w:p>
        </w:tc>
        <w:tc>
          <w:tcPr>
            <w:tcW w:w="823" w:type="dxa"/>
            <w:tcBorders>
              <w:tl2br w:val="nil"/>
              <w:tr2bl w:val="nil"/>
            </w:tcBorders>
            <w:vAlign w:val="center"/>
          </w:tcPr>
          <w:p w14:paraId="65433EF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Times New Roman"/>
                <w:color w:val="auto"/>
                <w:kern w:val="0"/>
                <w:sz w:val="13"/>
                <w:szCs w:val="13"/>
                <w:highlight w:val="none"/>
                <w:lang w:eastAsia="zh-CN"/>
              </w:rPr>
            </w:pPr>
            <w:r>
              <w:rPr>
                <w:rFonts w:hint="eastAsia" w:ascii="仿宋_GB2312" w:hAnsi="宋体" w:eastAsia="仿宋_GB2312" w:cs="Times New Roman"/>
                <w:color w:val="auto"/>
                <w:kern w:val="0"/>
                <w:sz w:val="13"/>
                <w:szCs w:val="13"/>
                <w:highlight w:val="none"/>
                <w:lang w:eastAsia="zh-CN"/>
              </w:rPr>
              <w:t>从重情节</w:t>
            </w:r>
          </w:p>
        </w:tc>
        <w:tc>
          <w:tcPr>
            <w:tcW w:w="3437" w:type="dxa"/>
            <w:gridSpan w:val="2"/>
            <w:tcBorders>
              <w:tl2br w:val="nil"/>
              <w:tr2bl w:val="nil"/>
            </w:tcBorders>
            <w:vAlign w:val="center"/>
          </w:tcPr>
          <w:p w14:paraId="7C1222FB">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3846" w:firstLineChars="2959"/>
              <w:textAlignment w:val="center"/>
              <w:rPr>
                <w:rFonts w:ascii="仿宋_GB2312" w:hAnsi="宋体" w:eastAsia="仿宋_GB2312"/>
                <w:b/>
                <w:color w:val="auto"/>
                <w:kern w:val="0"/>
                <w:sz w:val="13"/>
                <w:szCs w:val="13"/>
                <w:highlight w:val="none"/>
              </w:rPr>
            </w:pPr>
            <w:r>
              <w:rPr>
                <w:rFonts w:hint="eastAsia" w:ascii="仿宋_GB2312" w:hAnsi="宋体" w:eastAsia="仿宋_GB2312" w:cs="Times New Roman"/>
                <w:color w:val="auto"/>
                <w:kern w:val="0"/>
                <w:sz w:val="13"/>
                <w:szCs w:val="13"/>
                <w:highlight w:val="none"/>
              </w:rPr>
              <w:t>（</w:t>
            </w:r>
            <w:r>
              <w:rPr>
                <w:rFonts w:hint="eastAsia" w:ascii="仿宋_GB2312" w:hAnsi="宋体" w:eastAsia="仿宋_GB2312" w:cs="Times New Roman"/>
                <w:color w:val="auto"/>
                <w:kern w:val="0"/>
                <w:sz w:val="13"/>
                <w:szCs w:val="13"/>
                <w:highlight w:val="none"/>
                <w:lang w:val="en-US" w:eastAsia="zh-CN"/>
              </w:rPr>
              <w:t>有下列情形之一的：</w:t>
            </w:r>
            <w:r>
              <w:rPr>
                <w:rFonts w:hint="eastAsia" w:ascii="仿宋_GB2312" w:hAnsi="宋体" w:eastAsia="仿宋_GB2312" w:cs="Times New Roman"/>
                <w:color w:val="auto"/>
                <w:kern w:val="0"/>
                <w:sz w:val="13"/>
                <w:szCs w:val="13"/>
                <w:highlight w:val="none"/>
              </w:rPr>
              <w:t>（1）经责令停止违法行为后，继续实施违法行为的；（2）擅自销售商品房5套以上；（3）足以影响房地产市场秩序和社会稳定的。</w:t>
            </w:r>
          </w:p>
        </w:tc>
        <w:tc>
          <w:tcPr>
            <w:tcW w:w="3064" w:type="dxa"/>
            <w:gridSpan w:val="2"/>
            <w:tcBorders>
              <w:tl2br w:val="nil"/>
              <w:tr2bl w:val="nil"/>
            </w:tcBorders>
            <w:vAlign w:val="center"/>
          </w:tcPr>
          <w:p w14:paraId="014E1E8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s="Times New Roman"/>
                <w:color w:val="auto"/>
                <w:kern w:val="0"/>
                <w:sz w:val="13"/>
                <w:szCs w:val="13"/>
                <w:highlight w:val="none"/>
              </w:rPr>
            </w:pPr>
          </w:p>
          <w:p w14:paraId="2862E72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责令停止销售活动，处7.5万元以上10万元以下罚款。</w:t>
            </w:r>
          </w:p>
          <w:p w14:paraId="4D1A75DA">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3862" w:firstLineChars="2959"/>
              <w:textAlignment w:val="center"/>
              <w:rPr>
                <w:rFonts w:ascii="仿宋_GB2312" w:hAnsi="宋体" w:eastAsia="仿宋_GB2312"/>
                <w:b/>
                <w:color w:val="auto"/>
                <w:kern w:val="0"/>
                <w:sz w:val="13"/>
                <w:szCs w:val="13"/>
                <w:highlight w:val="none"/>
              </w:rPr>
            </w:pPr>
          </w:p>
        </w:tc>
      </w:tr>
      <w:tr w14:paraId="15FC7E2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0" w:hRule="atLeast"/>
          <w:jc w:val="center"/>
        </w:trPr>
        <w:tc>
          <w:tcPr>
            <w:tcW w:w="443" w:type="dxa"/>
            <w:gridSpan w:val="2"/>
            <w:vMerge w:val="restart"/>
            <w:tcBorders>
              <w:tl2br w:val="nil"/>
              <w:tr2bl w:val="nil"/>
            </w:tcBorders>
            <w:vAlign w:val="center"/>
          </w:tcPr>
          <w:p w14:paraId="7E2D7BF9">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olor w:val="auto"/>
                <w:kern w:val="0"/>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236</w:t>
            </w:r>
          </w:p>
        </w:tc>
        <w:tc>
          <w:tcPr>
            <w:tcW w:w="1550" w:type="dxa"/>
            <w:vMerge w:val="restart"/>
            <w:tcBorders>
              <w:tl2br w:val="nil"/>
              <w:tr2bl w:val="nil"/>
            </w:tcBorders>
            <w:vAlign w:val="center"/>
          </w:tcPr>
          <w:p w14:paraId="76C8090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在未解除商品房买卖合同前，将作为合同标的物的商品房再行销售给他人的</w:t>
            </w:r>
          </w:p>
          <w:p w14:paraId="3912048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Times New Roman"/>
                <w:color w:val="auto"/>
                <w:kern w:val="0"/>
                <w:sz w:val="13"/>
                <w:szCs w:val="13"/>
                <w:highlight w:val="none"/>
              </w:rPr>
            </w:pPr>
          </w:p>
        </w:tc>
        <w:tc>
          <w:tcPr>
            <w:tcW w:w="4820" w:type="dxa"/>
            <w:vMerge w:val="restart"/>
            <w:tcBorders>
              <w:tl2br w:val="nil"/>
              <w:tr2bl w:val="nil"/>
            </w:tcBorders>
            <w:vAlign w:val="center"/>
          </w:tcPr>
          <w:p w14:paraId="3AD7C16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《商品房销售管理办法》</w:t>
            </w:r>
            <w:r>
              <w:rPr>
                <w:rFonts w:hint="eastAsia" w:ascii="仿宋_GB2312" w:hAnsi="宋体" w:eastAsia="仿宋_GB2312" w:cs="Times New Roman"/>
                <w:b/>
                <w:bCs/>
                <w:color w:val="auto"/>
                <w:kern w:val="0"/>
                <w:sz w:val="13"/>
                <w:szCs w:val="13"/>
                <w:highlight w:val="none"/>
              </w:rPr>
              <w:t>第三十九条</w:t>
            </w:r>
            <w:r>
              <w:rPr>
                <w:rFonts w:hint="eastAsia" w:ascii="仿宋_GB2312" w:hAnsi="宋体" w:eastAsia="仿宋_GB2312" w:cs="Times New Roman"/>
                <w:b/>
                <w:bCs/>
                <w:color w:val="auto"/>
                <w:kern w:val="0"/>
                <w:sz w:val="13"/>
                <w:szCs w:val="13"/>
                <w:highlight w:val="none"/>
                <w:lang w:eastAsia="zh-CN"/>
              </w:rPr>
              <w:t>：</w:t>
            </w:r>
            <w:r>
              <w:rPr>
                <w:rFonts w:hint="eastAsia" w:ascii="仿宋_GB2312" w:hAnsi="宋体" w:eastAsia="仿宋_GB2312" w:cs="Times New Roman"/>
                <w:color w:val="auto"/>
                <w:kern w:val="0"/>
                <w:sz w:val="13"/>
                <w:szCs w:val="13"/>
                <w:highlight w:val="none"/>
              </w:rPr>
              <w:t>在未解除商品房买卖合同前，将作为合同标的物的商品房再行销售给他人的，处以警告，责令限期改正，并处2万元以上3万元以下罚款；构成犯罪的，依法追究刑事责任。</w:t>
            </w:r>
          </w:p>
          <w:p w14:paraId="7D59D57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1" w:firstLineChars="200"/>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b/>
                <w:bCs/>
                <w:color w:val="auto"/>
                <w:kern w:val="0"/>
                <w:sz w:val="13"/>
                <w:szCs w:val="13"/>
                <w:highlight w:val="none"/>
              </w:rPr>
              <w:t>第十条</w:t>
            </w:r>
            <w:r>
              <w:rPr>
                <w:rFonts w:hint="eastAsia" w:ascii="仿宋_GB2312" w:hAnsi="宋体" w:eastAsia="仿宋_GB2312" w:cs="Times New Roman"/>
                <w:b/>
                <w:bCs/>
                <w:color w:val="auto"/>
                <w:kern w:val="0"/>
                <w:sz w:val="13"/>
                <w:szCs w:val="13"/>
                <w:highlight w:val="none"/>
                <w:lang w:eastAsia="zh-CN"/>
              </w:rPr>
              <w:t>：</w:t>
            </w:r>
            <w:r>
              <w:rPr>
                <w:rFonts w:hint="eastAsia" w:ascii="仿宋_GB2312" w:hAnsi="宋体" w:eastAsia="仿宋_GB2312" w:cs="Times New Roman"/>
                <w:color w:val="auto"/>
                <w:kern w:val="0"/>
                <w:sz w:val="13"/>
                <w:szCs w:val="13"/>
                <w:highlight w:val="none"/>
              </w:rPr>
              <w:t>房地产开发企业不得在未解除商品房买卖合同前，将作为合同标的物的商品房再行销售给他人。</w:t>
            </w:r>
          </w:p>
          <w:p w14:paraId="2896D5D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olor w:val="auto"/>
                <w:kern w:val="0"/>
                <w:sz w:val="13"/>
                <w:szCs w:val="13"/>
                <w:highlight w:val="none"/>
              </w:rPr>
            </w:pPr>
          </w:p>
          <w:p w14:paraId="47C58B5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olor w:val="auto"/>
                <w:kern w:val="0"/>
                <w:sz w:val="13"/>
                <w:szCs w:val="13"/>
                <w:highlight w:val="none"/>
              </w:rPr>
            </w:pPr>
          </w:p>
        </w:tc>
        <w:tc>
          <w:tcPr>
            <w:tcW w:w="823" w:type="dxa"/>
            <w:tcBorders>
              <w:tl2br w:val="nil"/>
              <w:tr2bl w:val="nil"/>
            </w:tcBorders>
            <w:vAlign w:val="center"/>
          </w:tcPr>
          <w:p w14:paraId="79B55B8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s="Times New Roman"/>
                <w:color w:val="auto"/>
                <w:kern w:val="0"/>
                <w:sz w:val="13"/>
                <w:szCs w:val="13"/>
                <w:highlight w:val="none"/>
                <w:lang w:eastAsia="zh-CN"/>
              </w:rPr>
              <w:t>从轻情节</w:t>
            </w:r>
          </w:p>
        </w:tc>
        <w:tc>
          <w:tcPr>
            <w:tcW w:w="3437" w:type="dxa"/>
            <w:gridSpan w:val="2"/>
            <w:tcBorders>
              <w:tl2br w:val="nil"/>
              <w:tr2bl w:val="nil"/>
            </w:tcBorders>
            <w:vAlign w:val="center"/>
          </w:tcPr>
          <w:p w14:paraId="495223F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初次违法，危害后果轻微，主动采取措施消除或减轻违法行为危害后果。</w:t>
            </w:r>
          </w:p>
        </w:tc>
        <w:tc>
          <w:tcPr>
            <w:tcW w:w="3064" w:type="dxa"/>
            <w:gridSpan w:val="2"/>
            <w:tcBorders>
              <w:tl2br w:val="nil"/>
              <w:tr2bl w:val="nil"/>
            </w:tcBorders>
            <w:vAlign w:val="center"/>
          </w:tcPr>
          <w:p w14:paraId="6ABBB4F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警告，责令限期改正，并处2万元罚款。</w:t>
            </w:r>
          </w:p>
        </w:tc>
      </w:tr>
      <w:tr w14:paraId="2E8E182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0" w:hRule="atLeast"/>
          <w:jc w:val="center"/>
        </w:trPr>
        <w:tc>
          <w:tcPr>
            <w:tcW w:w="443" w:type="dxa"/>
            <w:gridSpan w:val="2"/>
            <w:vMerge w:val="continue"/>
            <w:tcBorders>
              <w:tl2br w:val="nil"/>
              <w:tr2bl w:val="nil"/>
            </w:tcBorders>
            <w:vAlign w:val="center"/>
          </w:tcPr>
          <w:p w14:paraId="10AFD6C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olor w:val="auto"/>
                <w:sz w:val="13"/>
                <w:szCs w:val="13"/>
                <w:highlight w:val="none"/>
              </w:rPr>
            </w:pPr>
          </w:p>
        </w:tc>
        <w:tc>
          <w:tcPr>
            <w:tcW w:w="1550" w:type="dxa"/>
            <w:vMerge w:val="continue"/>
            <w:tcBorders>
              <w:tl2br w:val="nil"/>
              <w:tr2bl w:val="nil"/>
            </w:tcBorders>
            <w:vAlign w:val="center"/>
          </w:tcPr>
          <w:p w14:paraId="43A3305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650BD85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olor w:val="auto"/>
                <w:kern w:val="0"/>
                <w:sz w:val="13"/>
                <w:szCs w:val="13"/>
                <w:highlight w:val="none"/>
              </w:rPr>
            </w:pPr>
          </w:p>
        </w:tc>
        <w:tc>
          <w:tcPr>
            <w:tcW w:w="823" w:type="dxa"/>
            <w:tcBorders>
              <w:tl2br w:val="nil"/>
              <w:tr2bl w:val="nil"/>
            </w:tcBorders>
            <w:vAlign w:val="center"/>
          </w:tcPr>
          <w:p w14:paraId="27C3A00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s="Times New Roman"/>
                <w:color w:val="auto"/>
                <w:kern w:val="0"/>
                <w:sz w:val="13"/>
                <w:szCs w:val="13"/>
                <w:highlight w:val="none"/>
                <w:lang w:eastAsia="zh-CN"/>
              </w:rPr>
              <w:t>一般情节</w:t>
            </w:r>
          </w:p>
        </w:tc>
        <w:tc>
          <w:tcPr>
            <w:tcW w:w="3437" w:type="dxa"/>
            <w:gridSpan w:val="2"/>
            <w:tcBorders>
              <w:tl2br w:val="nil"/>
              <w:tr2bl w:val="nil"/>
            </w:tcBorders>
            <w:vAlign w:val="center"/>
          </w:tcPr>
          <w:p w14:paraId="57D6D4A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实施违法行为，造成不良社会影响，不具有从轻、</w:t>
            </w:r>
            <w:r>
              <w:rPr>
                <w:rFonts w:hint="eastAsia" w:ascii="仿宋_GB2312" w:hAnsi="宋体" w:eastAsia="仿宋_GB2312" w:cs="Times New Roman"/>
                <w:color w:val="auto"/>
                <w:kern w:val="0"/>
                <w:sz w:val="13"/>
                <w:szCs w:val="13"/>
                <w:highlight w:val="none"/>
                <w:lang w:eastAsia="zh-CN"/>
              </w:rPr>
              <w:t>从重情节</w:t>
            </w:r>
            <w:r>
              <w:rPr>
                <w:rFonts w:hint="eastAsia" w:ascii="仿宋_GB2312" w:hAnsi="宋体" w:eastAsia="仿宋_GB2312" w:cs="Times New Roman"/>
                <w:color w:val="auto"/>
                <w:kern w:val="0"/>
                <w:sz w:val="13"/>
                <w:szCs w:val="13"/>
                <w:highlight w:val="none"/>
              </w:rPr>
              <w:t>的。</w:t>
            </w:r>
          </w:p>
        </w:tc>
        <w:tc>
          <w:tcPr>
            <w:tcW w:w="3064" w:type="dxa"/>
            <w:gridSpan w:val="2"/>
            <w:tcBorders>
              <w:tl2br w:val="nil"/>
              <w:tr2bl w:val="nil"/>
            </w:tcBorders>
            <w:vAlign w:val="center"/>
          </w:tcPr>
          <w:p w14:paraId="3138618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警告，责令限期改正，并处2万元以上2.5万元以下罚款。</w:t>
            </w:r>
          </w:p>
        </w:tc>
      </w:tr>
      <w:tr w14:paraId="1E02969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6" w:hRule="atLeast"/>
          <w:jc w:val="center"/>
        </w:trPr>
        <w:tc>
          <w:tcPr>
            <w:tcW w:w="443" w:type="dxa"/>
            <w:gridSpan w:val="2"/>
            <w:vMerge w:val="continue"/>
            <w:tcBorders>
              <w:tl2br w:val="nil"/>
              <w:tr2bl w:val="nil"/>
            </w:tcBorders>
            <w:vAlign w:val="center"/>
          </w:tcPr>
          <w:p w14:paraId="5A7754AF">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3862" w:firstLineChars="2959"/>
              <w:jc w:val="center"/>
              <w:textAlignment w:val="center"/>
              <w:rPr>
                <w:rFonts w:ascii="仿宋_GB2312" w:hAnsi="宋体" w:eastAsia="仿宋_GB2312"/>
                <w:b/>
                <w:color w:val="auto"/>
                <w:kern w:val="0"/>
                <w:sz w:val="13"/>
                <w:szCs w:val="13"/>
                <w:highlight w:val="none"/>
              </w:rPr>
            </w:pPr>
          </w:p>
        </w:tc>
        <w:tc>
          <w:tcPr>
            <w:tcW w:w="1550" w:type="dxa"/>
            <w:vMerge w:val="continue"/>
            <w:tcBorders>
              <w:tl2br w:val="nil"/>
              <w:tr2bl w:val="nil"/>
            </w:tcBorders>
            <w:vAlign w:val="center"/>
          </w:tcPr>
          <w:p w14:paraId="12D1EE2A">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3862" w:firstLineChars="2959"/>
              <w:textAlignment w:val="center"/>
              <w:rPr>
                <w:rFonts w:ascii="仿宋_GB2312" w:hAnsi="宋体" w:eastAsia="仿宋_GB2312"/>
                <w:b/>
                <w:color w:val="auto"/>
                <w:kern w:val="0"/>
                <w:sz w:val="13"/>
                <w:szCs w:val="13"/>
                <w:highlight w:val="none"/>
              </w:rPr>
            </w:pPr>
          </w:p>
        </w:tc>
        <w:tc>
          <w:tcPr>
            <w:tcW w:w="4820" w:type="dxa"/>
            <w:vMerge w:val="continue"/>
            <w:tcBorders>
              <w:tl2br w:val="nil"/>
              <w:tr2bl w:val="nil"/>
            </w:tcBorders>
            <w:vAlign w:val="center"/>
          </w:tcPr>
          <w:p w14:paraId="5858CFE2">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3862" w:firstLineChars="2959"/>
              <w:textAlignment w:val="center"/>
              <w:rPr>
                <w:rFonts w:ascii="仿宋_GB2312" w:hAnsi="宋体" w:eastAsia="仿宋_GB2312"/>
                <w:b/>
                <w:color w:val="auto"/>
                <w:kern w:val="0"/>
                <w:sz w:val="13"/>
                <w:szCs w:val="13"/>
                <w:highlight w:val="none"/>
              </w:rPr>
            </w:pPr>
          </w:p>
        </w:tc>
        <w:tc>
          <w:tcPr>
            <w:tcW w:w="823" w:type="dxa"/>
            <w:tcBorders>
              <w:tl2br w:val="nil"/>
              <w:tr2bl w:val="nil"/>
            </w:tcBorders>
            <w:vAlign w:val="center"/>
          </w:tcPr>
          <w:p w14:paraId="252A1AE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s="Times New Roman"/>
                <w:color w:val="auto"/>
                <w:kern w:val="0"/>
                <w:sz w:val="13"/>
                <w:szCs w:val="13"/>
                <w:highlight w:val="none"/>
                <w:lang w:eastAsia="zh-CN"/>
              </w:rPr>
              <w:t>从重情节</w:t>
            </w:r>
          </w:p>
        </w:tc>
        <w:tc>
          <w:tcPr>
            <w:tcW w:w="3437" w:type="dxa"/>
            <w:gridSpan w:val="2"/>
            <w:tcBorders>
              <w:tl2br w:val="nil"/>
              <w:tr2bl w:val="nil"/>
            </w:tcBorders>
            <w:vAlign w:val="center"/>
          </w:tcPr>
          <w:p w14:paraId="1505885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lang w:val="en-US" w:eastAsia="zh-CN"/>
              </w:rPr>
              <w:t>有下列情形之一的：</w:t>
            </w:r>
            <w:r>
              <w:rPr>
                <w:rFonts w:hint="eastAsia" w:ascii="仿宋_GB2312" w:hAnsi="宋体" w:eastAsia="仿宋_GB2312" w:cs="Times New Roman"/>
                <w:color w:val="auto"/>
                <w:kern w:val="0"/>
                <w:sz w:val="13"/>
                <w:szCs w:val="13"/>
                <w:highlight w:val="none"/>
              </w:rPr>
              <w:t>（1）经责令停止违法行为后，继续实施违法行为的；（2）2年内2次及以上同类型违法；（3）足以影响房地产市场秩序和社会稳定的。</w:t>
            </w:r>
          </w:p>
        </w:tc>
        <w:tc>
          <w:tcPr>
            <w:tcW w:w="3064" w:type="dxa"/>
            <w:gridSpan w:val="2"/>
            <w:tcBorders>
              <w:tl2br w:val="nil"/>
              <w:tr2bl w:val="nil"/>
            </w:tcBorders>
            <w:vAlign w:val="center"/>
          </w:tcPr>
          <w:p w14:paraId="4A70D68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警告，责令限期改正，并处2.5万元以上3万元以下罚款。</w:t>
            </w:r>
          </w:p>
        </w:tc>
      </w:tr>
      <w:tr w14:paraId="7B05408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0" w:hRule="atLeast"/>
          <w:jc w:val="center"/>
        </w:trPr>
        <w:tc>
          <w:tcPr>
            <w:tcW w:w="443" w:type="dxa"/>
            <w:gridSpan w:val="2"/>
            <w:vMerge w:val="restart"/>
            <w:tcBorders>
              <w:tl2br w:val="nil"/>
              <w:tr2bl w:val="nil"/>
            </w:tcBorders>
            <w:vAlign w:val="center"/>
          </w:tcPr>
          <w:p w14:paraId="326ADF1D">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237</w:t>
            </w:r>
          </w:p>
        </w:tc>
        <w:tc>
          <w:tcPr>
            <w:tcW w:w="1550" w:type="dxa"/>
            <w:vMerge w:val="restart"/>
            <w:tcBorders>
              <w:tl2br w:val="nil"/>
              <w:tr2bl w:val="nil"/>
            </w:tcBorders>
            <w:vAlign w:val="center"/>
          </w:tcPr>
          <w:p w14:paraId="4124EA0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房地产中介服务机构代理销售不符合销售条件的商品房的</w:t>
            </w:r>
          </w:p>
          <w:p w14:paraId="5AF3CB4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p>
        </w:tc>
        <w:tc>
          <w:tcPr>
            <w:tcW w:w="4820" w:type="dxa"/>
            <w:vMerge w:val="restart"/>
            <w:tcBorders>
              <w:tl2br w:val="nil"/>
              <w:tr2bl w:val="nil"/>
            </w:tcBorders>
            <w:vAlign w:val="center"/>
          </w:tcPr>
          <w:p w14:paraId="36BF092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hint="eastAsia"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《商品房销售管理办法》</w:t>
            </w:r>
            <w:r>
              <w:rPr>
                <w:rFonts w:hint="eastAsia" w:ascii="仿宋_GB2312" w:hAnsi="宋体" w:eastAsia="仿宋_GB2312" w:cs="Times New Roman"/>
                <w:b/>
                <w:bCs/>
                <w:color w:val="auto"/>
                <w:kern w:val="0"/>
                <w:sz w:val="13"/>
                <w:szCs w:val="13"/>
                <w:highlight w:val="none"/>
              </w:rPr>
              <w:t>第四十三条</w:t>
            </w:r>
            <w:r>
              <w:rPr>
                <w:rFonts w:hint="eastAsia" w:ascii="仿宋_GB2312" w:hAnsi="宋体" w:eastAsia="仿宋_GB2312" w:cs="Times New Roman"/>
                <w:b/>
                <w:bCs/>
                <w:color w:val="auto"/>
                <w:kern w:val="0"/>
                <w:sz w:val="13"/>
                <w:szCs w:val="13"/>
                <w:highlight w:val="none"/>
                <w:lang w:eastAsia="zh-CN"/>
              </w:rPr>
              <w:t>：</w:t>
            </w:r>
            <w:r>
              <w:rPr>
                <w:rFonts w:hint="eastAsia" w:ascii="仿宋_GB2312" w:hAnsi="宋体" w:eastAsia="仿宋_GB2312" w:cs="Times New Roman"/>
                <w:color w:val="auto"/>
                <w:kern w:val="0"/>
                <w:sz w:val="13"/>
                <w:szCs w:val="13"/>
                <w:highlight w:val="none"/>
              </w:rPr>
              <w:t>房地产中介服务机构代理销售不符合销售条件的商品房的,处以警告，责令停止销售，并可处以2万元以上3万元以下罚款。</w:t>
            </w:r>
          </w:p>
          <w:p w14:paraId="395D17C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b/>
                <w:bCs/>
                <w:color w:val="auto"/>
                <w:kern w:val="0"/>
                <w:sz w:val="13"/>
                <w:szCs w:val="13"/>
                <w:highlight w:val="none"/>
              </w:rPr>
              <w:t>第二十七条第二款</w:t>
            </w:r>
            <w:r>
              <w:rPr>
                <w:rFonts w:hint="eastAsia" w:ascii="仿宋_GB2312" w:hAnsi="宋体" w:eastAsia="仿宋_GB2312" w:cs="Times New Roman"/>
                <w:b/>
                <w:bCs/>
                <w:color w:val="auto"/>
                <w:kern w:val="0"/>
                <w:sz w:val="13"/>
                <w:szCs w:val="13"/>
                <w:highlight w:val="none"/>
                <w:lang w:eastAsia="zh-CN"/>
              </w:rPr>
              <w:t>：</w:t>
            </w:r>
            <w:r>
              <w:rPr>
                <w:rFonts w:ascii="仿宋_GB2312" w:hAnsi="宋体" w:eastAsia="仿宋_GB2312" w:cs="Times New Roman"/>
                <w:color w:val="auto"/>
                <w:kern w:val="0"/>
                <w:sz w:val="13"/>
                <w:szCs w:val="13"/>
                <w:highlight w:val="none"/>
              </w:rPr>
              <w:t>受托房地产中介服务机构不得代理销售不符合销售条件的商品房。</w:t>
            </w:r>
          </w:p>
          <w:p w14:paraId="3981664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hint="eastAsia" w:ascii="仿宋_GB2312" w:hAnsi="宋体" w:eastAsia="仿宋_GB2312" w:cs="Times New Roman"/>
                <w:color w:val="auto"/>
                <w:kern w:val="0"/>
                <w:sz w:val="13"/>
                <w:szCs w:val="13"/>
                <w:highlight w:val="none"/>
              </w:rPr>
            </w:pPr>
          </w:p>
          <w:p w14:paraId="65B57B8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p w14:paraId="597DD90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823" w:type="dxa"/>
            <w:tcBorders>
              <w:tl2br w:val="nil"/>
              <w:tr2bl w:val="nil"/>
            </w:tcBorders>
            <w:vAlign w:val="center"/>
          </w:tcPr>
          <w:p w14:paraId="0EF5E80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s="Times New Roman"/>
                <w:color w:val="auto"/>
                <w:kern w:val="0"/>
                <w:sz w:val="13"/>
                <w:szCs w:val="13"/>
                <w:highlight w:val="none"/>
                <w:lang w:eastAsia="zh-CN"/>
              </w:rPr>
              <w:t>从轻情节</w:t>
            </w:r>
          </w:p>
        </w:tc>
        <w:tc>
          <w:tcPr>
            <w:tcW w:w="3437" w:type="dxa"/>
            <w:gridSpan w:val="2"/>
            <w:tcBorders>
              <w:tl2br w:val="nil"/>
              <w:tr2bl w:val="nil"/>
            </w:tcBorders>
            <w:vAlign w:val="center"/>
          </w:tcPr>
          <w:p w14:paraId="3A89013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代理销售不符合销售条件的商品房的，销售数量在3套以下的。</w:t>
            </w:r>
          </w:p>
        </w:tc>
        <w:tc>
          <w:tcPr>
            <w:tcW w:w="3064" w:type="dxa"/>
            <w:gridSpan w:val="2"/>
            <w:tcBorders>
              <w:tl2br w:val="nil"/>
              <w:tr2bl w:val="nil"/>
            </w:tcBorders>
            <w:vAlign w:val="center"/>
          </w:tcPr>
          <w:p w14:paraId="4B3BE64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jc w:val="left"/>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警告，责令停止销售，并可处2万元罚款。</w:t>
            </w:r>
          </w:p>
        </w:tc>
      </w:tr>
      <w:tr w14:paraId="150F4B8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0" w:hRule="atLeast"/>
          <w:jc w:val="center"/>
        </w:trPr>
        <w:tc>
          <w:tcPr>
            <w:tcW w:w="443" w:type="dxa"/>
            <w:gridSpan w:val="2"/>
            <w:vMerge w:val="continue"/>
            <w:tcBorders>
              <w:tl2br w:val="nil"/>
              <w:tr2bl w:val="nil"/>
            </w:tcBorders>
            <w:vAlign w:val="center"/>
          </w:tcPr>
          <w:p w14:paraId="54C0C36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olor w:val="auto"/>
                <w:kern w:val="0"/>
                <w:sz w:val="13"/>
                <w:szCs w:val="13"/>
                <w:highlight w:val="none"/>
              </w:rPr>
            </w:pPr>
          </w:p>
        </w:tc>
        <w:tc>
          <w:tcPr>
            <w:tcW w:w="1550" w:type="dxa"/>
            <w:vMerge w:val="continue"/>
            <w:tcBorders>
              <w:tl2br w:val="nil"/>
              <w:tr2bl w:val="nil"/>
            </w:tcBorders>
            <w:vAlign w:val="center"/>
          </w:tcPr>
          <w:p w14:paraId="472C24F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s="Times New Roman"/>
                <w:color w:val="auto"/>
                <w:kern w:val="0"/>
                <w:sz w:val="13"/>
                <w:szCs w:val="13"/>
                <w:highlight w:val="none"/>
              </w:rPr>
            </w:pPr>
          </w:p>
        </w:tc>
        <w:tc>
          <w:tcPr>
            <w:tcW w:w="4820" w:type="dxa"/>
            <w:vMerge w:val="continue"/>
            <w:tcBorders>
              <w:tl2br w:val="nil"/>
              <w:tr2bl w:val="nil"/>
            </w:tcBorders>
            <w:vAlign w:val="center"/>
          </w:tcPr>
          <w:p w14:paraId="087E563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823" w:type="dxa"/>
            <w:tcBorders>
              <w:tl2br w:val="nil"/>
              <w:tr2bl w:val="nil"/>
            </w:tcBorders>
            <w:vAlign w:val="center"/>
          </w:tcPr>
          <w:p w14:paraId="01BBEDE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s="Times New Roman"/>
                <w:color w:val="auto"/>
                <w:kern w:val="0"/>
                <w:sz w:val="13"/>
                <w:szCs w:val="13"/>
                <w:highlight w:val="none"/>
                <w:lang w:eastAsia="zh-CN"/>
              </w:rPr>
              <w:t>一般情节</w:t>
            </w:r>
          </w:p>
        </w:tc>
        <w:tc>
          <w:tcPr>
            <w:tcW w:w="3437" w:type="dxa"/>
            <w:gridSpan w:val="2"/>
            <w:tcBorders>
              <w:tl2br w:val="nil"/>
              <w:tr2bl w:val="nil"/>
            </w:tcBorders>
            <w:vAlign w:val="center"/>
          </w:tcPr>
          <w:p w14:paraId="767EDAE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代理销售不符合销售条件的商品房的，销售数量在3套以上5套以下的。</w:t>
            </w:r>
          </w:p>
        </w:tc>
        <w:tc>
          <w:tcPr>
            <w:tcW w:w="3064" w:type="dxa"/>
            <w:gridSpan w:val="2"/>
            <w:tcBorders>
              <w:tl2br w:val="nil"/>
              <w:tr2bl w:val="nil"/>
            </w:tcBorders>
            <w:vAlign w:val="center"/>
          </w:tcPr>
          <w:p w14:paraId="5CCB08A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jc w:val="left"/>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警告，责令停止销售，并可处2万元以上2.5万元以下罚款。</w:t>
            </w:r>
          </w:p>
        </w:tc>
      </w:tr>
      <w:tr w14:paraId="7081AD9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6" w:hRule="atLeast"/>
          <w:jc w:val="center"/>
        </w:trPr>
        <w:tc>
          <w:tcPr>
            <w:tcW w:w="443" w:type="dxa"/>
            <w:gridSpan w:val="2"/>
            <w:vMerge w:val="continue"/>
            <w:tcBorders>
              <w:tl2br w:val="nil"/>
              <w:tr2bl w:val="nil"/>
            </w:tcBorders>
            <w:vAlign w:val="center"/>
          </w:tcPr>
          <w:p w14:paraId="1E1FEA0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olor w:val="auto"/>
                <w:kern w:val="0"/>
                <w:sz w:val="13"/>
                <w:szCs w:val="13"/>
                <w:highlight w:val="none"/>
              </w:rPr>
            </w:pPr>
          </w:p>
        </w:tc>
        <w:tc>
          <w:tcPr>
            <w:tcW w:w="1550" w:type="dxa"/>
            <w:vMerge w:val="continue"/>
            <w:tcBorders>
              <w:tl2br w:val="nil"/>
              <w:tr2bl w:val="nil"/>
            </w:tcBorders>
            <w:vAlign w:val="center"/>
          </w:tcPr>
          <w:p w14:paraId="3CDAEAA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s="Times New Roman"/>
                <w:color w:val="auto"/>
                <w:kern w:val="0"/>
                <w:sz w:val="13"/>
                <w:szCs w:val="13"/>
                <w:highlight w:val="none"/>
              </w:rPr>
            </w:pPr>
          </w:p>
        </w:tc>
        <w:tc>
          <w:tcPr>
            <w:tcW w:w="4820" w:type="dxa"/>
            <w:vMerge w:val="continue"/>
            <w:tcBorders>
              <w:tl2br w:val="nil"/>
              <w:tr2bl w:val="nil"/>
            </w:tcBorders>
            <w:vAlign w:val="center"/>
          </w:tcPr>
          <w:p w14:paraId="5FFD315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823" w:type="dxa"/>
            <w:tcBorders>
              <w:tl2br w:val="nil"/>
              <w:tr2bl w:val="nil"/>
            </w:tcBorders>
            <w:vAlign w:val="center"/>
          </w:tcPr>
          <w:p w14:paraId="2B71B03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s="Times New Roman"/>
                <w:color w:val="auto"/>
                <w:kern w:val="0"/>
                <w:sz w:val="13"/>
                <w:szCs w:val="13"/>
                <w:highlight w:val="none"/>
                <w:lang w:eastAsia="zh-CN"/>
              </w:rPr>
              <w:t>从重情节</w:t>
            </w:r>
          </w:p>
        </w:tc>
        <w:tc>
          <w:tcPr>
            <w:tcW w:w="3437" w:type="dxa"/>
            <w:gridSpan w:val="2"/>
            <w:tcBorders>
              <w:tl2br w:val="nil"/>
              <w:tr2bl w:val="nil"/>
            </w:tcBorders>
            <w:vAlign w:val="center"/>
          </w:tcPr>
          <w:p w14:paraId="17023EB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lang w:val="en-US" w:eastAsia="zh-CN"/>
              </w:rPr>
              <w:t>有下列情形之一的：</w:t>
            </w:r>
            <w:r>
              <w:rPr>
                <w:rFonts w:hint="eastAsia" w:ascii="仿宋_GB2312" w:hAnsi="宋体" w:eastAsia="仿宋_GB2312" w:cs="Times New Roman"/>
                <w:color w:val="auto"/>
                <w:kern w:val="0"/>
                <w:sz w:val="13"/>
                <w:szCs w:val="13"/>
                <w:highlight w:val="none"/>
              </w:rPr>
              <w:t>（1）经责令停止违法行为后，继续实施违法行为的；（2）销售数量在5套以上；（3）足以影响房地产市场秩序和社会稳定的。</w:t>
            </w:r>
          </w:p>
        </w:tc>
        <w:tc>
          <w:tcPr>
            <w:tcW w:w="3064" w:type="dxa"/>
            <w:gridSpan w:val="2"/>
            <w:tcBorders>
              <w:tl2br w:val="nil"/>
              <w:tr2bl w:val="nil"/>
            </w:tcBorders>
            <w:vAlign w:val="center"/>
          </w:tcPr>
          <w:p w14:paraId="3F94F86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jc w:val="left"/>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警告，责令停止销售，并可处2.5万元以上3万元以下罚款。</w:t>
            </w:r>
          </w:p>
        </w:tc>
      </w:tr>
      <w:tr w14:paraId="1F8D252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9" w:hRule="atLeast"/>
          <w:jc w:val="center"/>
        </w:trPr>
        <w:tc>
          <w:tcPr>
            <w:tcW w:w="443" w:type="dxa"/>
            <w:gridSpan w:val="2"/>
            <w:vMerge w:val="restart"/>
            <w:tcBorders>
              <w:tl2br w:val="nil"/>
              <w:tr2bl w:val="nil"/>
            </w:tcBorders>
            <w:tcMar>
              <w:top w:w="15" w:type="dxa"/>
              <w:left w:w="15" w:type="dxa"/>
              <w:bottom w:w="15" w:type="dxa"/>
              <w:right w:w="15" w:type="dxa"/>
            </w:tcMar>
            <w:vAlign w:val="center"/>
          </w:tcPr>
          <w:p w14:paraId="5F0006B3">
            <w:pPr>
              <w:keepNext w:val="0"/>
              <w:keepLines w:val="0"/>
              <w:pageBreakBefore w:val="0"/>
              <w:widowControl/>
              <w:numPr>
                <w:ilvl w:val="0"/>
                <w:numId w:val="5"/>
              </w:numPr>
              <w:suppressLineNumbers w:val="0"/>
              <w:tabs>
                <w:tab w:val="clear" w:pos="397"/>
              </w:tabs>
              <w:kinsoku/>
              <w:overflowPunct/>
              <w:topLinePunct w:val="0"/>
              <w:autoSpaceDE/>
              <w:autoSpaceDN/>
              <w:bidi w:val="0"/>
              <w:adjustRightInd/>
              <w:snapToGrid/>
              <w:spacing w:beforeAutospacing="0" w:afterAutospacing="0" w:line="260" w:lineRule="exact"/>
              <w:ind w:left="638" w:leftChars="88" w:right="0" w:rightChars="0" w:hanging="453" w:hangingChars="349"/>
              <w:jc w:val="center"/>
              <w:textAlignment w:val="center"/>
              <w:rPr>
                <w:rFonts w:hint="default" w:ascii="仿宋_GB2312" w:hAnsi="宋体" w:eastAsia="仿宋_GB2312"/>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237</w:t>
            </w:r>
          </w:p>
        </w:tc>
        <w:tc>
          <w:tcPr>
            <w:tcW w:w="1550" w:type="dxa"/>
            <w:vMerge w:val="restart"/>
            <w:tcBorders>
              <w:tl2br w:val="nil"/>
              <w:tr2bl w:val="nil"/>
            </w:tcBorders>
            <w:tcMar>
              <w:top w:w="15" w:type="dxa"/>
              <w:left w:w="15" w:type="dxa"/>
              <w:bottom w:w="15" w:type="dxa"/>
              <w:right w:w="15" w:type="dxa"/>
            </w:tcMar>
            <w:vAlign w:val="center"/>
          </w:tcPr>
          <w:p w14:paraId="388B338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房产开发企业未按规定将测绘成果或者需要其提供的办理房屋权属登记的资料送房产行政主管部门的</w:t>
            </w:r>
          </w:p>
        </w:tc>
        <w:tc>
          <w:tcPr>
            <w:tcW w:w="4820" w:type="dxa"/>
            <w:vMerge w:val="restart"/>
            <w:tcBorders>
              <w:tl2br w:val="nil"/>
              <w:tr2bl w:val="nil"/>
            </w:tcBorders>
            <w:tcMar>
              <w:top w:w="15" w:type="dxa"/>
              <w:left w:w="15" w:type="dxa"/>
              <w:bottom w:w="15" w:type="dxa"/>
              <w:right w:w="15" w:type="dxa"/>
            </w:tcMar>
            <w:vAlign w:val="center"/>
          </w:tcPr>
          <w:p w14:paraId="73CE4ED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《商品房销售管理办法》</w:t>
            </w:r>
            <w:r>
              <w:rPr>
                <w:rFonts w:hint="eastAsia" w:ascii="仿宋_GB2312" w:hAnsi="宋体" w:eastAsia="仿宋_GB2312" w:cs="Times New Roman"/>
                <w:b/>
                <w:bCs/>
                <w:color w:val="auto"/>
                <w:kern w:val="0"/>
                <w:sz w:val="13"/>
                <w:szCs w:val="13"/>
                <w:highlight w:val="none"/>
              </w:rPr>
              <w:t>第四十一条</w:t>
            </w:r>
            <w:r>
              <w:rPr>
                <w:rFonts w:hint="eastAsia" w:ascii="仿宋_GB2312" w:hAnsi="宋体" w:eastAsia="仿宋_GB2312" w:cs="Times New Roman"/>
                <w:b/>
                <w:bCs/>
                <w:color w:val="auto"/>
                <w:kern w:val="0"/>
                <w:sz w:val="13"/>
                <w:szCs w:val="13"/>
                <w:highlight w:val="none"/>
                <w:lang w:eastAsia="zh-CN"/>
              </w:rPr>
              <w:t>：</w:t>
            </w:r>
            <w:r>
              <w:rPr>
                <w:rFonts w:hint="eastAsia" w:ascii="仿宋_GB2312" w:hAnsi="宋体" w:eastAsia="仿宋_GB2312" w:cs="Times New Roman"/>
                <w:color w:val="auto"/>
                <w:kern w:val="0"/>
                <w:sz w:val="13"/>
                <w:szCs w:val="13"/>
                <w:highlight w:val="none"/>
              </w:rPr>
              <w:t>房地产开发企业未按规定将测绘成果或者需要由其提供的办理房屋权属登记的资料报送房地产行政主管部门的，处以警告，责令限期改正，并可处以2万元以上3万元以下罚款。</w:t>
            </w:r>
          </w:p>
          <w:p w14:paraId="67805D7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1" w:firstLineChars="200"/>
              <w:jc w:val="left"/>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b/>
                <w:bCs/>
                <w:color w:val="auto"/>
                <w:kern w:val="0"/>
                <w:sz w:val="13"/>
                <w:szCs w:val="13"/>
                <w:highlight w:val="none"/>
              </w:rPr>
              <w:t>第三十四条</w:t>
            </w:r>
            <w:r>
              <w:rPr>
                <w:rFonts w:hint="eastAsia" w:ascii="仿宋_GB2312" w:hAnsi="宋体" w:eastAsia="仿宋_GB2312" w:cs="Times New Roman"/>
                <w:b/>
                <w:bCs/>
                <w:color w:val="auto"/>
                <w:kern w:val="0"/>
                <w:sz w:val="13"/>
                <w:szCs w:val="13"/>
                <w:highlight w:val="none"/>
                <w:lang w:val="en-US" w:eastAsia="zh-CN"/>
              </w:rPr>
              <w:t>第一、二款</w:t>
            </w:r>
            <w:r>
              <w:rPr>
                <w:rFonts w:hint="eastAsia" w:ascii="仿宋_GB2312" w:hAnsi="宋体" w:eastAsia="仿宋_GB2312" w:cs="Times New Roman"/>
                <w:b/>
                <w:bCs/>
                <w:color w:val="auto"/>
                <w:kern w:val="0"/>
                <w:sz w:val="13"/>
                <w:szCs w:val="13"/>
                <w:highlight w:val="none"/>
                <w:lang w:eastAsia="zh-CN"/>
              </w:rPr>
              <w:t>：</w:t>
            </w:r>
            <w:r>
              <w:rPr>
                <w:rFonts w:hint="eastAsia" w:ascii="仿宋_GB2312" w:hAnsi="宋体" w:eastAsia="仿宋_GB2312" w:cs="Times New Roman"/>
                <w:color w:val="auto"/>
                <w:kern w:val="0"/>
                <w:sz w:val="13"/>
                <w:szCs w:val="13"/>
                <w:highlight w:val="none"/>
              </w:rPr>
              <w:t>房地产开发企业应当在商品房交付使用前按项目委托具有房产测绘资格的单位实施测绘，测绘成果报房地产行政主管部门审核后用于房屋权属登记。</w:t>
            </w:r>
          </w:p>
          <w:p w14:paraId="10F1CD1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0" w:firstLineChars="2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房地产开发企业应当在商品房交付使用之日起60日内，将需要由其提供的办理房屋权属登记的资料报送房屋所在地房地产行政主管部门。</w:t>
            </w:r>
          </w:p>
        </w:tc>
        <w:tc>
          <w:tcPr>
            <w:tcW w:w="823" w:type="dxa"/>
            <w:tcBorders>
              <w:tl2br w:val="nil"/>
              <w:tr2bl w:val="nil"/>
            </w:tcBorders>
            <w:tcMar>
              <w:top w:w="15" w:type="dxa"/>
              <w:left w:w="15" w:type="dxa"/>
              <w:bottom w:w="15" w:type="dxa"/>
              <w:right w:w="15" w:type="dxa"/>
            </w:tcMar>
            <w:vAlign w:val="center"/>
          </w:tcPr>
          <w:p w14:paraId="6945374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s="Times New Roman"/>
                <w:color w:val="auto"/>
                <w:kern w:val="0"/>
                <w:sz w:val="13"/>
                <w:szCs w:val="13"/>
                <w:highlight w:val="none"/>
                <w:lang w:eastAsia="zh-CN"/>
              </w:rPr>
              <w:t>从轻情节</w:t>
            </w:r>
          </w:p>
        </w:tc>
        <w:tc>
          <w:tcPr>
            <w:tcW w:w="3437" w:type="dxa"/>
            <w:gridSpan w:val="2"/>
            <w:tcBorders>
              <w:tl2br w:val="nil"/>
              <w:tr2bl w:val="nil"/>
            </w:tcBorders>
            <w:tcMar>
              <w:top w:w="15" w:type="dxa"/>
              <w:left w:w="15" w:type="dxa"/>
              <w:bottom w:w="15" w:type="dxa"/>
              <w:right w:w="15" w:type="dxa"/>
            </w:tcMar>
            <w:vAlign w:val="center"/>
          </w:tcPr>
          <w:p w14:paraId="52DD65E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jc w:val="left"/>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初次违法，危害后果轻微，主动采取措施消除或减轻违法行为危害后果。</w:t>
            </w:r>
          </w:p>
        </w:tc>
        <w:tc>
          <w:tcPr>
            <w:tcW w:w="3064" w:type="dxa"/>
            <w:gridSpan w:val="2"/>
            <w:tcBorders>
              <w:tl2br w:val="nil"/>
              <w:tr2bl w:val="nil"/>
            </w:tcBorders>
            <w:tcMar>
              <w:top w:w="15" w:type="dxa"/>
              <w:left w:w="15" w:type="dxa"/>
              <w:bottom w:w="15" w:type="dxa"/>
              <w:right w:w="15" w:type="dxa"/>
            </w:tcMar>
            <w:vAlign w:val="center"/>
          </w:tcPr>
          <w:p w14:paraId="63E5E88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jc w:val="left"/>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警告，责令限期改正，并可处2万元罚款。</w:t>
            </w:r>
          </w:p>
        </w:tc>
      </w:tr>
      <w:tr w14:paraId="10A5235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9" w:hRule="atLeast"/>
          <w:jc w:val="center"/>
        </w:trPr>
        <w:tc>
          <w:tcPr>
            <w:tcW w:w="443" w:type="dxa"/>
            <w:gridSpan w:val="2"/>
            <w:vMerge w:val="continue"/>
            <w:tcBorders>
              <w:tl2br w:val="nil"/>
              <w:tr2bl w:val="nil"/>
            </w:tcBorders>
            <w:vAlign w:val="center"/>
          </w:tcPr>
          <w:p w14:paraId="0B651A5B">
            <w:pPr>
              <w:pStyle w:val="37"/>
              <w:keepNext w:val="0"/>
              <w:keepLines w:val="0"/>
              <w:pageBreakBefore w:val="0"/>
              <w:widowControl/>
              <w:numPr>
                <w:ilvl w:val="0"/>
                <w:numId w:val="4"/>
              </w:numPr>
              <w:kinsoku/>
              <w:overflowPunct/>
              <w:topLinePunct w:val="0"/>
              <w:autoSpaceDE/>
              <w:autoSpaceDN/>
              <w:bidi w:val="0"/>
              <w:adjustRightInd/>
              <w:snapToGrid/>
              <w:spacing w:beforeAutospacing="0" w:afterAutospacing="0" w:line="260" w:lineRule="exact"/>
              <w:ind w:left="638" w:leftChars="88" w:right="0" w:rightChars="0" w:hanging="453" w:hangingChars="349"/>
              <w:jc w:val="center"/>
              <w:rPr>
                <w:rFonts w:ascii="仿宋_GB2312" w:hAnsi="宋体" w:eastAsia="仿宋_GB2312"/>
                <w:color w:val="auto"/>
                <w:sz w:val="13"/>
                <w:szCs w:val="13"/>
                <w:highlight w:val="none"/>
              </w:rPr>
            </w:pPr>
          </w:p>
        </w:tc>
        <w:tc>
          <w:tcPr>
            <w:tcW w:w="1550" w:type="dxa"/>
            <w:vMerge w:val="continue"/>
            <w:tcBorders>
              <w:tl2br w:val="nil"/>
              <w:tr2bl w:val="nil"/>
            </w:tcBorders>
            <w:vAlign w:val="center"/>
          </w:tcPr>
          <w:p w14:paraId="073E9F1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413F8F3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56A1952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s="Times New Roman"/>
                <w:color w:val="auto"/>
                <w:kern w:val="0"/>
                <w:sz w:val="13"/>
                <w:szCs w:val="13"/>
                <w:highlight w:val="none"/>
                <w:lang w:eastAsia="zh-CN"/>
              </w:rPr>
              <w:t>一般情节</w:t>
            </w:r>
          </w:p>
        </w:tc>
        <w:tc>
          <w:tcPr>
            <w:tcW w:w="3437" w:type="dxa"/>
            <w:gridSpan w:val="2"/>
            <w:tcBorders>
              <w:tl2br w:val="nil"/>
              <w:tr2bl w:val="nil"/>
            </w:tcBorders>
            <w:tcMar>
              <w:top w:w="15" w:type="dxa"/>
              <w:left w:w="15" w:type="dxa"/>
              <w:bottom w:w="15" w:type="dxa"/>
              <w:right w:w="15" w:type="dxa"/>
            </w:tcMar>
            <w:vAlign w:val="center"/>
          </w:tcPr>
          <w:p w14:paraId="0D40573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jc w:val="left"/>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实施违法行为，造成不良社会影响，不具有从轻、</w:t>
            </w:r>
            <w:r>
              <w:rPr>
                <w:rFonts w:hint="eastAsia" w:ascii="仿宋_GB2312" w:hAnsi="宋体" w:eastAsia="仿宋_GB2312" w:cs="Times New Roman"/>
                <w:color w:val="auto"/>
                <w:kern w:val="0"/>
                <w:sz w:val="13"/>
                <w:szCs w:val="13"/>
                <w:highlight w:val="none"/>
                <w:lang w:eastAsia="zh-CN"/>
              </w:rPr>
              <w:t>从重情节</w:t>
            </w:r>
            <w:r>
              <w:rPr>
                <w:rFonts w:hint="eastAsia" w:ascii="仿宋_GB2312" w:hAnsi="宋体" w:eastAsia="仿宋_GB2312" w:cs="Times New Roman"/>
                <w:color w:val="auto"/>
                <w:kern w:val="0"/>
                <w:sz w:val="13"/>
                <w:szCs w:val="13"/>
                <w:highlight w:val="none"/>
              </w:rPr>
              <w:t>的。</w:t>
            </w:r>
          </w:p>
        </w:tc>
        <w:tc>
          <w:tcPr>
            <w:tcW w:w="3064" w:type="dxa"/>
            <w:gridSpan w:val="2"/>
            <w:tcBorders>
              <w:tl2br w:val="nil"/>
              <w:tr2bl w:val="nil"/>
            </w:tcBorders>
            <w:tcMar>
              <w:top w:w="15" w:type="dxa"/>
              <w:left w:w="15" w:type="dxa"/>
              <w:bottom w:w="15" w:type="dxa"/>
              <w:right w:w="15" w:type="dxa"/>
            </w:tcMar>
            <w:vAlign w:val="center"/>
          </w:tcPr>
          <w:p w14:paraId="62FD12F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jc w:val="left"/>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警告，责令限期改正，并可处2万元以上2.5万元以下罚款。</w:t>
            </w:r>
          </w:p>
        </w:tc>
      </w:tr>
      <w:tr w14:paraId="6D40961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5" w:hRule="atLeast"/>
          <w:jc w:val="center"/>
        </w:trPr>
        <w:tc>
          <w:tcPr>
            <w:tcW w:w="443" w:type="dxa"/>
            <w:gridSpan w:val="2"/>
            <w:vMerge w:val="continue"/>
            <w:tcBorders>
              <w:tl2br w:val="nil"/>
              <w:tr2bl w:val="nil"/>
            </w:tcBorders>
            <w:vAlign w:val="center"/>
          </w:tcPr>
          <w:p w14:paraId="0705FA59">
            <w:pPr>
              <w:pStyle w:val="37"/>
              <w:keepNext w:val="0"/>
              <w:keepLines w:val="0"/>
              <w:pageBreakBefore w:val="0"/>
              <w:widowControl/>
              <w:numPr>
                <w:ilvl w:val="0"/>
                <w:numId w:val="4"/>
              </w:numPr>
              <w:kinsoku/>
              <w:overflowPunct/>
              <w:topLinePunct w:val="0"/>
              <w:autoSpaceDE/>
              <w:autoSpaceDN/>
              <w:bidi w:val="0"/>
              <w:adjustRightInd/>
              <w:snapToGrid/>
              <w:spacing w:beforeAutospacing="0" w:afterAutospacing="0" w:line="260" w:lineRule="exact"/>
              <w:ind w:left="638" w:leftChars="88" w:right="0" w:rightChars="0" w:hanging="453" w:hangingChars="349"/>
              <w:jc w:val="center"/>
              <w:rPr>
                <w:rFonts w:ascii="仿宋_GB2312" w:hAnsi="宋体" w:eastAsia="仿宋_GB2312"/>
                <w:color w:val="auto"/>
                <w:sz w:val="13"/>
                <w:szCs w:val="13"/>
                <w:highlight w:val="none"/>
              </w:rPr>
            </w:pPr>
          </w:p>
        </w:tc>
        <w:tc>
          <w:tcPr>
            <w:tcW w:w="1550" w:type="dxa"/>
            <w:vMerge w:val="continue"/>
            <w:tcBorders>
              <w:tl2br w:val="nil"/>
              <w:tr2bl w:val="nil"/>
            </w:tcBorders>
            <w:vAlign w:val="center"/>
          </w:tcPr>
          <w:p w14:paraId="3F92620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4ECBDDD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0894C73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s="Times New Roman"/>
                <w:color w:val="auto"/>
                <w:kern w:val="0"/>
                <w:sz w:val="13"/>
                <w:szCs w:val="13"/>
                <w:highlight w:val="none"/>
                <w:lang w:eastAsia="zh-CN"/>
              </w:rPr>
              <w:t>从重情节</w:t>
            </w:r>
          </w:p>
        </w:tc>
        <w:tc>
          <w:tcPr>
            <w:tcW w:w="3437" w:type="dxa"/>
            <w:gridSpan w:val="2"/>
            <w:tcBorders>
              <w:tl2br w:val="nil"/>
              <w:tr2bl w:val="nil"/>
            </w:tcBorders>
            <w:tcMar>
              <w:top w:w="15" w:type="dxa"/>
              <w:left w:w="15" w:type="dxa"/>
              <w:bottom w:w="15" w:type="dxa"/>
              <w:right w:w="15" w:type="dxa"/>
            </w:tcMar>
            <w:vAlign w:val="center"/>
          </w:tcPr>
          <w:p w14:paraId="5DC303C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jc w:val="left"/>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lang w:val="en-US" w:eastAsia="zh-CN"/>
              </w:rPr>
              <w:t>有下列情形之一的：</w:t>
            </w:r>
            <w:r>
              <w:rPr>
                <w:rFonts w:hint="eastAsia" w:ascii="仿宋_GB2312" w:hAnsi="宋体" w:eastAsia="仿宋_GB2312" w:cs="Times New Roman"/>
                <w:color w:val="auto"/>
                <w:kern w:val="0"/>
                <w:sz w:val="13"/>
                <w:szCs w:val="13"/>
                <w:highlight w:val="none"/>
              </w:rPr>
              <w:t>（1）经责令停止违法行为后，继续实施违法行为的；（2）2年内2次及以上同类型违法；（3）足以影响房地产市场秩序和社会稳定的。</w:t>
            </w:r>
          </w:p>
        </w:tc>
        <w:tc>
          <w:tcPr>
            <w:tcW w:w="3064" w:type="dxa"/>
            <w:gridSpan w:val="2"/>
            <w:tcBorders>
              <w:tl2br w:val="nil"/>
              <w:tr2bl w:val="nil"/>
            </w:tcBorders>
            <w:tcMar>
              <w:top w:w="15" w:type="dxa"/>
              <w:left w:w="15" w:type="dxa"/>
              <w:bottom w:w="15" w:type="dxa"/>
              <w:right w:w="15" w:type="dxa"/>
            </w:tcMar>
            <w:vAlign w:val="center"/>
          </w:tcPr>
          <w:p w14:paraId="7EEBDA0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jc w:val="left"/>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警告，责令限期改正，并可处2.5万元以上3万元以下罚款。</w:t>
            </w:r>
          </w:p>
        </w:tc>
      </w:tr>
      <w:tr w14:paraId="7BD8B31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9" w:hRule="atLeast"/>
          <w:jc w:val="center"/>
        </w:trPr>
        <w:tc>
          <w:tcPr>
            <w:tcW w:w="443" w:type="dxa"/>
            <w:gridSpan w:val="2"/>
            <w:vMerge w:val="restart"/>
            <w:tcBorders>
              <w:tl2br w:val="nil"/>
              <w:tr2bl w:val="nil"/>
            </w:tcBorders>
            <w:tcMar>
              <w:top w:w="15" w:type="dxa"/>
              <w:left w:w="15" w:type="dxa"/>
              <w:bottom w:w="15" w:type="dxa"/>
              <w:right w:w="15" w:type="dxa"/>
            </w:tcMar>
            <w:vAlign w:val="center"/>
          </w:tcPr>
          <w:p w14:paraId="5FBAB5C1">
            <w:pPr>
              <w:keepNext w:val="0"/>
              <w:keepLines w:val="0"/>
              <w:pageBreakBefore w:val="0"/>
              <w:widowControl/>
              <w:numPr>
                <w:ilvl w:val="0"/>
                <w:numId w:val="5"/>
              </w:numPr>
              <w:suppressLineNumbers w:val="0"/>
              <w:tabs>
                <w:tab w:val="clear" w:pos="397"/>
              </w:tabs>
              <w:kinsoku/>
              <w:overflowPunct/>
              <w:topLinePunct w:val="0"/>
              <w:autoSpaceDE/>
              <w:autoSpaceDN/>
              <w:bidi w:val="0"/>
              <w:adjustRightInd/>
              <w:snapToGrid/>
              <w:spacing w:beforeAutospacing="0" w:afterAutospacing="0" w:line="260" w:lineRule="exact"/>
              <w:ind w:left="638" w:leftChars="88" w:right="0" w:rightChars="0" w:hanging="453" w:hangingChars="349"/>
              <w:jc w:val="center"/>
              <w:textAlignment w:val="center"/>
              <w:rPr>
                <w:rFonts w:hint="default" w:ascii="仿宋_GB2312" w:hAnsi="宋体" w:eastAsia="仿宋_GB2312"/>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238</w:t>
            </w:r>
          </w:p>
        </w:tc>
        <w:tc>
          <w:tcPr>
            <w:tcW w:w="1550" w:type="dxa"/>
            <w:vMerge w:val="restart"/>
            <w:tcBorders>
              <w:tl2br w:val="nil"/>
              <w:tr2bl w:val="nil"/>
            </w:tcBorders>
            <w:tcMar>
              <w:top w:w="15" w:type="dxa"/>
              <w:left w:w="15" w:type="dxa"/>
              <w:bottom w:w="15" w:type="dxa"/>
              <w:right w:w="15" w:type="dxa"/>
            </w:tcMar>
            <w:vAlign w:val="center"/>
          </w:tcPr>
          <w:p w14:paraId="13FF454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房地产开发企业在销售商品房中有下列行为的：(一)未按照规定的现售条件现售商品房的；(二)未按照规定在商品房现售前将房地产开发项目手册及符合商品房现售条件的有关证明文件报送房地产开发主管部门备案的；(三)返本销售或者变相返本销售商品房的；(四)采取售后包租或者变相售后包租方式销售未竣工商品房的；(五)分割拆零销售商品住宅的；(六)不符合商品房销售条件，向买受人收取预订款性质费用的；(七)未按照规定向买受人明示《商品房销售管理办法》、《商品房买卖合同示范文本》、《城市商品房预售管理办法》的；(八)委托没有资格的机构代理销售商品房的</w:t>
            </w:r>
          </w:p>
        </w:tc>
        <w:tc>
          <w:tcPr>
            <w:tcW w:w="4820" w:type="dxa"/>
            <w:vMerge w:val="restart"/>
            <w:tcBorders>
              <w:tl2br w:val="nil"/>
              <w:tr2bl w:val="nil"/>
            </w:tcBorders>
            <w:tcMar>
              <w:top w:w="15" w:type="dxa"/>
              <w:left w:w="15" w:type="dxa"/>
              <w:bottom w:w="15" w:type="dxa"/>
              <w:right w:w="15" w:type="dxa"/>
            </w:tcMar>
            <w:vAlign w:val="center"/>
          </w:tcPr>
          <w:p w14:paraId="0EEE188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s="Times New Roman"/>
                <w:color w:val="auto"/>
                <w:kern w:val="0"/>
                <w:sz w:val="13"/>
                <w:szCs w:val="13"/>
                <w:highlight w:val="none"/>
              </w:rPr>
              <w:t>《商品房销售管理办法》</w:t>
            </w:r>
            <w:r>
              <w:rPr>
                <w:rFonts w:hint="eastAsia" w:ascii="仿宋_GB2312" w:hAnsi="宋体" w:eastAsia="仿宋_GB2312" w:cs="Times New Roman"/>
                <w:b/>
                <w:bCs/>
                <w:color w:val="auto"/>
                <w:kern w:val="0"/>
                <w:sz w:val="13"/>
                <w:szCs w:val="13"/>
                <w:highlight w:val="none"/>
              </w:rPr>
              <w:t>第四十二条</w:t>
            </w:r>
            <w:r>
              <w:rPr>
                <w:rFonts w:hint="eastAsia" w:ascii="仿宋_GB2312" w:hAnsi="宋体" w:eastAsia="仿宋_GB2312" w:cs="Times New Roman"/>
                <w:b/>
                <w:bCs/>
                <w:color w:val="auto"/>
                <w:kern w:val="0"/>
                <w:sz w:val="13"/>
                <w:szCs w:val="13"/>
                <w:highlight w:val="none"/>
                <w:lang w:eastAsia="zh-CN"/>
              </w:rPr>
              <w:t>：</w:t>
            </w:r>
            <w:r>
              <w:rPr>
                <w:rFonts w:hint="eastAsia" w:ascii="仿宋_GB2312" w:hAnsi="宋体" w:eastAsia="仿宋_GB2312" w:cs="Times New Roman"/>
                <w:color w:val="auto"/>
                <w:kern w:val="0"/>
                <w:sz w:val="13"/>
                <w:szCs w:val="13"/>
                <w:highlight w:val="none"/>
              </w:rPr>
              <w:t>房地产开发企业在销售商品房中有下列行为之一的，处以警告，责令限期改正，并可处以1万元以上3万元以下罚款。(一)未按照规定的现售条件现售商品房的；(二)未按照规定在商品房现售前将房地产开发项目手册及符合商品房现售条件的有关证明文件报送房地产开发主管部门备案的；(三)返本销售或者变相返本销售商品房的；(四)采取售后包租或者变相售后包租方式销售未竣工商品房的；(五)分割拆零销售商品住宅的；(六)不符合商品房销售条件，向买受人收取预订款性质费用的；(七)未按照规定向买受人明示《商品房销售管理办法》、《商品房买卖合同示范文本》、《城市商品房预售管理办法》的；(八)委托没有资格的机构代理销售商品房的</w:t>
            </w:r>
            <w:r>
              <w:rPr>
                <w:rFonts w:hint="eastAsia" w:ascii="仿宋_GB2312" w:hAnsi="宋体" w:eastAsia="仿宋_GB2312" w:cs="Times New Roman"/>
                <w:color w:val="auto"/>
                <w:kern w:val="0"/>
                <w:sz w:val="13"/>
                <w:szCs w:val="13"/>
                <w:highlight w:val="none"/>
                <w:lang w:eastAsia="zh-CN"/>
              </w:rPr>
              <w:t>。</w:t>
            </w:r>
          </w:p>
        </w:tc>
        <w:tc>
          <w:tcPr>
            <w:tcW w:w="823" w:type="dxa"/>
            <w:tcBorders>
              <w:tl2br w:val="nil"/>
              <w:tr2bl w:val="nil"/>
            </w:tcBorders>
            <w:tcMar>
              <w:top w:w="15" w:type="dxa"/>
              <w:left w:w="15" w:type="dxa"/>
              <w:bottom w:w="15" w:type="dxa"/>
              <w:right w:w="15" w:type="dxa"/>
            </w:tcMar>
            <w:vAlign w:val="center"/>
          </w:tcPr>
          <w:p w14:paraId="45D0688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s="Times New Roman"/>
                <w:color w:val="auto"/>
                <w:kern w:val="0"/>
                <w:sz w:val="13"/>
                <w:szCs w:val="13"/>
                <w:highlight w:val="none"/>
                <w:lang w:eastAsia="zh-CN"/>
              </w:rPr>
              <w:t>从轻情节</w:t>
            </w:r>
          </w:p>
        </w:tc>
        <w:tc>
          <w:tcPr>
            <w:tcW w:w="3437" w:type="dxa"/>
            <w:gridSpan w:val="2"/>
            <w:tcBorders>
              <w:tl2br w:val="nil"/>
              <w:tr2bl w:val="nil"/>
            </w:tcBorders>
            <w:tcMar>
              <w:top w:w="15" w:type="dxa"/>
              <w:left w:w="15" w:type="dxa"/>
              <w:bottom w:w="15" w:type="dxa"/>
              <w:right w:w="15" w:type="dxa"/>
            </w:tcMar>
            <w:vAlign w:val="center"/>
          </w:tcPr>
          <w:p w14:paraId="6672121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初次违法，危害后果轻微，主动采取措施消除或减轻违法行为危害后果。</w:t>
            </w:r>
          </w:p>
        </w:tc>
        <w:tc>
          <w:tcPr>
            <w:tcW w:w="3064" w:type="dxa"/>
            <w:gridSpan w:val="2"/>
            <w:tcBorders>
              <w:tl2br w:val="nil"/>
              <w:tr2bl w:val="nil"/>
            </w:tcBorders>
            <w:tcMar>
              <w:top w:w="15" w:type="dxa"/>
              <w:left w:w="15" w:type="dxa"/>
              <w:bottom w:w="15" w:type="dxa"/>
              <w:right w:w="15" w:type="dxa"/>
            </w:tcMar>
            <w:vAlign w:val="center"/>
          </w:tcPr>
          <w:p w14:paraId="61643BB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jc w:val="left"/>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警告，责令限期改正，并可处1万元罚款。</w:t>
            </w:r>
          </w:p>
        </w:tc>
      </w:tr>
      <w:tr w14:paraId="5C2C4B4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9" w:hRule="atLeast"/>
          <w:jc w:val="center"/>
        </w:trPr>
        <w:tc>
          <w:tcPr>
            <w:tcW w:w="443" w:type="dxa"/>
            <w:gridSpan w:val="2"/>
            <w:vMerge w:val="continue"/>
            <w:tcBorders>
              <w:tl2br w:val="nil"/>
              <w:tr2bl w:val="nil"/>
            </w:tcBorders>
            <w:vAlign w:val="center"/>
          </w:tcPr>
          <w:p w14:paraId="2A21F821">
            <w:pPr>
              <w:pStyle w:val="37"/>
              <w:keepNext w:val="0"/>
              <w:keepLines w:val="0"/>
              <w:pageBreakBefore w:val="0"/>
              <w:widowControl/>
              <w:numPr>
                <w:ilvl w:val="0"/>
                <w:numId w:val="4"/>
              </w:numPr>
              <w:kinsoku/>
              <w:overflowPunct/>
              <w:topLinePunct w:val="0"/>
              <w:autoSpaceDE/>
              <w:autoSpaceDN/>
              <w:bidi w:val="0"/>
              <w:adjustRightInd/>
              <w:snapToGrid/>
              <w:spacing w:beforeAutospacing="0" w:afterAutospacing="0" w:line="260" w:lineRule="exact"/>
              <w:ind w:left="0" w:leftChars="0" w:right="0" w:rightChars="0" w:firstLineChars="0"/>
              <w:jc w:val="center"/>
              <w:rPr>
                <w:rFonts w:ascii="仿宋_GB2312" w:hAnsi="宋体" w:eastAsia="仿宋_GB2312"/>
                <w:color w:val="auto"/>
                <w:sz w:val="13"/>
                <w:szCs w:val="13"/>
                <w:highlight w:val="none"/>
              </w:rPr>
            </w:pPr>
          </w:p>
        </w:tc>
        <w:tc>
          <w:tcPr>
            <w:tcW w:w="1550" w:type="dxa"/>
            <w:vMerge w:val="continue"/>
            <w:tcBorders>
              <w:tl2br w:val="nil"/>
              <w:tr2bl w:val="nil"/>
            </w:tcBorders>
            <w:vAlign w:val="center"/>
          </w:tcPr>
          <w:p w14:paraId="0FC1ED4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center"/>
              <w:textAlignment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3CCC686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1816D90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s="Times New Roman"/>
                <w:color w:val="auto"/>
                <w:kern w:val="0"/>
                <w:sz w:val="13"/>
                <w:szCs w:val="13"/>
                <w:highlight w:val="none"/>
                <w:lang w:eastAsia="zh-CN"/>
              </w:rPr>
              <w:t>一般情节</w:t>
            </w:r>
          </w:p>
        </w:tc>
        <w:tc>
          <w:tcPr>
            <w:tcW w:w="3437" w:type="dxa"/>
            <w:gridSpan w:val="2"/>
            <w:tcBorders>
              <w:tl2br w:val="nil"/>
              <w:tr2bl w:val="nil"/>
            </w:tcBorders>
            <w:tcMar>
              <w:top w:w="15" w:type="dxa"/>
              <w:left w:w="15" w:type="dxa"/>
              <w:bottom w:w="15" w:type="dxa"/>
              <w:right w:w="15" w:type="dxa"/>
            </w:tcMar>
            <w:vAlign w:val="center"/>
          </w:tcPr>
          <w:p w14:paraId="291D46C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实施违法行为，造成不良社会影响，不具有从轻、</w:t>
            </w:r>
            <w:r>
              <w:rPr>
                <w:rFonts w:hint="eastAsia" w:ascii="仿宋_GB2312" w:hAnsi="宋体" w:eastAsia="仿宋_GB2312" w:cs="Times New Roman"/>
                <w:color w:val="auto"/>
                <w:kern w:val="0"/>
                <w:sz w:val="13"/>
                <w:szCs w:val="13"/>
                <w:highlight w:val="none"/>
                <w:lang w:eastAsia="zh-CN"/>
              </w:rPr>
              <w:t>从重情节</w:t>
            </w:r>
            <w:r>
              <w:rPr>
                <w:rFonts w:hint="eastAsia" w:ascii="仿宋_GB2312" w:hAnsi="宋体" w:eastAsia="仿宋_GB2312" w:cs="Times New Roman"/>
                <w:color w:val="auto"/>
                <w:kern w:val="0"/>
                <w:sz w:val="13"/>
                <w:szCs w:val="13"/>
                <w:highlight w:val="none"/>
              </w:rPr>
              <w:t>的。</w:t>
            </w:r>
          </w:p>
        </w:tc>
        <w:tc>
          <w:tcPr>
            <w:tcW w:w="3064" w:type="dxa"/>
            <w:gridSpan w:val="2"/>
            <w:tcBorders>
              <w:tl2br w:val="nil"/>
              <w:tr2bl w:val="nil"/>
            </w:tcBorders>
            <w:tcMar>
              <w:top w:w="15" w:type="dxa"/>
              <w:left w:w="15" w:type="dxa"/>
              <w:bottom w:w="15" w:type="dxa"/>
              <w:right w:w="15" w:type="dxa"/>
            </w:tcMar>
            <w:vAlign w:val="center"/>
          </w:tcPr>
          <w:p w14:paraId="3466801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jc w:val="left"/>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警告，责令限期改正，并可处1万元以上2万元以下罚款。</w:t>
            </w:r>
          </w:p>
        </w:tc>
      </w:tr>
      <w:tr w14:paraId="644F780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39" w:hRule="atLeast"/>
          <w:jc w:val="center"/>
        </w:trPr>
        <w:tc>
          <w:tcPr>
            <w:tcW w:w="443" w:type="dxa"/>
            <w:gridSpan w:val="2"/>
            <w:vMerge w:val="continue"/>
            <w:tcBorders>
              <w:tl2br w:val="nil"/>
              <w:tr2bl w:val="nil"/>
            </w:tcBorders>
            <w:vAlign w:val="center"/>
          </w:tcPr>
          <w:p w14:paraId="3B296414">
            <w:pPr>
              <w:pStyle w:val="37"/>
              <w:keepNext w:val="0"/>
              <w:keepLines w:val="0"/>
              <w:pageBreakBefore w:val="0"/>
              <w:widowControl/>
              <w:numPr>
                <w:ilvl w:val="0"/>
                <w:numId w:val="4"/>
              </w:numPr>
              <w:kinsoku/>
              <w:overflowPunct/>
              <w:topLinePunct w:val="0"/>
              <w:autoSpaceDE/>
              <w:autoSpaceDN/>
              <w:bidi w:val="0"/>
              <w:adjustRightInd/>
              <w:snapToGrid/>
              <w:spacing w:beforeAutospacing="0" w:afterAutospacing="0" w:line="260" w:lineRule="exact"/>
              <w:ind w:left="0" w:leftChars="0" w:right="0" w:rightChars="0" w:firstLineChars="0"/>
              <w:jc w:val="center"/>
              <w:rPr>
                <w:rFonts w:ascii="仿宋_GB2312" w:hAnsi="宋体" w:eastAsia="仿宋_GB2312"/>
                <w:color w:val="auto"/>
                <w:sz w:val="13"/>
                <w:szCs w:val="13"/>
                <w:highlight w:val="none"/>
              </w:rPr>
            </w:pPr>
          </w:p>
        </w:tc>
        <w:tc>
          <w:tcPr>
            <w:tcW w:w="1550" w:type="dxa"/>
            <w:vMerge w:val="continue"/>
            <w:tcBorders>
              <w:tl2br w:val="nil"/>
              <w:tr2bl w:val="nil"/>
            </w:tcBorders>
            <w:vAlign w:val="center"/>
          </w:tcPr>
          <w:p w14:paraId="05264CD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center"/>
              <w:textAlignment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291A00C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7F86520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s="Times New Roman"/>
                <w:color w:val="auto"/>
                <w:kern w:val="0"/>
                <w:sz w:val="13"/>
                <w:szCs w:val="13"/>
                <w:highlight w:val="none"/>
                <w:lang w:eastAsia="zh-CN"/>
              </w:rPr>
              <w:t>从重情节</w:t>
            </w:r>
          </w:p>
        </w:tc>
        <w:tc>
          <w:tcPr>
            <w:tcW w:w="3437" w:type="dxa"/>
            <w:gridSpan w:val="2"/>
            <w:tcBorders>
              <w:tl2br w:val="nil"/>
              <w:tr2bl w:val="nil"/>
            </w:tcBorders>
            <w:tcMar>
              <w:top w:w="15" w:type="dxa"/>
              <w:left w:w="15" w:type="dxa"/>
              <w:bottom w:w="15" w:type="dxa"/>
              <w:right w:w="15" w:type="dxa"/>
            </w:tcMar>
            <w:vAlign w:val="center"/>
          </w:tcPr>
          <w:p w14:paraId="4B0B639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lang w:val="en-US" w:eastAsia="zh-CN"/>
              </w:rPr>
              <w:t>有下列情形之一的：</w:t>
            </w:r>
            <w:r>
              <w:rPr>
                <w:rFonts w:hint="eastAsia" w:ascii="仿宋_GB2312" w:hAnsi="宋体" w:eastAsia="仿宋_GB2312" w:cs="Times New Roman"/>
                <w:color w:val="auto"/>
                <w:kern w:val="0"/>
                <w:sz w:val="13"/>
                <w:szCs w:val="13"/>
                <w:highlight w:val="none"/>
              </w:rPr>
              <w:t>（1）经责令停止违法行为后，继续实施违法行为的；（2）2年内2次及以上同类型违法；（3）足以影响房地产市场秩序和社会稳定的。</w:t>
            </w:r>
          </w:p>
        </w:tc>
        <w:tc>
          <w:tcPr>
            <w:tcW w:w="3064" w:type="dxa"/>
            <w:gridSpan w:val="2"/>
            <w:tcBorders>
              <w:tl2br w:val="nil"/>
              <w:tr2bl w:val="nil"/>
            </w:tcBorders>
            <w:tcMar>
              <w:top w:w="15" w:type="dxa"/>
              <w:left w:w="15" w:type="dxa"/>
              <w:bottom w:w="15" w:type="dxa"/>
              <w:right w:w="15" w:type="dxa"/>
            </w:tcMar>
            <w:vAlign w:val="center"/>
          </w:tcPr>
          <w:p w14:paraId="5AE91BD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jc w:val="left"/>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警告，责令限期改正，并可处2万元以上3万元以下罚款。</w:t>
            </w:r>
          </w:p>
        </w:tc>
      </w:tr>
      <w:tr w14:paraId="0F71C51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5" w:hRule="atLeast"/>
          <w:jc w:val="center"/>
        </w:trPr>
        <w:tc>
          <w:tcPr>
            <w:tcW w:w="443" w:type="dxa"/>
            <w:gridSpan w:val="2"/>
            <w:vMerge w:val="restart"/>
            <w:tcBorders>
              <w:tl2br w:val="nil"/>
              <w:tr2bl w:val="nil"/>
            </w:tcBorders>
            <w:tcMar>
              <w:top w:w="15" w:type="dxa"/>
              <w:left w:w="15" w:type="dxa"/>
              <w:bottom w:w="15" w:type="dxa"/>
              <w:right w:w="15" w:type="dxa"/>
            </w:tcMar>
            <w:vAlign w:val="center"/>
          </w:tcPr>
          <w:p w14:paraId="15CD75E3">
            <w:pPr>
              <w:keepNext w:val="0"/>
              <w:keepLines w:val="0"/>
              <w:pageBreakBefore w:val="0"/>
              <w:widowControl/>
              <w:numPr>
                <w:ilvl w:val="0"/>
                <w:numId w:val="6"/>
              </w:numPr>
              <w:suppressLineNumbers w:val="0"/>
              <w:tabs>
                <w:tab w:val="clear" w:pos="397"/>
              </w:tabs>
              <w:kinsoku/>
              <w:overflowPunct/>
              <w:topLinePunct w:val="0"/>
              <w:autoSpaceDE/>
              <w:autoSpaceDN/>
              <w:bidi w:val="0"/>
              <w:adjustRightInd/>
              <w:snapToGrid/>
              <w:spacing w:beforeAutospacing="0" w:afterAutospacing="0" w:line="260" w:lineRule="exact"/>
              <w:ind w:left="638" w:leftChars="88" w:right="0" w:rightChars="0" w:hanging="453" w:hangingChars="349"/>
              <w:jc w:val="center"/>
              <w:textAlignment w:val="center"/>
              <w:rPr>
                <w:rFonts w:hint="default" w:ascii="仿宋_GB2312" w:hAnsi="宋体" w:eastAsia="仿宋_GB2312"/>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239</w:t>
            </w:r>
          </w:p>
        </w:tc>
        <w:tc>
          <w:tcPr>
            <w:tcW w:w="1550" w:type="dxa"/>
            <w:vMerge w:val="restart"/>
            <w:tcBorders>
              <w:tl2br w:val="nil"/>
              <w:tr2bl w:val="nil"/>
            </w:tcBorders>
            <w:tcMar>
              <w:top w:w="15" w:type="dxa"/>
              <w:left w:w="15" w:type="dxa"/>
              <w:bottom w:w="15" w:type="dxa"/>
              <w:right w:w="15" w:type="dxa"/>
            </w:tcMar>
            <w:vAlign w:val="center"/>
          </w:tcPr>
          <w:p w14:paraId="6AC97DF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未办理租赁登记备案出租房屋、房屋租赁登记备案内容发生变化、续租或者租赁终止，当事人未到原租赁登记备案的部门办理房屋租赁登记备案的、变更、延续或者注销手续的</w:t>
            </w:r>
          </w:p>
        </w:tc>
        <w:tc>
          <w:tcPr>
            <w:tcW w:w="4820" w:type="dxa"/>
            <w:vMerge w:val="restart"/>
            <w:tcBorders>
              <w:tl2br w:val="nil"/>
              <w:tr2bl w:val="nil"/>
            </w:tcBorders>
            <w:tcMar>
              <w:top w:w="15" w:type="dxa"/>
              <w:left w:w="15" w:type="dxa"/>
              <w:bottom w:w="15" w:type="dxa"/>
              <w:right w:w="15" w:type="dxa"/>
            </w:tcMar>
            <w:vAlign w:val="center"/>
          </w:tcPr>
          <w:p w14:paraId="6AB2EFC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hint="eastAsia"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《商品房屋租赁管理办法》</w:t>
            </w:r>
            <w:r>
              <w:rPr>
                <w:rFonts w:hint="eastAsia" w:ascii="仿宋_GB2312" w:hAnsi="宋体" w:eastAsia="仿宋_GB2312" w:cs="Times New Roman"/>
                <w:b/>
                <w:bCs/>
                <w:color w:val="auto"/>
                <w:kern w:val="0"/>
                <w:sz w:val="13"/>
                <w:szCs w:val="13"/>
                <w:highlight w:val="none"/>
              </w:rPr>
              <w:t>第二十三条</w:t>
            </w:r>
            <w:r>
              <w:rPr>
                <w:rFonts w:hint="eastAsia" w:ascii="仿宋_GB2312" w:hAnsi="宋体" w:eastAsia="仿宋_GB2312" w:cs="Times New Roman"/>
                <w:b/>
                <w:bCs/>
                <w:color w:val="auto"/>
                <w:kern w:val="0"/>
                <w:sz w:val="13"/>
                <w:szCs w:val="13"/>
                <w:highlight w:val="none"/>
                <w:lang w:eastAsia="zh-CN"/>
              </w:rPr>
              <w:t>：</w:t>
            </w:r>
            <w:r>
              <w:rPr>
                <w:rFonts w:hint="eastAsia" w:ascii="仿宋_GB2312" w:hAnsi="宋体" w:eastAsia="仿宋_GB2312" w:cs="Times New Roman"/>
                <w:color w:val="auto"/>
                <w:kern w:val="0"/>
                <w:sz w:val="13"/>
                <w:szCs w:val="13"/>
                <w:highlight w:val="none"/>
              </w:rPr>
              <w:t>违反本办法第十四条第一款、第十九条规定的，由直辖市、市、县人民政府建设（房地产）主管部门责令限期改正；个人逾期不改正的，处以一千元以下罚款；单位逾期不改正的，处以一千元以上一万元以下罚款。</w:t>
            </w:r>
          </w:p>
          <w:p w14:paraId="365D8F4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《商品房屋租赁管理办法》</w:t>
            </w:r>
            <w:r>
              <w:rPr>
                <w:rFonts w:hint="eastAsia" w:ascii="仿宋_GB2312" w:hAnsi="宋体" w:eastAsia="仿宋_GB2312" w:cs="Times New Roman"/>
                <w:b/>
                <w:bCs/>
                <w:color w:val="auto"/>
                <w:kern w:val="0"/>
                <w:sz w:val="13"/>
                <w:szCs w:val="13"/>
                <w:highlight w:val="none"/>
              </w:rPr>
              <w:t>第十四条第一款</w:t>
            </w:r>
            <w:r>
              <w:rPr>
                <w:rFonts w:hint="eastAsia" w:ascii="仿宋_GB2312" w:hAnsi="宋体" w:eastAsia="仿宋_GB2312" w:cs="Times New Roman"/>
                <w:b/>
                <w:bCs/>
                <w:color w:val="auto"/>
                <w:kern w:val="0"/>
                <w:sz w:val="13"/>
                <w:szCs w:val="13"/>
                <w:highlight w:val="none"/>
                <w:lang w:eastAsia="zh-CN"/>
              </w:rPr>
              <w:t>：</w:t>
            </w:r>
            <w:r>
              <w:rPr>
                <w:rFonts w:hint="eastAsia" w:ascii="仿宋_GB2312" w:hAnsi="宋体" w:eastAsia="仿宋_GB2312" w:cs="Times New Roman"/>
                <w:color w:val="auto"/>
                <w:kern w:val="0"/>
                <w:sz w:val="13"/>
                <w:szCs w:val="13"/>
                <w:highlight w:val="none"/>
              </w:rPr>
              <w:t>房屋租赁合同订立后三十日内，房屋租赁当事人应当到租赁房屋所在地直辖市、市、县人民政府建设（房地产）主管部门办理</w:t>
            </w:r>
            <w:r>
              <w:rPr>
                <w:color w:val="auto"/>
                <w:sz w:val="13"/>
                <w:szCs w:val="13"/>
                <w:highlight w:val="none"/>
              </w:rPr>
              <w:fldChar w:fldCharType="begin"/>
            </w:r>
            <w:r>
              <w:rPr>
                <w:color w:val="auto"/>
                <w:sz w:val="13"/>
                <w:szCs w:val="13"/>
                <w:highlight w:val="none"/>
              </w:rPr>
              <w:instrText xml:space="preserve"> HYPERLINK "https://baike.baidu.com/item/%E6%88%BF%E5%B1%8B%E7%A7%9F%E8%B5%81%E7%99%BB%E8%AE%B0/9767013" \t "https://baike.baidu.com/item/%E5%95%86%E5%93%81%E6%88%BF%E5%B1%8B%E7%A7%9F%E8%B5%81%E7%AE%A1%E7%90%86%E5%8A%9E%E6%B3%95/_blank" </w:instrText>
            </w:r>
            <w:r>
              <w:rPr>
                <w:color w:val="auto"/>
                <w:sz w:val="13"/>
                <w:szCs w:val="13"/>
                <w:highlight w:val="none"/>
              </w:rPr>
              <w:fldChar w:fldCharType="separate"/>
            </w:r>
            <w:r>
              <w:rPr>
                <w:rFonts w:ascii="仿宋_GB2312" w:hAnsi="宋体" w:eastAsia="仿宋_GB2312" w:cs="Times New Roman"/>
                <w:color w:val="auto"/>
                <w:kern w:val="0"/>
                <w:sz w:val="13"/>
                <w:szCs w:val="13"/>
                <w:highlight w:val="none"/>
              </w:rPr>
              <w:t>房屋租赁登记</w:t>
            </w:r>
            <w:r>
              <w:rPr>
                <w:rFonts w:ascii="仿宋_GB2312" w:hAnsi="宋体" w:eastAsia="仿宋_GB2312" w:cs="Times New Roman"/>
                <w:color w:val="auto"/>
                <w:kern w:val="0"/>
                <w:sz w:val="13"/>
                <w:szCs w:val="13"/>
                <w:highlight w:val="none"/>
              </w:rPr>
              <w:fldChar w:fldCharType="end"/>
            </w:r>
            <w:r>
              <w:rPr>
                <w:rFonts w:ascii="仿宋_GB2312" w:hAnsi="宋体" w:eastAsia="仿宋_GB2312" w:cs="Times New Roman"/>
                <w:color w:val="auto"/>
                <w:kern w:val="0"/>
                <w:sz w:val="13"/>
                <w:szCs w:val="13"/>
                <w:highlight w:val="none"/>
              </w:rPr>
              <w:t>备案。</w:t>
            </w:r>
          </w:p>
          <w:p w14:paraId="1E89D63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1" w:firstLineChars="200"/>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b/>
                <w:bCs/>
                <w:color w:val="auto"/>
                <w:kern w:val="0"/>
                <w:sz w:val="13"/>
                <w:szCs w:val="13"/>
                <w:highlight w:val="none"/>
              </w:rPr>
              <w:t>第十九条</w:t>
            </w:r>
            <w:r>
              <w:rPr>
                <w:rFonts w:hint="eastAsia" w:ascii="仿宋_GB2312" w:hAnsi="宋体" w:eastAsia="仿宋_GB2312" w:cs="Times New Roman"/>
                <w:b/>
                <w:bCs/>
                <w:color w:val="auto"/>
                <w:kern w:val="0"/>
                <w:sz w:val="13"/>
                <w:szCs w:val="13"/>
                <w:highlight w:val="none"/>
                <w:lang w:eastAsia="zh-CN"/>
              </w:rPr>
              <w:t>：</w:t>
            </w:r>
            <w:r>
              <w:rPr>
                <w:rFonts w:hint="eastAsia" w:ascii="仿宋_GB2312" w:hAnsi="宋体" w:eastAsia="仿宋_GB2312" w:cs="Times New Roman"/>
                <w:color w:val="auto"/>
                <w:kern w:val="0"/>
                <w:sz w:val="13"/>
                <w:szCs w:val="13"/>
                <w:highlight w:val="none"/>
              </w:rPr>
              <w:t>房屋租赁登记备案内容发生变化、续租或者租赁终止的，当事人应当在三十日内，到原租赁登记备案的部门办理房屋租赁登记备案的变更、延续或者注销手续。</w:t>
            </w:r>
          </w:p>
        </w:tc>
        <w:tc>
          <w:tcPr>
            <w:tcW w:w="823" w:type="dxa"/>
            <w:tcBorders>
              <w:tl2br w:val="nil"/>
              <w:tr2bl w:val="nil"/>
            </w:tcBorders>
            <w:tcMar>
              <w:top w:w="15" w:type="dxa"/>
              <w:left w:w="15" w:type="dxa"/>
              <w:bottom w:w="15" w:type="dxa"/>
              <w:right w:w="15" w:type="dxa"/>
            </w:tcMar>
            <w:vAlign w:val="center"/>
          </w:tcPr>
          <w:p w14:paraId="04BE418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s="Times New Roman"/>
                <w:color w:val="auto"/>
                <w:kern w:val="0"/>
                <w:sz w:val="13"/>
                <w:szCs w:val="13"/>
                <w:highlight w:val="none"/>
                <w:lang w:eastAsia="zh-CN"/>
              </w:rPr>
              <w:t>从轻情节</w:t>
            </w:r>
          </w:p>
        </w:tc>
        <w:tc>
          <w:tcPr>
            <w:tcW w:w="3437" w:type="dxa"/>
            <w:gridSpan w:val="2"/>
            <w:tcBorders>
              <w:tl2br w:val="nil"/>
              <w:tr2bl w:val="nil"/>
            </w:tcBorders>
            <w:tcMar>
              <w:top w:w="15" w:type="dxa"/>
              <w:left w:w="15" w:type="dxa"/>
              <w:bottom w:w="15" w:type="dxa"/>
              <w:right w:w="15" w:type="dxa"/>
            </w:tcMar>
            <w:vAlign w:val="center"/>
          </w:tcPr>
          <w:p w14:paraId="62747FF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初次违法，危害后果轻微，主动采取措施消除或减轻违法行为危害后果。</w:t>
            </w:r>
          </w:p>
        </w:tc>
        <w:tc>
          <w:tcPr>
            <w:tcW w:w="3064" w:type="dxa"/>
            <w:gridSpan w:val="2"/>
            <w:tcBorders>
              <w:tl2br w:val="nil"/>
              <w:tr2bl w:val="nil"/>
            </w:tcBorders>
            <w:tcMar>
              <w:top w:w="15" w:type="dxa"/>
              <w:left w:w="15" w:type="dxa"/>
              <w:bottom w:w="15" w:type="dxa"/>
              <w:right w:w="15" w:type="dxa"/>
            </w:tcMar>
            <w:vAlign w:val="center"/>
          </w:tcPr>
          <w:p w14:paraId="3012D1C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责令限期改正。</w:t>
            </w:r>
          </w:p>
        </w:tc>
      </w:tr>
      <w:tr w14:paraId="074FD39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9" w:hRule="atLeast"/>
          <w:jc w:val="center"/>
        </w:trPr>
        <w:tc>
          <w:tcPr>
            <w:tcW w:w="443" w:type="dxa"/>
            <w:gridSpan w:val="2"/>
            <w:vMerge w:val="continue"/>
            <w:tcBorders>
              <w:tl2br w:val="nil"/>
              <w:tr2bl w:val="nil"/>
            </w:tcBorders>
            <w:vAlign w:val="center"/>
          </w:tcPr>
          <w:p w14:paraId="0B342B40">
            <w:pPr>
              <w:pStyle w:val="37"/>
              <w:keepNext w:val="0"/>
              <w:keepLines w:val="0"/>
              <w:pageBreakBefore w:val="0"/>
              <w:widowControl/>
              <w:numPr>
                <w:ilvl w:val="0"/>
                <w:numId w:val="4"/>
              </w:numPr>
              <w:kinsoku/>
              <w:overflowPunct/>
              <w:topLinePunct w:val="0"/>
              <w:autoSpaceDE/>
              <w:autoSpaceDN/>
              <w:bidi w:val="0"/>
              <w:adjustRightInd/>
              <w:snapToGrid/>
              <w:spacing w:beforeAutospacing="0" w:afterAutospacing="0" w:line="260" w:lineRule="exact"/>
              <w:ind w:left="638" w:leftChars="88" w:right="0" w:rightChars="0" w:hanging="453" w:hangingChars="349"/>
              <w:jc w:val="center"/>
              <w:rPr>
                <w:rFonts w:ascii="仿宋_GB2312" w:hAnsi="宋体" w:eastAsia="仿宋_GB2312"/>
                <w:color w:val="auto"/>
                <w:sz w:val="13"/>
                <w:szCs w:val="13"/>
                <w:highlight w:val="none"/>
              </w:rPr>
            </w:pPr>
          </w:p>
        </w:tc>
        <w:tc>
          <w:tcPr>
            <w:tcW w:w="1550" w:type="dxa"/>
            <w:vMerge w:val="continue"/>
            <w:tcBorders>
              <w:tl2br w:val="nil"/>
              <w:tr2bl w:val="nil"/>
            </w:tcBorders>
            <w:vAlign w:val="center"/>
          </w:tcPr>
          <w:p w14:paraId="5E6100E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25869F9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3FA5918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s="Times New Roman"/>
                <w:color w:val="auto"/>
                <w:kern w:val="0"/>
                <w:sz w:val="13"/>
                <w:szCs w:val="13"/>
                <w:highlight w:val="none"/>
                <w:lang w:eastAsia="zh-CN"/>
              </w:rPr>
              <w:t>一般情节</w:t>
            </w:r>
          </w:p>
        </w:tc>
        <w:tc>
          <w:tcPr>
            <w:tcW w:w="3437" w:type="dxa"/>
            <w:gridSpan w:val="2"/>
            <w:tcBorders>
              <w:tl2br w:val="nil"/>
              <w:tr2bl w:val="nil"/>
            </w:tcBorders>
            <w:tcMar>
              <w:top w:w="15" w:type="dxa"/>
              <w:left w:w="15" w:type="dxa"/>
              <w:bottom w:w="15" w:type="dxa"/>
              <w:right w:w="15" w:type="dxa"/>
            </w:tcMar>
            <w:vAlign w:val="center"/>
          </w:tcPr>
          <w:p w14:paraId="1EBE7FE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经责令改正，逾期不改，违法行为存续3个月以下的。</w:t>
            </w:r>
          </w:p>
        </w:tc>
        <w:tc>
          <w:tcPr>
            <w:tcW w:w="3064" w:type="dxa"/>
            <w:gridSpan w:val="2"/>
            <w:tcBorders>
              <w:tl2br w:val="nil"/>
              <w:tr2bl w:val="nil"/>
            </w:tcBorders>
            <w:tcMar>
              <w:top w:w="15" w:type="dxa"/>
              <w:left w:w="15" w:type="dxa"/>
              <w:bottom w:w="15" w:type="dxa"/>
              <w:right w:w="15" w:type="dxa"/>
            </w:tcMar>
            <w:vAlign w:val="center"/>
          </w:tcPr>
          <w:p w14:paraId="2354DF9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个人处以5百元以下罚款；单位处以5千元以下罚款。</w:t>
            </w:r>
          </w:p>
        </w:tc>
      </w:tr>
      <w:tr w14:paraId="1438973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1" w:hRule="atLeast"/>
          <w:jc w:val="center"/>
        </w:trPr>
        <w:tc>
          <w:tcPr>
            <w:tcW w:w="443" w:type="dxa"/>
            <w:gridSpan w:val="2"/>
            <w:vMerge w:val="continue"/>
            <w:tcBorders>
              <w:tl2br w:val="nil"/>
              <w:tr2bl w:val="nil"/>
            </w:tcBorders>
            <w:vAlign w:val="center"/>
          </w:tcPr>
          <w:p w14:paraId="1EFA96C4">
            <w:pPr>
              <w:pStyle w:val="37"/>
              <w:keepNext w:val="0"/>
              <w:keepLines w:val="0"/>
              <w:pageBreakBefore w:val="0"/>
              <w:widowControl/>
              <w:numPr>
                <w:ilvl w:val="0"/>
                <w:numId w:val="4"/>
              </w:numPr>
              <w:kinsoku/>
              <w:overflowPunct/>
              <w:topLinePunct w:val="0"/>
              <w:autoSpaceDE/>
              <w:autoSpaceDN/>
              <w:bidi w:val="0"/>
              <w:adjustRightInd/>
              <w:snapToGrid/>
              <w:spacing w:beforeAutospacing="0" w:afterAutospacing="0" w:line="260" w:lineRule="exact"/>
              <w:ind w:left="638" w:leftChars="88" w:right="0" w:rightChars="0" w:hanging="453" w:hangingChars="349"/>
              <w:jc w:val="center"/>
              <w:rPr>
                <w:rFonts w:ascii="仿宋_GB2312" w:hAnsi="宋体" w:eastAsia="仿宋_GB2312"/>
                <w:color w:val="auto"/>
                <w:sz w:val="13"/>
                <w:szCs w:val="13"/>
                <w:highlight w:val="none"/>
              </w:rPr>
            </w:pPr>
          </w:p>
        </w:tc>
        <w:tc>
          <w:tcPr>
            <w:tcW w:w="1550" w:type="dxa"/>
            <w:vMerge w:val="continue"/>
            <w:tcBorders>
              <w:tl2br w:val="nil"/>
              <w:tr2bl w:val="nil"/>
            </w:tcBorders>
            <w:vAlign w:val="center"/>
          </w:tcPr>
          <w:p w14:paraId="41F02BC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6C2A22D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2869FCF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s="Times New Roman"/>
                <w:color w:val="auto"/>
                <w:kern w:val="0"/>
                <w:sz w:val="13"/>
                <w:szCs w:val="13"/>
                <w:highlight w:val="none"/>
                <w:lang w:eastAsia="zh-CN"/>
              </w:rPr>
              <w:t>从重情节</w:t>
            </w:r>
          </w:p>
        </w:tc>
        <w:tc>
          <w:tcPr>
            <w:tcW w:w="3437" w:type="dxa"/>
            <w:gridSpan w:val="2"/>
            <w:tcBorders>
              <w:tl2br w:val="nil"/>
              <w:tr2bl w:val="nil"/>
            </w:tcBorders>
            <w:tcMar>
              <w:top w:w="15" w:type="dxa"/>
              <w:left w:w="15" w:type="dxa"/>
              <w:bottom w:w="15" w:type="dxa"/>
              <w:right w:w="15" w:type="dxa"/>
            </w:tcMar>
            <w:vAlign w:val="center"/>
          </w:tcPr>
          <w:p w14:paraId="413213D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经责令改正，逾期不改，违法行为存续3个月以上的。</w:t>
            </w:r>
          </w:p>
        </w:tc>
        <w:tc>
          <w:tcPr>
            <w:tcW w:w="3064" w:type="dxa"/>
            <w:gridSpan w:val="2"/>
            <w:tcBorders>
              <w:tl2br w:val="nil"/>
              <w:tr2bl w:val="nil"/>
            </w:tcBorders>
            <w:tcMar>
              <w:top w:w="15" w:type="dxa"/>
              <w:left w:w="15" w:type="dxa"/>
              <w:bottom w:w="15" w:type="dxa"/>
              <w:right w:w="15" w:type="dxa"/>
            </w:tcMar>
            <w:vAlign w:val="center"/>
          </w:tcPr>
          <w:p w14:paraId="53A8DCB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个人处以5百元以上1千元以下罚款；单位处以5千元以上1万元以下罚款。</w:t>
            </w:r>
          </w:p>
        </w:tc>
      </w:tr>
      <w:tr w14:paraId="111802D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7" w:hRule="atLeast"/>
          <w:jc w:val="center"/>
        </w:trPr>
        <w:tc>
          <w:tcPr>
            <w:tcW w:w="443" w:type="dxa"/>
            <w:gridSpan w:val="2"/>
            <w:vMerge w:val="restart"/>
            <w:tcBorders>
              <w:tl2br w:val="nil"/>
              <w:tr2bl w:val="nil"/>
            </w:tcBorders>
            <w:tcMar>
              <w:top w:w="15" w:type="dxa"/>
              <w:left w:w="15" w:type="dxa"/>
              <w:bottom w:w="15" w:type="dxa"/>
              <w:right w:w="15" w:type="dxa"/>
            </w:tcMar>
            <w:vAlign w:val="center"/>
          </w:tcPr>
          <w:p w14:paraId="4335CF09">
            <w:pPr>
              <w:keepNext w:val="0"/>
              <w:keepLines w:val="0"/>
              <w:pageBreakBefore w:val="0"/>
              <w:widowControl/>
              <w:numPr>
                <w:ilvl w:val="0"/>
                <w:numId w:val="6"/>
              </w:numPr>
              <w:suppressLineNumbers w:val="0"/>
              <w:tabs>
                <w:tab w:val="clear" w:pos="397"/>
              </w:tabs>
              <w:kinsoku/>
              <w:overflowPunct/>
              <w:topLinePunct w:val="0"/>
              <w:autoSpaceDE/>
              <w:autoSpaceDN/>
              <w:bidi w:val="0"/>
              <w:adjustRightInd/>
              <w:snapToGrid/>
              <w:spacing w:beforeAutospacing="0" w:afterAutospacing="0" w:line="260" w:lineRule="exact"/>
              <w:ind w:left="638" w:leftChars="88" w:right="0" w:rightChars="0" w:hanging="453" w:hangingChars="349"/>
              <w:jc w:val="center"/>
              <w:textAlignment w:val="center"/>
              <w:rPr>
                <w:rFonts w:hint="default" w:ascii="仿宋_GB2312" w:hAnsi="宋体" w:eastAsia="仿宋_GB2312"/>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240</w:t>
            </w:r>
          </w:p>
        </w:tc>
        <w:tc>
          <w:tcPr>
            <w:tcW w:w="1550" w:type="dxa"/>
            <w:vMerge w:val="restart"/>
            <w:tcBorders>
              <w:tl2br w:val="nil"/>
              <w:tr2bl w:val="nil"/>
            </w:tcBorders>
            <w:tcMar>
              <w:top w:w="15" w:type="dxa"/>
              <w:left w:w="15" w:type="dxa"/>
              <w:bottom w:w="15" w:type="dxa"/>
              <w:right w:w="15" w:type="dxa"/>
            </w:tcMar>
            <w:vAlign w:val="center"/>
          </w:tcPr>
          <w:p w14:paraId="7A8D805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0" w:firstLineChars="200"/>
              <w:rPr>
                <w:rFonts w:hint="eastAsia" w:ascii="仿宋_GB2312" w:hAnsi="宋体" w:eastAsia="仿宋_GB2312" w:cs="Times New Roman"/>
                <w:color w:val="auto"/>
                <w:kern w:val="0"/>
                <w:sz w:val="13"/>
                <w:szCs w:val="13"/>
                <w:highlight w:val="none"/>
                <w:lang w:val="en-US" w:eastAsia="zh-CN"/>
              </w:rPr>
            </w:pPr>
            <w:r>
              <w:rPr>
                <w:rFonts w:hint="eastAsia" w:ascii="仿宋_GB2312" w:hAnsi="宋体" w:eastAsia="仿宋_GB2312" w:cs="Times New Roman"/>
                <w:color w:val="auto"/>
                <w:kern w:val="0"/>
                <w:sz w:val="13"/>
                <w:szCs w:val="13"/>
                <w:highlight w:val="none"/>
                <w:lang w:val="en-US" w:eastAsia="zh-CN"/>
              </w:rPr>
              <w:t>出租房屋有下列情形的：</w:t>
            </w:r>
          </w:p>
          <w:p w14:paraId="4029C53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0" w:firstLineChars="200"/>
              <w:rPr>
                <w:rFonts w:ascii="仿宋_GB2312" w:hAnsi="宋体" w:eastAsia="仿宋_GB2312" w:cs="Times New Roman"/>
                <w:color w:val="auto"/>
                <w:kern w:val="0"/>
                <w:sz w:val="13"/>
                <w:szCs w:val="13"/>
                <w:highlight w:val="none"/>
              </w:rPr>
            </w:pPr>
            <w:r>
              <w:rPr>
                <w:rFonts w:ascii="仿宋_GB2312" w:hAnsi="宋体" w:eastAsia="仿宋_GB2312" w:cs="Times New Roman"/>
                <w:color w:val="auto"/>
                <w:kern w:val="0"/>
                <w:sz w:val="13"/>
                <w:szCs w:val="13"/>
                <w:highlight w:val="none"/>
              </w:rPr>
              <w:t>（一）属于</w:t>
            </w:r>
            <w:r>
              <w:rPr>
                <w:color w:val="auto"/>
                <w:sz w:val="13"/>
                <w:szCs w:val="13"/>
                <w:highlight w:val="none"/>
              </w:rPr>
              <w:fldChar w:fldCharType="begin"/>
            </w:r>
            <w:r>
              <w:rPr>
                <w:color w:val="auto"/>
                <w:sz w:val="13"/>
                <w:szCs w:val="13"/>
                <w:highlight w:val="none"/>
              </w:rPr>
              <w:instrText xml:space="preserve"> HYPERLINK "https://baike.baidu.com/item/%E8%BF%9D%E6%B3%95%E5%BB%BA%E7%AD%91" \t "https://baike.baidu.com/item/%E5%95%86%E5%93%81%E6%88%BF%E5%B1%8B%E7%A7%9F%E8%B5%81%E7%AE%A1%E7%90%86%E5%8A%9E%E6%B3%95/_blank" </w:instrText>
            </w:r>
            <w:r>
              <w:rPr>
                <w:color w:val="auto"/>
                <w:sz w:val="13"/>
                <w:szCs w:val="13"/>
                <w:highlight w:val="none"/>
              </w:rPr>
              <w:fldChar w:fldCharType="separate"/>
            </w:r>
            <w:r>
              <w:rPr>
                <w:rFonts w:ascii="仿宋_GB2312" w:hAnsi="宋体" w:eastAsia="仿宋_GB2312" w:cs="Times New Roman"/>
                <w:color w:val="auto"/>
                <w:kern w:val="0"/>
                <w:sz w:val="13"/>
                <w:szCs w:val="13"/>
                <w:highlight w:val="none"/>
              </w:rPr>
              <w:t>违法建筑</w:t>
            </w:r>
            <w:r>
              <w:rPr>
                <w:rFonts w:ascii="仿宋_GB2312" w:hAnsi="宋体" w:eastAsia="仿宋_GB2312" w:cs="Times New Roman"/>
                <w:color w:val="auto"/>
                <w:kern w:val="0"/>
                <w:sz w:val="13"/>
                <w:szCs w:val="13"/>
                <w:highlight w:val="none"/>
              </w:rPr>
              <w:fldChar w:fldCharType="end"/>
            </w:r>
            <w:r>
              <w:rPr>
                <w:rFonts w:ascii="仿宋_GB2312" w:hAnsi="宋体" w:eastAsia="仿宋_GB2312" w:cs="Times New Roman"/>
                <w:color w:val="auto"/>
                <w:kern w:val="0"/>
                <w:sz w:val="13"/>
                <w:szCs w:val="13"/>
                <w:highlight w:val="none"/>
              </w:rPr>
              <w:t>的；</w:t>
            </w:r>
          </w:p>
          <w:p w14:paraId="6D1DD7A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0" w:firstLineChars="200"/>
              <w:rPr>
                <w:rFonts w:hint="eastAsia" w:ascii="仿宋_GB2312" w:hAnsi="宋体" w:eastAsia="仿宋_GB2312" w:cs="Times New Roman"/>
                <w:color w:val="auto"/>
                <w:kern w:val="0"/>
                <w:sz w:val="13"/>
                <w:szCs w:val="13"/>
                <w:highlight w:val="none"/>
                <w:lang w:val="en-US" w:eastAsia="zh-CN"/>
              </w:rPr>
            </w:pPr>
            <w:r>
              <w:rPr>
                <w:rFonts w:hint="eastAsia" w:ascii="仿宋_GB2312" w:hAnsi="宋体" w:eastAsia="仿宋_GB2312" w:cs="Times New Roman"/>
                <w:color w:val="auto"/>
                <w:kern w:val="0"/>
                <w:sz w:val="13"/>
                <w:szCs w:val="13"/>
                <w:highlight w:val="none"/>
                <w:lang w:val="en-US" w:eastAsia="zh-CN"/>
              </w:rPr>
              <w:t>（二）不符合安全、防灾等工程建设强制性标准的；</w:t>
            </w:r>
          </w:p>
          <w:p w14:paraId="6B66D5D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0" w:firstLineChars="200"/>
              <w:rPr>
                <w:rFonts w:hint="eastAsia" w:ascii="仿宋_GB2312" w:hAnsi="宋体" w:eastAsia="仿宋_GB2312" w:cs="Times New Roman"/>
                <w:color w:val="auto"/>
                <w:kern w:val="0"/>
                <w:sz w:val="13"/>
                <w:szCs w:val="13"/>
                <w:highlight w:val="none"/>
                <w:lang w:val="en-US" w:eastAsia="zh-CN"/>
              </w:rPr>
            </w:pPr>
            <w:r>
              <w:rPr>
                <w:rFonts w:hint="eastAsia" w:ascii="仿宋_GB2312" w:hAnsi="宋体" w:eastAsia="仿宋_GB2312" w:cs="Times New Roman"/>
                <w:color w:val="auto"/>
                <w:kern w:val="0"/>
                <w:sz w:val="13"/>
                <w:szCs w:val="13"/>
                <w:highlight w:val="none"/>
                <w:lang w:val="en-US" w:eastAsia="zh-CN"/>
              </w:rPr>
              <w:t>（三）违反规定改变房屋使用性质的；</w:t>
            </w:r>
          </w:p>
          <w:p w14:paraId="4F1CC58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lang w:val="en-US" w:eastAsia="zh-CN"/>
              </w:rPr>
              <w:t>（四）法律、法规规定禁止出租的其他情形。</w:t>
            </w:r>
          </w:p>
        </w:tc>
        <w:tc>
          <w:tcPr>
            <w:tcW w:w="4820" w:type="dxa"/>
            <w:vMerge w:val="restart"/>
            <w:tcBorders>
              <w:tl2br w:val="nil"/>
              <w:tr2bl w:val="nil"/>
            </w:tcBorders>
            <w:tcMar>
              <w:top w:w="15" w:type="dxa"/>
              <w:left w:w="15" w:type="dxa"/>
              <w:bottom w:w="15" w:type="dxa"/>
              <w:right w:w="15" w:type="dxa"/>
            </w:tcMar>
            <w:vAlign w:val="center"/>
          </w:tcPr>
          <w:p w14:paraId="717B334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《商品房屋租赁管理办法》</w:t>
            </w:r>
            <w:r>
              <w:rPr>
                <w:rFonts w:hint="eastAsia" w:ascii="仿宋_GB2312" w:hAnsi="宋体" w:eastAsia="仿宋_GB2312" w:cs="Times New Roman"/>
                <w:b/>
                <w:bCs/>
                <w:color w:val="auto"/>
                <w:kern w:val="0"/>
                <w:sz w:val="13"/>
                <w:szCs w:val="13"/>
                <w:highlight w:val="none"/>
              </w:rPr>
              <w:t>第二十一条</w:t>
            </w:r>
            <w:r>
              <w:rPr>
                <w:rFonts w:hint="eastAsia" w:ascii="仿宋_GB2312" w:hAnsi="宋体" w:eastAsia="仿宋_GB2312" w:cs="Times New Roman"/>
                <w:b/>
                <w:bCs/>
                <w:color w:val="auto"/>
                <w:kern w:val="0"/>
                <w:sz w:val="13"/>
                <w:szCs w:val="13"/>
                <w:highlight w:val="none"/>
                <w:lang w:eastAsia="zh-CN"/>
              </w:rPr>
              <w:t>：</w:t>
            </w:r>
            <w:r>
              <w:rPr>
                <w:rFonts w:hint="eastAsia" w:ascii="仿宋_GB2312" w:hAnsi="宋体" w:eastAsia="仿宋_GB2312" w:cs="Times New Roman"/>
                <w:color w:val="auto"/>
                <w:kern w:val="0"/>
                <w:sz w:val="13"/>
                <w:szCs w:val="13"/>
                <w:highlight w:val="none"/>
              </w:rPr>
              <w:t>违反本办法第六条规定的，由直辖市、市、县人民政府建设（房地产）主管部门责令限期改正，对没有违法所得的，可处以五千元以下罚款；对有违法所得的，可以处以违法所得一倍以上三倍以下，但不超过三万元的罚款。</w:t>
            </w:r>
          </w:p>
          <w:p w14:paraId="2E755BC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1" w:firstLineChars="200"/>
              <w:rPr>
                <w:rFonts w:ascii="仿宋_GB2312" w:hAnsi="宋体" w:eastAsia="仿宋_GB2312" w:cs="Times New Roman"/>
                <w:color w:val="auto"/>
                <w:kern w:val="0"/>
                <w:sz w:val="13"/>
                <w:szCs w:val="13"/>
                <w:highlight w:val="none"/>
              </w:rPr>
            </w:pPr>
            <w:r>
              <w:rPr>
                <w:rFonts w:ascii="仿宋_GB2312" w:hAnsi="宋体" w:eastAsia="仿宋_GB2312" w:cs="Times New Roman"/>
                <w:b/>
                <w:bCs/>
                <w:color w:val="auto"/>
                <w:kern w:val="0"/>
                <w:sz w:val="13"/>
                <w:szCs w:val="13"/>
                <w:highlight w:val="none"/>
              </w:rPr>
              <w:t>第六条</w:t>
            </w:r>
            <w:r>
              <w:rPr>
                <w:rFonts w:hint="eastAsia" w:ascii="仿宋_GB2312" w:hAnsi="宋体" w:eastAsia="仿宋_GB2312" w:cs="Times New Roman"/>
                <w:b/>
                <w:bCs/>
                <w:color w:val="auto"/>
                <w:kern w:val="0"/>
                <w:sz w:val="13"/>
                <w:szCs w:val="13"/>
                <w:highlight w:val="none"/>
                <w:lang w:eastAsia="zh-CN"/>
              </w:rPr>
              <w:t>：</w:t>
            </w:r>
            <w:r>
              <w:rPr>
                <w:rFonts w:ascii="仿宋_GB2312" w:hAnsi="宋体" w:eastAsia="仿宋_GB2312" w:cs="Times New Roman"/>
                <w:color w:val="auto"/>
                <w:kern w:val="0"/>
                <w:sz w:val="13"/>
                <w:szCs w:val="13"/>
                <w:highlight w:val="none"/>
              </w:rPr>
              <w:t>有下列情形之一的房屋不得出租：</w:t>
            </w:r>
          </w:p>
          <w:p w14:paraId="1DC83F8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0" w:firstLineChars="200"/>
              <w:rPr>
                <w:rFonts w:ascii="仿宋_GB2312" w:hAnsi="宋体" w:eastAsia="仿宋_GB2312" w:cs="Times New Roman"/>
                <w:color w:val="auto"/>
                <w:kern w:val="0"/>
                <w:sz w:val="13"/>
                <w:szCs w:val="13"/>
                <w:highlight w:val="none"/>
              </w:rPr>
            </w:pPr>
            <w:r>
              <w:rPr>
                <w:rFonts w:ascii="仿宋_GB2312" w:hAnsi="宋体" w:eastAsia="仿宋_GB2312" w:cs="Times New Roman"/>
                <w:color w:val="auto"/>
                <w:kern w:val="0"/>
                <w:sz w:val="13"/>
                <w:szCs w:val="13"/>
                <w:highlight w:val="none"/>
              </w:rPr>
              <w:t>（一）属于</w:t>
            </w:r>
            <w:r>
              <w:rPr>
                <w:color w:val="auto"/>
                <w:sz w:val="13"/>
                <w:szCs w:val="13"/>
                <w:highlight w:val="none"/>
              </w:rPr>
              <w:fldChar w:fldCharType="begin"/>
            </w:r>
            <w:r>
              <w:rPr>
                <w:color w:val="auto"/>
                <w:sz w:val="13"/>
                <w:szCs w:val="13"/>
                <w:highlight w:val="none"/>
              </w:rPr>
              <w:instrText xml:space="preserve"> HYPERLINK "https://baike.baidu.com/item/%E8%BF%9D%E6%B3%95%E5%BB%BA%E7%AD%91" \t "https://baike.baidu.com/item/%E5%95%86%E5%93%81%E6%88%BF%E5%B1%8B%E7%A7%9F%E8%B5%81%E7%AE%A1%E7%90%86%E5%8A%9E%E6%B3%95/_blank" </w:instrText>
            </w:r>
            <w:r>
              <w:rPr>
                <w:color w:val="auto"/>
                <w:sz w:val="13"/>
                <w:szCs w:val="13"/>
                <w:highlight w:val="none"/>
              </w:rPr>
              <w:fldChar w:fldCharType="separate"/>
            </w:r>
            <w:r>
              <w:rPr>
                <w:rFonts w:ascii="仿宋_GB2312" w:hAnsi="宋体" w:eastAsia="仿宋_GB2312" w:cs="Times New Roman"/>
                <w:color w:val="auto"/>
                <w:kern w:val="0"/>
                <w:sz w:val="13"/>
                <w:szCs w:val="13"/>
                <w:highlight w:val="none"/>
              </w:rPr>
              <w:t>违法建筑</w:t>
            </w:r>
            <w:r>
              <w:rPr>
                <w:rFonts w:ascii="仿宋_GB2312" w:hAnsi="宋体" w:eastAsia="仿宋_GB2312" w:cs="Times New Roman"/>
                <w:color w:val="auto"/>
                <w:kern w:val="0"/>
                <w:sz w:val="13"/>
                <w:szCs w:val="13"/>
                <w:highlight w:val="none"/>
              </w:rPr>
              <w:fldChar w:fldCharType="end"/>
            </w:r>
            <w:r>
              <w:rPr>
                <w:rFonts w:ascii="仿宋_GB2312" w:hAnsi="宋体" w:eastAsia="仿宋_GB2312" w:cs="Times New Roman"/>
                <w:color w:val="auto"/>
                <w:kern w:val="0"/>
                <w:sz w:val="13"/>
                <w:szCs w:val="13"/>
                <w:highlight w:val="none"/>
              </w:rPr>
              <w:t>的；</w:t>
            </w:r>
          </w:p>
          <w:p w14:paraId="4CC7039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0" w:firstLineChars="200"/>
              <w:rPr>
                <w:rFonts w:hint="eastAsia" w:ascii="仿宋_GB2312" w:hAnsi="宋体" w:eastAsia="仿宋_GB2312" w:cs="Times New Roman"/>
                <w:color w:val="auto"/>
                <w:kern w:val="0"/>
                <w:sz w:val="13"/>
                <w:szCs w:val="13"/>
                <w:highlight w:val="none"/>
                <w:lang w:val="en-US" w:eastAsia="zh-CN"/>
              </w:rPr>
            </w:pPr>
            <w:r>
              <w:rPr>
                <w:rFonts w:hint="eastAsia" w:ascii="仿宋_GB2312" w:hAnsi="宋体" w:eastAsia="仿宋_GB2312" w:cs="Times New Roman"/>
                <w:color w:val="auto"/>
                <w:kern w:val="0"/>
                <w:sz w:val="13"/>
                <w:szCs w:val="13"/>
                <w:highlight w:val="none"/>
                <w:lang w:val="en-US" w:eastAsia="zh-CN"/>
              </w:rPr>
              <w:t>（二）不符合安全、防灾等工程建设强制性标准的；</w:t>
            </w:r>
          </w:p>
          <w:p w14:paraId="252D8B3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0" w:firstLineChars="200"/>
              <w:rPr>
                <w:rFonts w:hint="eastAsia" w:ascii="仿宋_GB2312" w:hAnsi="宋体" w:eastAsia="仿宋_GB2312" w:cs="Times New Roman"/>
                <w:color w:val="auto"/>
                <w:kern w:val="0"/>
                <w:sz w:val="13"/>
                <w:szCs w:val="13"/>
                <w:highlight w:val="none"/>
                <w:lang w:val="en-US" w:eastAsia="zh-CN"/>
              </w:rPr>
            </w:pPr>
            <w:r>
              <w:rPr>
                <w:rFonts w:hint="eastAsia" w:ascii="仿宋_GB2312" w:hAnsi="宋体" w:eastAsia="仿宋_GB2312" w:cs="Times New Roman"/>
                <w:color w:val="auto"/>
                <w:kern w:val="0"/>
                <w:sz w:val="13"/>
                <w:szCs w:val="13"/>
                <w:highlight w:val="none"/>
                <w:lang w:val="en-US" w:eastAsia="zh-CN"/>
              </w:rPr>
              <w:t>（三）违反规定改变房屋使用性质的；</w:t>
            </w:r>
          </w:p>
          <w:p w14:paraId="2784CA2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0" w:firstLineChars="200"/>
              <w:rPr>
                <w:rFonts w:hint="eastAsia" w:ascii="仿宋_GB2312" w:hAnsi="宋体" w:eastAsia="仿宋_GB2312" w:cs="Times New Roman"/>
                <w:color w:val="auto"/>
                <w:kern w:val="0"/>
                <w:sz w:val="13"/>
                <w:szCs w:val="13"/>
                <w:highlight w:val="none"/>
                <w:lang w:val="en-US" w:eastAsia="zh-CN"/>
              </w:rPr>
            </w:pPr>
            <w:r>
              <w:rPr>
                <w:rFonts w:hint="eastAsia" w:ascii="仿宋_GB2312" w:hAnsi="宋体" w:eastAsia="仿宋_GB2312" w:cs="Times New Roman"/>
                <w:color w:val="auto"/>
                <w:kern w:val="0"/>
                <w:sz w:val="13"/>
                <w:szCs w:val="13"/>
                <w:highlight w:val="none"/>
                <w:lang w:val="en-US" w:eastAsia="zh-CN"/>
              </w:rPr>
              <w:t>（四）法律、法规规定禁止出租的其他情形。</w:t>
            </w:r>
          </w:p>
        </w:tc>
        <w:tc>
          <w:tcPr>
            <w:tcW w:w="823" w:type="dxa"/>
            <w:tcBorders>
              <w:tl2br w:val="nil"/>
              <w:tr2bl w:val="nil"/>
            </w:tcBorders>
            <w:tcMar>
              <w:top w:w="15" w:type="dxa"/>
              <w:left w:w="15" w:type="dxa"/>
              <w:bottom w:w="15" w:type="dxa"/>
              <w:right w:w="15" w:type="dxa"/>
            </w:tcMar>
            <w:vAlign w:val="center"/>
          </w:tcPr>
          <w:p w14:paraId="70CBE9D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s="Times New Roman"/>
                <w:color w:val="auto"/>
                <w:kern w:val="0"/>
                <w:sz w:val="13"/>
                <w:szCs w:val="13"/>
                <w:highlight w:val="none"/>
                <w:lang w:eastAsia="zh-CN"/>
              </w:rPr>
              <w:t>从轻情节</w:t>
            </w:r>
          </w:p>
        </w:tc>
        <w:tc>
          <w:tcPr>
            <w:tcW w:w="3437" w:type="dxa"/>
            <w:gridSpan w:val="2"/>
            <w:tcBorders>
              <w:tl2br w:val="nil"/>
              <w:tr2bl w:val="nil"/>
            </w:tcBorders>
            <w:tcMar>
              <w:top w:w="15" w:type="dxa"/>
              <w:left w:w="15" w:type="dxa"/>
              <w:bottom w:w="15" w:type="dxa"/>
              <w:right w:w="15" w:type="dxa"/>
            </w:tcMar>
            <w:vAlign w:val="center"/>
          </w:tcPr>
          <w:p w14:paraId="4ACFD1C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初次违法，危害后果轻微，主动采取措施消除或减轻违法行为危害后果。</w:t>
            </w:r>
          </w:p>
        </w:tc>
        <w:tc>
          <w:tcPr>
            <w:tcW w:w="3064" w:type="dxa"/>
            <w:gridSpan w:val="2"/>
            <w:tcBorders>
              <w:tl2br w:val="nil"/>
              <w:tr2bl w:val="nil"/>
            </w:tcBorders>
            <w:tcMar>
              <w:top w:w="15" w:type="dxa"/>
              <w:left w:w="15" w:type="dxa"/>
              <w:bottom w:w="15" w:type="dxa"/>
              <w:right w:w="15" w:type="dxa"/>
            </w:tcMar>
            <w:vAlign w:val="center"/>
          </w:tcPr>
          <w:p w14:paraId="4038F5B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责令限期改正，对没有违法所得的，可处以1千5百元以下罚款；对有违法所得的，可以处以违法所得1倍以上1.5倍以下，但不超过2万元的罚款。</w:t>
            </w:r>
          </w:p>
        </w:tc>
      </w:tr>
      <w:tr w14:paraId="6BAE0A9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7" w:hRule="atLeast"/>
          <w:jc w:val="center"/>
        </w:trPr>
        <w:tc>
          <w:tcPr>
            <w:tcW w:w="443" w:type="dxa"/>
            <w:gridSpan w:val="2"/>
            <w:vMerge w:val="continue"/>
            <w:tcBorders>
              <w:tl2br w:val="nil"/>
              <w:tr2bl w:val="nil"/>
            </w:tcBorders>
            <w:vAlign w:val="center"/>
          </w:tcPr>
          <w:p w14:paraId="0BDD6EE4">
            <w:pPr>
              <w:pStyle w:val="37"/>
              <w:keepNext w:val="0"/>
              <w:keepLines w:val="0"/>
              <w:pageBreakBefore w:val="0"/>
              <w:widowControl/>
              <w:numPr>
                <w:ilvl w:val="0"/>
                <w:numId w:val="4"/>
              </w:numPr>
              <w:kinsoku/>
              <w:overflowPunct/>
              <w:topLinePunct w:val="0"/>
              <w:autoSpaceDE/>
              <w:autoSpaceDN/>
              <w:bidi w:val="0"/>
              <w:adjustRightInd/>
              <w:snapToGrid/>
              <w:spacing w:beforeAutospacing="0" w:afterAutospacing="0" w:line="260" w:lineRule="exact"/>
              <w:ind w:left="638" w:leftChars="88" w:right="0" w:rightChars="0" w:hanging="453" w:hangingChars="349"/>
              <w:jc w:val="center"/>
              <w:rPr>
                <w:rFonts w:ascii="仿宋_GB2312" w:hAnsi="宋体" w:eastAsia="仿宋_GB2312"/>
                <w:color w:val="auto"/>
                <w:sz w:val="13"/>
                <w:szCs w:val="13"/>
                <w:highlight w:val="none"/>
              </w:rPr>
            </w:pPr>
          </w:p>
        </w:tc>
        <w:tc>
          <w:tcPr>
            <w:tcW w:w="1550" w:type="dxa"/>
            <w:vMerge w:val="continue"/>
            <w:tcBorders>
              <w:tl2br w:val="nil"/>
              <w:tr2bl w:val="nil"/>
            </w:tcBorders>
            <w:vAlign w:val="center"/>
          </w:tcPr>
          <w:p w14:paraId="58526ED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4E7F330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5C655D6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s="Times New Roman"/>
                <w:color w:val="auto"/>
                <w:kern w:val="0"/>
                <w:sz w:val="13"/>
                <w:szCs w:val="13"/>
                <w:highlight w:val="none"/>
                <w:lang w:eastAsia="zh-CN"/>
              </w:rPr>
              <w:t>一般情节</w:t>
            </w:r>
          </w:p>
        </w:tc>
        <w:tc>
          <w:tcPr>
            <w:tcW w:w="3437" w:type="dxa"/>
            <w:gridSpan w:val="2"/>
            <w:tcBorders>
              <w:tl2br w:val="nil"/>
              <w:tr2bl w:val="nil"/>
            </w:tcBorders>
            <w:tcMar>
              <w:top w:w="15" w:type="dxa"/>
              <w:left w:w="15" w:type="dxa"/>
              <w:bottom w:w="15" w:type="dxa"/>
              <w:right w:w="15" w:type="dxa"/>
            </w:tcMar>
            <w:vAlign w:val="center"/>
          </w:tcPr>
          <w:p w14:paraId="324A8C1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实施违法行为，造成不良社会影响，不具有从轻、</w:t>
            </w:r>
            <w:r>
              <w:rPr>
                <w:rFonts w:hint="eastAsia" w:ascii="仿宋_GB2312" w:hAnsi="宋体" w:eastAsia="仿宋_GB2312" w:cs="Times New Roman"/>
                <w:color w:val="auto"/>
                <w:kern w:val="0"/>
                <w:sz w:val="13"/>
                <w:szCs w:val="13"/>
                <w:highlight w:val="none"/>
                <w:lang w:eastAsia="zh-CN"/>
              </w:rPr>
              <w:t>从重情节</w:t>
            </w:r>
            <w:r>
              <w:rPr>
                <w:rFonts w:hint="eastAsia" w:ascii="仿宋_GB2312" w:hAnsi="宋体" w:eastAsia="仿宋_GB2312" w:cs="Times New Roman"/>
                <w:color w:val="auto"/>
                <w:kern w:val="0"/>
                <w:sz w:val="13"/>
                <w:szCs w:val="13"/>
                <w:highlight w:val="none"/>
              </w:rPr>
              <w:t>的。</w:t>
            </w:r>
          </w:p>
        </w:tc>
        <w:tc>
          <w:tcPr>
            <w:tcW w:w="3064" w:type="dxa"/>
            <w:gridSpan w:val="2"/>
            <w:tcBorders>
              <w:tl2br w:val="nil"/>
              <w:tr2bl w:val="nil"/>
            </w:tcBorders>
            <w:tcMar>
              <w:top w:w="15" w:type="dxa"/>
              <w:left w:w="15" w:type="dxa"/>
              <w:bottom w:w="15" w:type="dxa"/>
              <w:right w:w="15" w:type="dxa"/>
            </w:tcMar>
            <w:vAlign w:val="center"/>
          </w:tcPr>
          <w:p w14:paraId="0E0B22D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责令限期改正，对没有违法所得的，处以1千5百元以上3千5百元以下罚款；对有违法所得的，处以违法所得1.5倍以上2.5倍以下，但不超过2.5万元的罚款。</w:t>
            </w:r>
          </w:p>
        </w:tc>
      </w:tr>
      <w:tr w14:paraId="2F82FCB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5" w:hRule="atLeast"/>
          <w:jc w:val="center"/>
        </w:trPr>
        <w:tc>
          <w:tcPr>
            <w:tcW w:w="443" w:type="dxa"/>
            <w:gridSpan w:val="2"/>
            <w:vMerge w:val="continue"/>
            <w:tcBorders>
              <w:tl2br w:val="nil"/>
              <w:tr2bl w:val="nil"/>
            </w:tcBorders>
            <w:vAlign w:val="center"/>
          </w:tcPr>
          <w:p w14:paraId="6CC08BBD">
            <w:pPr>
              <w:pStyle w:val="37"/>
              <w:keepNext w:val="0"/>
              <w:keepLines w:val="0"/>
              <w:pageBreakBefore w:val="0"/>
              <w:widowControl/>
              <w:numPr>
                <w:ilvl w:val="0"/>
                <w:numId w:val="4"/>
              </w:numPr>
              <w:kinsoku/>
              <w:overflowPunct/>
              <w:topLinePunct w:val="0"/>
              <w:autoSpaceDE/>
              <w:autoSpaceDN/>
              <w:bidi w:val="0"/>
              <w:adjustRightInd/>
              <w:snapToGrid/>
              <w:spacing w:beforeAutospacing="0" w:afterAutospacing="0" w:line="260" w:lineRule="exact"/>
              <w:ind w:left="638" w:leftChars="88" w:right="0" w:rightChars="0" w:hanging="453" w:hangingChars="349"/>
              <w:jc w:val="center"/>
              <w:rPr>
                <w:rFonts w:ascii="仿宋_GB2312" w:hAnsi="宋体" w:eastAsia="仿宋_GB2312"/>
                <w:color w:val="auto"/>
                <w:sz w:val="13"/>
                <w:szCs w:val="13"/>
                <w:highlight w:val="none"/>
              </w:rPr>
            </w:pPr>
          </w:p>
        </w:tc>
        <w:tc>
          <w:tcPr>
            <w:tcW w:w="1550" w:type="dxa"/>
            <w:vMerge w:val="continue"/>
            <w:tcBorders>
              <w:tl2br w:val="nil"/>
              <w:tr2bl w:val="nil"/>
            </w:tcBorders>
            <w:vAlign w:val="center"/>
          </w:tcPr>
          <w:p w14:paraId="714D073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5AC5E88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638D077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s="Times New Roman"/>
                <w:color w:val="auto"/>
                <w:kern w:val="0"/>
                <w:sz w:val="13"/>
                <w:szCs w:val="13"/>
                <w:highlight w:val="none"/>
                <w:lang w:eastAsia="zh-CN"/>
              </w:rPr>
              <w:t>从重情节</w:t>
            </w:r>
          </w:p>
        </w:tc>
        <w:tc>
          <w:tcPr>
            <w:tcW w:w="3437" w:type="dxa"/>
            <w:gridSpan w:val="2"/>
            <w:tcBorders>
              <w:tl2br w:val="nil"/>
              <w:tr2bl w:val="nil"/>
            </w:tcBorders>
            <w:tcMar>
              <w:top w:w="15" w:type="dxa"/>
              <w:left w:w="15" w:type="dxa"/>
              <w:bottom w:w="15" w:type="dxa"/>
              <w:right w:w="15" w:type="dxa"/>
            </w:tcMar>
            <w:vAlign w:val="center"/>
          </w:tcPr>
          <w:p w14:paraId="2D6A127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lang w:val="en-US" w:eastAsia="zh-CN"/>
              </w:rPr>
              <w:t>有下列情形之一的：</w:t>
            </w:r>
            <w:r>
              <w:rPr>
                <w:rFonts w:hint="eastAsia" w:ascii="仿宋_GB2312" w:hAnsi="宋体" w:eastAsia="仿宋_GB2312" w:cs="Times New Roman"/>
                <w:color w:val="auto"/>
                <w:kern w:val="0"/>
                <w:sz w:val="13"/>
                <w:szCs w:val="13"/>
                <w:highlight w:val="none"/>
              </w:rPr>
              <w:t>（1）经责令停止违法行为后，继续实施违法行为的；（2）2年内2次及以上同类型违法；（3）足以影响房地产市场秩序和社会稳定的。</w:t>
            </w:r>
          </w:p>
        </w:tc>
        <w:tc>
          <w:tcPr>
            <w:tcW w:w="3064" w:type="dxa"/>
            <w:gridSpan w:val="2"/>
            <w:tcBorders>
              <w:tl2br w:val="nil"/>
              <w:tr2bl w:val="nil"/>
            </w:tcBorders>
            <w:tcMar>
              <w:top w:w="15" w:type="dxa"/>
              <w:left w:w="15" w:type="dxa"/>
              <w:bottom w:w="15" w:type="dxa"/>
              <w:right w:w="15" w:type="dxa"/>
            </w:tcMar>
            <w:vAlign w:val="center"/>
          </w:tcPr>
          <w:p w14:paraId="29121C3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责令限期改正，对没有违法所得的，处以3千5百元以上5千元以下罚款；对有违法所得的，处以违法所得2.5倍以上3倍以下，但不超过3万元的罚款。</w:t>
            </w:r>
          </w:p>
        </w:tc>
      </w:tr>
      <w:tr w14:paraId="0FFA33B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0" w:hRule="atLeast"/>
          <w:jc w:val="center"/>
        </w:trPr>
        <w:tc>
          <w:tcPr>
            <w:tcW w:w="443" w:type="dxa"/>
            <w:gridSpan w:val="2"/>
            <w:vMerge w:val="restart"/>
            <w:tcBorders>
              <w:tl2br w:val="nil"/>
              <w:tr2bl w:val="nil"/>
            </w:tcBorders>
            <w:vAlign w:val="center"/>
          </w:tcPr>
          <w:p w14:paraId="2A762445">
            <w:pPr>
              <w:keepNext w:val="0"/>
              <w:keepLines w:val="0"/>
              <w:pageBreakBefore w:val="0"/>
              <w:widowControl/>
              <w:numPr>
                <w:ilvl w:val="0"/>
                <w:numId w:val="6"/>
              </w:numPr>
              <w:suppressLineNumbers w:val="0"/>
              <w:tabs>
                <w:tab w:val="clear" w:pos="397"/>
              </w:tabs>
              <w:kinsoku/>
              <w:overflowPunct/>
              <w:topLinePunct w:val="0"/>
              <w:autoSpaceDE/>
              <w:autoSpaceDN/>
              <w:bidi w:val="0"/>
              <w:adjustRightInd/>
              <w:snapToGrid/>
              <w:spacing w:beforeAutospacing="0" w:afterAutospacing="0" w:line="260" w:lineRule="exact"/>
              <w:ind w:left="638" w:leftChars="88" w:right="0" w:rightChars="0" w:hanging="453" w:hangingChars="349"/>
              <w:jc w:val="center"/>
              <w:textAlignment w:val="center"/>
              <w:rPr>
                <w:rFonts w:hint="default" w:ascii="仿宋_GB2312" w:hAnsi="宋体" w:eastAsia="仿宋_GB2312"/>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241</w:t>
            </w:r>
          </w:p>
        </w:tc>
        <w:tc>
          <w:tcPr>
            <w:tcW w:w="1550" w:type="dxa"/>
            <w:vMerge w:val="restart"/>
            <w:tcBorders>
              <w:tl2br w:val="nil"/>
              <w:tr2bl w:val="nil"/>
            </w:tcBorders>
            <w:vAlign w:val="center"/>
          </w:tcPr>
          <w:p w14:paraId="7C1D139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Times New Roman"/>
                <w:color w:val="auto"/>
                <w:kern w:val="0"/>
                <w:sz w:val="13"/>
                <w:szCs w:val="13"/>
                <w:highlight w:val="none"/>
              </w:rPr>
            </w:pPr>
          </w:p>
          <w:p w14:paraId="11278D6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出租住房，未按原设计的房间为最小出租单位，人均租住建筑面积低于当地政府规定的最低标准的</w:t>
            </w:r>
          </w:p>
          <w:p w14:paraId="1EABEB5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厨房、卫生间、阳台和地下储藏室出租供人员居住的</w:t>
            </w:r>
          </w:p>
        </w:tc>
        <w:tc>
          <w:tcPr>
            <w:tcW w:w="4820" w:type="dxa"/>
            <w:vMerge w:val="restart"/>
            <w:tcBorders>
              <w:tl2br w:val="nil"/>
              <w:tr2bl w:val="nil"/>
            </w:tcBorders>
            <w:vAlign w:val="center"/>
          </w:tcPr>
          <w:p w14:paraId="797AD3F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Times New Roman"/>
                <w:color w:val="auto"/>
                <w:kern w:val="0"/>
                <w:sz w:val="13"/>
                <w:szCs w:val="13"/>
                <w:highlight w:val="none"/>
              </w:rPr>
            </w:pPr>
          </w:p>
          <w:p w14:paraId="43AEF93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《商品房屋租赁管理办法》</w:t>
            </w:r>
            <w:r>
              <w:rPr>
                <w:rFonts w:hint="eastAsia" w:ascii="仿宋_GB2312" w:hAnsi="宋体" w:eastAsia="仿宋_GB2312" w:cs="Times New Roman"/>
                <w:b/>
                <w:bCs/>
                <w:color w:val="auto"/>
                <w:kern w:val="0"/>
                <w:sz w:val="13"/>
                <w:szCs w:val="13"/>
                <w:highlight w:val="none"/>
              </w:rPr>
              <w:t>第二十二条</w:t>
            </w:r>
            <w:r>
              <w:rPr>
                <w:rFonts w:hint="eastAsia" w:ascii="仿宋_GB2312" w:hAnsi="宋体" w:eastAsia="仿宋_GB2312" w:cs="Times New Roman"/>
                <w:b/>
                <w:bCs/>
                <w:color w:val="auto"/>
                <w:kern w:val="0"/>
                <w:sz w:val="13"/>
                <w:szCs w:val="13"/>
                <w:highlight w:val="none"/>
                <w:lang w:eastAsia="zh-CN"/>
              </w:rPr>
              <w:t>：</w:t>
            </w:r>
            <w:r>
              <w:rPr>
                <w:rFonts w:hint="eastAsia" w:ascii="仿宋_GB2312" w:hAnsi="宋体" w:eastAsia="仿宋_GB2312" w:cs="Times New Roman"/>
                <w:color w:val="auto"/>
                <w:kern w:val="0"/>
                <w:sz w:val="13"/>
                <w:szCs w:val="13"/>
                <w:highlight w:val="none"/>
              </w:rPr>
              <w:t>违反本办法第八条规定的，由直辖市、市、县人民政府建设（房地产）主管部门责令限期改正，逾期不改正的，可处以五千元以上三万元以下罚款。</w:t>
            </w:r>
          </w:p>
          <w:p w14:paraId="08F194F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1" w:firstLineChars="200"/>
              <w:textAlignment w:val="center"/>
              <w:rPr>
                <w:rFonts w:hint="eastAsia" w:ascii="仿宋_GB2312" w:hAnsi="宋体" w:eastAsia="仿宋_GB2312" w:cs="Times New Roman"/>
                <w:color w:val="auto"/>
                <w:kern w:val="0"/>
                <w:sz w:val="13"/>
                <w:szCs w:val="13"/>
                <w:highlight w:val="none"/>
              </w:rPr>
            </w:pPr>
            <w:r>
              <w:rPr>
                <w:rFonts w:hint="eastAsia" w:ascii="仿宋_GB2312" w:hAnsi="宋体" w:eastAsia="仿宋_GB2312" w:cs="Times New Roman"/>
                <w:b/>
                <w:bCs/>
                <w:color w:val="auto"/>
                <w:kern w:val="0"/>
                <w:sz w:val="13"/>
                <w:szCs w:val="13"/>
                <w:highlight w:val="none"/>
              </w:rPr>
              <w:t>第八条</w:t>
            </w:r>
            <w:r>
              <w:rPr>
                <w:rFonts w:hint="eastAsia" w:ascii="仿宋_GB2312" w:hAnsi="宋体" w:eastAsia="仿宋_GB2312" w:cs="Times New Roman"/>
                <w:b/>
                <w:bCs/>
                <w:color w:val="auto"/>
                <w:kern w:val="0"/>
                <w:sz w:val="13"/>
                <w:szCs w:val="13"/>
                <w:highlight w:val="none"/>
                <w:lang w:eastAsia="zh-CN"/>
              </w:rPr>
              <w:t>：</w:t>
            </w:r>
            <w:r>
              <w:rPr>
                <w:rFonts w:hint="eastAsia" w:ascii="仿宋_GB2312" w:hAnsi="宋体" w:eastAsia="仿宋_GB2312" w:cs="Times New Roman"/>
                <w:color w:val="auto"/>
                <w:kern w:val="0"/>
                <w:sz w:val="13"/>
                <w:szCs w:val="13"/>
                <w:highlight w:val="none"/>
              </w:rPr>
              <w:t>出租住房的，应当以原设计的房间为最小出租单位，人均租住建筑面积不得低于当地人民政府规定的最低标准。</w:t>
            </w:r>
          </w:p>
          <w:p w14:paraId="30B6D9E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0" w:firstLineChars="200"/>
              <w:textAlignment w:val="center"/>
              <w:rPr>
                <w:rFonts w:hint="eastAsia"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厨房、卫生间、阳台和地下储藏室不得出租供人员居住。</w:t>
            </w:r>
          </w:p>
          <w:p w14:paraId="353E6C9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olor w:val="auto"/>
                <w:kern w:val="0"/>
                <w:sz w:val="13"/>
                <w:szCs w:val="13"/>
                <w:highlight w:val="none"/>
              </w:rPr>
            </w:pPr>
          </w:p>
        </w:tc>
        <w:tc>
          <w:tcPr>
            <w:tcW w:w="823" w:type="dxa"/>
            <w:tcBorders>
              <w:tl2br w:val="nil"/>
              <w:tr2bl w:val="nil"/>
            </w:tcBorders>
            <w:tcMar>
              <w:top w:w="15" w:type="dxa"/>
              <w:left w:w="15" w:type="dxa"/>
              <w:bottom w:w="15" w:type="dxa"/>
              <w:right w:w="15" w:type="dxa"/>
            </w:tcMar>
            <w:vAlign w:val="center"/>
          </w:tcPr>
          <w:p w14:paraId="214D9C8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s="Times New Roman"/>
                <w:color w:val="auto"/>
                <w:kern w:val="0"/>
                <w:sz w:val="13"/>
                <w:szCs w:val="13"/>
                <w:highlight w:val="none"/>
                <w:lang w:eastAsia="zh-CN"/>
              </w:rPr>
              <w:t>从轻情节</w:t>
            </w:r>
          </w:p>
        </w:tc>
        <w:tc>
          <w:tcPr>
            <w:tcW w:w="3437" w:type="dxa"/>
            <w:gridSpan w:val="2"/>
            <w:tcBorders>
              <w:tl2br w:val="nil"/>
              <w:tr2bl w:val="nil"/>
            </w:tcBorders>
            <w:tcMar>
              <w:top w:w="15" w:type="dxa"/>
              <w:left w:w="15" w:type="dxa"/>
              <w:bottom w:w="15" w:type="dxa"/>
              <w:right w:w="15" w:type="dxa"/>
            </w:tcMar>
            <w:vAlign w:val="center"/>
          </w:tcPr>
          <w:p w14:paraId="56B1DF4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初次违法，危害后果轻微，主动采取措施消除或减轻违法行为危害后果。</w:t>
            </w:r>
          </w:p>
        </w:tc>
        <w:tc>
          <w:tcPr>
            <w:tcW w:w="3064" w:type="dxa"/>
            <w:gridSpan w:val="2"/>
            <w:tcBorders>
              <w:tl2br w:val="nil"/>
              <w:tr2bl w:val="nil"/>
            </w:tcBorders>
            <w:tcMar>
              <w:top w:w="15" w:type="dxa"/>
              <w:left w:w="15" w:type="dxa"/>
              <w:bottom w:w="15" w:type="dxa"/>
              <w:right w:w="15" w:type="dxa"/>
            </w:tcMar>
            <w:vAlign w:val="center"/>
          </w:tcPr>
          <w:p w14:paraId="5FB271A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责令限期改正。</w:t>
            </w:r>
          </w:p>
        </w:tc>
      </w:tr>
      <w:tr w14:paraId="5AF6D11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6" w:hRule="atLeast"/>
          <w:jc w:val="center"/>
        </w:trPr>
        <w:tc>
          <w:tcPr>
            <w:tcW w:w="443" w:type="dxa"/>
            <w:gridSpan w:val="2"/>
            <w:vMerge w:val="continue"/>
            <w:tcBorders>
              <w:tl2br w:val="nil"/>
              <w:tr2bl w:val="nil"/>
            </w:tcBorders>
            <w:vAlign w:val="center"/>
          </w:tcPr>
          <w:p w14:paraId="4F17E84B">
            <w:pPr>
              <w:pStyle w:val="37"/>
              <w:keepNext w:val="0"/>
              <w:keepLines w:val="0"/>
              <w:pageBreakBefore w:val="0"/>
              <w:widowControl/>
              <w:numPr>
                <w:ilvl w:val="0"/>
                <w:numId w:val="4"/>
              </w:numPr>
              <w:kinsoku/>
              <w:overflowPunct/>
              <w:topLinePunct w:val="0"/>
              <w:autoSpaceDE/>
              <w:autoSpaceDN/>
              <w:bidi w:val="0"/>
              <w:adjustRightInd/>
              <w:snapToGrid/>
              <w:spacing w:beforeAutospacing="0" w:afterAutospacing="0" w:line="260" w:lineRule="exact"/>
              <w:ind w:left="638" w:leftChars="88" w:right="0" w:rightChars="0" w:hanging="453" w:hangingChars="349"/>
              <w:jc w:val="center"/>
              <w:rPr>
                <w:rFonts w:ascii="仿宋_GB2312" w:hAnsi="宋体" w:eastAsia="仿宋_GB2312"/>
                <w:color w:val="auto"/>
                <w:sz w:val="13"/>
                <w:szCs w:val="13"/>
                <w:highlight w:val="none"/>
              </w:rPr>
            </w:pPr>
          </w:p>
        </w:tc>
        <w:tc>
          <w:tcPr>
            <w:tcW w:w="1550" w:type="dxa"/>
            <w:vMerge w:val="continue"/>
            <w:tcBorders>
              <w:tl2br w:val="nil"/>
              <w:tr2bl w:val="nil"/>
            </w:tcBorders>
            <w:vAlign w:val="center"/>
          </w:tcPr>
          <w:p w14:paraId="3CD1149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1439FB8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olor w:val="auto"/>
                <w:kern w:val="0"/>
                <w:sz w:val="13"/>
                <w:szCs w:val="13"/>
                <w:highlight w:val="none"/>
              </w:rPr>
            </w:pPr>
          </w:p>
        </w:tc>
        <w:tc>
          <w:tcPr>
            <w:tcW w:w="823" w:type="dxa"/>
            <w:tcBorders>
              <w:tl2br w:val="nil"/>
              <w:tr2bl w:val="nil"/>
            </w:tcBorders>
            <w:tcMar>
              <w:top w:w="15" w:type="dxa"/>
              <w:left w:w="15" w:type="dxa"/>
              <w:bottom w:w="15" w:type="dxa"/>
              <w:right w:w="15" w:type="dxa"/>
            </w:tcMar>
            <w:vAlign w:val="center"/>
          </w:tcPr>
          <w:p w14:paraId="4DFB768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s="Times New Roman"/>
                <w:color w:val="auto"/>
                <w:kern w:val="0"/>
                <w:sz w:val="13"/>
                <w:szCs w:val="13"/>
                <w:highlight w:val="none"/>
                <w:lang w:eastAsia="zh-CN"/>
              </w:rPr>
              <w:t>一般情节</w:t>
            </w:r>
          </w:p>
        </w:tc>
        <w:tc>
          <w:tcPr>
            <w:tcW w:w="3437" w:type="dxa"/>
            <w:gridSpan w:val="2"/>
            <w:tcBorders>
              <w:tl2br w:val="nil"/>
              <w:tr2bl w:val="nil"/>
            </w:tcBorders>
            <w:tcMar>
              <w:top w:w="15" w:type="dxa"/>
              <w:left w:w="15" w:type="dxa"/>
              <w:bottom w:w="15" w:type="dxa"/>
              <w:right w:w="15" w:type="dxa"/>
            </w:tcMar>
            <w:vAlign w:val="center"/>
          </w:tcPr>
          <w:p w14:paraId="136EF22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经责令限期改正，逾期1个月以下。</w:t>
            </w:r>
          </w:p>
        </w:tc>
        <w:tc>
          <w:tcPr>
            <w:tcW w:w="3064" w:type="dxa"/>
            <w:gridSpan w:val="2"/>
            <w:tcBorders>
              <w:tl2br w:val="nil"/>
              <w:tr2bl w:val="nil"/>
            </w:tcBorders>
            <w:tcMar>
              <w:top w:w="15" w:type="dxa"/>
              <w:left w:w="15" w:type="dxa"/>
              <w:bottom w:w="15" w:type="dxa"/>
              <w:right w:w="15" w:type="dxa"/>
            </w:tcMar>
            <w:vAlign w:val="center"/>
          </w:tcPr>
          <w:p w14:paraId="0E88630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可处以5千元以上2万元以下罚款。</w:t>
            </w:r>
          </w:p>
        </w:tc>
      </w:tr>
      <w:tr w14:paraId="5556DCC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7" w:hRule="atLeast"/>
          <w:jc w:val="center"/>
        </w:trPr>
        <w:tc>
          <w:tcPr>
            <w:tcW w:w="443" w:type="dxa"/>
            <w:gridSpan w:val="2"/>
            <w:vMerge w:val="continue"/>
            <w:tcBorders>
              <w:tl2br w:val="nil"/>
              <w:tr2bl w:val="nil"/>
            </w:tcBorders>
            <w:vAlign w:val="center"/>
          </w:tcPr>
          <w:p w14:paraId="13EA15F3">
            <w:pPr>
              <w:pStyle w:val="37"/>
              <w:keepNext w:val="0"/>
              <w:keepLines w:val="0"/>
              <w:pageBreakBefore w:val="0"/>
              <w:widowControl/>
              <w:numPr>
                <w:ilvl w:val="0"/>
                <w:numId w:val="4"/>
              </w:numPr>
              <w:kinsoku/>
              <w:overflowPunct/>
              <w:topLinePunct w:val="0"/>
              <w:autoSpaceDE/>
              <w:autoSpaceDN/>
              <w:bidi w:val="0"/>
              <w:adjustRightInd/>
              <w:snapToGrid/>
              <w:spacing w:beforeAutospacing="0" w:afterAutospacing="0" w:line="260" w:lineRule="exact"/>
              <w:ind w:left="638" w:leftChars="88" w:right="0" w:rightChars="0" w:hanging="453" w:hangingChars="349"/>
              <w:jc w:val="center"/>
              <w:rPr>
                <w:rFonts w:ascii="仿宋_GB2312" w:hAnsi="宋体" w:eastAsia="仿宋_GB2312"/>
                <w:color w:val="auto"/>
                <w:sz w:val="13"/>
                <w:szCs w:val="13"/>
                <w:highlight w:val="none"/>
              </w:rPr>
            </w:pPr>
          </w:p>
        </w:tc>
        <w:tc>
          <w:tcPr>
            <w:tcW w:w="1550" w:type="dxa"/>
            <w:vMerge w:val="continue"/>
            <w:tcBorders>
              <w:tl2br w:val="nil"/>
              <w:tr2bl w:val="nil"/>
            </w:tcBorders>
            <w:vAlign w:val="center"/>
          </w:tcPr>
          <w:p w14:paraId="2E62E3F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5F206B1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olor w:val="auto"/>
                <w:kern w:val="0"/>
                <w:sz w:val="13"/>
                <w:szCs w:val="13"/>
                <w:highlight w:val="none"/>
              </w:rPr>
            </w:pPr>
          </w:p>
        </w:tc>
        <w:tc>
          <w:tcPr>
            <w:tcW w:w="823" w:type="dxa"/>
            <w:tcBorders>
              <w:tl2br w:val="nil"/>
              <w:tr2bl w:val="nil"/>
            </w:tcBorders>
            <w:tcMar>
              <w:top w:w="15" w:type="dxa"/>
              <w:left w:w="15" w:type="dxa"/>
              <w:bottom w:w="15" w:type="dxa"/>
              <w:right w:w="15" w:type="dxa"/>
            </w:tcMar>
            <w:vAlign w:val="center"/>
          </w:tcPr>
          <w:p w14:paraId="6BD1699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s="Times New Roman"/>
                <w:color w:val="auto"/>
                <w:kern w:val="0"/>
                <w:sz w:val="13"/>
                <w:szCs w:val="13"/>
                <w:highlight w:val="none"/>
                <w:lang w:eastAsia="zh-CN"/>
              </w:rPr>
              <w:t>从重情节</w:t>
            </w:r>
          </w:p>
        </w:tc>
        <w:tc>
          <w:tcPr>
            <w:tcW w:w="3437" w:type="dxa"/>
            <w:gridSpan w:val="2"/>
            <w:tcBorders>
              <w:tl2br w:val="nil"/>
              <w:tr2bl w:val="nil"/>
            </w:tcBorders>
            <w:tcMar>
              <w:top w:w="15" w:type="dxa"/>
              <w:left w:w="15" w:type="dxa"/>
              <w:bottom w:w="15" w:type="dxa"/>
              <w:right w:w="15" w:type="dxa"/>
            </w:tcMar>
            <w:vAlign w:val="center"/>
          </w:tcPr>
          <w:p w14:paraId="770E876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经责令限期改正，逾期1个月以上</w:t>
            </w:r>
            <w:r>
              <w:rPr>
                <w:rFonts w:hint="eastAsia" w:ascii="仿宋_GB2312" w:hAnsi="宋体" w:eastAsia="仿宋_GB2312" w:cs="Times New Roman"/>
                <w:color w:val="auto"/>
                <w:kern w:val="0"/>
                <w:sz w:val="13"/>
                <w:szCs w:val="13"/>
                <w:highlight w:val="none"/>
                <w:lang w:eastAsia="zh-CN"/>
              </w:rPr>
              <w:t>，</w:t>
            </w:r>
            <w:r>
              <w:rPr>
                <w:rFonts w:hint="eastAsia" w:ascii="仿宋_GB2312" w:hAnsi="宋体" w:eastAsia="仿宋_GB2312" w:cs="Times New Roman"/>
                <w:color w:val="auto"/>
                <w:kern w:val="0"/>
                <w:sz w:val="13"/>
                <w:szCs w:val="13"/>
                <w:highlight w:val="none"/>
                <w:lang w:val="en-US" w:eastAsia="zh-CN"/>
              </w:rPr>
              <w:t>或</w:t>
            </w:r>
            <w:r>
              <w:rPr>
                <w:rFonts w:hint="eastAsia" w:ascii="仿宋_GB2312" w:hAnsi="宋体" w:eastAsia="仿宋_GB2312" w:cs="Times New Roman"/>
                <w:color w:val="auto"/>
                <w:kern w:val="0"/>
                <w:sz w:val="13"/>
                <w:szCs w:val="13"/>
                <w:highlight w:val="none"/>
              </w:rPr>
              <w:t>2年内2次及以上同类型违法。</w:t>
            </w:r>
          </w:p>
        </w:tc>
        <w:tc>
          <w:tcPr>
            <w:tcW w:w="3064" w:type="dxa"/>
            <w:gridSpan w:val="2"/>
            <w:tcBorders>
              <w:tl2br w:val="nil"/>
              <w:tr2bl w:val="nil"/>
            </w:tcBorders>
            <w:tcMar>
              <w:top w:w="15" w:type="dxa"/>
              <w:left w:w="15" w:type="dxa"/>
              <w:bottom w:w="15" w:type="dxa"/>
              <w:right w:w="15" w:type="dxa"/>
            </w:tcMar>
            <w:vAlign w:val="center"/>
          </w:tcPr>
          <w:p w14:paraId="62CBFF7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可处以2万元以上3万元以下罚款。</w:t>
            </w:r>
          </w:p>
        </w:tc>
      </w:tr>
      <w:tr w14:paraId="1DC9902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04" w:hRule="atLeast"/>
          <w:jc w:val="center"/>
        </w:trPr>
        <w:tc>
          <w:tcPr>
            <w:tcW w:w="443" w:type="dxa"/>
            <w:gridSpan w:val="2"/>
            <w:vMerge w:val="restart"/>
            <w:tcBorders>
              <w:tl2br w:val="nil"/>
              <w:tr2bl w:val="nil"/>
            </w:tcBorders>
            <w:vAlign w:val="center"/>
          </w:tcPr>
          <w:p w14:paraId="234BD598">
            <w:pPr>
              <w:keepNext w:val="0"/>
              <w:keepLines w:val="0"/>
              <w:pageBreakBefore w:val="0"/>
              <w:widowControl/>
              <w:numPr>
                <w:ilvl w:val="0"/>
                <w:numId w:val="6"/>
              </w:numPr>
              <w:suppressLineNumbers w:val="0"/>
              <w:tabs>
                <w:tab w:val="clear" w:pos="397"/>
              </w:tabs>
              <w:kinsoku/>
              <w:overflowPunct/>
              <w:topLinePunct w:val="0"/>
              <w:autoSpaceDE/>
              <w:autoSpaceDN/>
              <w:bidi w:val="0"/>
              <w:adjustRightInd/>
              <w:snapToGrid/>
              <w:spacing w:beforeAutospacing="0" w:afterAutospacing="0" w:line="260" w:lineRule="exact"/>
              <w:ind w:left="638" w:leftChars="88" w:right="0" w:rightChars="0" w:hanging="453" w:hangingChars="349"/>
              <w:jc w:val="center"/>
              <w:textAlignment w:val="center"/>
              <w:rPr>
                <w:rFonts w:hint="default" w:ascii="仿宋_GB2312" w:hAnsi="宋体" w:eastAsia="仿宋_GB2312"/>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242</w:t>
            </w:r>
          </w:p>
        </w:tc>
        <w:tc>
          <w:tcPr>
            <w:tcW w:w="1550" w:type="dxa"/>
            <w:vMerge w:val="restart"/>
            <w:tcBorders>
              <w:tl2br w:val="nil"/>
              <w:tr2bl w:val="nil"/>
            </w:tcBorders>
            <w:vAlign w:val="center"/>
          </w:tcPr>
          <w:p w14:paraId="0EE54D97">
            <w:pPr>
              <w:keepNext w:val="0"/>
              <w:keepLines w:val="0"/>
              <w:pageBreakBefore w:val="0"/>
              <w:kinsoku/>
              <w:overflowPunct/>
              <w:topLinePunct w:val="0"/>
              <w:autoSpaceDE/>
              <w:autoSpaceDN/>
              <w:bidi w:val="0"/>
              <w:adjustRightInd/>
              <w:snapToGrid/>
              <w:spacing w:beforeAutospacing="0" w:afterAutospacing="0"/>
              <w:ind w:left="0" w:leftChars="0" w:right="0" w:rightChars="0"/>
              <w:rPr>
                <w:color w:val="auto"/>
                <w:highlight w:val="none"/>
              </w:rPr>
            </w:pPr>
            <w:r>
              <w:rPr>
                <w:rFonts w:ascii="仿宋_GB2312" w:hAnsi="宋体" w:eastAsia="仿宋_GB2312" w:cs="Times New Roman"/>
                <w:color w:val="auto"/>
                <w:kern w:val="0"/>
                <w:sz w:val="13"/>
                <w:szCs w:val="13"/>
                <w:highlight w:val="none"/>
              </w:rPr>
              <w:t>有下列行为之一的</w:t>
            </w:r>
          </w:p>
          <w:p w14:paraId="0298532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0" w:firstLineChars="200"/>
              <w:textAlignment w:val="center"/>
              <w:rPr>
                <w:rFonts w:ascii="仿宋_GB2312" w:hAnsi="宋体" w:eastAsia="仿宋_GB2312" w:cs="Times New Roman"/>
                <w:color w:val="auto"/>
                <w:kern w:val="0"/>
                <w:sz w:val="13"/>
                <w:szCs w:val="13"/>
                <w:highlight w:val="none"/>
              </w:rPr>
            </w:pPr>
            <w:r>
              <w:rPr>
                <w:rFonts w:ascii="仿宋_GB2312" w:hAnsi="宋体" w:eastAsia="仿宋_GB2312" w:cs="Times New Roman"/>
                <w:color w:val="auto"/>
                <w:kern w:val="0"/>
                <w:sz w:val="13"/>
                <w:szCs w:val="13"/>
                <w:highlight w:val="none"/>
              </w:rPr>
              <w:t>（一）房地产经纪人员以个人名义承接房地产经纪业务和收取费用的；</w:t>
            </w:r>
          </w:p>
          <w:p w14:paraId="1B260B1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0" w:firstLineChars="200"/>
              <w:textAlignment w:val="center"/>
              <w:rPr>
                <w:rFonts w:hint="eastAsia" w:ascii="仿宋_GB2312" w:hAnsi="宋体" w:eastAsia="仿宋_GB2312" w:cs="Times New Roman"/>
                <w:color w:val="auto"/>
                <w:kern w:val="0"/>
                <w:sz w:val="13"/>
                <w:szCs w:val="13"/>
                <w:highlight w:val="none"/>
                <w:lang w:val="en-US" w:eastAsia="zh-CN"/>
              </w:rPr>
            </w:pPr>
            <w:r>
              <w:rPr>
                <w:rFonts w:hint="eastAsia" w:ascii="仿宋_GB2312" w:hAnsi="宋体" w:eastAsia="仿宋_GB2312" w:cs="Times New Roman"/>
                <w:color w:val="auto"/>
                <w:kern w:val="0"/>
                <w:sz w:val="13"/>
                <w:szCs w:val="13"/>
                <w:highlight w:val="none"/>
                <w:lang w:val="en-US" w:eastAsia="zh-CN"/>
              </w:rPr>
              <w:t>（二）房地产经纪机构提供代办贷款、代办房地产登记等其他服务，未向委托人说明服务内容、收费标准等情况，并未经委托人同意的；</w:t>
            </w:r>
          </w:p>
          <w:p w14:paraId="0CD12A6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0" w:firstLineChars="200"/>
              <w:textAlignment w:val="center"/>
              <w:rPr>
                <w:rFonts w:hint="eastAsia" w:ascii="仿宋_GB2312" w:hAnsi="宋体" w:eastAsia="仿宋_GB2312" w:cs="Times New Roman"/>
                <w:color w:val="auto"/>
                <w:kern w:val="0"/>
                <w:sz w:val="13"/>
                <w:szCs w:val="13"/>
                <w:highlight w:val="none"/>
                <w:lang w:val="en-US" w:eastAsia="zh-CN"/>
              </w:rPr>
            </w:pPr>
            <w:r>
              <w:rPr>
                <w:rFonts w:hint="eastAsia" w:ascii="仿宋_GB2312" w:hAnsi="宋体" w:eastAsia="仿宋_GB2312" w:cs="Times New Roman"/>
                <w:color w:val="auto"/>
                <w:kern w:val="0"/>
                <w:sz w:val="13"/>
                <w:szCs w:val="13"/>
                <w:highlight w:val="none"/>
                <w:lang w:val="en-US" w:eastAsia="zh-CN"/>
              </w:rPr>
              <w:t>（三）房地产经纪服务合同未由从事该业务的一名房地产经纪人或者两名房地产经纪人协理签名的；</w:t>
            </w:r>
          </w:p>
          <w:p w14:paraId="30FCCA3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0" w:firstLineChars="200"/>
              <w:textAlignment w:val="center"/>
              <w:rPr>
                <w:rFonts w:hint="eastAsia" w:ascii="仿宋_GB2312" w:hAnsi="宋体" w:eastAsia="仿宋_GB2312" w:cs="Times New Roman"/>
                <w:color w:val="auto"/>
                <w:kern w:val="0"/>
                <w:sz w:val="13"/>
                <w:szCs w:val="13"/>
                <w:highlight w:val="none"/>
                <w:lang w:val="en-US" w:eastAsia="zh-CN"/>
              </w:rPr>
            </w:pPr>
            <w:r>
              <w:rPr>
                <w:rFonts w:hint="eastAsia" w:ascii="仿宋_GB2312" w:hAnsi="宋体" w:eastAsia="仿宋_GB2312" w:cs="Times New Roman"/>
                <w:color w:val="auto"/>
                <w:kern w:val="0"/>
                <w:sz w:val="13"/>
                <w:szCs w:val="13"/>
                <w:highlight w:val="none"/>
                <w:lang w:val="en-US" w:eastAsia="zh-CN"/>
              </w:rPr>
              <w:t>（四）房地产经纪机构签订房地产经纪服务合同前，不向交易当事人说明和书面告知规定事项的；</w:t>
            </w:r>
          </w:p>
          <w:p w14:paraId="4196B1D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0" w:firstLineChars="200"/>
              <w:textAlignment w:val="center"/>
              <w:rPr>
                <w:rFonts w:hint="eastAsia" w:ascii="仿宋_GB2312" w:hAnsi="宋体" w:eastAsia="仿宋_GB2312" w:cs="Times New Roman"/>
                <w:color w:val="auto"/>
                <w:kern w:val="0"/>
                <w:sz w:val="13"/>
                <w:szCs w:val="13"/>
                <w:highlight w:val="none"/>
                <w:lang w:val="en-US" w:eastAsia="zh-CN"/>
              </w:rPr>
            </w:pPr>
            <w:r>
              <w:rPr>
                <w:rFonts w:hint="eastAsia" w:ascii="仿宋_GB2312" w:hAnsi="宋体" w:eastAsia="仿宋_GB2312" w:cs="Times New Roman"/>
                <w:color w:val="auto"/>
                <w:kern w:val="0"/>
                <w:sz w:val="13"/>
                <w:szCs w:val="13"/>
                <w:highlight w:val="none"/>
                <w:lang w:val="en-US" w:eastAsia="zh-CN"/>
              </w:rPr>
              <w:t>（五）房地产经纪机构未按照规定如实记录业务情况或者保存房地产经纪服务合同的。</w:t>
            </w:r>
          </w:p>
          <w:p w14:paraId="59B2AF8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olor w:val="auto"/>
                <w:kern w:val="0"/>
                <w:sz w:val="13"/>
                <w:szCs w:val="13"/>
                <w:highlight w:val="none"/>
              </w:rPr>
            </w:pPr>
          </w:p>
        </w:tc>
        <w:tc>
          <w:tcPr>
            <w:tcW w:w="4820" w:type="dxa"/>
            <w:vMerge w:val="restart"/>
            <w:tcBorders>
              <w:tl2br w:val="nil"/>
              <w:tr2bl w:val="nil"/>
            </w:tcBorders>
            <w:vAlign w:val="center"/>
          </w:tcPr>
          <w:p w14:paraId="0129242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《房地产经纪管理办法》</w:t>
            </w:r>
            <w:r>
              <w:rPr>
                <w:rFonts w:ascii="仿宋_GB2312" w:hAnsi="宋体" w:eastAsia="仿宋_GB2312" w:cs="Times New Roman"/>
                <w:b/>
                <w:bCs/>
                <w:color w:val="auto"/>
                <w:kern w:val="0"/>
                <w:sz w:val="13"/>
                <w:szCs w:val="13"/>
                <w:highlight w:val="none"/>
              </w:rPr>
              <w:t>第三十三条</w:t>
            </w:r>
            <w:r>
              <w:rPr>
                <w:rFonts w:hint="eastAsia" w:ascii="仿宋_GB2312" w:hAnsi="宋体" w:eastAsia="仿宋_GB2312" w:cs="Times New Roman"/>
                <w:b/>
                <w:bCs/>
                <w:color w:val="auto"/>
                <w:kern w:val="0"/>
                <w:sz w:val="13"/>
                <w:szCs w:val="13"/>
                <w:highlight w:val="none"/>
                <w:lang w:eastAsia="zh-CN"/>
              </w:rPr>
              <w:t>：</w:t>
            </w:r>
            <w:r>
              <w:rPr>
                <w:rFonts w:ascii="仿宋_GB2312" w:hAnsi="宋体" w:eastAsia="仿宋_GB2312" w:cs="Times New Roman"/>
                <w:color w:val="auto"/>
                <w:kern w:val="0"/>
                <w:sz w:val="13"/>
                <w:szCs w:val="13"/>
                <w:highlight w:val="none"/>
              </w:rPr>
              <w:t>违反本办法，有下列行为之一的，由县级以上地方人民政府建设（房地产）主管部门责令限期改正，记入信用档案；对房地产经纪人员处以1万元罚款；对房地产经纪机构处以1万元以上3万元以下罚款：</w:t>
            </w:r>
          </w:p>
          <w:p w14:paraId="1D165D7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0" w:firstLineChars="200"/>
              <w:textAlignment w:val="center"/>
              <w:rPr>
                <w:rFonts w:ascii="仿宋_GB2312" w:hAnsi="宋体" w:eastAsia="仿宋_GB2312" w:cs="Times New Roman"/>
                <w:color w:val="auto"/>
                <w:kern w:val="0"/>
                <w:sz w:val="13"/>
                <w:szCs w:val="13"/>
                <w:highlight w:val="none"/>
              </w:rPr>
            </w:pPr>
            <w:r>
              <w:rPr>
                <w:rFonts w:ascii="仿宋_GB2312" w:hAnsi="宋体" w:eastAsia="仿宋_GB2312" w:cs="Times New Roman"/>
                <w:color w:val="auto"/>
                <w:kern w:val="0"/>
                <w:sz w:val="13"/>
                <w:szCs w:val="13"/>
                <w:highlight w:val="none"/>
              </w:rPr>
              <w:t>（一）房地产经纪人员以个人名义承接房地产经纪业务和收取费用的；</w:t>
            </w:r>
          </w:p>
          <w:p w14:paraId="49D02FC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0" w:firstLineChars="200"/>
              <w:textAlignment w:val="center"/>
              <w:rPr>
                <w:rFonts w:hint="eastAsia" w:ascii="仿宋_GB2312" w:hAnsi="宋体" w:eastAsia="仿宋_GB2312" w:cs="Times New Roman"/>
                <w:color w:val="auto"/>
                <w:kern w:val="0"/>
                <w:sz w:val="13"/>
                <w:szCs w:val="13"/>
                <w:highlight w:val="none"/>
                <w:lang w:val="en-US" w:eastAsia="zh-CN"/>
              </w:rPr>
            </w:pPr>
            <w:r>
              <w:rPr>
                <w:rFonts w:hint="eastAsia" w:ascii="仿宋_GB2312" w:hAnsi="宋体" w:eastAsia="仿宋_GB2312" w:cs="Times New Roman"/>
                <w:color w:val="auto"/>
                <w:kern w:val="0"/>
                <w:sz w:val="13"/>
                <w:szCs w:val="13"/>
                <w:highlight w:val="none"/>
                <w:lang w:val="en-US" w:eastAsia="zh-CN"/>
              </w:rPr>
              <w:t>（二）房地产经纪机构提供代办贷款、代办房地产登记等其他服务，未向委托人说明服务内容、收费标准等情况，并未经委托人同意的；</w:t>
            </w:r>
          </w:p>
          <w:p w14:paraId="63DA91A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0" w:firstLineChars="200"/>
              <w:textAlignment w:val="center"/>
              <w:rPr>
                <w:rFonts w:hint="eastAsia" w:ascii="仿宋_GB2312" w:hAnsi="宋体" w:eastAsia="仿宋_GB2312" w:cs="Times New Roman"/>
                <w:color w:val="auto"/>
                <w:kern w:val="0"/>
                <w:sz w:val="13"/>
                <w:szCs w:val="13"/>
                <w:highlight w:val="none"/>
                <w:lang w:val="en-US" w:eastAsia="zh-CN"/>
              </w:rPr>
            </w:pPr>
            <w:r>
              <w:rPr>
                <w:rFonts w:hint="eastAsia" w:ascii="仿宋_GB2312" w:hAnsi="宋体" w:eastAsia="仿宋_GB2312" w:cs="Times New Roman"/>
                <w:color w:val="auto"/>
                <w:kern w:val="0"/>
                <w:sz w:val="13"/>
                <w:szCs w:val="13"/>
                <w:highlight w:val="none"/>
                <w:lang w:val="en-US" w:eastAsia="zh-CN"/>
              </w:rPr>
              <w:t>（三）房地产经纪服务合同未由从事该业务的一名房地产经纪人或者两名房地产经纪人协理签名的；</w:t>
            </w:r>
          </w:p>
          <w:p w14:paraId="7A42DFB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0" w:firstLineChars="200"/>
              <w:textAlignment w:val="center"/>
              <w:rPr>
                <w:rFonts w:hint="eastAsia" w:ascii="仿宋_GB2312" w:hAnsi="宋体" w:eastAsia="仿宋_GB2312" w:cs="Times New Roman"/>
                <w:color w:val="auto"/>
                <w:kern w:val="0"/>
                <w:sz w:val="13"/>
                <w:szCs w:val="13"/>
                <w:highlight w:val="none"/>
                <w:lang w:val="en-US" w:eastAsia="zh-CN"/>
              </w:rPr>
            </w:pPr>
            <w:r>
              <w:rPr>
                <w:rFonts w:hint="eastAsia" w:ascii="仿宋_GB2312" w:hAnsi="宋体" w:eastAsia="仿宋_GB2312" w:cs="Times New Roman"/>
                <w:color w:val="auto"/>
                <w:kern w:val="0"/>
                <w:sz w:val="13"/>
                <w:szCs w:val="13"/>
                <w:highlight w:val="none"/>
                <w:lang w:val="en-US" w:eastAsia="zh-CN"/>
              </w:rPr>
              <w:t>（四）房地产经纪机构签订房地产经纪服务合同前，不向交易当事人说明和书面告知规定事项的；</w:t>
            </w:r>
          </w:p>
          <w:p w14:paraId="51028DF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0" w:firstLineChars="200"/>
              <w:textAlignment w:val="center"/>
              <w:rPr>
                <w:rFonts w:hint="eastAsia" w:ascii="仿宋_GB2312" w:hAnsi="宋体" w:eastAsia="仿宋_GB2312" w:cs="Times New Roman"/>
                <w:color w:val="auto"/>
                <w:kern w:val="0"/>
                <w:sz w:val="13"/>
                <w:szCs w:val="13"/>
                <w:highlight w:val="none"/>
                <w:lang w:val="en-US" w:eastAsia="zh-CN"/>
              </w:rPr>
            </w:pPr>
            <w:r>
              <w:rPr>
                <w:rFonts w:hint="eastAsia" w:ascii="仿宋_GB2312" w:hAnsi="宋体" w:eastAsia="仿宋_GB2312" w:cs="Times New Roman"/>
                <w:color w:val="auto"/>
                <w:kern w:val="0"/>
                <w:sz w:val="13"/>
                <w:szCs w:val="13"/>
                <w:highlight w:val="none"/>
                <w:lang w:val="en-US" w:eastAsia="zh-CN"/>
              </w:rPr>
              <w:t>（五）房地产经纪机构未按照规定如实记录业务情况或者保存房地产经纪服务合同的。</w:t>
            </w:r>
          </w:p>
          <w:p w14:paraId="67F0D56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1" w:firstLineChars="200"/>
              <w:textAlignment w:val="center"/>
              <w:rPr>
                <w:rFonts w:ascii="仿宋_GB2312" w:hAnsi="宋体" w:eastAsia="仿宋_GB2312" w:cs="Times New Roman"/>
                <w:color w:val="auto"/>
                <w:kern w:val="0"/>
                <w:sz w:val="13"/>
                <w:szCs w:val="13"/>
                <w:highlight w:val="none"/>
              </w:rPr>
            </w:pPr>
            <w:r>
              <w:rPr>
                <w:rFonts w:ascii="仿宋_GB2312" w:hAnsi="宋体" w:eastAsia="仿宋_GB2312" w:cs="Times New Roman"/>
                <w:b/>
                <w:bCs/>
                <w:color w:val="auto"/>
                <w:kern w:val="0"/>
                <w:sz w:val="13"/>
                <w:szCs w:val="13"/>
                <w:highlight w:val="none"/>
              </w:rPr>
              <w:t>第十四条</w:t>
            </w:r>
            <w:r>
              <w:rPr>
                <w:rFonts w:hint="eastAsia" w:ascii="仿宋_GB2312" w:hAnsi="宋体" w:eastAsia="仿宋_GB2312" w:cs="Times New Roman"/>
                <w:b/>
                <w:bCs/>
                <w:color w:val="auto"/>
                <w:kern w:val="0"/>
                <w:sz w:val="13"/>
                <w:szCs w:val="13"/>
                <w:highlight w:val="none"/>
              </w:rPr>
              <w:t>第二款</w:t>
            </w:r>
            <w:r>
              <w:rPr>
                <w:rFonts w:hint="eastAsia" w:ascii="仿宋_GB2312" w:hAnsi="宋体" w:eastAsia="仿宋_GB2312" w:cs="Times New Roman"/>
                <w:b/>
                <w:bCs/>
                <w:color w:val="auto"/>
                <w:kern w:val="0"/>
                <w:sz w:val="13"/>
                <w:szCs w:val="13"/>
                <w:highlight w:val="none"/>
                <w:lang w:eastAsia="zh-CN"/>
              </w:rPr>
              <w:t>：</w:t>
            </w:r>
            <w:r>
              <w:rPr>
                <w:rFonts w:ascii="仿宋_GB2312" w:hAnsi="宋体" w:eastAsia="仿宋_GB2312" w:cs="Times New Roman"/>
                <w:color w:val="auto"/>
                <w:kern w:val="0"/>
                <w:sz w:val="13"/>
                <w:szCs w:val="13"/>
                <w:highlight w:val="none"/>
              </w:rPr>
              <w:t>房地产经纪人员不得以个人名义承接房地产经纪业务和收取费用。</w:t>
            </w:r>
          </w:p>
          <w:p w14:paraId="49DD07E8">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1" w:firstLineChars="200"/>
              <w:rPr>
                <w:rFonts w:ascii="仿宋_GB2312" w:hAnsi="宋体" w:eastAsia="仿宋_GB2312" w:cs="Times New Roman"/>
                <w:color w:val="auto"/>
                <w:kern w:val="0"/>
                <w:sz w:val="13"/>
                <w:szCs w:val="13"/>
                <w:highlight w:val="none"/>
              </w:rPr>
            </w:pPr>
            <w:r>
              <w:rPr>
                <w:rFonts w:hint="eastAsia" w:ascii="仿宋_GB2312" w:hAnsi="宋体" w:eastAsia="仿宋_GB2312" w:cs="Times New Roman"/>
                <w:b/>
                <w:bCs/>
                <w:color w:val="auto"/>
                <w:kern w:val="0"/>
                <w:sz w:val="13"/>
                <w:szCs w:val="13"/>
                <w:highlight w:val="none"/>
              </w:rPr>
              <w:t>第十七条</w:t>
            </w:r>
            <w:r>
              <w:rPr>
                <w:rFonts w:hint="eastAsia" w:ascii="仿宋_GB2312" w:hAnsi="宋体" w:eastAsia="仿宋_GB2312" w:cs="Times New Roman"/>
                <w:b/>
                <w:bCs/>
                <w:color w:val="auto"/>
                <w:kern w:val="0"/>
                <w:sz w:val="13"/>
                <w:szCs w:val="13"/>
                <w:highlight w:val="none"/>
                <w:lang w:eastAsia="zh-CN"/>
              </w:rPr>
              <w:t>：</w:t>
            </w:r>
            <w:r>
              <w:rPr>
                <w:rFonts w:ascii="仿宋_GB2312" w:hAnsi="宋体" w:eastAsia="仿宋_GB2312" w:cs="Times New Roman"/>
                <w:color w:val="auto"/>
                <w:kern w:val="0"/>
                <w:sz w:val="13"/>
                <w:szCs w:val="13"/>
                <w:highlight w:val="none"/>
              </w:rPr>
              <w:t>房地产经纪机构提供代办贷款、代办房地产登记等其他服务的，应当向委托人说明服务内容、收费标准等情况，经委托人同意后，另行签订合同。</w:t>
            </w:r>
          </w:p>
          <w:p w14:paraId="19080EC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1" w:firstLineChars="200"/>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b/>
                <w:bCs/>
                <w:color w:val="auto"/>
                <w:kern w:val="0"/>
                <w:sz w:val="13"/>
                <w:szCs w:val="13"/>
                <w:highlight w:val="none"/>
              </w:rPr>
              <w:t>第二十条</w:t>
            </w:r>
            <w:r>
              <w:rPr>
                <w:rFonts w:hint="eastAsia" w:ascii="仿宋_GB2312" w:hAnsi="宋体" w:eastAsia="仿宋_GB2312" w:cs="Times New Roman"/>
                <w:b/>
                <w:bCs/>
                <w:color w:val="auto"/>
                <w:kern w:val="0"/>
                <w:sz w:val="13"/>
                <w:szCs w:val="13"/>
                <w:highlight w:val="none"/>
                <w:lang w:eastAsia="zh-CN"/>
              </w:rPr>
              <w:t>：</w:t>
            </w:r>
            <w:r>
              <w:rPr>
                <w:rFonts w:ascii="仿宋_GB2312" w:hAnsi="宋体" w:eastAsia="仿宋_GB2312" w:cs="Times New Roman"/>
                <w:color w:val="auto"/>
                <w:kern w:val="0"/>
                <w:sz w:val="13"/>
                <w:szCs w:val="13"/>
                <w:highlight w:val="none"/>
              </w:rPr>
              <w:t>房地产经纪机构签订的房地产经纪服务合同，应当加盖房地产经纪机构印章，并由从事该业务的一名房地产经纪人或者两名房地产经纪人协理签名。</w:t>
            </w:r>
          </w:p>
          <w:p w14:paraId="5BE1D1B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1" w:firstLineChars="200"/>
              <w:textAlignment w:val="center"/>
              <w:rPr>
                <w:rFonts w:ascii="仿宋_GB2312" w:hAnsi="宋体" w:eastAsia="仿宋_GB2312" w:cs="Times New Roman"/>
                <w:color w:val="auto"/>
                <w:kern w:val="0"/>
                <w:sz w:val="13"/>
                <w:szCs w:val="13"/>
                <w:highlight w:val="none"/>
              </w:rPr>
            </w:pPr>
            <w:r>
              <w:rPr>
                <w:rFonts w:ascii="仿宋_GB2312" w:hAnsi="宋体" w:eastAsia="仿宋_GB2312" w:cs="Times New Roman"/>
                <w:b/>
                <w:bCs/>
                <w:color w:val="auto"/>
                <w:kern w:val="0"/>
                <w:sz w:val="13"/>
                <w:szCs w:val="13"/>
                <w:highlight w:val="none"/>
              </w:rPr>
              <w:t>第二十一条</w:t>
            </w:r>
            <w:r>
              <w:rPr>
                <w:rFonts w:hint="eastAsia" w:ascii="仿宋_GB2312" w:hAnsi="宋体" w:eastAsia="仿宋_GB2312" w:cs="Times New Roman"/>
                <w:b/>
                <w:bCs/>
                <w:color w:val="auto"/>
                <w:kern w:val="0"/>
                <w:sz w:val="13"/>
                <w:szCs w:val="13"/>
                <w:highlight w:val="none"/>
                <w:lang w:eastAsia="zh-CN"/>
              </w:rPr>
              <w:t>：</w:t>
            </w:r>
            <w:r>
              <w:rPr>
                <w:rFonts w:ascii="仿宋_GB2312" w:hAnsi="宋体" w:eastAsia="仿宋_GB2312" w:cs="Times New Roman"/>
                <w:color w:val="auto"/>
                <w:kern w:val="0"/>
                <w:sz w:val="13"/>
                <w:szCs w:val="13"/>
                <w:highlight w:val="none"/>
              </w:rPr>
              <w:t>房地产经纪机构签订房地产经纪服务合同前，应当向委托人说明房地产经纪服务合同和</w:t>
            </w:r>
            <w:r>
              <w:rPr>
                <w:color w:val="auto"/>
                <w:sz w:val="13"/>
                <w:szCs w:val="13"/>
                <w:highlight w:val="none"/>
              </w:rPr>
              <w:fldChar w:fldCharType="begin"/>
            </w:r>
            <w:r>
              <w:rPr>
                <w:color w:val="auto"/>
                <w:sz w:val="13"/>
                <w:szCs w:val="13"/>
                <w:highlight w:val="none"/>
              </w:rPr>
              <w:instrText xml:space="preserve"> HYPERLINK "https://baike.baidu.com/item/%E6%88%BF%E5%B1%8B%E4%B9%B0%E5%8D%96%E5%90%88%E5%90%8C/9488602" \t "https://baike.baidu.com/item/_blank" </w:instrText>
            </w:r>
            <w:r>
              <w:rPr>
                <w:color w:val="auto"/>
                <w:sz w:val="13"/>
                <w:szCs w:val="13"/>
                <w:highlight w:val="none"/>
              </w:rPr>
              <w:fldChar w:fldCharType="separate"/>
            </w:r>
            <w:r>
              <w:rPr>
                <w:rFonts w:ascii="仿宋_GB2312" w:hAnsi="宋体" w:eastAsia="仿宋_GB2312" w:cs="Times New Roman"/>
                <w:color w:val="auto"/>
                <w:kern w:val="0"/>
                <w:sz w:val="13"/>
                <w:szCs w:val="13"/>
                <w:highlight w:val="none"/>
              </w:rPr>
              <w:t>房屋买卖合同</w:t>
            </w:r>
            <w:r>
              <w:rPr>
                <w:rFonts w:ascii="仿宋_GB2312" w:hAnsi="宋体" w:eastAsia="仿宋_GB2312" w:cs="Times New Roman"/>
                <w:color w:val="auto"/>
                <w:kern w:val="0"/>
                <w:sz w:val="13"/>
                <w:szCs w:val="13"/>
                <w:highlight w:val="none"/>
              </w:rPr>
              <w:fldChar w:fldCharType="end"/>
            </w:r>
            <w:r>
              <w:rPr>
                <w:rFonts w:ascii="仿宋_GB2312" w:hAnsi="宋体" w:eastAsia="仿宋_GB2312" w:cs="Times New Roman"/>
                <w:color w:val="auto"/>
                <w:kern w:val="0"/>
                <w:sz w:val="13"/>
                <w:szCs w:val="13"/>
                <w:highlight w:val="none"/>
              </w:rPr>
              <w:t>或者</w:t>
            </w:r>
            <w:r>
              <w:rPr>
                <w:color w:val="auto"/>
                <w:sz w:val="13"/>
                <w:szCs w:val="13"/>
                <w:highlight w:val="none"/>
              </w:rPr>
              <w:fldChar w:fldCharType="begin"/>
            </w:r>
            <w:r>
              <w:rPr>
                <w:color w:val="auto"/>
                <w:sz w:val="13"/>
                <w:szCs w:val="13"/>
                <w:highlight w:val="none"/>
              </w:rPr>
              <w:instrText xml:space="preserve"> HYPERLINK "https://baike.baidu.com/item/%E6%88%BF%E5%B1%8B%E7%A7%9F%E8%B5%81%E5%90%88%E5%90%8C" \t "https://baike.baidu.com/item/_blank" </w:instrText>
            </w:r>
            <w:r>
              <w:rPr>
                <w:color w:val="auto"/>
                <w:sz w:val="13"/>
                <w:szCs w:val="13"/>
                <w:highlight w:val="none"/>
              </w:rPr>
              <w:fldChar w:fldCharType="separate"/>
            </w:r>
            <w:r>
              <w:rPr>
                <w:rFonts w:ascii="仿宋_GB2312" w:hAnsi="宋体" w:eastAsia="仿宋_GB2312" w:cs="Times New Roman"/>
                <w:color w:val="auto"/>
                <w:kern w:val="0"/>
                <w:sz w:val="13"/>
                <w:szCs w:val="13"/>
                <w:highlight w:val="none"/>
              </w:rPr>
              <w:t>房屋租赁合同</w:t>
            </w:r>
            <w:r>
              <w:rPr>
                <w:rFonts w:ascii="仿宋_GB2312" w:hAnsi="宋体" w:eastAsia="仿宋_GB2312" w:cs="Times New Roman"/>
                <w:color w:val="auto"/>
                <w:kern w:val="0"/>
                <w:sz w:val="13"/>
                <w:szCs w:val="13"/>
                <w:highlight w:val="none"/>
              </w:rPr>
              <w:fldChar w:fldCharType="end"/>
            </w:r>
            <w:r>
              <w:rPr>
                <w:rFonts w:ascii="仿宋_GB2312" w:hAnsi="宋体" w:eastAsia="仿宋_GB2312" w:cs="Times New Roman"/>
                <w:color w:val="auto"/>
                <w:kern w:val="0"/>
                <w:sz w:val="13"/>
                <w:szCs w:val="13"/>
                <w:highlight w:val="none"/>
              </w:rPr>
              <w:t>的相关内容，并书面告知下列事项：</w:t>
            </w:r>
          </w:p>
          <w:p w14:paraId="1C7D621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0" w:firstLineChars="200"/>
              <w:textAlignment w:val="center"/>
              <w:rPr>
                <w:rFonts w:ascii="仿宋_GB2312" w:hAnsi="宋体" w:eastAsia="仿宋_GB2312" w:cs="Times New Roman"/>
                <w:color w:val="auto"/>
                <w:kern w:val="0"/>
                <w:sz w:val="13"/>
                <w:szCs w:val="13"/>
                <w:highlight w:val="none"/>
              </w:rPr>
            </w:pPr>
            <w:r>
              <w:rPr>
                <w:rFonts w:ascii="仿宋_GB2312" w:hAnsi="宋体" w:eastAsia="仿宋_GB2312" w:cs="Times New Roman"/>
                <w:color w:val="auto"/>
                <w:kern w:val="0"/>
                <w:sz w:val="13"/>
                <w:szCs w:val="13"/>
                <w:highlight w:val="none"/>
              </w:rPr>
              <w:t>（一）是否与委托房屋有利害关系；</w:t>
            </w:r>
          </w:p>
          <w:p w14:paraId="47209BD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0" w:firstLineChars="200"/>
              <w:textAlignment w:val="center"/>
              <w:rPr>
                <w:rFonts w:ascii="仿宋_GB2312" w:hAnsi="宋体" w:eastAsia="仿宋_GB2312" w:cs="Times New Roman"/>
                <w:color w:val="auto"/>
                <w:kern w:val="0"/>
                <w:sz w:val="13"/>
                <w:szCs w:val="13"/>
                <w:highlight w:val="none"/>
              </w:rPr>
            </w:pPr>
            <w:r>
              <w:rPr>
                <w:rFonts w:ascii="仿宋_GB2312" w:hAnsi="宋体" w:eastAsia="仿宋_GB2312" w:cs="Times New Roman"/>
                <w:color w:val="auto"/>
                <w:kern w:val="0"/>
                <w:sz w:val="13"/>
                <w:szCs w:val="13"/>
                <w:highlight w:val="none"/>
              </w:rPr>
              <w:t>（二）应当由委托人协助的事宜、提供的资料；</w:t>
            </w:r>
          </w:p>
          <w:p w14:paraId="0FCE7CE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0" w:firstLineChars="200"/>
              <w:textAlignment w:val="center"/>
              <w:rPr>
                <w:rFonts w:ascii="仿宋_GB2312" w:hAnsi="宋体" w:eastAsia="仿宋_GB2312" w:cs="Times New Roman"/>
                <w:color w:val="auto"/>
                <w:kern w:val="0"/>
                <w:sz w:val="13"/>
                <w:szCs w:val="13"/>
                <w:highlight w:val="none"/>
              </w:rPr>
            </w:pPr>
            <w:r>
              <w:rPr>
                <w:rFonts w:ascii="仿宋_GB2312" w:hAnsi="宋体" w:eastAsia="仿宋_GB2312" w:cs="Times New Roman"/>
                <w:color w:val="auto"/>
                <w:kern w:val="0"/>
                <w:sz w:val="13"/>
                <w:szCs w:val="13"/>
                <w:highlight w:val="none"/>
              </w:rPr>
              <w:t>（三）委托房屋的市场参考价格；</w:t>
            </w:r>
          </w:p>
          <w:p w14:paraId="7CBD8F8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0" w:firstLineChars="200"/>
              <w:textAlignment w:val="center"/>
              <w:rPr>
                <w:rFonts w:ascii="仿宋_GB2312" w:hAnsi="宋体" w:eastAsia="仿宋_GB2312" w:cs="Times New Roman"/>
                <w:color w:val="auto"/>
                <w:kern w:val="0"/>
                <w:sz w:val="13"/>
                <w:szCs w:val="13"/>
                <w:highlight w:val="none"/>
              </w:rPr>
            </w:pPr>
            <w:r>
              <w:rPr>
                <w:rFonts w:ascii="仿宋_GB2312" w:hAnsi="宋体" w:eastAsia="仿宋_GB2312" w:cs="Times New Roman"/>
                <w:color w:val="auto"/>
                <w:kern w:val="0"/>
                <w:sz w:val="13"/>
                <w:szCs w:val="13"/>
                <w:highlight w:val="none"/>
              </w:rPr>
              <w:t>（四）房屋交易的一般程序及可能存在的风险；</w:t>
            </w:r>
          </w:p>
          <w:p w14:paraId="60CE3D0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0" w:firstLineChars="200"/>
              <w:textAlignment w:val="center"/>
              <w:rPr>
                <w:rFonts w:ascii="仿宋_GB2312" w:hAnsi="宋体" w:eastAsia="仿宋_GB2312" w:cs="Times New Roman"/>
                <w:color w:val="auto"/>
                <w:kern w:val="0"/>
                <w:sz w:val="13"/>
                <w:szCs w:val="13"/>
                <w:highlight w:val="none"/>
              </w:rPr>
            </w:pPr>
            <w:r>
              <w:rPr>
                <w:rFonts w:ascii="仿宋_GB2312" w:hAnsi="宋体" w:eastAsia="仿宋_GB2312" w:cs="Times New Roman"/>
                <w:color w:val="auto"/>
                <w:kern w:val="0"/>
                <w:sz w:val="13"/>
                <w:szCs w:val="13"/>
                <w:highlight w:val="none"/>
              </w:rPr>
              <w:t>（五）房屋交易涉及的税费；</w:t>
            </w:r>
          </w:p>
          <w:p w14:paraId="5F8F592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0" w:firstLineChars="200"/>
              <w:textAlignment w:val="center"/>
              <w:rPr>
                <w:rFonts w:ascii="仿宋_GB2312" w:hAnsi="宋体" w:eastAsia="仿宋_GB2312" w:cs="Times New Roman"/>
                <w:color w:val="auto"/>
                <w:kern w:val="0"/>
                <w:sz w:val="13"/>
                <w:szCs w:val="13"/>
                <w:highlight w:val="none"/>
              </w:rPr>
            </w:pPr>
            <w:r>
              <w:rPr>
                <w:rFonts w:ascii="仿宋_GB2312" w:hAnsi="宋体" w:eastAsia="仿宋_GB2312" w:cs="Times New Roman"/>
                <w:color w:val="auto"/>
                <w:kern w:val="0"/>
                <w:sz w:val="13"/>
                <w:szCs w:val="13"/>
                <w:highlight w:val="none"/>
              </w:rPr>
              <w:t>（六）经纪服务的内容及完成标准；</w:t>
            </w:r>
          </w:p>
          <w:p w14:paraId="3D22BA5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0" w:firstLineChars="200"/>
              <w:textAlignment w:val="center"/>
              <w:rPr>
                <w:rFonts w:ascii="仿宋_GB2312" w:hAnsi="宋体" w:eastAsia="仿宋_GB2312" w:cs="Times New Roman"/>
                <w:color w:val="auto"/>
                <w:kern w:val="0"/>
                <w:sz w:val="13"/>
                <w:szCs w:val="13"/>
                <w:highlight w:val="none"/>
              </w:rPr>
            </w:pPr>
            <w:r>
              <w:rPr>
                <w:rFonts w:ascii="仿宋_GB2312" w:hAnsi="宋体" w:eastAsia="仿宋_GB2312" w:cs="Times New Roman"/>
                <w:color w:val="auto"/>
                <w:kern w:val="0"/>
                <w:sz w:val="13"/>
                <w:szCs w:val="13"/>
                <w:highlight w:val="none"/>
              </w:rPr>
              <w:t>（七）经纪服务收费标准和支付时间；</w:t>
            </w:r>
          </w:p>
          <w:p w14:paraId="15B7015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0" w:firstLineChars="200"/>
              <w:textAlignment w:val="center"/>
              <w:rPr>
                <w:rFonts w:ascii="仿宋_GB2312" w:hAnsi="宋体" w:eastAsia="仿宋_GB2312" w:cs="Times New Roman"/>
                <w:color w:val="auto"/>
                <w:kern w:val="0"/>
                <w:sz w:val="13"/>
                <w:szCs w:val="13"/>
                <w:highlight w:val="none"/>
              </w:rPr>
            </w:pPr>
            <w:r>
              <w:rPr>
                <w:rFonts w:ascii="仿宋_GB2312" w:hAnsi="宋体" w:eastAsia="仿宋_GB2312" w:cs="Times New Roman"/>
                <w:color w:val="auto"/>
                <w:kern w:val="0"/>
                <w:sz w:val="13"/>
                <w:szCs w:val="13"/>
                <w:highlight w:val="none"/>
              </w:rPr>
              <w:t>（八）其他需要告知的事项。</w:t>
            </w:r>
          </w:p>
          <w:p w14:paraId="79404CA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0" w:firstLineChars="200"/>
              <w:textAlignment w:val="center"/>
              <w:rPr>
                <w:rFonts w:ascii="仿宋_GB2312" w:hAnsi="宋体" w:eastAsia="仿宋_GB2312" w:cs="Times New Roman"/>
                <w:color w:val="auto"/>
                <w:kern w:val="0"/>
                <w:sz w:val="13"/>
                <w:szCs w:val="13"/>
                <w:highlight w:val="none"/>
              </w:rPr>
            </w:pPr>
            <w:r>
              <w:rPr>
                <w:rFonts w:ascii="仿宋_GB2312" w:hAnsi="宋体" w:eastAsia="仿宋_GB2312" w:cs="Times New Roman"/>
                <w:color w:val="auto"/>
                <w:kern w:val="0"/>
                <w:sz w:val="13"/>
                <w:szCs w:val="13"/>
                <w:highlight w:val="none"/>
              </w:rPr>
              <w:t>房地产经纪机构根据交易当事人需要提供房地产经纪服务以外的其他服务的，应当事先经当事人书面同意并告知服务内容及收费标准。书面告知材料应当经委托人签名（盖章）确认。</w:t>
            </w:r>
          </w:p>
          <w:p w14:paraId="4E515A5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1" w:firstLineChars="200"/>
              <w:jc w:val="left"/>
              <w:textAlignment w:val="center"/>
              <w:rPr>
                <w:rFonts w:ascii="仿宋_GB2312" w:hAnsi="宋体" w:eastAsia="仿宋_GB2312" w:cs="Times New Roman"/>
                <w:color w:val="auto"/>
                <w:kern w:val="0"/>
                <w:sz w:val="13"/>
                <w:szCs w:val="13"/>
                <w:highlight w:val="none"/>
              </w:rPr>
            </w:pPr>
            <w:r>
              <w:rPr>
                <w:rFonts w:ascii="仿宋_GB2312" w:hAnsi="宋体" w:eastAsia="仿宋_GB2312" w:cs="Times New Roman"/>
                <w:b/>
                <w:bCs/>
                <w:color w:val="auto"/>
                <w:kern w:val="0"/>
                <w:sz w:val="13"/>
                <w:szCs w:val="13"/>
                <w:highlight w:val="none"/>
              </w:rPr>
              <w:t>第二十六条</w:t>
            </w:r>
            <w:r>
              <w:rPr>
                <w:rFonts w:hint="eastAsia" w:ascii="仿宋_GB2312" w:hAnsi="宋体" w:eastAsia="仿宋_GB2312" w:cs="Times New Roman"/>
                <w:b/>
                <w:bCs/>
                <w:color w:val="auto"/>
                <w:kern w:val="0"/>
                <w:sz w:val="13"/>
                <w:szCs w:val="13"/>
                <w:highlight w:val="none"/>
              </w:rPr>
              <w:t>第一款</w:t>
            </w:r>
            <w:r>
              <w:rPr>
                <w:rFonts w:hint="eastAsia" w:ascii="仿宋_GB2312" w:hAnsi="宋体" w:eastAsia="仿宋_GB2312" w:cs="Times New Roman"/>
                <w:b/>
                <w:bCs/>
                <w:color w:val="auto"/>
                <w:kern w:val="0"/>
                <w:sz w:val="13"/>
                <w:szCs w:val="13"/>
                <w:highlight w:val="none"/>
                <w:lang w:eastAsia="zh-CN"/>
              </w:rPr>
              <w:t>：</w:t>
            </w:r>
            <w:r>
              <w:rPr>
                <w:rFonts w:ascii="仿宋_GB2312" w:hAnsi="宋体" w:eastAsia="仿宋_GB2312" w:cs="Times New Roman"/>
                <w:color w:val="auto"/>
                <w:kern w:val="0"/>
                <w:sz w:val="13"/>
                <w:szCs w:val="13"/>
                <w:highlight w:val="none"/>
              </w:rPr>
              <w:t>房地产经纪机构应当建立业务记录制度，如实记录业务情况。</w:t>
            </w:r>
          </w:p>
          <w:p w14:paraId="5B068BE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0" w:firstLineChars="200"/>
              <w:textAlignment w:val="center"/>
              <w:rPr>
                <w:rFonts w:ascii="仿宋_GB2312" w:hAnsi="宋体" w:eastAsia="仿宋_GB2312" w:cs="Times New Roman"/>
                <w:color w:val="auto"/>
                <w:kern w:val="0"/>
                <w:sz w:val="13"/>
                <w:szCs w:val="13"/>
                <w:highlight w:val="none"/>
              </w:rPr>
            </w:pPr>
          </w:p>
        </w:tc>
        <w:tc>
          <w:tcPr>
            <w:tcW w:w="823" w:type="dxa"/>
            <w:tcBorders>
              <w:tl2br w:val="nil"/>
              <w:tr2bl w:val="nil"/>
            </w:tcBorders>
            <w:tcMar>
              <w:top w:w="15" w:type="dxa"/>
              <w:left w:w="15" w:type="dxa"/>
              <w:bottom w:w="15" w:type="dxa"/>
              <w:right w:w="15" w:type="dxa"/>
            </w:tcMar>
            <w:vAlign w:val="center"/>
          </w:tcPr>
          <w:p w14:paraId="1EE9BE8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s="Times New Roman"/>
                <w:color w:val="auto"/>
                <w:kern w:val="0"/>
                <w:sz w:val="13"/>
                <w:szCs w:val="13"/>
                <w:highlight w:val="none"/>
                <w:lang w:eastAsia="zh-CN"/>
              </w:rPr>
              <w:t>从轻情节</w:t>
            </w:r>
          </w:p>
        </w:tc>
        <w:tc>
          <w:tcPr>
            <w:tcW w:w="3437" w:type="dxa"/>
            <w:gridSpan w:val="2"/>
            <w:tcBorders>
              <w:tl2br w:val="nil"/>
              <w:tr2bl w:val="nil"/>
            </w:tcBorders>
            <w:tcMar>
              <w:top w:w="15" w:type="dxa"/>
              <w:left w:w="15" w:type="dxa"/>
              <w:bottom w:w="15" w:type="dxa"/>
              <w:right w:w="15" w:type="dxa"/>
            </w:tcMar>
            <w:vAlign w:val="center"/>
          </w:tcPr>
          <w:p w14:paraId="5ECC02C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违法行为存续期间为1个月以下的。</w:t>
            </w:r>
          </w:p>
        </w:tc>
        <w:tc>
          <w:tcPr>
            <w:tcW w:w="3064" w:type="dxa"/>
            <w:gridSpan w:val="2"/>
            <w:tcBorders>
              <w:tl2br w:val="nil"/>
              <w:tr2bl w:val="nil"/>
            </w:tcBorders>
            <w:tcMar>
              <w:top w:w="15" w:type="dxa"/>
              <w:left w:w="15" w:type="dxa"/>
              <w:bottom w:w="15" w:type="dxa"/>
              <w:right w:w="15" w:type="dxa"/>
            </w:tcMar>
            <w:vAlign w:val="center"/>
          </w:tcPr>
          <w:p w14:paraId="7ADB938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责令限期改正，记入信用档案，房地产经纪人员处以1万元罚款；对房地产经纪机构处1万元以上1.5万元以下的罚款。</w:t>
            </w:r>
          </w:p>
        </w:tc>
      </w:tr>
      <w:tr w14:paraId="7E1C600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09" w:hRule="atLeast"/>
          <w:jc w:val="center"/>
        </w:trPr>
        <w:tc>
          <w:tcPr>
            <w:tcW w:w="443" w:type="dxa"/>
            <w:gridSpan w:val="2"/>
            <w:vMerge w:val="continue"/>
            <w:tcBorders>
              <w:tl2br w:val="nil"/>
              <w:tr2bl w:val="nil"/>
            </w:tcBorders>
            <w:vAlign w:val="center"/>
          </w:tcPr>
          <w:p w14:paraId="06BD5226">
            <w:pPr>
              <w:pStyle w:val="37"/>
              <w:keepNext w:val="0"/>
              <w:keepLines w:val="0"/>
              <w:pageBreakBefore w:val="0"/>
              <w:widowControl/>
              <w:numPr>
                <w:ilvl w:val="0"/>
                <w:numId w:val="4"/>
              </w:numPr>
              <w:kinsoku/>
              <w:overflowPunct/>
              <w:topLinePunct w:val="0"/>
              <w:autoSpaceDE/>
              <w:autoSpaceDN/>
              <w:bidi w:val="0"/>
              <w:adjustRightInd/>
              <w:snapToGrid/>
              <w:spacing w:beforeAutospacing="0" w:afterAutospacing="0" w:line="260" w:lineRule="exact"/>
              <w:ind w:left="638" w:leftChars="88" w:right="0" w:rightChars="0" w:hanging="453" w:hangingChars="349"/>
              <w:jc w:val="center"/>
              <w:rPr>
                <w:rFonts w:ascii="仿宋_GB2312" w:hAnsi="宋体" w:eastAsia="仿宋_GB2312"/>
                <w:color w:val="auto"/>
                <w:sz w:val="13"/>
                <w:szCs w:val="13"/>
                <w:highlight w:val="none"/>
              </w:rPr>
            </w:pPr>
          </w:p>
        </w:tc>
        <w:tc>
          <w:tcPr>
            <w:tcW w:w="1550" w:type="dxa"/>
            <w:vMerge w:val="continue"/>
            <w:tcBorders>
              <w:tl2br w:val="nil"/>
              <w:tr2bl w:val="nil"/>
            </w:tcBorders>
            <w:vAlign w:val="center"/>
          </w:tcPr>
          <w:p w14:paraId="2754490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6342FBF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35C7807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s="Times New Roman"/>
                <w:color w:val="auto"/>
                <w:kern w:val="0"/>
                <w:sz w:val="13"/>
                <w:szCs w:val="13"/>
                <w:highlight w:val="none"/>
                <w:lang w:eastAsia="zh-CN"/>
              </w:rPr>
              <w:t>一般情节</w:t>
            </w:r>
          </w:p>
        </w:tc>
        <w:tc>
          <w:tcPr>
            <w:tcW w:w="3437" w:type="dxa"/>
            <w:gridSpan w:val="2"/>
            <w:tcBorders>
              <w:tl2br w:val="nil"/>
              <w:tr2bl w:val="nil"/>
            </w:tcBorders>
            <w:tcMar>
              <w:top w:w="15" w:type="dxa"/>
              <w:left w:w="15" w:type="dxa"/>
              <w:bottom w:w="15" w:type="dxa"/>
              <w:right w:w="15" w:type="dxa"/>
            </w:tcMar>
            <w:vAlign w:val="center"/>
          </w:tcPr>
          <w:p w14:paraId="170F9F3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违法行为存续期间为1个月以上3个月以下的。</w:t>
            </w:r>
          </w:p>
        </w:tc>
        <w:tc>
          <w:tcPr>
            <w:tcW w:w="3064" w:type="dxa"/>
            <w:gridSpan w:val="2"/>
            <w:tcBorders>
              <w:tl2br w:val="nil"/>
              <w:tr2bl w:val="nil"/>
            </w:tcBorders>
            <w:tcMar>
              <w:top w:w="15" w:type="dxa"/>
              <w:left w:w="15" w:type="dxa"/>
              <w:bottom w:w="15" w:type="dxa"/>
              <w:right w:w="15" w:type="dxa"/>
            </w:tcMar>
            <w:vAlign w:val="center"/>
          </w:tcPr>
          <w:p w14:paraId="534C26F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责令限期改正，记入信用档案，房地产经纪人员处以1万元罚款；对房地产经纪机构处1.5万元以上2.5万元以下的罚款。</w:t>
            </w:r>
          </w:p>
        </w:tc>
      </w:tr>
      <w:tr w14:paraId="68B8647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18" w:hRule="atLeast"/>
          <w:jc w:val="center"/>
        </w:trPr>
        <w:tc>
          <w:tcPr>
            <w:tcW w:w="443" w:type="dxa"/>
            <w:gridSpan w:val="2"/>
            <w:vMerge w:val="continue"/>
            <w:tcBorders>
              <w:tl2br w:val="nil"/>
              <w:tr2bl w:val="nil"/>
            </w:tcBorders>
            <w:vAlign w:val="center"/>
          </w:tcPr>
          <w:p w14:paraId="79DAD4F5">
            <w:pPr>
              <w:pStyle w:val="37"/>
              <w:keepNext w:val="0"/>
              <w:keepLines w:val="0"/>
              <w:pageBreakBefore w:val="0"/>
              <w:widowControl/>
              <w:numPr>
                <w:ilvl w:val="0"/>
                <w:numId w:val="4"/>
              </w:numPr>
              <w:kinsoku/>
              <w:overflowPunct/>
              <w:topLinePunct w:val="0"/>
              <w:autoSpaceDE/>
              <w:autoSpaceDN/>
              <w:bidi w:val="0"/>
              <w:adjustRightInd/>
              <w:snapToGrid/>
              <w:spacing w:beforeAutospacing="0" w:afterAutospacing="0" w:line="260" w:lineRule="exact"/>
              <w:ind w:left="638" w:leftChars="88" w:right="0" w:rightChars="0" w:hanging="453" w:hangingChars="349"/>
              <w:jc w:val="center"/>
              <w:rPr>
                <w:rFonts w:ascii="仿宋_GB2312" w:hAnsi="宋体" w:eastAsia="仿宋_GB2312"/>
                <w:color w:val="auto"/>
                <w:sz w:val="13"/>
                <w:szCs w:val="13"/>
                <w:highlight w:val="none"/>
              </w:rPr>
            </w:pPr>
          </w:p>
        </w:tc>
        <w:tc>
          <w:tcPr>
            <w:tcW w:w="1550" w:type="dxa"/>
            <w:vMerge w:val="continue"/>
            <w:tcBorders>
              <w:tl2br w:val="nil"/>
              <w:tr2bl w:val="nil"/>
            </w:tcBorders>
            <w:vAlign w:val="center"/>
          </w:tcPr>
          <w:p w14:paraId="710D8D5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5596A66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5358CAF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s="Times New Roman"/>
                <w:color w:val="auto"/>
                <w:kern w:val="0"/>
                <w:sz w:val="13"/>
                <w:szCs w:val="13"/>
                <w:highlight w:val="none"/>
                <w:lang w:eastAsia="zh-CN"/>
              </w:rPr>
              <w:t>从重情节</w:t>
            </w:r>
          </w:p>
        </w:tc>
        <w:tc>
          <w:tcPr>
            <w:tcW w:w="3437" w:type="dxa"/>
            <w:gridSpan w:val="2"/>
            <w:tcBorders>
              <w:tl2br w:val="nil"/>
              <w:tr2bl w:val="nil"/>
            </w:tcBorders>
            <w:tcMar>
              <w:top w:w="15" w:type="dxa"/>
              <w:left w:w="15" w:type="dxa"/>
              <w:bottom w:w="15" w:type="dxa"/>
              <w:right w:w="15" w:type="dxa"/>
            </w:tcMar>
            <w:vAlign w:val="center"/>
          </w:tcPr>
          <w:p w14:paraId="36B757F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违法行为存续期间为3个月以上的。</w:t>
            </w:r>
          </w:p>
        </w:tc>
        <w:tc>
          <w:tcPr>
            <w:tcW w:w="3064" w:type="dxa"/>
            <w:gridSpan w:val="2"/>
            <w:tcBorders>
              <w:tl2br w:val="nil"/>
              <w:tr2bl w:val="nil"/>
            </w:tcBorders>
            <w:tcMar>
              <w:top w:w="15" w:type="dxa"/>
              <w:left w:w="15" w:type="dxa"/>
              <w:bottom w:w="15" w:type="dxa"/>
              <w:right w:w="15" w:type="dxa"/>
            </w:tcMar>
            <w:vAlign w:val="center"/>
          </w:tcPr>
          <w:p w14:paraId="7189EA1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责令限期改正，记入信用档案，房地产经纪人员处以1万元罚款；对房地产经纪机构处2.5万元以上3万元以下的罚款。</w:t>
            </w:r>
          </w:p>
        </w:tc>
      </w:tr>
      <w:tr w14:paraId="0AAAA3A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9" w:hRule="atLeast"/>
          <w:jc w:val="center"/>
        </w:trPr>
        <w:tc>
          <w:tcPr>
            <w:tcW w:w="443" w:type="dxa"/>
            <w:gridSpan w:val="2"/>
            <w:vMerge w:val="restart"/>
            <w:tcBorders>
              <w:tl2br w:val="nil"/>
              <w:tr2bl w:val="nil"/>
            </w:tcBorders>
            <w:tcMar>
              <w:top w:w="15" w:type="dxa"/>
              <w:left w:w="15" w:type="dxa"/>
              <w:bottom w:w="15" w:type="dxa"/>
              <w:right w:w="15" w:type="dxa"/>
            </w:tcMar>
            <w:vAlign w:val="center"/>
          </w:tcPr>
          <w:p w14:paraId="6193278C">
            <w:pPr>
              <w:keepNext w:val="0"/>
              <w:keepLines w:val="0"/>
              <w:pageBreakBefore w:val="0"/>
              <w:widowControl/>
              <w:numPr>
                <w:ilvl w:val="0"/>
                <w:numId w:val="6"/>
              </w:numPr>
              <w:suppressLineNumbers w:val="0"/>
              <w:tabs>
                <w:tab w:val="clear" w:pos="397"/>
              </w:tabs>
              <w:kinsoku/>
              <w:overflowPunct/>
              <w:topLinePunct w:val="0"/>
              <w:autoSpaceDE/>
              <w:autoSpaceDN/>
              <w:bidi w:val="0"/>
              <w:adjustRightInd/>
              <w:snapToGrid/>
              <w:spacing w:beforeAutospacing="0" w:afterAutospacing="0" w:line="260" w:lineRule="exact"/>
              <w:ind w:left="638" w:leftChars="88" w:right="0" w:rightChars="0" w:hanging="453" w:hangingChars="349"/>
              <w:jc w:val="center"/>
              <w:textAlignment w:val="center"/>
              <w:rPr>
                <w:rFonts w:hint="default" w:ascii="仿宋_GB2312" w:hAnsi="宋体" w:eastAsia="仿宋_GB2312"/>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243</w:t>
            </w:r>
          </w:p>
        </w:tc>
        <w:tc>
          <w:tcPr>
            <w:tcW w:w="1550" w:type="dxa"/>
            <w:vMerge w:val="restart"/>
            <w:tcBorders>
              <w:tl2br w:val="nil"/>
              <w:tr2bl w:val="nil"/>
            </w:tcBorders>
            <w:tcMar>
              <w:top w:w="15" w:type="dxa"/>
              <w:left w:w="15" w:type="dxa"/>
              <w:bottom w:w="15" w:type="dxa"/>
              <w:right w:w="15" w:type="dxa"/>
            </w:tcMar>
            <w:vAlign w:val="center"/>
          </w:tcPr>
          <w:p w14:paraId="06E2CEF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房地产经纪机构擅自对外发布房源信息的</w:t>
            </w:r>
          </w:p>
        </w:tc>
        <w:tc>
          <w:tcPr>
            <w:tcW w:w="4820" w:type="dxa"/>
            <w:vMerge w:val="restart"/>
            <w:tcBorders>
              <w:tl2br w:val="nil"/>
              <w:tr2bl w:val="nil"/>
            </w:tcBorders>
            <w:tcMar>
              <w:top w:w="15" w:type="dxa"/>
              <w:left w:w="15" w:type="dxa"/>
              <w:bottom w:w="15" w:type="dxa"/>
              <w:right w:w="15" w:type="dxa"/>
            </w:tcMar>
            <w:vAlign w:val="center"/>
          </w:tcPr>
          <w:p w14:paraId="225F7A3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《房地产经纪管理办法》</w:t>
            </w:r>
            <w:r>
              <w:rPr>
                <w:rFonts w:hint="eastAsia" w:ascii="仿宋_GB2312" w:hAnsi="宋体" w:eastAsia="仿宋_GB2312" w:cs="Times New Roman"/>
                <w:b/>
                <w:bCs/>
                <w:color w:val="auto"/>
                <w:kern w:val="0"/>
                <w:sz w:val="13"/>
                <w:szCs w:val="13"/>
                <w:highlight w:val="none"/>
              </w:rPr>
              <w:t>第三十五条</w:t>
            </w:r>
            <w:r>
              <w:rPr>
                <w:rFonts w:hint="eastAsia" w:ascii="仿宋_GB2312" w:hAnsi="宋体" w:eastAsia="仿宋_GB2312" w:cs="Times New Roman"/>
                <w:b/>
                <w:bCs/>
                <w:color w:val="auto"/>
                <w:kern w:val="0"/>
                <w:sz w:val="13"/>
                <w:szCs w:val="13"/>
                <w:highlight w:val="none"/>
                <w:lang w:eastAsia="zh-CN"/>
              </w:rPr>
              <w:t>：</w:t>
            </w:r>
            <w:r>
              <w:rPr>
                <w:rFonts w:hint="eastAsia" w:ascii="仿宋_GB2312" w:hAnsi="宋体" w:eastAsia="仿宋_GB2312" w:cs="Times New Roman"/>
                <w:color w:val="auto"/>
                <w:kern w:val="0"/>
                <w:sz w:val="13"/>
                <w:szCs w:val="13"/>
                <w:highlight w:val="none"/>
              </w:rPr>
              <w:t>违反本办法第二十二条，房地产经纪机构擅自对外发布房源信息的，由县级以上地方人民政府建设（房地产）主管部门责令限期改正，记入信用档案，取消网上签约资格，并处以1万元以上3万元以下罚款。</w:t>
            </w:r>
          </w:p>
          <w:p w14:paraId="4ACE9BA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1" w:firstLineChars="200"/>
              <w:textAlignment w:val="center"/>
              <w:rPr>
                <w:rFonts w:ascii="仿宋_GB2312" w:hAnsi="宋体" w:eastAsia="仿宋_GB2312"/>
                <w:color w:val="auto"/>
                <w:sz w:val="13"/>
                <w:szCs w:val="13"/>
                <w:highlight w:val="none"/>
              </w:rPr>
            </w:pPr>
            <w:r>
              <w:rPr>
                <w:rFonts w:hint="eastAsia" w:ascii="仿宋_GB2312" w:hAnsi="宋体" w:eastAsia="仿宋_GB2312" w:cs="Times New Roman"/>
                <w:b/>
                <w:bCs/>
                <w:color w:val="auto"/>
                <w:kern w:val="0"/>
                <w:sz w:val="13"/>
                <w:szCs w:val="13"/>
                <w:highlight w:val="none"/>
              </w:rPr>
              <w:t>第二十二条第一款</w:t>
            </w:r>
            <w:r>
              <w:rPr>
                <w:rFonts w:hint="eastAsia" w:ascii="仿宋_GB2312" w:hAnsi="宋体" w:eastAsia="仿宋_GB2312" w:cs="Times New Roman"/>
                <w:b/>
                <w:bCs/>
                <w:color w:val="auto"/>
                <w:kern w:val="0"/>
                <w:sz w:val="13"/>
                <w:szCs w:val="13"/>
                <w:highlight w:val="none"/>
                <w:lang w:eastAsia="zh-CN"/>
              </w:rPr>
              <w:t>：</w:t>
            </w:r>
            <w:r>
              <w:rPr>
                <w:rFonts w:ascii="仿宋_GB2312" w:hAnsi="宋体" w:eastAsia="仿宋_GB2312" w:cs="Times New Roman"/>
                <w:color w:val="auto"/>
                <w:kern w:val="0"/>
                <w:sz w:val="13"/>
                <w:szCs w:val="13"/>
                <w:highlight w:val="none"/>
              </w:rPr>
              <w:t>房地产经纪机构与委托人签订房屋出售、出租经纪服务合同，应当查看委托出售、出租的房屋及</w:t>
            </w:r>
            <w:r>
              <w:rPr>
                <w:color w:val="auto"/>
                <w:sz w:val="13"/>
                <w:szCs w:val="13"/>
                <w:highlight w:val="none"/>
              </w:rPr>
              <w:fldChar w:fldCharType="begin"/>
            </w:r>
            <w:r>
              <w:rPr>
                <w:color w:val="auto"/>
                <w:sz w:val="13"/>
                <w:szCs w:val="13"/>
                <w:highlight w:val="none"/>
              </w:rPr>
              <w:instrText xml:space="preserve"> HYPERLINK "https://baike.baidu.com/item/%E6%88%BF%E5%B1%8B%E6%9D%83%E5%B1%9E%E8%AF%81%E4%B9%A6" \t "https://baike.baidu.com/item/%E6%88%BF%E5%9C%B0%E4%BA%A7%E7%BB%8F%E7%BA%AA%E7%AE%A1%E7%90%86%E5%8A%9E%E6%B3%95/_blank" </w:instrText>
            </w:r>
            <w:r>
              <w:rPr>
                <w:color w:val="auto"/>
                <w:sz w:val="13"/>
                <w:szCs w:val="13"/>
                <w:highlight w:val="none"/>
              </w:rPr>
              <w:fldChar w:fldCharType="separate"/>
            </w:r>
            <w:r>
              <w:rPr>
                <w:rFonts w:ascii="仿宋_GB2312" w:hAnsi="宋体" w:eastAsia="仿宋_GB2312" w:cs="Times New Roman"/>
                <w:color w:val="auto"/>
                <w:kern w:val="0"/>
                <w:sz w:val="13"/>
                <w:szCs w:val="13"/>
                <w:highlight w:val="none"/>
              </w:rPr>
              <w:t>房屋权属证书</w:t>
            </w:r>
            <w:r>
              <w:rPr>
                <w:rFonts w:ascii="仿宋_GB2312" w:hAnsi="宋体" w:eastAsia="仿宋_GB2312" w:cs="Times New Roman"/>
                <w:color w:val="auto"/>
                <w:kern w:val="0"/>
                <w:sz w:val="13"/>
                <w:szCs w:val="13"/>
                <w:highlight w:val="none"/>
              </w:rPr>
              <w:fldChar w:fldCharType="end"/>
            </w:r>
            <w:r>
              <w:rPr>
                <w:rFonts w:ascii="仿宋_GB2312" w:hAnsi="宋体" w:eastAsia="仿宋_GB2312" w:cs="Times New Roman"/>
                <w:color w:val="auto"/>
                <w:kern w:val="0"/>
                <w:sz w:val="13"/>
                <w:szCs w:val="13"/>
                <w:highlight w:val="none"/>
              </w:rPr>
              <w:t>，委托人的身份证明等有关资料，并应当编制房屋状况说明书。经委托人书面同意后，方可以对外发布相应的房源信息。</w:t>
            </w:r>
          </w:p>
        </w:tc>
        <w:tc>
          <w:tcPr>
            <w:tcW w:w="823" w:type="dxa"/>
            <w:tcBorders>
              <w:tl2br w:val="nil"/>
              <w:tr2bl w:val="nil"/>
            </w:tcBorders>
            <w:tcMar>
              <w:top w:w="15" w:type="dxa"/>
              <w:left w:w="15" w:type="dxa"/>
              <w:bottom w:w="15" w:type="dxa"/>
              <w:right w:w="15" w:type="dxa"/>
            </w:tcMar>
            <w:vAlign w:val="center"/>
          </w:tcPr>
          <w:p w14:paraId="1CFE80E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s="Times New Roman"/>
                <w:color w:val="auto"/>
                <w:kern w:val="0"/>
                <w:sz w:val="13"/>
                <w:szCs w:val="13"/>
                <w:highlight w:val="none"/>
                <w:lang w:eastAsia="zh-CN"/>
              </w:rPr>
              <w:t>从轻情节</w:t>
            </w:r>
          </w:p>
        </w:tc>
        <w:tc>
          <w:tcPr>
            <w:tcW w:w="3437" w:type="dxa"/>
            <w:gridSpan w:val="2"/>
            <w:tcBorders>
              <w:tl2br w:val="nil"/>
              <w:tr2bl w:val="nil"/>
            </w:tcBorders>
            <w:tcMar>
              <w:top w:w="15" w:type="dxa"/>
              <w:left w:w="15" w:type="dxa"/>
              <w:bottom w:w="15" w:type="dxa"/>
              <w:right w:w="15" w:type="dxa"/>
            </w:tcMar>
            <w:vAlign w:val="center"/>
          </w:tcPr>
          <w:p w14:paraId="1F16F3F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初次违法，危害后果轻微，主动采取措施消除或减轻违法行为危害后果。</w:t>
            </w:r>
          </w:p>
        </w:tc>
        <w:tc>
          <w:tcPr>
            <w:tcW w:w="3064" w:type="dxa"/>
            <w:gridSpan w:val="2"/>
            <w:tcBorders>
              <w:tl2br w:val="nil"/>
              <w:tr2bl w:val="nil"/>
            </w:tcBorders>
            <w:tcMar>
              <w:top w:w="15" w:type="dxa"/>
              <w:left w:w="15" w:type="dxa"/>
              <w:bottom w:w="15" w:type="dxa"/>
              <w:right w:w="15" w:type="dxa"/>
            </w:tcMar>
            <w:vAlign w:val="center"/>
          </w:tcPr>
          <w:p w14:paraId="6F7CFC7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责令限期改正，记入信用档案，取消网上签约资格1个月，处1万元以上1.5元以下的罚款。</w:t>
            </w:r>
          </w:p>
        </w:tc>
      </w:tr>
      <w:tr w14:paraId="0FD63AA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9" w:hRule="atLeast"/>
          <w:jc w:val="center"/>
        </w:trPr>
        <w:tc>
          <w:tcPr>
            <w:tcW w:w="443" w:type="dxa"/>
            <w:gridSpan w:val="2"/>
            <w:vMerge w:val="continue"/>
            <w:tcBorders>
              <w:tl2br w:val="nil"/>
              <w:tr2bl w:val="nil"/>
            </w:tcBorders>
            <w:vAlign w:val="center"/>
          </w:tcPr>
          <w:p w14:paraId="6CFD07B2">
            <w:pPr>
              <w:pStyle w:val="37"/>
              <w:keepNext w:val="0"/>
              <w:keepLines w:val="0"/>
              <w:pageBreakBefore w:val="0"/>
              <w:widowControl/>
              <w:numPr>
                <w:ilvl w:val="0"/>
                <w:numId w:val="4"/>
              </w:numPr>
              <w:kinsoku/>
              <w:overflowPunct/>
              <w:topLinePunct w:val="0"/>
              <w:autoSpaceDE/>
              <w:autoSpaceDN/>
              <w:bidi w:val="0"/>
              <w:adjustRightInd/>
              <w:snapToGrid/>
              <w:spacing w:beforeAutospacing="0" w:afterAutospacing="0" w:line="260" w:lineRule="exact"/>
              <w:ind w:left="638" w:leftChars="88" w:right="0" w:rightChars="0" w:hanging="453" w:hangingChars="349"/>
              <w:jc w:val="center"/>
              <w:rPr>
                <w:rFonts w:ascii="仿宋_GB2312" w:hAnsi="宋体" w:eastAsia="仿宋_GB2312"/>
                <w:color w:val="auto"/>
                <w:sz w:val="13"/>
                <w:szCs w:val="13"/>
                <w:highlight w:val="none"/>
              </w:rPr>
            </w:pPr>
          </w:p>
        </w:tc>
        <w:tc>
          <w:tcPr>
            <w:tcW w:w="1550" w:type="dxa"/>
            <w:vMerge w:val="continue"/>
            <w:tcBorders>
              <w:tl2br w:val="nil"/>
              <w:tr2bl w:val="nil"/>
            </w:tcBorders>
            <w:vAlign w:val="center"/>
          </w:tcPr>
          <w:p w14:paraId="639B06F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4E38AEE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5279062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s="Times New Roman"/>
                <w:color w:val="auto"/>
                <w:kern w:val="0"/>
                <w:sz w:val="13"/>
                <w:szCs w:val="13"/>
                <w:highlight w:val="none"/>
                <w:lang w:eastAsia="zh-CN"/>
              </w:rPr>
              <w:t>一般情节</w:t>
            </w:r>
          </w:p>
        </w:tc>
        <w:tc>
          <w:tcPr>
            <w:tcW w:w="3437" w:type="dxa"/>
            <w:gridSpan w:val="2"/>
            <w:tcBorders>
              <w:tl2br w:val="nil"/>
              <w:tr2bl w:val="nil"/>
            </w:tcBorders>
            <w:tcMar>
              <w:top w:w="15" w:type="dxa"/>
              <w:left w:w="15" w:type="dxa"/>
              <w:bottom w:w="15" w:type="dxa"/>
              <w:right w:w="15" w:type="dxa"/>
            </w:tcMar>
            <w:vAlign w:val="center"/>
          </w:tcPr>
          <w:p w14:paraId="261F0D1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实施违法行为，造成不良社会影响，不具有从轻、</w:t>
            </w:r>
            <w:r>
              <w:rPr>
                <w:rFonts w:hint="eastAsia" w:ascii="仿宋_GB2312" w:hAnsi="宋体" w:eastAsia="仿宋_GB2312" w:cs="Times New Roman"/>
                <w:color w:val="auto"/>
                <w:kern w:val="0"/>
                <w:sz w:val="13"/>
                <w:szCs w:val="13"/>
                <w:highlight w:val="none"/>
                <w:lang w:eastAsia="zh-CN"/>
              </w:rPr>
              <w:t>从重情节</w:t>
            </w:r>
            <w:r>
              <w:rPr>
                <w:rFonts w:hint="eastAsia" w:ascii="仿宋_GB2312" w:hAnsi="宋体" w:eastAsia="仿宋_GB2312" w:cs="Times New Roman"/>
                <w:color w:val="auto"/>
                <w:kern w:val="0"/>
                <w:sz w:val="13"/>
                <w:szCs w:val="13"/>
                <w:highlight w:val="none"/>
              </w:rPr>
              <w:t>的。</w:t>
            </w:r>
          </w:p>
        </w:tc>
        <w:tc>
          <w:tcPr>
            <w:tcW w:w="3064" w:type="dxa"/>
            <w:gridSpan w:val="2"/>
            <w:tcBorders>
              <w:tl2br w:val="nil"/>
              <w:tr2bl w:val="nil"/>
            </w:tcBorders>
            <w:tcMar>
              <w:top w:w="15" w:type="dxa"/>
              <w:left w:w="15" w:type="dxa"/>
              <w:bottom w:w="15" w:type="dxa"/>
              <w:right w:w="15" w:type="dxa"/>
            </w:tcMar>
            <w:vAlign w:val="center"/>
          </w:tcPr>
          <w:p w14:paraId="106841C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责令限期改正，记入信用档案，取消网上签约资格2个月，处1.5万元以上2.5万元以下的罚款。</w:t>
            </w:r>
          </w:p>
        </w:tc>
      </w:tr>
      <w:tr w14:paraId="485898B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9" w:hRule="atLeast"/>
          <w:jc w:val="center"/>
        </w:trPr>
        <w:tc>
          <w:tcPr>
            <w:tcW w:w="443" w:type="dxa"/>
            <w:gridSpan w:val="2"/>
            <w:vMerge w:val="continue"/>
            <w:tcBorders>
              <w:tl2br w:val="nil"/>
              <w:tr2bl w:val="nil"/>
            </w:tcBorders>
            <w:vAlign w:val="center"/>
          </w:tcPr>
          <w:p w14:paraId="7541E050">
            <w:pPr>
              <w:pStyle w:val="37"/>
              <w:keepNext w:val="0"/>
              <w:keepLines w:val="0"/>
              <w:pageBreakBefore w:val="0"/>
              <w:widowControl/>
              <w:numPr>
                <w:ilvl w:val="0"/>
                <w:numId w:val="4"/>
              </w:numPr>
              <w:kinsoku/>
              <w:overflowPunct/>
              <w:topLinePunct w:val="0"/>
              <w:autoSpaceDE/>
              <w:autoSpaceDN/>
              <w:bidi w:val="0"/>
              <w:adjustRightInd/>
              <w:snapToGrid/>
              <w:spacing w:beforeAutospacing="0" w:afterAutospacing="0" w:line="260" w:lineRule="exact"/>
              <w:ind w:left="638" w:leftChars="88" w:right="0" w:rightChars="0" w:hanging="453" w:hangingChars="349"/>
              <w:jc w:val="center"/>
              <w:rPr>
                <w:rFonts w:ascii="仿宋_GB2312" w:hAnsi="宋体" w:eastAsia="仿宋_GB2312"/>
                <w:color w:val="auto"/>
                <w:sz w:val="13"/>
                <w:szCs w:val="13"/>
                <w:highlight w:val="none"/>
              </w:rPr>
            </w:pPr>
          </w:p>
        </w:tc>
        <w:tc>
          <w:tcPr>
            <w:tcW w:w="1550" w:type="dxa"/>
            <w:vMerge w:val="continue"/>
            <w:tcBorders>
              <w:tl2br w:val="nil"/>
              <w:tr2bl w:val="nil"/>
            </w:tcBorders>
            <w:vAlign w:val="center"/>
          </w:tcPr>
          <w:p w14:paraId="329FF53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66B4617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2C0AE19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s="Times New Roman"/>
                <w:color w:val="auto"/>
                <w:kern w:val="0"/>
                <w:sz w:val="13"/>
                <w:szCs w:val="13"/>
                <w:highlight w:val="none"/>
                <w:lang w:eastAsia="zh-CN"/>
              </w:rPr>
              <w:t>从重情节</w:t>
            </w:r>
          </w:p>
        </w:tc>
        <w:tc>
          <w:tcPr>
            <w:tcW w:w="3437" w:type="dxa"/>
            <w:gridSpan w:val="2"/>
            <w:tcBorders>
              <w:tl2br w:val="nil"/>
              <w:tr2bl w:val="nil"/>
            </w:tcBorders>
            <w:tcMar>
              <w:top w:w="15" w:type="dxa"/>
              <w:left w:w="15" w:type="dxa"/>
              <w:bottom w:w="15" w:type="dxa"/>
              <w:right w:w="15" w:type="dxa"/>
            </w:tcMar>
            <w:vAlign w:val="center"/>
          </w:tcPr>
          <w:p w14:paraId="1EC947B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经责令停止违法行为后，继续实施违法行为的</w:t>
            </w:r>
            <w:r>
              <w:rPr>
                <w:rFonts w:hint="eastAsia" w:ascii="仿宋_GB2312" w:hAnsi="宋体" w:eastAsia="仿宋_GB2312" w:cs="Times New Roman"/>
                <w:color w:val="auto"/>
                <w:kern w:val="0"/>
                <w:sz w:val="13"/>
                <w:szCs w:val="13"/>
                <w:highlight w:val="none"/>
                <w:lang w:eastAsia="zh-CN"/>
              </w:rPr>
              <w:t>，</w:t>
            </w:r>
            <w:r>
              <w:rPr>
                <w:rFonts w:hint="eastAsia" w:ascii="仿宋_GB2312" w:hAnsi="宋体" w:eastAsia="仿宋_GB2312" w:cs="Times New Roman"/>
                <w:color w:val="auto"/>
                <w:kern w:val="0"/>
                <w:sz w:val="13"/>
                <w:szCs w:val="13"/>
                <w:highlight w:val="none"/>
                <w:lang w:val="en-US" w:eastAsia="zh-CN"/>
              </w:rPr>
              <w:t>或</w:t>
            </w:r>
            <w:r>
              <w:rPr>
                <w:rFonts w:hint="eastAsia" w:ascii="仿宋_GB2312" w:hAnsi="宋体" w:eastAsia="仿宋_GB2312" w:cs="Times New Roman"/>
                <w:color w:val="auto"/>
                <w:kern w:val="0"/>
                <w:sz w:val="13"/>
                <w:szCs w:val="13"/>
                <w:highlight w:val="none"/>
              </w:rPr>
              <w:t>2年内2次及以上同类型违法。</w:t>
            </w:r>
          </w:p>
        </w:tc>
        <w:tc>
          <w:tcPr>
            <w:tcW w:w="3064" w:type="dxa"/>
            <w:gridSpan w:val="2"/>
            <w:tcBorders>
              <w:tl2br w:val="nil"/>
              <w:tr2bl w:val="nil"/>
            </w:tcBorders>
            <w:tcMar>
              <w:top w:w="15" w:type="dxa"/>
              <w:left w:w="15" w:type="dxa"/>
              <w:bottom w:w="15" w:type="dxa"/>
              <w:right w:w="15" w:type="dxa"/>
            </w:tcMar>
            <w:vAlign w:val="center"/>
          </w:tcPr>
          <w:p w14:paraId="7A6C46A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责令限期改正，记入信用档案，取消网上签约资格3个月，处2.5万元以上3万元以下的罚款。</w:t>
            </w:r>
          </w:p>
        </w:tc>
      </w:tr>
      <w:tr w14:paraId="6AD30B6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9" w:hRule="atLeast"/>
          <w:jc w:val="center"/>
        </w:trPr>
        <w:tc>
          <w:tcPr>
            <w:tcW w:w="443" w:type="dxa"/>
            <w:gridSpan w:val="2"/>
            <w:vMerge w:val="restart"/>
            <w:tcBorders>
              <w:tl2br w:val="nil"/>
              <w:tr2bl w:val="nil"/>
            </w:tcBorders>
            <w:tcMar>
              <w:top w:w="15" w:type="dxa"/>
              <w:left w:w="15" w:type="dxa"/>
              <w:bottom w:w="15" w:type="dxa"/>
              <w:right w:w="15" w:type="dxa"/>
            </w:tcMar>
            <w:vAlign w:val="center"/>
          </w:tcPr>
          <w:p w14:paraId="6369FC62">
            <w:pPr>
              <w:keepNext w:val="0"/>
              <w:keepLines w:val="0"/>
              <w:pageBreakBefore w:val="0"/>
              <w:widowControl/>
              <w:numPr>
                <w:ilvl w:val="0"/>
                <w:numId w:val="6"/>
              </w:numPr>
              <w:suppressLineNumbers w:val="0"/>
              <w:tabs>
                <w:tab w:val="clear" w:pos="397"/>
              </w:tabs>
              <w:kinsoku/>
              <w:overflowPunct/>
              <w:topLinePunct w:val="0"/>
              <w:autoSpaceDE/>
              <w:autoSpaceDN/>
              <w:bidi w:val="0"/>
              <w:adjustRightInd/>
              <w:snapToGrid/>
              <w:spacing w:beforeAutospacing="0" w:afterAutospacing="0" w:line="260" w:lineRule="exact"/>
              <w:ind w:left="638" w:leftChars="88" w:right="0" w:rightChars="0" w:hanging="453" w:hangingChars="349"/>
              <w:jc w:val="center"/>
              <w:textAlignment w:val="center"/>
              <w:rPr>
                <w:rFonts w:hint="default" w:ascii="仿宋_GB2312" w:hAnsi="宋体" w:eastAsia="仿宋_GB2312"/>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244</w:t>
            </w:r>
          </w:p>
        </w:tc>
        <w:tc>
          <w:tcPr>
            <w:tcW w:w="1550" w:type="dxa"/>
            <w:vMerge w:val="restart"/>
            <w:tcBorders>
              <w:tl2br w:val="nil"/>
              <w:tr2bl w:val="nil"/>
            </w:tcBorders>
            <w:tcMar>
              <w:top w:w="15" w:type="dxa"/>
              <w:left w:w="15" w:type="dxa"/>
              <w:bottom w:w="15" w:type="dxa"/>
              <w:right w:w="15" w:type="dxa"/>
            </w:tcMar>
            <w:vAlign w:val="center"/>
          </w:tcPr>
          <w:p w14:paraId="59CE182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聘用单位为申请人提供虚假注册材料的</w:t>
            </w:r>
          </w:p>
        </w:tc>
        <w:tc>
          <w:tcPr>
            <w:tcW w:w="4820" w:type="dxa"/>
            <w:vMerge w:val="restart"/>
            <w:tcBorders>
              <w:tl2br w:val="nil"/>
              <w:tr2bl w:val="nil"/>
            </w:tcBorders>
            <w:tcMar>
              <w:top w:w="15" w:type="dxa"/>
              <w:left w:w="15" w:type="dxa"/>
              <w:bottom w:w="15" w:type="dxa"/>
              <w:right w:w="15" w:type="dxa"/>
            </w:tcMar>
            <w:vAlign w:val="center"/>
          </w:tcPr>
          <w:p w14:paraId="5D26427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《注册房地产估价师管理办法》</w:t>
            </w:r>
            <w:r>
              <w:rPr>
                <w:rFonts w:hint="eastAsia" w:ascii="仿宋_GB2312" w:hAnsi="宋体" w:eastAsia="仿宋_GB2312" w:cs="Times New Roman"/>
                <w:b/>
                <w:bCs/>
                <w:color w:val="auto"/>
                <w:kern w:val="0"/>
                <w:sz w:val="13"/>
                <w:szCs w:val="13"/>
                <w:highlight w:val="none"/>
              </w:rPr>
              <w:t>第三十四条：</w:t>
            </w:r>
            <w:r>
              <w:rPr>
                <w:rFonts w:hint="eastAsia" w:ascii="仿宋_GB2312" w:hAnsi="宋体" w:eastAsia="仿宋_GB2312" w:cs="Times New Roman"/>
                <w:color w:val="auto"/>
                <w:kern w:val="0"/>
                <w:sz w:val="13"/>
                <w:szCs w:val="13"/>
                <w:highlight w:val="none"/>
              </w:rPr>
              <w:t>聘用单位为申请人提供虚假注册材料的，由省、自治区、直辖市人民政府建设（房地产）主管部门给予警告，并可处以1万元以上3万元以下的罚款。</w:t>
            </w:r>
          </w:p>
          <w:p w14:paraId="72C3E7D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olor w:val="auto"/>
                <w:kern w:val="0"/>
                <w:sz w:val="13"/>
                <w:szCs w:val="13"/>
                <w:highlight w:val="none"/>
              </w:rPr>
            </w:pPr>
          </w:p>
        </w:tc>
        <w:tc>
          <w:tcPr>
            <w:tcW w:w="823" w:type="dxa"/>
            <w:tcBorders>
              <w:tl2br w:val="nil"/>
              <w:tr2bl w:val="nil"/>
            </w:tcBorders>
            <w:tcMar>
              <w:top w:w="15" w:type="dxa"/>
              <w:left w:w="15" w:type="dxa"/>
              <w:bottom w:w="15" w:type="dxa"/>
              <w:right w:w="15" w:type="dxa"/>
            </w:tcMar>
            <w:vAlign w:val="center"/>
          </w:tcPr>
          <w:p w14:paraId="3AA0274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s="Times New Roman"/>
                <w:color w:val="auto"/>
                <w:kern w:val="0"/>
                <w:sz w:val="13"/>
                <w:szCs w:val="13"/>
                <w:highlight w:val="none"/>
                <w:lang w:eastAsia="zh-CN"/>
              </w:rPr>
              <w:t>从轻情节</w:t>
            </w:r>
          </w:p>
        </w:tc>
        <w:tc>
          <w:tcPr>
            <w:tcW w:w="3437" w:type="dxa"/>
            <w:gridSpan w:val="2"/>
            <w:tcBorders>
              <w:tl2br w:val="nil"/>
              <w:tr2bl w:val="nil"/>
            </w:tcBorders>
            <w:tcMar>
              <w:top w:w="15" w:type="dxa"/>
              <w:left w:w="15" w:type="dxa"/>
              <w:bottom w:w="15" w:type="dxa"/>
              <w:right w:w="15" w:type="dxa"/>
            </w:tcMar>
            <w:vAlign w:val="center"/>
          </w:tcPr>
          <w:p w14:paraId="4A40511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初次违法，危害后果轻微，主动采取措施消除或减轻违法行为危害后果。</w:t>
            </w:r>
          </w:p>
        </w:tc>
        <w:tc>
          <w:tcPr>
            <w:tcW w:w="3064" w:type="dxa"/>
            <w:gridSpan w:val="2"/>
            <w:tcBorders>
              <w:tl2br w:val="nil"/>
              <w:tr2bl w:val="nil"/>
            </w:tcBorders>
            <w:tcMar>
              <w:top w:w="15" w:type="dxa"/>
              <w:left w:w="15" w:type="dxa"/>
              <w:bottom w:w="15" w:type="dxa"/>
              <w:right w:w="15" w:type="dxa"/>
            </w:tcMar>
            <w:vAlign w:val="center"/>
          </w:tcPr>
          <w:p w14:paraId="6387FCA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给予警告，并可处以1万元以上1.5万元以下的罚款。</w:t>
            </w:r>
          </w:p>
        </w:tc>
      </w:tr>
      <w:tr w14:paraId="4BFCEE9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9" w:hRule="atLeast"/>
          <w:jc w:val="center"/>
        </w:trPr>
        <w:tc>
          <w:tcPr>
            <w:tcW w:w="443" w:type="dxa"/>
            <w:gridSpan w:val="2"/>
            <w:vMerge w:val="continue"/>
            <w:tcBorders>
              <w:tl2br w:val="nil"/>
              <w:tr2bl w:val="nil"/>
            </w:tcBorders>
            <w:tcMar>
              <w:top w:w="15" w:type="dxa"/>
              <w:left w:w="15" w:type="dxa"/>
              <w:bottom w:w="15" w:type="dxa"/>
              <w:right w:w="15" w:type="dxa"/>
            </w:tcMar>
            <w:vAlign w:val="center"/>
          </w:tcPr>
          <w:p w14:paraId="151C33AC">
            <w:pPr>
              <w:pStyle w:val="37"/>
              <w:keepNext w:val="0"/>
              <w:keepLines w:val="0"/>
              <w:pageBreakBefore w:val="0"/>
              <w:widowControl/>
              <w:numPr>
                <w:ilvl w:val="0"/>
                <w:numId w:val="4"/>
              </w:numPr>
              <w:kinsoku/>
              <w:overflowPunct/>
              <w:topLinePunct w:val="0"/>
              <w:autoSpaceDE/>
              <w:autoSpaceDN/>
              <w:bidi w:val="0"/>
              <w:adjustRightInd/>
              <w:snapToGrid/>
              <w:spacing w:beforeAutospacing="0" w:afterAutospacing="0" w:line="260" w:lineRule="exact"/>
              <w:ind w:left="638" w:leftChars="88" w:right="0" w:rightChars="0" w:hanging="453" w:hangingChars="349"/>
              <w:jc w:val="center"/>
              <w:textAlignment w:val="center"/>
              <w:rPr>
                <w:rFonts w:ascii="仿宋_GB2312" w:hAnsi="宋体" w:eastAsia="仿宋_GB2312"/>
                <w:color w:val="auto"/>
                <w:kern w:val="0"/>
                <w:sz w:val="13"/>
                <w:szCs w:val="13"/>
                <w:highlight w:val="none"/>
              </w:rPr>
            </w:pPr>
          </w:p>
        </w:tc>
        <w:tc>
          <w:tcPr>
            <w:tcW w:w="1550" w:type="dxa"/>
            <w:vMerge w:val="continue"/>
            <w:tcBorders>
              <w:tl2br w:val="nil"/>
              <w:tr2bl w:val="nil"/>
            </w:tcBorders>
            <w:tcMar>
              <w:top w:w="15" w:type="dxa"/>
              <w:left w:w="15" w:type="dxa"/>
              <w:bottom w:w="15" w:type="dxa"/>
              <w:right w:w="15" w:type="dxa"/>
            </w:tcMar>
            <w:vAlign w:val="center"/>
          </w:tcPr>
          <w:p w14:paraId="22E64C1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olor w:val="auto"/>
                <w:kern w:val="0"/>
                <w:sz w:val="13"/>
                <w:szCs w:val="13"/>
                <w:highlight w:val="none"/>
              </w:rPr>
            </w:pPr>
          </w:p>
        </w:tc>
        <w:tc>
          <w:tcPr>
            <w:tcW w:w="4820" w:type="dxa"/>
            <w:vMerge w:val="continue"/>
            <w:tcBorders>
              <w:tl2br w:val="nil"/>
              <w:tr2bl w:val="nil"/>
            </w:tcBorders>
            <w:tcMar>
              <w:top w:w="15" w:type="dxa"/>
              <w:left w:w="15" w:type="dxa"/>
              <w:bottom w:w="15" w:type="dxa"/>
              <w:right w:w="15" w:type="dxa"/>
            </w:tcMar>
            <w:vAlign w:val="center"/>
          </w:tcPr>
          <w:p w14:paraId="77F8F1B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olor w:val="auto"/>
                <w:kern w:val="0"/>
                <w:sz w:val="13"/>
                <w:szCs w:val="13"/>
                <w:highlight w:val="none"/>
              </w:rPr>
            </w:pPr>
          </w:p>
        </w:tc>
        <w:tc>
          <w:tcPr>
            <w:tcW w:w="823" w:type="dxa"/>
            <w:tcBorders>
              <w:tl2br w:val="nil"/>
              <w:tr2bl w:val="nil"/>
            </w:tcBorders>
            <w:tcMar>
              <w:top w:w="15" w:type="dxa"/>
              <w:left w:w="15" w:type="dxa"/>
              <w:bottom w:w="15" w:type="dxa"/>
              <w:right w:w="15" w:type="dxa"/>
            </w:tcMar>
            <w:vAlign w:val="center"/>
          </w:tcPr>
          <w:p w14:paraId="77659DC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s="Times New Roman"/>
                <w:color w:val="auto"/>
                <w:kern w:val="0"/>
                <w:sz w:val="13"/>
                <w:szCs w:val="13"/>
                <w:highlight w:val="none"/>
                <w:lang w:eastAsia="zh-CN"/>
              </w:rPr>
              <w:t>一般情节</w:t>
            </w:r>
          </w:p>
        </w:tc>
        <w:tc>
          <w:tcPr>
            <w:tcW w:w="3437" w:type="dxa"/>
            <w:gridSpan w:val="2"/>
            <w:tcBorders>
              <w:tl2br w:val="nil"/>
              <w:tr2bl w:val="nil"/>
            </w:tcBorders>
            <w:tcMar>
              <w:top w:w="15" w:type="dxa"/>
              <w:left w:w="15" w:type="dxa"/>
              <w:bottom w:w="15" w:type="dxa"/>
              <w:right w:w="15" w:type="dxa"/>
            </w:tcMar>
            <w:vAlign w:val="center"/>
          </w:tcPr>
          <w:p w14:paraId="200F215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实施违法行为，造成不良社会影响，不具有从轻、</w:t>
            </w:r>
            <w:r>
              <w:rPr>
                <w:rFonts w:hint="eastAsia" w:ascii="仿宋_GB2312" w:hAnsi="宋体" w:eastAsia="仿宋_GB2312" w:cs="Times New Roman"/>
                <w:color w:val="auto"/>
                <w:kern w:val="0"/>
                <w:sz w:val="13"/>
                <w:szCs w:val="13"/>
                <w:highlight w:val="none"/>
                <w:lang w:eastAsia="zh-CN"/>
              </w:rPr>
              <w:t>从重情节</w:t>
            </w:r>
            <w:r>
              <w:rPr>
                <w:rFonts w:hint="eastAsia" w:ascii="仿宋_GB2312" w:hAnsi="宋体" w:eastAsia="仿宋_GB2312" w:cs="Times New Roman"/>
                <w:color w:val="auto"/>
                <w:kern w:val="0"/>
                <w:sz w:val="13"/>
                <w:szCs w:val="13"/>
                <w:highlight w:val="none"/>
              </w:rPr>
              <w:t>的。</w:t>
            </w:r>
          </w:p>
        </w:tc>
        <w:tc>
          <w:tcPr>
            <w:tcW w:w="3064" w:type="dxa"/>
            <w:gridSpan w:val="2"/>
            <w:tcBorders>
              <w:tl2br w:val="nil"/>
              <w:tr2bl w:val="nil"/>
            </w:tcBorders>
            <w:tcMar>
              <w:top w:w="15" w:type="dxa"/>
              <w:left w:w="15" w:type="dxa"/>
              <w:bottom w:w="15" w:type="dxa"/>
              <w:right w:w="15" w:type="dxa"/>
            </w:tcMar>
            <w:vAlign w:val="center"/>
          </w:tcPr>
          <w:p w14:paraId="45F5F61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给予警告，并处以1.5万元以上2.5万元以下的罚款。</w:t>
            </w:r>
          </w:p>
        </w:tc>
      </w:tr>
      <w:tr w14:paraId="6F5CED0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9" w:hRule="atLeast"/>
          <w:jc w:val="center"/>
        </w:trPr>
        <w:tc>
          <w:tcPr>
            <w:tcW w:w="443" w:type="dxa"/>
            <w:gridSpan w:val="2"/>
            <w:vMerge w:val="continue"/>
            <w:tcBorders>
              <w:tl2br w:val="nil"/>
              <w:tr2bl w:val="nil"/>
            </w:tcBorders>
            <w:tcMar>
              <w:top w:w="15" w:type="dxa"/>
              <w:left w:w="15" w:type="dxa"/>
              <w:bottom w:w="15" w:type="dxa"/>
              <w:right w:w="15" w:type="dxa"/>
            </w:tcMar>
            <w:vAlign w:val="center"/>
          </w:tcPr>
          <w:p w14:paraId="5E50B2FA">
            <w:pPr>
              <w:pStyle w:val="37"/>
              <w:keepNext w:val="0"/>
              <w:keepLines w:val="0"/>
              <w:pageBreakBefore w:val="0"/>
              <w:widowControl/>
              <w:numPr>
                <w:ilvl w:val="0"/>
                <w:numId w:val="4"/>
              </w:numPr>
              <w:kinsoku/>
              <w:overflowPunct/>
              <w:topLinePunct w:val="0"/>
              <w:autoSpaceDE/>
              <w:autoSpaceDN/>
              <w:bidi w:val="0"/>
              <w:adjustRightInd/>
              <w:snapToGrid/>
              <w:spacing w:beforeAutospacing="0" w:afterAutospacing="0" w:line="260" w:lineRule="exact"/>
              <w:ind w:left="638" w:leftChars="88" w:right="0" w:rightChars="0" w:hanging="453" w:hangingChars="349"/>
              <w:jc w:val="center"/>
              <w:textAlignment w:val="center"/>
              <w:rPr>
                <w:rFonts w:ascii="仿宋_GB2312" w:hAnsi="宋体" w:eastAsia="仿宋_GB2312"/>
                <w:color w:val="auto"/>
                <w:kern w:val="0"/>
                <w:sz w:val="13"/>
                <w:szCs w:val="13"/>
                <w:highlight w:val="none"/>
              </w:rPr>
            </w:pPr>
          </w:p>
        </w:tc>
        <w:tc>
          <w:tcPr>
            <w:tcW w:w="1550" w:type="dxa"/>
            <w:vMerge w:val="continue"/>
            <w:tcBorders>
              <w:tl2br w:val="nil"/>
              <w:tr2bl w:val="nil"/>
            </w:tcBorders>
            <w:tcMar>
              <w:top w:w="15" w:type="dxa"/>
              <w:left w:w="15" w:type="dxa"/>
              <w:bottom w:w="15" w:type="dxa"/>
              <w:right w:w="15" w:type="dxa"/>
            </w:tcMar>
            <w:vAlign w:val="center"/>
          </w:tcPr>
          <w:p w14:paraId="550D123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olor w:val="auto"/>
                <w:kern w:val="0"/>
                <w:sz w:val="13"/>
                <w:szCs w:val="13"/>
                <w:highlight w:val="none"/>
              </w:rPr>
            </w:pPr>
          </w:p>
        </w:tc>
        <w:tc>
          <w:tcPr>
            <w:tcW w:w="4820" w:type="dxa"/>
            <w:vMerge w:val="continue"/>
            <w:tcBorders>
              <w:tl2br w:val="nil"/>
              <w:tr2bl w:val="nil"/>
            </w:tcBorders>
            <w:tcMar>
              <w:top w:w="15" w:type="dxa"/>
              <w:left w:w="15" w:type="dxa"/>
              <w:bottom w:w="15" w:type="dxa"/>
              <w:right w:w="15" w:type="dxa"/>
            </w:tcMar>
            <w:vAlign w:val="center"/>
          </w:tcPr>
          <w:p w14:paraId="1EBA7CE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olor w:val="auto"/>
                <w:kern w:val="0"/>
                <w:sz w:val="13"/>
                <w:szCs w:val="13"/>
                <w:highlight w:val="none"/>
              </w:rPr>
            </w:pPr>
          </w:p>
        </w:tc>
        <w:tc>
          <w:tcPr>
            <w:tcW w:w="823" w:type="dxa"/>
            <w:tcBorders>
              <w:tl2br w:val="nil"/>
              <w:tr2bl w:val="nil"/>
            </w:tcBorders>
            <w:tcMar>
              <w:top w:w="15" w:type="dxa"/>
              <w:left w:w="15" w:type="dxa"/>
              <w:bottom w:w="15" w:type="dxa"/>
              <w:right w:w="15" w:type="dxa"/>
            </w:tcMar>
            <w:vAlign w:val="center"/>
          </w:tcPr>
          <w:p w14:paraId="6983CA9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s="Times New Roman"/>
                <w:color w:val="auto"/>
                <w:kern w:val="0"/>
                <w:sz w:val="13"/>
                <w:szCs w:val="13"/>
                <w:highlight w:val="none"/>
                <w:lang w:eastAsia="zh-CN"/>
              </w:rPr>
              <w:t>从重情节</w:t>
            </w:r>
          </w:p>
        </w:tc>
        <w:tc>
          <w:tcPr>
            <w:tcW w:w="3437" w:type="dxa"/>
            <w:gridSpan w:val="2"/>
            <w:tcBorders>
              <w:tl2br w:val="nil"/>
              <w:tr2bl w:val="nil"/>
            </w:tcBorders>
            <w:tcMar>
              <w:top w:w="15" w:type="dxa"/>
              <w:left w:w="15" w:type="dxa"/>
              <w:bottom w:w="15" w:type="dxa"/>
              <w:right w:w="15" w:type="dxa"/>
            </w:tcMar>
            <w:vAlign w:val="center"/>
          </w:tcPr>
          <w:p w14:paraId="0381EB8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经责令停止违法行为后，继续实施违法行为的</w:t>
            </w:r>
            <w:r>
              <w:rPr>
                <w:rFonts w:hint="eastAsia" w:ascii="仿宋_GB2312" w:hAnsi="宋体" w:eastAsia="仿宋_GB2312" w:cs="Times New Roman"/>
                <w:color w:val="auto"/>
                <w:kern w:val="0"/>
                <w:sz w:val="13"/>
                <w:szCs w:val="13"/>
                <w:highlight w:val="none"/>
                <w:lang w:eastAsia="zh-CN"/>
              </w:rPr>
              <w:t>，</w:t>
            </w:r>
            <w:r>
              <w:rPr>
                <w:rFonts w:hint="eastAsia" w:ascii="仿宋_GB2312" w:hAnsi="宋体" w:eastAsia="仿宋_GB2312" w:cs="Times New Roman"/>
                <w:color w:val="auto"/>
                <w:kern w:val="0"/>
                <w:sz w:val="13"/>
                <w:szCs w:val="13"/>
                <w:highlight w:val="none"/>
                <w:lang w:val="en-US" w:eastAsia="zh-CN"/>
              </w:rPr>
              <w:t>或</w:t>
            </w:r>
            <w:r>
              <w:rPr>
                <w:rFonts w:hint="eastAsia" w:ascii="仿宋_GB2312" w:hAnsi="宋体" w:eastAsia="仿宋_GB2312" w:cs="Times New Roman"/>
                <w:color w:val="auto"/>
                <w:kern w:val="0"/>
                <w:sz w:val="13"/>
                <w:szCs w:val="13"/>
                <w:highlight w:val="none"/>
              </w:rPr>
              <w:t>2年内2次及以上同类型违法。</w:t>
            </w:r>
          </w:p>
        </w:tc>
        <w:tc>
          <w:tcPr>
            <w:tcW w:w="3064" w:type="dxa"/>
            <w:gridSpan w:val="2"/>
            <w:tcBorders>
              <w:tl2br w:val="nil"/>
              <w:tr2bl w:val="nil"/>
            </w:tcBorders>
            <w:tcMar>
              <w:top w:w="15" w:type="dxa"/>
              <w:left w:w="15" w:type="dxa"/>
              <w:bottom w:w="15" w:type="dxa"/>
              <w:right w:w="15" w:type="dxa"/>
            </w:tcMar>
            <w:vAlign w:val="center"/>
          </w:tcPr>
          <w:p w14:paraId="0ADED16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给予警告，并处以2.5万元以上3万元以下的罚款。</w:t>
            </w:r>
          </w:p>
        </w:tc>
      </w:tr>
      <w:tr w14:paraId="0D63E8E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7" w:hRule="atLeast"/>
          <w:jc w:val="center"/>
        </w:trPr>
        <w:tc>
          <w:tcPr>
            <w:tcW w:w="443" w:type="dxa"/>
            <w:gridSpan w:val="2"/>
            <w:vMerge w:val="restart"/>
            <w:tcBorders>
              <w:tl2br w:val="nil"/>
              <w:tr2bl w:val="nil"/>
            </w:tcBorders>
            <w:tcMar>
              <w:top w:w="15" w:type="dxa"/>
              <w:left w:w="15" w:type="dxa"/>
              <w:bottom w:w="15" w:type="dxa"/>
              <w:right w:w="15" w:type="dxa"/>
            </w:tcMar>
            <w:vAlign w:val="center"/>
          </w:tcPr>
          <w:p w14:paraId="29F5C9EC">
            <w:pPr>
              <w:keepNext w:val="0"/>
              <w:keepLines w:val="0"/>
              <w:pageBreakBefore w:val="0"/>
              <w:widowControl/>
              <w:numPr>
                <w:ilvl w:val="0"/>
                <w:numId w:val="6"/>
              </w:numPr>
              <w:suppressLineNumbers w:val="0"/>
              <w:tabs>
                <w:tab w:val="clear" w:pos="397"/>
              </w:tabs>
              <w:kinsoku/>
              <w:overflowPunct/>
              <w:topLinePunct w:val="0"/>
              <w:autoSpaceDE/>
              <w:autoSpaceDN/>
              <w:bidi w:val="0"/>
              <w:adjustRightInd/>
              <w:snapToGrid/>
              <w:spacing w:beforeAutospacing="0" w:afterAutospacing="0" w:line="260" w:lineRule="exact"/>
              <w:ind w:left="638" w:leftChars="88" w:right="0" w:rightChars="0" w:hanging="453" w:hangingChars="349"/>
              <w:jc w:val="center"/>
              <w:textAlignment w:val="center"/>
              <w:rPr>
                <w:rFonts w:hint="default" w:ascii="仿宋_GB2312" w:hAnsi="宋体" w:eastAsia="仿宋_GB2312"/>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245</w:t>
            </w:r>
          </w:p>
        </w:tc>
        <w:tc>
          <w:tcPr>
            <w:tcW w:w="1550" w:type="dxa"/>
            <w:vMerge w:val="restart"/>
            <w:tcBorders>
              <w:tl2br w:val="nil"/>
              <w:tr2bl w:val="nil"/>
            </w:tcBorders>
            <w:tcMar>
              <w:top w:w="15" w:type="dxa"/>
              <w:left w:w="15" w:type="dxa"/>
              <w:bottom w:w="15" w:type="dxa"/>
              <w:right w:w="15" w:type="dxa"/>
            </w:tcMar>
            <w:vAlign w:val="center"/>
          </w:tcPr>
          <w:p w14:paraId="10ADD52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以欺骗、贿赂等不正当手段取得房地产估价师注册证书的</w:t>
            </w:r>
          </w:p>
        </w:tc>
        <w:tc>
          <w:tcPr>
            <w:tcW w:w="4820" w:type="dxa"/>
            <w:vMerge w:val="restart"/>
            <w:tcBorders>
              <w:tl2br w:val="nil"/>
              <w:tr2bl w:val="nil"/>
            </w:tcBorders>
            <w:tcMar>
              <w:top w:w="15" w:type="dxa"/>
              <w:left w:w="15" w:type="dxa"/>
              <w:bottom w:w="15" w:type="dxa"/>
              <w:right w:w="15" w:type="dxa"/>
            </w:tcMar>
            <w:vAlign w:val="center"/>
          </w:tcPr>
          <w:p w14:paraId="0A7B209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《注册房地产估价师管理办法》</w:t>
            </w:r>
            <w:r>
              <w:rPr>
                <w:rFonts w:hint="eastAsia" w:ascii="仿宋_GB2312" w:hAnsi="宋体" w:eastAsia="仿宋_GB2312" w:cs="Times New Roman"/>
                <w:b/>
                <w:bCs/>
                <w:color w:val="auto"/>
                <w:kern w:val="0"/>
                <w:sz w:val="13"/>
                <w:szCs w:val="13"/>
                <w:highlight w:val="none"/>
              </w:rPr>
              <w:t>第三十五条：</w:t>
            </w:r>
            <w:r>
              <w:rPr>
                <w:rFonts w:hint="eastAsia" w:ascii="仿宋_GB2312" w:hAnsi="宋体" w:eastAsia="仿宋_GB2312" w:cs="Times New Roman"/>
                <w:b w:val="0"/>
                <w:bCs w:val="0"/>
                <w:color w:val="auto"/>
                <w:kern w:val="0"/>
                <w:sz w:val="13"/>
                <w:szCs w:val="13"/>
                <w:highlight w:val="none"/>
              </w:rPr>
              <w:t>以欺骗、贿赂等不正当手段取得注册证书的</w:t>
            </w:r>
            <w:r>
              <w:rPr>
                <w:rFonts w:hint="eastAsia" w:ascii="仿宋_GB2312" w:hAnsi="宋体" w:eastAsia="仿宋_GB2312" w:cs="Times New Roman"/>
                <w:b w:val="0"/>
                <w:bCs w:val="0"/>
                <w:color w:val="auto"/>
                <w:kern w:val="0"/>
                <w:sz w:val="13"/>
                <w:szCs w:val="13"/>
                <w:highlight w:val="none"/>
                <w:lang w:eastAsia="zh-CN"/>
              </w:rPr>
              <w:t>，</w:t>
            </w:r>
            <w:r>
              <w:rPr>
                <w:rFonts w:hint="eastAsia" w:ascii="仿宋_GB2312" w:hAnsi="宋体" w:eastAsia="仿宋_GB2312" w:cs="Times New Roman"/>
                <w:color w:val="auto"/>
                <w:kern w:val="0"/>
                <w:sz w:val="13"/>
                <w:szCs w:val="13"/>
                <w:highlight w:val="none"/>
              </w:rPr>
              <w:t>由国务院建设主管部门撤销其注册，3年内不得再次申请注册，并由县级以上地方人民政府建设（房地产）主管部门处以罚款，其中没有违法所得的，处以1万元以下罚款，有违法所得的，处以违法所得3倍以下且不超过3万元的罚款；构成犯罪的，依法追究刑事责任。</w:t>
            </w:r>
            <w:r>
              <w:rPr>
                <w:rFonts w:ascii="仿宋_GB2312" w:hAnsi="宋体" w:eastAsia="仿宋_GB2312" w:cs="Times New Roman"/>
                <w:color w:val="auto"/>
                <w:kern w:val="0"/>
                <w:sz w:val="13"/>
                <w:szCs w:val="13"/>
                <w:highlight w:val="none"/>
              </w:rPr>
              <w:t>第三十一条</w:t>
            </w:r>
            <w:r>
              <w:rPr>
                <w:rFonts w:hint="eastAsia" w:ascii="仿宋_GB2312" w:hAnsi="宋体" w:eastAsia="仿宋_GB2312" w:cs="Times New Roman"/>
                <w:color w:val="auto"/>
                <w:kern w:val="0"/>
                <w:sz w:val="13"/>
                <w:szCs w:val="13"/>
                <w:highlight w:val="none"/>
              </w:rPr>
              <w:t>第二款</w:t>
            </w:r>
            <w:r>
              <w:rPr>
                <w:rFonts w:ascii="仿宋_GB2312" w:hAnsi="宋体" w:eastAsia="仿宋_GB2312" w:cs="Times New Roman"/>
                <w:color w:val="auto"/>
                <w:kern w:val="0"/>
                <w:sz w:val="13"/>
                <w:szCs w:val="13"/>
                <w:highlight w:val="none"/>
              </w:rPr>
              <w:t>申请人以欺骗、贿赂等不正当手段获准房地产估价师注册许可的，应当予以撤销。</w:t>
            </w:r>
          </w:p>
        </w:tc>
        <w:tc>
          <w:tcPr>
            <w:tcW w:w="823" w:type="dxa"/>
            <w:tcBorders>
              <w:tl2br w:val="nil"/>
              <w:tr2bl w:val="nil"/>
            </w:tcBorders>
            <w:tcMar>
              <w:top w:w="15" w:type="dxa"/>
              <w:left w:w="15" w:type="dxa"/>
              <w:bottom w:w="15" w:type="dxa"/>
              <w:right w:w="15" w:type="dxa"/>
            </w:tcMar>
            <w:vAlign w:val="center"/>
          </w:tcPr>
          <w:p w14:paraId="57E70BA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s="Times New Roman"/>
                <w:color w:val="auto"/>
                <w:kern w:val="0"/>
                <w:sz w:val="13"/>
                <w:szCs w:val="13"/>
                <w:highlight w:val="none"/>
                <w:lang w:eastAsia="zh-CN"/>
              </w:rPr>
              <w:t>从轻情节</w:t>
            </w:r>
          </w:p>
        </w:tc>
        <w:tc>
          <w:tcPr>
            <w:tcW w:w="3437" w:type="dxa"/>
            <w:gridSpan w:val="2"/>
            <w:tcBorders>
              <w:tl2br w:val="nil"/>
              <w:tr2bl w:val="nil"/>
            </w:tcBorders>
            <w:tcMar>
              <w:top w:w="15" w:type="dxa"/>
              <w:left w:w="15" w:type="dxa"/>
              <w:bottom w:w="15" w:type="dxa"/>
              <w:right w:w="15" w:type="dxa"/>
            </w:tcMar>
            <w:vAlign w:val="center"/>
          </w:tcPr>
          <w:p w14:paraId="062F7F3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初次违法，危害后果轻微，主动采取措施消除或减轻违法行为危害后果。</w:t>
            </w:r>
          </w:p>
        </w:tc>
        <w:tc>
          <w:tcPr>
            <w:tcW w:w="3064" w:type="dxa"/>
            <w:gridSpan w:val="2"/>
            <w:tcBorders>
              <w:tl2br w:val="nil"/>
              <w:tr2bl w:val="nil"/>
            </w:tcBorders>
            <w:tcMar>
              <w:top w:w="15" w:type="dxa"/>
              <w:left w:w="15" w:type="dxa"/>
              <w:bottom w:w="15" w:type="dxa"/>
              <w:right w:w="15" w:type="dxa"/>
            </w:tcMar>
            <w:vAlign w:val="center"/>
          </w:tcPr>
          <w:p w14:paraId="182E37C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国务院建设主管部门撤销其注册，3年内不得再次申请注册，并由县级以上地方人民政府建设（房地产）主管部门处以罚款，其中没有违法所得的，处以3千元以下罚款，有违法所得的，处以违法所得1倍以下且不超过1万元的罚款。</w:t>
            </w:r>
          </w:p>
        </w:tc>
      </w:tr>
      <w:tr w14:paraId="0495172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3" w:hRule="atLeast"/>
          <w:jc w:val="center"/>
        </w:trPr>
        <w:tc>
          <w:tcPr>
            <w:tcW w:w="443" w:type="dxa"/>
            <w:gridSpan w:val="2"/>
            <w:vMerge w:val="continue"/>
            <w:tcBorders>
              <w:tl2br w:val="nil"/>
              <w:tr2bl w:val="nil"/>
            </w:tcBorders>
            <w:vAlign w:val="center"/>
          </w:tcPr>
          <w:p w14:paraId="07DF54E0">
            <w:pPr>
              <w:pStyle w:val="37"/>
              <w:keepNext w:val="0"/>
              <w:keepLines w:val="0"/>
              <w:pageBreakBefore w:val="0"/>
              <w:widowControl/>
              <w:numPr>
                <w:ilvl w:val="0"/>
                <w:numId w:val="4"/>
              </w:numPr>
              <w:kinsoku/>
              <w:overflowPunct/>
              <w:topLinePunct w:val="0"/>
              <w:autoSpaceDE/>
              <w:autoSpaceDN/>
              <w:bidi w:val="0"/>
              <w:adjustRightInd/>
              <w:snapToGrid/>
              <w:spacing w:beforeAutospacing="0" w:afterAutospacing="0" w:line="260" w:lineRule="exact"/>
              <w:ind w:left="638" w:leftChars="88" w:right="0" w:rightChars="0" w:hanging="453" w:hangingChars="349"/>
              <w:jc w:val="center"/>
              <w:rPr>
                <w:rFonts w:ascii="仿宋_GB2312" w:hAnsi="宋体" w:eastAsia="仿宋_GB2312"/>
                <w:color w:val="auto"/>
                <w:sz w:val="13"/>
                <w:szCs w:val="13"/>
                <w:highlight w:val="none"/>
              </w:rPr>
            </w:pPr>
          </w:p>
        </w:tc>
        <w:tc>
          <w:tcPr>
            <w:tcW w:w="1550" w:type="dxa"/>
            <w:vMerge w:val="continue"/>
            <w:tcBorders>
              <w:tl2br w:val="nil"/>
              <w:tr2bl w:val="nil"/>
            </w:tcBorders>
            <w:vAlign w:val="center"/>
          </w:tcPr>
          <w:p w14:paraId="3629A40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73BA9C1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21738B8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s="Times New Roman"/>
                <w:color w:val="auto"/>
                <w:kern w:val="0"/>
                <w:sz w:val="13"/>
                <w:szCs w:val="13"/>
                <w:highlight w:val="none"/>
                <w:lang w:eastAsia="zh-CN"/>
              </w:rPr>
              <w:t>一般情节</w:t>
            </w:r>
          </w:p>
        </w:tc>
        <w:tc>
          <w:tcPr>
            <w:tcW w:w="3437" w:type="dxa"/>
            <w:gridSpan w:val="2"/>
            <w:tcBorders>
              <w:tl2br w:val="nil"/>
              <w:tr2bl w:val="nil"/>
            </w:tcBorders>
            <w:tcMar>
              <w:top w:w="15" w:type="dxa"/>
              <w:left w:w="15" w:type="dxa"/>
              <w:bottom w:w="15" w:type="dxa"/>
              <w:right w:w="15" w:type="dxa"/>
            </w:tcMar>
            <w:vAlign w:val="center"/>
          </w:tcPr>
          <w:p w14:paraId="280E065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实施违法行为，造成不良社会影响，不具有从轻、</w:t>
            </w:r>
            <w:r>
              <w:rPr>
                <w:rFonts w:hint="eastAsia" w:ascii="仿宋_GB2312" w:hAnsi="宋体" w:eastAsia="仿宋_GB2312" w:cs="Times New Roman"/>
                <w:color w:val="auto"/>
                <w:kern w:val="0"/>
                <w:sz w:val="13"/>
                <w:szCs w:val="13"/>
                <w:highlight w:val="none"/>
                <w:lang w:eastAsia="zh-CN"/>
              </w:rPr>
              <w:t>从重情节</w:t>
            </w:r>
            <w:r>
              <w:rPr>
                <w:rFonts w:hint="eastAsia" w:ascii="仿宋_GB2312" w:hAnsi="宋体" w:eastAsia="仿宋_GB2312" w:cs="Times New Roman"/>
                <w:color w:val="auto"/>
                <w:kern w:val="0"/>
                <w:sz w:val="13"/>
                <w:szCs w:val="13"/>
                <w:highlight w:val="none"/>
              </w:rPr>
              <w:t>的。</w:t>
            </w:r>
          </w:p>
        </w:tc>
        <w:tc>
          <w:tcPr>
            <w:tcW w:w="3064" w:type="dxa"/>
            <w:gridSpan w:val="2"/>
            <w:tcBorders>
              <w:tl2br w:val="nil"/>
              <w:tr2bl w:val="nil"/>
            </w:tcBorders>
            <w:tcMar>
              <w:top w:w="15" w:type="dxa"/>
              <w:left w:w="15" w:type="dxa"/>
              <w:bottom w:w="15" w:type="dxa"/>
              <w:right w:w="15" w:type="dxa"/>
            </w:tcMar>
            <w:vAlign w:val="center"/>
          </w:tcPr>
          <w:p w14:paraId="0A9C271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国务院建设主管部门撤销其注册，3年内不得再次申请注册，并由县级以上地方人民政府建设（房地产）主管部门处以罚款，其中没有违法所得的，处以3千元以上6千元以下罚款，有违法所得的，处以违法所得1倍以上2倍以下且不超过2万元的罚款。</w:t>
            </w:r>
          </w:p>
        </w:tc>
      </w:tr>
      <w:tr w14:paraId="5682778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3" w:hRule="atLeast"/>
          <w:jc w:val="center"/>
        </w:trPr>
        <w:tc>
          <w:tcPr>
            <w:tcW w:w="443" w:type="dxa"/>
            <w:gridSpan w:val="2"/>
            <w:vMerge w:val="continue"/>
            <w:tcBorders>
              <w:tl2br w:val="nil"/>
              <w:tr2bl w:val="nil"/>
            </w:tcBorders>
            <w:vAlign w:val="center"/>
          </w:tcPr>
          <w:p w14:paraId="7A7A0706">
            <w:pPr>
              <w:pStyle w:val="37"/>
              <w:keepNext w:val="0"/>
              <w:keepLines w:val="0"/>
              <w:pageBreakBefore w:val="0"/>
              <w:widowControl/>
              <w:numPr>
                <w:ilvl w:val="0"/>
                <w:numId w:val="4"/>
              </w:numPr>
              <w:kinsoku/>
              <w:overflowPunct/>
              <w:topLinePunct w:val="0"/>
              <w:autoSpaceDE/>
              <w:autoSpaceDN/>
              <w:bidi w:val="0"/>
              <w:adjustRightInd/>
              <w:snapToGrid/>
              <w:spacing w:beforeAutospacing="0" w:afterAutospacing="0" w:line="260" w:lineRule="exact"/>
              <w:ind w:left="638" w:leftChars="88" w:right="0" w:rightChars="0" w:hanging="453" w:hangingChars="349"/>
              <w:jc w:val="center"/>
              <w:rPr>
                <w:rFonts w:ascii="仿宋_GB2312" w:hAnsi="宋体" w:eastAsia="仿宋_GB2312"/>
                <w:color w:val="auto"/>
                <w:sz w:val="13"/>
                <w:szCs w:val="13"/>
                <w:highlight w:val="none"/>
              </w:rPr>
            </w:pPr>
          </w:p>
        </w:tc>
        <w:tc>
          <w:tcPr>
            <w:tcW w:w="1550" w:type="dxa"/>
            <w:vMerge w:val="continue"/>
            <w:tcBorders>
              <w:tl2br w:val="nil"/>
              <w:tr2bl w:val="nil"/>
            </w:tcBorders>
            <w:vAlign w:val="center"/>
          </w:tcPr>
          <w:p w14:paraId="3DC2F45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51A5CFF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06C78FE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s="Times New Roman"/>
                <w:color w:val="auto"/>
                <w:kern w:val="0"/>
                <w:sz w:val="13"/>
                <w:szCs w:val="13"/>
                <w:highlight w:val="none"/>
                <w:lang w:eastAsia="zh-CN"/>
              </w:rPr>
              <w:t>从重情节</w:t>
            </w:r>
          </w:p>
        </w:tc>
        <w:tc>
          <w:tcPr>
            <w:tcW w:w="3437" w:type="dxa"/>
            <w:gridSpan w:val="2"/>
            <w:tcBorders>
              <w:tl2br w:val="nil"/>
              <w:tr2bl w:val="nil"/>
            </w:tcBorders>
            <w:tcMar>
              <w:top w:w="15" w:type="dxa"/>
              <w:left w:w="15" w:type="dxa"/>
              <w:bottom w:w="15" w:type="dxa"/>
              <w:right w:w="15" w:type="dxa"/>
            </w:tcMar>
            <w:vAlign w:val="center"/>
          </w:tcPr>
          <w:p w14:paraId="46FB563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经责令停止违法行为后，继续实施违法行为的</w:t>
            </w:r>
            <w:r>
              <w:rPr>
                <w:rFonts w:hint="eastAsia" w:ascii="仿宋_GB2312" w:hAnsi="宋体" w:eastAsia="仿宋_GB2312" w:cs="Times New Roman"/>
                <w:color w:val="auto"/>
                <w:kern w:val="0"/>
                <w:sz w:val="13"/>
                <w:szCs w:val="13"/>
                <w:highlight w:val="none"/>
                <w:lang w:eastAsia="zh-CN"/>
              </w:rPr>
              <w:t>，</w:t>
            </w:r>
            <w:r>
              <w:rPr>
                <w:rFonts w:hint="eastAsia" w:ascii="仿宋_GB2312" w:hAnsi="宋体" w:eastAsia="仿宋_GB2312" w:cs="Times New Roman"/>
                <w:color w:val="auto"/>
                <w:kern w:val="0"/>
                <w:sz w:val="13"/>
                <w:szCs w:val="13"/>
                <w:highlight w:val="none"/>
                <w:lang w:val="en-US" w:eastAsia="zh-CN"/>
              </w:rPr>
              <w:t>或</w:t>
            </w:r>
            <w:r>
              <w:rPr>
                <w:rFonts w:hint="eastAsia" w:ascii="仿宋_GB2312" w:hAnsi="宋体" w:eastAsia="仿宋_GB2312" w:cs="Times New Roman"/>
                <w:color w:val="auto"/>
                <w:kern w:val="0"/>
                <w:sz w:val="13"/>
                <w:szCs w:val="13"/>
                <w:highlight w:val="none"/>
              </w:rPr>
              <w:t>2年内2次及以上同类型违法。</w:t>
            </w:r>
          </w:p>
        </w:tc>
        <w:tc>
          <w:tcPr>
            <w:tcW w:w="3064" w:type="dxa"/>
            <w:gridSpan w:val="2"/>
            <w:tcBorders>
              <w:tl2br w:val="nil"/>
              <w:tr2bl w:val="nil"/>
            </w:tcBorders>
            <w:tcMar>
              <w:top w:w="15" w:type="dxa"/>
              <w:left w:w="15" w:type="dxa"/>
              <w:bottom w:w="15" w:type="dxa"/>
              <w:right w:w="15" w:type="dxa"/>
            </w:tcMar>
            <w:vAlign w:val="center"/>
          </w:tcPr>
          <w:p w14:paraId="794EA3E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国务院建设主管部门撤销其注册，3年内不得再次申请注册，并由县级以上地方人民政府建设（房地产）主管部门处以罚款，其中没有违法所得的，处以6千元以上1万元以下罚款，有违法所得的，处以违法所得2倍以上3倍以下且不超过3万元的罚款。</w:t>
            </w:r>
          </w:p>
        </w:tc>
      </w:tr>
      <w:tr w14:paraId="6CF4029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9" w:hRule="atLeast"/>
          <w:jc w:val="center"/>
        </w:trPr>
        <w:tc>
          <w:tcPr>
            <w:tcW w:w="443" w:type="dxa"/>
            <w:gridSpan w:val="2"/>
            <w:vMerge w:val="restart"/>
            <w:tcBorders>
              <w:tl2br w:val="nil"/>
              <w:tr2bl w:val="nil"/>
            </w:tcBorders>
            <w:tcMar>
              <w:top w:w="15" w:type="dxa"/>
              <w:left w:w="15" w:type="dxa"/>
              <w:bottom w:w="15" w:type="dxa"/>
              <w:right w:w="15" w:type="dxa"/>
            </w:tcMar>
            <w:vAlign w:val="center"/>
          </w:tcPr>
          <w:p w14:paraId="4B2EC206">
            <w:pPr>
              <w:keepNext w:val="0"/>
              <w:keepLines w:val="0"/>
              <w:pageBreakBefore w:val="0"/>
              <w:widowControl/>
              <w:numPr>
                <w:ilvl w:val="0"/>
                <w:numId w:val="6"/>
              </w:numPr>
              <w:suppressLineNumbers w:val="0"/>
              <w:tabs>
                <w:tab w:val="clear" w:pos="397"/>
              </w:tabs>
              <w:kinsoku/>
              <w:overflowPunct/>
              <w:topLinePunct w:val="0"/>
              <w:autoSpaceDE/>
              <w:autoSpaceDN/>
              <w:bidi w:val="0"/>
              <w:adjustRightInd/>
              <w:snapToGrid/>
              <w:spacing w:beforeAutospacing="0" w:afterAutospacing="0" w:line="260" w:lineRule="exact"/>
              <w:ind w:left="638" w:leftChars="88" w:right="0" w:rightChars="0" w:hanging="453" w:hangingChars="349"/>
              <w:jc w:val="center"/>
              <w:textAlignment w:val="center"/>
              <w:rPr>
                <w:rFonts w:hint="default" w:ascii="仿宋_GB2312" w:hAnsi="宋体" w:eastAsia="仿宋_GB2312"/>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246</w:t>
            </w:r>
          </w:p>
        </w:tc>
        <w:tc>
          <w:tcPr>
            <w:tcW w:w="1550" w:type="dxa"/>
            <w:vMerge w:val="restart"/>
            <w:tcBorders>
              <w:tl2br w:val="nil"/>
              <w:tr2bl w:val="nil"/>
            </w:tcBorders>
            <w:tcMar>
              <w:top w:w="15" w:type="dxa"/>
              <w:left w:w="15" w:type="dxa"/>
              <w:bottom w:w="15" w:type="dxa"/>
              <w:right w:w="15" w:type="dxa"/>
            </w:tcMar>
            <w:vAlign w:val="center"/>
          </w:tcPr>
          <w:p w14:paraId="261745D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未经注册，擅自以注册房地产估价师名义从事房地产估价活动的</w:t>
            </w:r>
          </w:p>
        </w:tc>
        <w:tc>
          <w:tcPr>
            <w:tcW w:w="4820" w:type="dxa"/>
            <w:vMerge w:val="restart"/>
            <w:tcBorders>
              <w:tl2br w:val="nil"/>
              <w:tr2bl w:val="nil"/>
            </w:tcBorders>
            <w:tcMar>
              <w:top w:w="15" w:type="dxa"/>
              <w:left w:w="15" w:type="dxa"/>
              <w:bottom w:w="15" w:type="dxa"/>
              <w:right w:w="15" w:type="dxa"/>
            </w:tcMar>
            <w:vAlign w:val="center"/>
          </w:tcPr>
          <w:p w14:paraId="0DCC907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《注册房地产估价师管理办法》</w:t>
            </w:r>
            <w:r>
              <w:rPr>
                <w:rFonts w:hint="eastAsia" w:ascii="仿宋_GB2312" w:hAnsi="宋体" w:eastAsia="仿宋_GB2312" w:cs="Times New Roman"/>
                <w:b/>
                <w:bCs/>
                <w:color w:val="auto"/>
                <w:kern w:val="0"/>
                <w:sz w:val="13"/>
                <w:szCs w:val="13"/>
                <w:highlight w:val="none"/>
              </w:rPr>
              <w:t>第三十六条：</w:t>
            </w:r>
            <w:r>
              <w:rPr>
                <w:rFonts w:hint="eastAsia" w:ascii="仿宋_GB2312" w:hAnsi="宋体" w:eastAsia="仿宋_GB2312" w:cs="Times New Roman"/>
                <w:color w:val="auto"/>
                <w:kern w:val="0"/>
                <w:sz w:val="13"/>
                <w:szCs w:val="13"/>
                <w:highlight w:val="none"/>
              </w:rPr>
              <w:t>违反本办法规定，未经注册，擅自以注册房地产估价师名义从事房地产估价活动的，所签署的估价报告无效，由县级以上地方人民政府建设（房地产）主管部门给予警告，责令停止违法活动，并可处以1万元以上3万元以下的罚款；造成损失的，依法承担赔偿责任。</w:t>
            </w:r>
          </w:p>
          <w:p w14:paraId="1F81E09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1" w:firstLineChars="200"/>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b/>
                <w:bCs/>
                <w:color w:val="auto"/>
                <w:kern w:val="0"/>
                <w:sz w:val="13"/>
                <w:szCs w:val="13"/>
                <w:highlight w:val="none"/>
              </w:rPr>
              <w:t>第十九条</w:t>
            </w:r>
            <w:r>
              <w:rPr>
                <w:rFonts w:hint="eastAsia" w:ascii="仿宋_GB2312" w:hAnsi="宋体" w:eastAsia="仿宋_GB2312" w:cs="Times New Roman"/>
                <w:b/>
                <w:bCs/>
                <w:color w:val="auto"/>
                <w:kern w:val="0"/>
                <w:sz w:val="13"/>
                <w:szCs w:val="13"/>
                <w:highlight w:val="none"/>
                <w:lang w:eastAsia="zh-CN"/>
              </w:rPr>
              <w:t>：</w:t>
            </w:r>
            <w:r>
              <w:rPr>
                <w:rFonts w:hint="eastAsia" w:ascii="仿宋_GB2312" w:hAnsi="宋体" w:eastAsia="仿宋_GB2312" w:cs="Times New Roman"/>
                <w:color w:val="auto"/>
                <w:kern w:val="0"/>
                <w:sz w:val="13"/>
                <w:szCs w:val="13"/>
                <w:highlight w:val="none"/>
              </w:rPr>
              <w:t>取得执业资格的人员，应当受聘于一个具有房地产估价机构资质的单位，经注册后方可从事房地产估价执业活动。</w:t>
            </w:r>
          </w:p>
        </w:tc>
        <w:tc>
          <w:tcPr>
            <w:tcW w:w="823" w:type="dxa"/>
            <w:tcBorders>
              <w:tl2br w:val="nil"/>
              <w:tr2bl w:val="nil"/>
            </w:tcBorders>
            <w:tcMar>
              <w:top w:w="15" w:type="dxa"/>
              <w:left w:w="15" w:type="dxa"/>
              <w:bottom w:w="15" w:type="dxa"/>
              <w:right w:w="15" w:type="dxa"/>
            </w:tcMar>
            <w:vAlign w:val="center"/>
          </w:tcPr>
          <w:p w14:paraId="159D2DB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s="Times New Roman"/>
                <w:color w:val="auto"/>
                <w:kern w:val="0"/>
                <w:sz w:val="13"/>
                <w:szCs w:val="13"/>
                <w:highlight w:val="none"/>
                <w:lang w:eastAsia="zh-CN"/>
              </w:rPr>
              <w:t>从轻情节</w:t>
            </w:r>
          </w:p>
        </w:tc>
        <w:tc>
          <w:tcPr>
            <w:tcW w:w="3437" w:type="dxa"/>
            <w:gridSpan w:val="2"/>
            <w:tcBorders>
              <w:tl2br w:val="nil"/>
              <w:tr2bl w:val="nil"/>
            </w:tcBorders>
            <w:tcMar>
              <w:top w:w="15" w:type="dxa"/>
              <w:left w:w="15" w:type="dxa"/>
              <w:bottom w:w="15" w:type="dxa"/>
              <w:right w:w="15" w:type="dxa"/>
            </w:tcMar>
            <w:vAlign w:val="center"/>
          </w:tcPr>
          <w:p w14:paraId="43E0307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初次违法，危害后果轻微，主动采取措施消除或减轻违法行为危害后果。</w:t>
            </w:r>
          </w:p>
        </w:tc>
        <w:tc>
          <w:tcPr>
            <w:tcW w:w="3058" w:type="dxa"/>
            <w:tcBorders>
              <w:tl2br w:val="nil"/>
              <w:tr2bl w:val="nil"/>
            </w:tcBorders>
            <w:tcMar>
              <w:top w:w="15" w:type="dxa"/>
              <w:left w:w="15" w:type="dxa"/>
              <w:bottom w:w="15" w:type="dxa"/>
              <w:right w:w="15" w:type="dxa"/>
            </w:tcMar>
            <w:vAlign w:val="center"/>
          </w:tcPr>
          <w:p w14:paraId="3C9D111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给予警告，责令停止违法活动，并可处以1万元以上1.5万元以下的罚款。</w:t>
            </w:r>
          </w:p>
        </w:tc>
      </w:tr>
      <w:tr w14:paraId="6363A63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9" w:hRule="atLeast"/>
          <w:jc w:val="center"/>
        </w:trPr>
        <w:tc>
          <w:tcPr>
            <w:tcW w:w="443" w:type="dxa"/>
            <w:gridSpan w:val="2"/>
            <w:vMerge w:val="continue"/>
            <w:tcBorders>
              <w:tl2br w:val="nil"/>
              <w:tr2bl w:val="nil"/>
            </w:tcBorders>
            <w:vAlign w:val="center"/>
          </w:tcPr>
          <w:p w14:paraId="0982B1A7">
            <w:pPr>
              <w:pStyle w:val="37"/>
              <w:keepNext w:val="0"/>
              <w:keepLines w:val="0"/>
              <w:pageBreakBefore w:val="0"/>
              <w:widowControl/>
              <w:numPr>
                <w:ilvl w:val="0"/>
                <w:numId w:val="4"/>
              </w:numPr>
              <w:kinsoku/>
              <w:overflowPunct/>
              <w:topLinePunct w:val="0"/>
              <w:autoSpaceDE/>
              <w:autoSpaceDN/>
              <w:bidi w:val="0"/>
              <w:adjustRightInd/>
              <w:snapToGrid/>
              <w:spacing w:beforeAutospacing="0" w:afterAutospacing="0" w:line="260" w:lineRule="exact"/>
              <w:ind w:left="638" w:leftChars="88" w:right="0" w:rightChars="0" w:hanging="453" w:hangingChars="349"/>
              <w:jc w:val="center"/>
              <w:rPr>
                <w:rFonts w:ascii="仿宋_GB2312" w:hAnsi="宋体" w:eastAsia="仿宋_GB2312"/>
                <w:color w:val="auto"/>
                <w:sz w:val="13"/>
                <w:szCs w:val="13"/>
                <w:highlight w:val="none"/>
              </w:rPr>
            </w:pPr>
          </w:p>
        </w:tc>
        <w:tc>
          <w:tcPr>
            <w:tcW w:w="1550" w:type="dxa"/>
            <w:vMerge w:val="continue"/>
            <w:tcBorders>
              <w:tl2br w:val="nil"/>
              <w:tr2bl w:val="nil"/>
            </w:tcBorders>
            <w:vAlign w:val="center"/>
          </w:tcPr>
          <w:p w14:paraId="6C84818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4A47E58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21DCAD7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s="Times New Roman"/>
                <w:color w:val="auto"/>
                <w:kern w:val="0"/>
                <w:sz w:val="13"/>
                <w:szCs w:val="13"/>
                <w:highlight w:val="none"/>
                <w:lang w:eastAsia="zh-CN"/>
              </w:rPr>
              <w:t>一般情节</w:t>
            </w:r>
          </w:p>
        </w:tc>
        <w:tc>
          <w:tcPr>
            <w:tcW w:w="3437" w:type="dxa"/>
            <w:gridSpan w:val="2"/>
            <w:tcBorders>
              <w:tl2br w:val="nil"/>
              <w:tr2bl w:val="nil"/>
            </w:tcBorders>
            <w:tcMar>
              <w:top w:w="15" w:type="dxa"/>
              <w:left w:w="15" w:type="dxa"/>
              <w:bottom w:w="15" w:type="dxa"/>
              <w:right w:w="15" w:type="dxa"/>
            </w:tcMar>
            <w:vAlign w:val="center"/>
          </w:tcPr>
          <w:p w14:paraId="3218092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实施违法行为，造成不良社会影响，不具有从轻、</w:t>
            </w:r>
            <w:r>
              <w:rPr>
                <w:rFonts w:hint="eastAsia" w:ascii="仿宋_GB2312" w:hAnsi="宋体" w:eastAsia="仿宋_GB2312" w:cs="Times New Roman"/>
                <w:color w:val="auto"/>
                <w:kern w:val="0"/>
                <w:sz w:val="13"/>
                <w:szCs w:val="13"/>
                <w:highlight w:val="none"/>
                <w:lang w:eastAsia="zh-CN"/>
              </w:rPr>
              <w:t>从重情节</w:t>
            </w:r>
            <w:r>
              <w:rPr>
                <w:rFonts w:hint="eastAsia" w:ascii="仿宋_GB2312" w:hAnsi="宋体" w:eastAsia="仿宋_GB2312" w:cs="Times New Roman"/>
                <w:color w:val="auto"/>
                <w:kern w:val="0"/>
                <w:sz w:val="13"/>
                <w:szCs w:val="13"/>
                <w:highlight w:val="none"/>
              </w:rPr>
              <w:t>的。</w:t>
            </w:r>
          </w:p>
        </w:tc>
        <w:tc>
          <w:tcPr>
            <w:tcW w:w="3058" w:type="dxa"/>
            <w:tcBorders>
              <w:tl2br w:val="nil"/>
              <w:tr2bl w:val="nil"/>
            </w:tcBorders>
            <w:tcMar>
              <w:top w:w="15" w:type="dxa"/>
              <w:left w:w="15" w:type="dxa"/>
              <w:bottom w:w="15" w:type="dxa"/>
              <w:right w:w="15" w:type="dxa"/>
            </w:tcMar>
            <w:vAlign w:val="center"/>
          </w:tcPr>
          <w:p w14:paraId="324C2E9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给予警告，责令停止违法活动，并可处以1.5万元以上2.5万元以下的罚款。</w:t>
            </w:r>
          </w:p>
        </w:tc>
      </w:tr>
      <w:tr w14:paraId="1D9166E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23" w:hRule="atLeast"/>
          <w:jc w:val="center"/>
        </w:trPr>
        <w:tc>
          <w:tcPr>
            <w:tcW w:w="443" w:type="dxa"/>
            <w:gridSpan w:val="2"/>
            <w:vMerge w:val="continue"/>
            <w:tcBorders>
              <w:tl2br w:val="nil"/>
              <w:tr2bl w:val="nil"/>
            </w:tcBorders>
            <w:vAlign w:val="center"/>
          </w:tcPr>
          <w:p w14:paraId="0BFB0372">
            <w:pPr>
              <w:pStyle w:val="37"/>
              <w:keepNext w:val="0"/>
              <w:keepLines w:val="0"/>
              <w:pageBreakBefore w:val="0"/>
              <w:widowControl/>
              <w:numPr>
                <w:ilvl w:val="0"/>
                <w:numId w:val="4"/>
              </w:numPr>
              <w:kinsoku/>
              <w:overflowPunct/>
              <w:topLinePunct w:val="0"/>
              <w:autoSpaceDE/>
              <w:autoSpaceDN/>
              <w:bidi w:val="0"/>
              <w:adjustRightInd/>
              <w:snapToGrid/>
              <w:spacing w:beforeAutospacing="0" w:afterAutospacing="0" w:line="260" w:lineRule="exact"/>
              <w:ind w:left="638" w:leftChars="88" w:right="0" w:rightChars="0" w:hanging="453" w:hangingChars="349"/>
              <w:jc w:val="center"/>
              <w:rPr>
                <w:rFonts w:ascii="仿宋_GB2312" w:hAnsi="宋体" w:eastAsia="仿宋_GB2312"/>
                <w:color w:val="auto"/>
                <w:sz w:val="13"/>
                <w:szCs w:val="13"/>
                <w:highlight w:val="none"/>
              </w:rPr>
            </w:pPr>
          </w:p>
        </w:tc>
        <w:tc>
          <w:tcPr>
            <w:tcW w:w="1550" w:type="dxa"/>
            <w:vMerge w:val="continue"/>
            <w:tcBorders>
              <w:tl2br w:val="nil"/>
              <w:tr2bl w:val="nil"/>
            </w:tcBorders>
            <w:vAlign w:val="center"/>
          </w:tcPr>
          <w:p w14:paraId="0761A0D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56DF843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373044D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s="Times New Roman"/>
                <w:color w:val="auto"/>
                <w:kern w:val="0"/>
                <w:sz w:val="13"/>
                <w:szCs w:val="13"/>
                <w:highlight w:val="none"/>
                <w:lang w:eastAsia="zh-CN"/>
              </w:rPr>
              <w:t>从重情节</w:t>
            </w:r>
          </w:p>
        </w:tc>
        <w:tc>
          <w:tcPr>
            <w:tcW w:w="3437" w:type="dxa"/>
            <w:gridSpan w:val="2"/>
            <w:tcBorders>
              <w:tl2br w:val="nil"/>
              <w:tr2bl w:val="nil"/>
            </w:tcBorders>
            <w:tcMar>
              <w:top w:w="15" w:type="dxa"/>
              <w:left w:w="15" w:type="dxa"/>
              <w:bottom w:w="15" w:type="dxa"/>
              <w:right w:w="15" w:type="dxa"/>
            </w:tcMar>
            <w:vAlign w:val="center"/>
          </w:tcPr>
          <w:p w14:paraId="5AB781E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经责令停止违法行为后，继续实施违法行为的</w:t>
            </w:r>
            <w:r>
              <w:rPr>
                <w:rFonts w:hint="eastAsia" w:ascii="仿宋_GB2312" w:hAnsi="宋体" w:eastAsia="仿宋_GB2312" w:cs="Times New Roman"/>
                <w:color w:val="auto"/>
                <w:kern w:val="0"/>
                <w:sz w:val="13"/>
                <w:szCs w:val="13"/>
                <w:highlight w:val="none"/>
                <w:lang w:eastAsia="zh-CN"/>
              </w:rPr>
              <w:t>，</w:t>
            </w:r>
            <w:r>
              <w:rPr>
                <w:rFonts w:hint="eastAsia" w:ascii="仿宋_GB2312" w:hAnsi="宋体" w:eastAsia="仿宋_GB2312" w:cs="Times New Roman"/>
                <w:color w:val="auto"/>
                <w:kern w:val="0"/>
                <w:sz w:val="13"/>
                <w:szCs w:val="13"/>
                <w:highlight w:val="none"/>
                <w:lang w:val="en-US" w:eastAsia="zh-CN"/>
              </w:rPr>
              <w:t>或</w:t>
            </w:r>
            <w:r>
              <w:rPr>
                <w:rFonts w:hint="eastAsia" w:ascii="仿宋_GB2312" w:hAnsi="宋体" w:eastAsia="仿宋_GB2312" w:cs="Times New Roman"/>
                <w:color w:val="auto"/>
                <w:kern w:val="0"/>
                <w:sz w:val="13"/>
                <w:szCs w:val="13"/>
                <w:highlight w:val="none"/>
              </w:rPr>
              <w:t>2年内2次及以上同类型违法。</w:t>
            </w:r>
          </w:p>
        </w:tc>
        <w:tc>
          <w:tcPr>
            <w:tcW w:w="3058" w:type="dxa"/>
            <w:tcBorders>
              <w:tl2br w:val="nil"/>
              <w:tr2bl w:val="nil"/>
            </w:tcBorders>
            <w:tcMar>
              <w:top w:w="15" w:type="dxa"/>
              <w:left w:w="15" w:type="dxa"/>
              <w:bottom w:w="15" w:type="dxa"/>
              <w:right w:w="15" w:type="dxa"/>
            </w:tcMar>
            <w:vAlign w:val="center"/>
          </w:tcPr>
          <w:p w14:paraId="7B32709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给予警告，责令停止违法活动，并可处以2.5万元以上3万元以下的罚款。</w:t>
            </w:r>
          </w:p>
        </w:tc>
      </w:tr>
      <w:tr w14:paraId="4D09C0C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9" w:hRule="atLeast"/>
          <w:jc w:val="center"/>
        </w:trPr>
        <w:tc>
          <w:tcPr>
            <w:tcW w:w="443" w:type="dxa"/>
            <w:gridSpan w:val="2"/>
            <w:vMerge w:val="restart"/>
            <w:tcBorders>
              <w:tl2br w:val="nil"/>
              <w:tr2bl w:val="nil"/>
            </w:tcBorders>
            <w:tcMar>
              <w:top w:w="15" w:type="dxa"/>
              <w:left w:w="15" w:type="dxa"/>
              <w:bottom w:w="15" w:type="dxa"/>
              <w:right w:w="15" w:type="dxa"/>
            </w:tcMar>
            <w:vAlign w:val="center"/>
          </w:tcPr>
          <w:p w14:paraId="79A51649">
            <w:pPr>
              <w:keepNext w:val="0"/>
              <w:keepLines w:val="0"/>
              <w:pageBreakBefore w:val="0"/>
              <w:widowControl/>
              <w:numPr>
                <w:ilvl w:val="0"/>
                <w:numId w:val="6"/>
              </w:numPr>
              <w:suppressLineNumbers w:val="0"/>
              <w:tabs>
                <w:tab w:val="clear" w:pos="397"/>
              </w:tabs>
              <w:kinsoku/>
              <w:overflowPunct/>
              <w:topLinePunct w:val="0"/>
              <w:autoSpaceDE/>
              <w:autoSpaceDN/>
              <w:bidi w:val="0"/>
              <w:adjustRightInd/>
              <w:snapToGrid/>
              <w:spacing w:beforeAutospacing="0" w:afterAutospacing="0" w:line="260" w:lineRule="exact"/>
              <w:ind w:left="638" w:leftChars="88" w:right="0" w:rightChars="0" w:hanging="453" w:hangingChars="349"/>
              <w:jc w:val="center"/>
              <w:textAlignment w:val="center"/>
              <w:rPr>
                <w:rFonts w:hint="default" w:ascii="仿宋_GB2312" w:hAnsi="宋体" w:eastAsia="仿宋_GB2312"/>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247</w:t>
            </w:r>
          </w:p>
        </w:tc>
        <w:tc>
          <w:tcPr>
            <w:tcW w:w="1550" w:type="dxa"/>
            <w:vMerge w:val="restart"/>
            <w:tcBorders>
              <w:tl2br w:val="nil"/>
              <w:tr2bl w:val="nil"/>
            </w:tcBorders>
            <w:tcMar>
              <w:top w:w="15" w:type="dxa"/>
              <w:left w:w="15" w:type="dxa"/>
              <w:bottom w:w="15" w:type="dxa"/>
              <w:right w:w="15" w:type="dxa"/>
            </w:tcMar>
            <w:vAlign w:val="center"/>
          </w:tcPr>
          <w:p w14:paraId="22F3A12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注册房地产估价师未办理变更注册仍执业的</w:t>
            </w:r>
          </w:p>
        </w:tc>
        <w:tc>
          <w:tcPr>
            <w:tcW w:w="4820" w:type="dxa"/>
            <w:vMerge w:val="restart"/>
            <w:tcBorders>
              <w:tl2br w:val="nil"/>
              <w:tr2bl w:val="nil"/>
            </w:tcBorders>
            <w:tcMar>
              <w:top w:w="15" w:type="dxa"/>
              <w:left w:w="15" w:type="dxa"/>
              <w:bottom w:w="15" w:type="dxa"/>
              <w:right w:w="15" w:type="dxa"/>
            </w:tcMar>
            <w:vAlign w:val="center"/>
          </w:tcPr>
          <w:p w14:paraId="4F1F59D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《注册房地产估价师管理办法》</w:t>
            </w:r>
            <w:r>
              <w:rPr>
                <w:rFonts w:hint="eastAsia" w:ascii="仿宋_GB2312" w:hAnsi="宋体" w:eastAsia="仿宋_GB2312" w:cs="Times New Roman"/>
                <w:b/>
                <w:bCs/>
                <w:color w:val="auto"/>
                <w:kern w:val="0"/>
                <w:sz w:val="13"/>
                <w:szCs w:val="13"/>
                <w:highlight w:val="none"/>
              </w:rPr>
              <w:t>第三十七条：</w:t>
            </w:r>
            <w:r>
              <w:rPr>
                <w:rFonts w:hint="eastAsia" w:ascii="仿宋_GB2312" w:hAnsi="宋体" w:eastAsia="仿宋_GB2312" w:cs="Times New Roman"/>
                <w:color w:val="auto"/>
                <w:kern w:val="0"/>
                <w:sz w:val="13"/>
                <w:szCs w:val="13"/>
                <w:highlight w:val="none"/>
              </w:rPr>
              <w:t>违反本办法规定，未办理变更注册仍执业的，由县级以上地方人民政府建设（房地产）主管部门责令限期改正；逾期不改正的，可处以5000元以下的罚款。</w:t>
            </w:r>
          </w:p>
          <w:p w14:paraId="62207C7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1" w:firstLineChars="200"/>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b/>
                <w:bCs/>
                <w:color w:val="auto"/>
                <w:kern w:val="0"/>
                <w:sz w:val="13"/>
                <w:szCs w:val="13"/>
                <w:highlight w:val="none"/>
              </w:rPr>
              <w:t>第十二条第一款</w:t>
            </w:r>
            <w:r>
              <w:rPr>
                <w:rFonts w:hint="eastAsia" w:ascii="仿宋_GB2312" w:hAnsi="宋体" w:eastAsia="仿宋_GB2312" w:cs="Times New Roman"/>
                <w:b/>
                <w:bCs/>
                <w:color w:val="auto"/>
                <w:kern w:val="0"/>
                <w:sz w:val="13"/>
                <w:szCs w:val="13"/>
                <w:highlight w:val="none"/>
                <w:lang w:eastAsia="zh-CN"/>
              </w:rPr>
              <w:t>：</w:t>
            </w:r>
            <w:r>
              <w:rPr>
                <w:rFonts w:hint="eastAsia" w:ascii="仿宋_GB2312" w:hAnsi="宋体" w:eastAsia="仿宋_GB2312" w:cs="Times New Roman"/>
                <w:color w:val="auto"/>
                <w:kern w:val="0"/>
                <w:sz w:val="13"/>
                <w:szCs w:val="13"/>
                <w:highlight w:val="none"/>
              </w:rPr>
              <w:t>注册房地产估价师变更执业单位，应当与原聘用单位解除劳动合同，并按本办法第八条规定的程序办理变更注册手续，变更注册后延续原注册有效期。</w:t>
            </w:r>
          </w:p>
        </w:tc>
        <w:tc>
          <w:tcPr>
            <w:tcW w:w="823" w:type="dxa"/>
            <w:tcBorders>
              <w:tl2br w:val="nil"/>
              <w:tr2bl w:val="nil"/>
            </w:tcBorders>
            <w:tcMar>
              <w:top w:w="15" w:type="dxa"/>
              <w:left w:w="15" w:type="dxa"/>
              <w:bottom w:w="15" w:type="dxa"/>
              <w:right w:w="15" w:type="dxa"/>
            </w:tcMar>
            <w:vAlign w:val="center"/>
          </w:tcPr>
          <w:p w14:paraId="3579A2C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s="Times New Roman"/>
                <w:color w:val="auto"/>
                <w:kern w:val="0"/>
                <w:sz w:val="13"/>
                <w:szCs w:val="13"/>
                <w:highlight w:val="none"/>
                <w:lang w:eastAsia="zh-CN"/>
              </w:rPr>
              <w:t>从轻情节</w:t>
            </w:r>
          </w:p>
        </w:tc>
        <w:tc>
          <w:tcPr>
            <w:tcW w:w="3437" w:type="dxa"/>
            <w:gridSpan w:val="2"/>
            <w:tcBorders>
              <w:tl2br w:val="nil"/>
              <w:tr2bl w:val="nil"/>
            </w:tcBorders>
            <w:tcMar>
              <w:top w:w="15" w:type="dxa"/>
              <w:left w:w="15" w:type="dxa"/>
              <w:bottom w:w="15" w:type="dxa"/>
              <w:right w:w="15" w:type="dxa"/>
            </w:tcMar>
            <w:vAlign w:val="center"/>
          </w:tcPr>
          <w:p w14:paraId="47F48D9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初次违法，危害后果轻微，主动采取措施消除或减轻违法行为危害后果。</w:t>
            </w:r>
          </w:p>
        </w:tc>
        <w:tc>
          <w:tcPr>
            <w:tcW w:w="3058" w:type="dxa"/>
            <w:tcBorders>
              <w:tl2br w:val="nil"/>
              <w:tr2bl w:val="nil"/>
            </w:tcBorders>
            <w:tcMar>
              <w:top w:w="15" w:type="dxa"/>
              <w:left w:w="15" w:type="dxa"/>
              <w:bottom w:w="15" w:type="dxa"/>
              <w:right w:w="15" w:type="dxa"/>
            </w:tcMar>
            <w:vAlign w:val="center"/>
          </w:tcPr>
          <w:p w14:paraId="5C4B7F9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责令限期改正；逾期不改正的可处以2千5百元以下的罚款。</w:t>
            </w:r>
          </w:p>
        </w:tc>
      </w:tr>
      <w:tr w14:paraId="04A6D93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9" w:hRule="atLeast"/>
          <w:jc w:val="center"/>
        </w:trPr>
        <w:tc>
          <w:tcPr>
            <w:tcW w:w="443" w:type="dxa"/>
            <w:gridSpan w:val="2"/>
            <w:vMerge w:val="continue"/>
            <w:tcBorders>
              <w:tl2br w:val="nil"/>
              <w:tr2bl w:val="nil"/>
            </w:tcBorders>
            <w:vAlign w:val="center"/>
          </w:tcPr>
          <w:p w14:paraId="55562062">
            <w:pPr>
              <w:pStyle w:val="37"/>
              <w:keepNext w:val="0"/>
              <w:keepLines w:val="0"/>
              <w:pageBreakBefore w:val="0"/>
              <w:widowControl/>
              <w:numPr>
                <w:ilvl w:val="0"/>
                <w:numId w:val="4"/>
              </w:numPr>
              <w:kinsoku/>
              <w:overflowPunct/>
              <w:topLinePunct w:val="0"/>
              <w:autoSpaceDE/>
              <w:autoSpaceDN/>
              <w:bidi w:val="0"/>
              <w:adjustRightInd/>
              <w:snapToGrid/>
              <w:spacing w:beforeAutospacing="0" w:afterAutospacing="0" w:line="260" w:lineRule="exact"/>
              <w:ind w:left="638" w:leftChars="88" w:right="0" w:rightChars="0" w:hanging="453" w:hangingChars="349"/>
              <w:jc w:val="center"/>
              <w:rPr>
                <w:rFonts w:ascii="仿宋_GB2312" w:hAnsi="宋体" w:eastAsia="仿宋_GB2312"/>
                <w:color w:val="auto"/>
                <w:sz w:val="13"/>
                <w:szCs w:val="13"/>
                <w:highlight w:val="none"/>
              </w:rPr>
            </w:pPr>
          </w:p>
        </w:tc>
        <w:tc>
          <w:tcPr>
            <w:tcW w:w="1550" w:type="dxa"/>
            <w:vMerge w:val="continue"/>
            <w:tcBorders>
              <w:tl2br w:val="nil"/>
              <w:tr2bl w:val="nil"/>
            </w:tcBorders>
            <w:vAlign w:val="center"/>
          </w:tcPr>
          <w:p w14:paraId="086A6B7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3981D41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olor w:val="auto"/>
                <w:kern w:val="0"/>
                <w:sz w:val="13"/>
                <w:szCs w:val="13"/>
                <w:highlight w:val="none"/>
              </w:rPr>
            </w:pPr>
          </w:p>
        </w:tc>
        <w:tc>
          <w:tcPr>
            <w:tcW w:w="823" w:type="dxa"/>
            <w:tcBorders>
              <w:tl2br w:val="nil"/>
              <w:tr2bl w:val="nil"/>
            </w:tcBorders>
            <w:tcMar>
              <w:top w:w="15" w:type="dxa"/>
              <w:left w:w="15" w:type="dxa"/>
              <w:bottom w:w="15" w:type="dxa"/>
              <w:right w:w="15" w:type="dxa"/>
            </w:tcMar>
            <w:vAlign w:val="center"/>
          </w:tcPr>
          <w:p w14:paraId="44A2FB0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s="Times New Roman"/>
                <w:color w:val="auto"/>
                <w:kern w:val="0"/>
                <w:sz w:val="13"/>
                <w:szCs w:val="13"/>
                <w:highlight w:val="none"/>
                <w:lang w:eastAsia="zh-CN"/>
              </w:rPr>
              <w:t>一般情节</w:t>
            </w:r>
          </w:p>
        </w:tc>
        <w:tc>
          <w:tcPr>
            <w:tcW w:w="3437" w:type="dxa"/>
            <w:gridSpan w:val="2"/>
            <w:tcBorders>
              <w:tl2br w:val="nil"/>
              <w:tr2bl w:val="nil"/>
            </w:tcBorders>
            <w:tcMar>
              <w:top w:w="15" w:type="dxa"/>
              <w:left w:w="15" w:type="dxa"/>
              <w:bottom w:w="15" w:type="dxa"/>
              <w:right w:w="15" w:type="dxa"/>
            </w:tcMar>
            <w:vAlign w:val="center"/>
          </w:tcPr>
          <w:p w14:paraId="143D697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实施违法行为，造成不良社会影响，不具有从轻、</w:t>
            </w:r>
            <w:r>
              <w:rPr>
                <w:rFonts w:hint="eastAsia" w:ascii="仿宋_GB2312" w:hAnsi="宋体" w:eastAsia="仿宋_GB2312" w:cs="Times New Roman"/>
                <w:color w:val="auto"/>
                <w:kern w:val="0"/>
                <w:sz w:val="13"/>
                <w:szCs w:val="13"/>
                <w:highlight w:val="none"/>
                <w:lang w:eastAsia="zh-CN"/>
              </w:rPr>
              <w:t>从重情节</w:t>
            </w:r>
            <w:r>
              <w:rPr>
                <w:rFonts w:hint="eastAsia" w:ascii="仿宋_GB2312" w:hAnsi="宋体" w:eastAsia="仿宋_GB2312" w:cs="Times New Roman"/>
                <w:color w:val="auto"/>
                <w:kern w:val="0"/>
                <w:sz w:val="13"/>
                <w:szCs w:val="13"/>
                <w:highlight w:val="none"/>
              </w:rPr>
              <w:t>的。</w:t>
            </w:r>
          </w:p>
        </w:tc>
        <w:tc>
          <w:tcPr>
            <w:tcW w:w="3058" w:type="dxa"/>
            <w:tcBorders>
              <w:tl2br w:val="nil"/>
              <w:tr2bl w:val="nil"/>
            </w:tcBorders>
            <w:tcMar>
              <w:top w:w="15" w:type="dxa"/>
              <w:left w:w="15" w:type="dxa"/>
              <w:bottom w:w="15" w:type="dxa"/>
              <w:right w:w="15" w:type="dxa"/>
            </w:tcMar>
            <w:vAlign w:val="center"/>
          </w:tcPr>
          <w:p w14:paraId="44AE494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责令限期改正；逾期不改正的可处以2千5百元罚款。</w:t>
            </w:r>
          </w:p>
        </w:tc>
      </w:tr>
      <w:tr w14:paraId="495730A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9" w:hRule="atLeast"/>
          <w:jc w:val="center"/>
        </w:trPr>
        <w:tc>
          <w:tcPr>
            <w:tcW w:w="443" w:type="dxa"/>
            <w:gridSpan w:val="2"/>
            <w:vMerge w:val="continue"/>
            <w:tcBorders>
              <w:tl2br w:val="nil"/>
              <w:tr2bl w:val="nil"/>
            </w:tcBorders>
            <w:vAlign w:val="center"/>
          </w:tcPr>
          <w:p w14:paraId="117704B7">
            <w:pPr>
              <w:pStyle w:val="37"/>
              <w:keepNext w:val="0"/>
              <w:keepLines w:val="0"/>
              <w:pageBreakBefore w:val="0"/>
              <w:widowControl/>
              <w:numPr>
                <w:ilvl w:val="0"/>
                <w:numId w:val="4"/>
              </w:numPr>
              <w:kinsoku/>
              <w:overflowPunct/>
              <w:topLinePunct w:val="0"/>
              <w:autoSpaceDE/>
              <w:autoSpaceDN/>
              <w:bidi w:val="0"/>
              <w:adjustRightInd/>
              <w:snapToGrid/>
              <w:spacing w:beforeAutospacing="0" w:afterAutospacing="0" w:line="260" w:lineRule="exact"/>
              <w:ind w:left="638" w:leftChars="88" w:right="0" w:rightChars="0" w:hanging="453" w:hangingChars="349"/>
              <w:jc w:val="center"/>
              <w:rPr>
                <w:rFonts w:ascii="仿宋_GB2312" w:hAnsi="宋体" w:eastAsia="仿宋_GB2312"/>
                <w:color w:val="auto"/>
                <w:sz w:val="13"/>
                <w:szCs w:val="13"/>
                <w:highlight w:val="none"/>
              </w:rPr>
            </w:pPr>
          </w:p>
        </w:tc>
        <w:tc>
          <w:tcPr>
            <w:tcW w:w="1550" w:type="dxa"/>
            <w:vMerge w:val="continue"/>
            <w:tcBorders>
              <w:tl2br w:val="nil"/>
              <w:tr2bl w:val="nil"/>
            </w:tcBorders>
            <w:vAlign w:val="center"/>
          </w:tcPr>
          <w:p w14:paraId="57E4B74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54D0CF1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olor w:val="auto"/>
                <w:kern w:val="0"/>
                <w:sz w:val="13"/>
                <w:szCs w:val="13"/>
                <w:highlight w:val="none"/>
              </w:rPr>
            </w:pPr>
          </w:p>
        </w:tc>
        <w:tc>
          <w:tcPr>
            <w:tcW w:w="823" w:type="dxa"/>
            <w:tcBorders>
              <w:tl2br w:val="nil"/>
              <w:tr2bl w:val="nil"/>
            </w:tcBorders>
            <w:tcMar>
              <w:top w:w="15" w:type="dxa"/>
              <w:left w:w="15" w:type="dxa"/>
              <w:bottom w:w="15" w:type="dxa"/>
              <w:right w:w="15" w:type="dxa"/>
            </w:tcMar>
            <w:vAlign w:val="center"/>
          </w:tcPr>
          <w:p w14:paraId="012EAE0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s="Times New Roman"/>
                <w:color w:val="auto"/>
                <w:kern w:val="0"/>
                <w:sz w:val="13"/>
                <w:szCs w:val="13"/>
                <w:highlight w:val="none"/>
                <w:lang w:eastAsia="zh-CN"/>
              </w:rPr>
              <w:t>从重情节</w:t>
            </w:r>
          </w:p>
        </w:tc>
        <w:tc>
          <w:tcPr>
            <w:tcW w:w="3437" w:type="dxa"/>
            <w:gridSpan w:val="2"/>
            <w:tcBorders>
              <w:tl2br w:val="nil"/>
              <w:tr2bl w:val="nil"/>
            </w:tcBorders>
            <w:tcMar>
              <w:top w:w="15" w:type="dxa"/>
              <w:left w:w="15" w:type="dxa"/>
              <w:bottom w:w="15" w:type="dxa"/>
              <w:right w:w="15" w:type="dxa"/>
            </w:tcMar>
            <w:vAlign w:val="center"/>
          </w:tcPr>
          <w:p w14:paraId="7510F57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经责令停止违法行为后，继续实施违法行为的</w:t>
            </w:r>
            <w:r>
              <w:rPr>
                <w:rFonts w:hint="eastAsia" w:ascii="仿宋_GB2312" w:hAnsi="宋体" w:eastAsia="仿宋_GB2312" w:cs="Times New Roman"/>
                <w:color w:val="auto"/>
                <w:kern w:val="0"/>
                <w:sz w:val="13"/>
                <w:szCs w:val="13"/>
                <w:highlight w:val="none"/>
                <w:lang w:eastAsia="zh-CN"/>
              </w:rPr>
              <w:t>，</w:t>
            </w:r>
            <w:r>
              <w:rPr>
                <w:rFonts w:hint="eastAsia" w:ascii="仿宋_GB2312" w:hAnsi="宋体" w:eastAsia="仿宋_GB2312" w:cs="Times New Roman"/>
                <w:color w:val="auto"/>
                <w:kern w:val="0"/>
                <w:sz w:val="13"/>
                <w:szCs w:val="13"/>
                <w:highlight w:val="none"/>
                <w:lang w:val="en-US" w:eastAsia="zh-CN"/>
              </w:rPr>
              <w:t>或</w:t>
            </w:r>
            <w:r>
              <w:rPr>
                <w:rFonts w:hint="eastAsia" w:ascii="仿宋_GB2312" w:hAnsi="宋体" w:eastAsia="仿宋_GB2312" w:cs="Times New Roman"/>
                <w:color w:val="auto"/>
                <w:kern w:val="0"/>
                <w:sz w:val="13"/>
                <w:szCs w:val="13"/>
                <w:highlight w:val="none"/>
              </w:rPr>
              <w:t>2年内2次及以上同类型违法。</w:t>
            </w:r>
          </w:p>
        </w:tc>
        <w:tc>
          <w:tcPr>
            <w:tcW w:w="3058" w:type="dxa"/>
            <w:tcBorders>
              <w:tl2br w:val="nil"/>
              <w:tr2bl w:val="nil"/>
            </w:tcBorders>
            <w:tcMar>
              <w:top w:w="15" w:type="dxa"/>
              <w:left w:w="15" w:type="dxa"/>
              <w:bottom w:w="15" w:type="dxa"/>
              <w:right w:w="15" w:type="dxa"/>
            </w:tcMar>
            <w:vAlign w:val="center"/>
          </w:tcPr>
          <w:p w14:paraId="0440C84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责令限期改正；逾期不改正的可处以2千5百元以上5千元以下的罚款。</w:t>
            </w:r>
          </w:p>
        </w:tc>
      </w:tr>
      <w:tr w14:paraId="49C66E0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47" w:hRule="atLeast"/>
          <w:jc w:val="center"/>
        </w:trPr>
        <w:tc>
          <w:tcPr>
            <w:tcW w:w="443" w:type="dxa"/>
            <w:gridSpan w:val="2"/>
            <w:vMerge w:val="restart"/>
            <w:tcBorders>
              <w:tl2br w:val="nil"/>
              <w:tr2bl w:val="nil"/>
            </w:tcBorders>
            <w:vAlign w:val="center"/>
          </w:tcPr>
          <w:p w14:paraId="45701803">
            <w:pPr>
              <w:keepNext w:val="0"/>
              <w:keepLines w:val="0"/>
              <w:pageBreakBefore w:val="0"/>
              <w:widowControl/>
              <w:numPr>
                <w:ilvl w:val="0"/>
                <w:numId w:val="6"/>
              </w:numPr>
              <w:suppressLineNumbers w:val="0"/>
              <w:tabs>
                <w:tab w:val="clear" w:pos="397"/>
              </w:tabs>
              <w:kinsoku/>
              <w:overflowPunct/>
              <w:topLinePunct w:val="0"/>
              <w:autoSpaceDE/>
              <w:autoSpaceDN/>
              <w:bidi w:val="0"/>
              <w:adjustRightInd/>
              <w:snapToGrid/>
              <w:spacing w:beforeAutospacing="0" w:afterAutospacing="0" w:line="260" w:lineRule="exact"/>
              <w:ind w:left="638" w:leftChars="88" w:right="0" w:rightChars="0" w:hanging="453" w:hangingChars="349"/>
              <w:jc w:val="center"/>
              <w:textAlignment w:val="center"/>
              <w:rPr>
                <w:rFonts w:hint="default" w:ascii="仿宋_GB2312" w:hAnsi="宋体" w:eastAsia="仿宋_GB2312"/>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248</w:t>
            </w:r>
          </w:p>
        </w:tc>
        <w:tc>
          <w:tcPr>
            <w:tcW w:w="1550" w:type="dxa"/>
            <w:vMerge w:val="restart"/>
            <w:tcBorders>
              <w:tl2br w:val="nil"/>
              <w:tr2bl w:val="nil"/>
            </w:tcBorders>
            <w:vAlign w:val="center"/>
          </w:tcPr>
          <w:p w14:paraId="2D7839B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0" w:firstLineChars="200"/>
              <w:textAlignment w:val="center"/>
              <w:rPr>
                <w:rFonts w:ascii="仿宋_GB2312" w:hAnsi="宋体" w:eastAsia="仿宋_GB2312" w:cs="Times New Roman"/>
                <w:color w:val="auto"/>
                <w:kern w:val="0"/>
                <w:sz w:val="13"/>
                <w:szCs w:val="13"/>
                <w:highlight w:val="none"/>
              </w:rPr>
            </w:pPr>
            <w:r>
              <w:rPr>
                <w:rFonts w:ascii="仿宋_GB2312" w:hAnsi="宋体" w:eastAsia="仿宋_GB2312" w:cs="Times New Roman"/>
                <w:color w:val="auto"/>
                <w:kern w:val="0"/>
                <w:sz w:val="13"/>
                <w:szCs w:val="13"/>
                <w:highlight w:val="none"/>
              </w:rPr>
              <w:t>注册房地产估价师下列行为：</w:t>
            </w:r>
          </w:p>
          <w:p w14:paraId="609E0EB4">
            <w:pPr>
              <w:keepNext w:val="0"/>
              <w:keepLines w:val="0"/>
              <w:pageBreakBefore w:val="0"/>
              <w:widowControl/>
              <w:numPr>
                <w:ilvl w:val="0"/>
                <w:numId w:val="7"/>
              </w:numPr>
              <w:kinsoku/>
              <w:overflowPunct/>
              <w:topLinePunct w:val="0"/>
              <w:autoSpaceDE/>
              <w:autoSpaceDN/>
              <w:bidi w:val="0"/>
              <w:adjustRightInd/>
              <w:snapToGrid/>
              <w:spacing w:beforeAutospacing="0" w:afterAutospacing="0" w:line="260" w:lineRule="exact"/>
              <w:ind w:left="0" w:leftChars="0" w:right="0" w:rightChars="0" w:firstLine="260" w:firstLineChars="200"/>
              <w:textAlignment w:val="center"/>
              <w:rPr>
                <w:rFonts w:ascii="仿宋_GB2312" w:hAnsi="宋体" w:eastAsia="仿宋_GB2312" w:cs="Times New Roman"/>
                <w:color w:val="auto"/>
                <w:kern w:val="0"/>
                <w:sz w:val="13"/>
                <w:szCs w:val="13"/>
                <w:highlight w:val="none"/>
              </w:rPr>
            </w:pPr>
            <w:r>
              <w:rPr>
                <w:rFonts w:ascii="仿宋_GB2312" w:hAnsi="宋体" w:eastAsia="仿宋_GB2312" w:cs="Times New Roman"/>
                <w:color w:val="auto"/>
                <w:kern w:val="0"/>
                <w:sz w:val="13"/>
                <w:szCs w:val="13"/>
                <w:highlight w:val="none"/>
              </w:rPr>
              <w:t>不履行注册房地产估价师义务；</w:t>
            </w:r>
          </w:p>
          <w:p w14:paraId="0085E11E">
            <w:pPr>
              <w:keepNext w:val="0"/>
              <w:keepLines w:val="0"/>
              <w:pageBreakBefore w:val="0"/>
              <w:widowControl/>
              <w:numPr>
                <w:ilvl w:val="0"/>
                <w:numId w:val="0"/>
              </w:numPr>
              <w:kinsoku/>
              <w:overflowPunct/>
              <w:topLinePunct w:val="0"/>
              <w:autoSpaceDE/>
              <w:autoSpaceDN/>
              <w:bidi w:val="0"/>
              <w:adjustRightInd/>
              <w:snapToGrid/>
              <w:spacing w:beforeAutospacing="0" w:afterAutospacing="0" w:line="260" w:lineRule="exact"/>
              <w:ind w:left="0" w:leftChars="0" w:right="0" w:rightChars="0"/>
              <w:textAlignment w:val="center"/>
              <w:rPr>
                <w:rFonts w:hint="eastAsia" w:ascii="仿宋_GB2312" w:hAnsi="宋体" w:eastAsia="仿宋_GB2312" w:cs="Times New Roman"/>
                <w:color w:val="auto"/>
                <w:kern w:val="0"/>
                <w:sz w:val="13"/>
                <w:szCs w:val="13"/>
                <w:highlight w:val="none"/>
                <w:lang w:val="en-US" w:eastAsia="zh-CN"/>
              </w:rPr>
            </w:pPr>
            <w:r>
              <w:rPr>
                <w:rFonts w:hint="eastAsia" w:ascii="仿宋_GB2312" w:hAnsi="宋体" w:eastAsia="仿宋_GB2312" w:cs="Times New Roman"/>
                <w:color w:val="auto"/>
                <w:kern w:val="0"/>
                <w:sz w:val="13"/>
                <w:szCs w:val="13"/>
                <w:highlight w:val="none"/>
                <w:lang w:val="en-US" w:eastAsia="zh-CN"/>
              </w:rPr>
              <w:t>（二）在执业过程中，索贿、受贿或者谋取合同约定费用外的其他利益；</w:t>
            </w:r>
          </w:p>
          <w:p w14:paraId="5194DC77">
            <w:pPr>
              <w:keepNext w:val="0"/>
              <w:keepLines w:val="0"/>
              <w:pageBreakBefore w:val="0"/>
              <w:widowControl/>
              <w:numPr>
                <w:ilvl w:val="0"/>
                <w:numId w:val="0"/>
              </w:numPr>
              <w:kinsoku/>
              <w:overflowPunct/>
              <w:topLinePunct w:val="0"/>
              <w:autoSpaceDE/>
              <w:autoSpaceDN/>
              <w:bidi w:val="0"/>
              <w:adjustRightInd/>
              <w:snapToGrid/>
              <w:spacing w:beforeAutospacing="0" w:afterAutospacing="0" w:line="260" w:lineRule="exact"/>
              <w:ind w:left="0" w:leftChars="0" w:right="0" w:rightChars="0"/>
              <w:textAlignment w:val="center"/>
              <w:rPr>
                <w:rFonts w:hint="eastAsia" w:ascii="仿宋_GB2312" w:hAnsi="宋体" w:eastAsia="仿宋_GB2312" w:cs="Times New Roman"/>
                <w:color w:val="auto"/>
                <w:kern w:val="0"/>
                <w:sz w:val="13"/>
                <w:szCs w:val="13"/>
                <w:highlight w:val="none"/>
                <w:lang w:val="en-US" w:eastAsia="zh-CN"/>
              </w:rPr>
            </w:pPr>
            <w:r>
              <w:rPr>
                <w:rFonts w:hint="eastAsia" w:ascii="仿宋_GB2312" w:hAnsi="宋体" w:eastAsia="仿宋_GB2312" w:cs="Times New Roman"/>
                <w:color w:val="auto"/>
                <w:kern w:val="0"/>
                <w:sz w:val="13"/>
                <w:szCs w:val="13"/>
                <w:highlight w:val="none"/>
                <w:lang w:val="en-US" w:eastAsia="zh-CN"/>
              </w:rPr>
              <w:t>　　（三）在执业过程中实施商业贿赂；</w:t>
            </w:r>
          </w:p>
          <w:p w14:paraId="1CF91482">
            <w:pPr>
              <w:keepNext w:val="0"/>
              <w:keepLines w:val="0"/>
              <w:pageBreakBefore w:val="0"/>
              <w:widowControl/>
              <w:numPr>
                <w:ilvl w:val="0"/>
                <w:numId w:val="0"/>
              </w:numPr>
              <w:kinsoku/>
              <w:overflowPunct/>
              <w:topLinePunct w:val="0"/>
              <w:autoSpaceDE/>
              <w:autoSpaceDN/>
              <w:bidi w:val="0"/>
              <w:adjustRightInd/>
              <w:snapToGrid/>
              <w:spacing w:beforeAutospacing="0" w:afterAutospacing="0" w:line="260" w:lineRule="exact"/>
              <w:ind w:left="0" w:leftChars="0" w:right="0" w:rightChars="0"/>
              <w:textAlignment w:val="center"/>
              <w:rPr>
                <w:rFonts w:hint="eastAsia" w:ascii="仿宋_GB2312" w:hAnsi="宋体" w:eastAsia="仿宋_GB2312" w:cs="Times New Roman"/>
                <w:color w:val="auto"/>
                <w:kern w:val="0"/>
                <w:sz w:val="13"/>
                <w:szCs w:val="13"/>
                <w:highlight w:val="none"/>
                <w:lang w:val="en-US" w:eastAsia="zh-CN"/>
              </w:rPr>
            </w:pPr>
            <w:r>
              <w:rPr>
                <w:rFonts w:hint="eastAsia" w:ascii="仿宋_GB2312" w:hAnsi="宋体" w:eastAsia="仿宋_GB2312" w:cs="Times New Roman"/>
                <w:color w:val="auto"/>
                <w:kern w:val="0"/>
                <w:sz w:val="13"/>
                <w:szCs w:val="13"/>
                <w:highlight w:val="none"/>
                <w:lang w:val="en-US" w:eastAsia="zh-CN"/>
              </w:rPr>
              <w:t>　　（四）签署有虚假记载、误导性陈述或者重大遗漏的估价报告；</w:t>
            </w:r>
          </w:p>
          <w:p w14:paraId="2410C17F">
            <w:pPr>
              <w:keepNext w:val="0"/>
              <w:keepLines w:val="0"/>
              <w:pageBreakBefore w:val="0"/>
              <w:widowControl/>
              <w:numPr>
                <w:ilvl w:val="0"/>
                <w:numId w:val="0"/>
              </w:numPr>
              <w:kinsoku/>
              <w:overflowPunct/>
              <w:topLinePunct w:val="0"/>
              <w:autoSpaceDE/>
              <w:autoSpaceDN/>
              <w:bidi w:val="0"/>
              <w:adjustRightInd/>
              <w:snapToGrid/>
              <w:spacing w:beforeAutospacing="0" w:afterAutospacing="0" w:line="260" w:lineRule="exact"/>
              <w:ind w:left="0" w:leftChars="0" w:right="0" w:rightChars="0"/>
              <w:textAlignment w:val="center"/>
              <w:rPr>
                <w:rFonts w:hint="eastAsia" w:ascii="仿宋_GB2312" w:hAnsi="宋体" w:eastAsia="仿宋_GB2312" w:cs="Times New Roman"/>
                <w:color w:val="auto"/>
                <w:kern w:val="0"/>
                <w:sz w:val="13"/>
                <w:szCs w:val="13"/>
                <w:highlight w:val="none"/>
                <w:lang w:val="en-US" w:eastAsia="zh-CN"/>
              </w:rPr>
            </w:pPr>
            <w:r>
              <w:rPr>
                <w:rFonts w:hint="eastAsia" w:ascii="仿宋_GB2312" w:hAnsi="宋体" w:eastAsia="仿宋_GB2312" w:cs="Times New Roman"/>
                <w:color w:val="auto"/>
                <w:kern w:val="0"/>
                <w:sz w:val="13"/>
                <w:szCs w:val="13"/>
                <w:highlight w:val="none"/>
                <w:lang w:val="en-US" w:eastAsia="zh-CN"/>
              </w:rPr>
              <w:t>　　（五）在估价报告中隐瞒或者歪曲事实；</w:t>
            </w:r>
          </w:p>
          <w:p w14:paraId="61426D2D">
            <w:pPr>
              <w:keepNext w:val="0"/>
              <w:keepLines w:val="0"/>
              <w:pageBreakBefore w:val="0"/>
              <w:widowControl/>
              <w:numPr>
                <w:ilvl w:val="0"/>
                <w:numId w:val="0"/>
              </w:numPr>
              <w:kinsoku/>
              <w:overflowPunct/>
              <w:topLinePunct w:val="0"/>
              <w:autoSpaceDE/>
              <w:autoSpaceDN/>
              <w:bidi w:val="0"/>
              <w:adjustRightInd/>
              <w:snapToGrid/>
              <w:spacing w:beforeAutospacing="0" w:afterAutospacing="0" w:line="260" w:lineRule="exact"/>
              <w:ind w:left="0" w:leftChars="0" w:right="0" w:rightChars="0"/>
              <w:textAlignment w:val="center"/>
              <w:rPr>
                <w:rFonts w:hint="eastAsia" w:ascii="仿宋_GB2312" w:hAnsi="宋体" w:eastAsia="仿宋_GB2312" w:cs="Times New Roman"/>
                <w:color w:val="auto"/>
                <w:kern w:val="0"/>
                <w:sz w:val="13"/>
                <w:szCs w:val="13"/>
                <w:highlight w:val="none"/>
                <w:lang w:val="en-US" w:eastAsia="zh-CN"/>
              </w:rPr>
            </w:pPr>
            <w:r>
              <w:rPr>
                <w:rFonts w:hint="eastAsia" w:ascii="仿宋_GB2312" w:hAnsi="宋体" w:eastAsia="仿宋_GB2312" w:cs="Times New Roman"/>
                <w:color w:val="auto"/>
                <w:kern w:val="0"/>
                <w:sz w:val="13"/>
                <w:szCs w:val="13"/>
                <w:highlight w:val="none"/>
                <w:lang w:val="en-US" w:eastAsia="zh-CN"/>
              </w:rPr>
              <w:t>　　（六）允许他人以自己的名义从事房地产估价业务；</w:t>
            </w:r>
          </w:p>
          <w:p w14:paraId="0DE63285">
            <w:pPr>
              <w:keepNext w:val="0"/>
              <w:keepLines w:val="0"/>
              <w:pageBreakBefore w:val="0"/>
              <w:widowControl/>
              <w:numPr>
                <w:ilvl w:val="0"/>
                <w:numId w:val="0"/>
              </w:numPr>
              <w:kinsoku/>
              <w:overflowPunct/>
              <w:topLinePunct w:val="0"/>
              <w:autoSpaceDE/>
              <w:autoSpaceDN/>
              <w:bidi w:val="0"/>
              <w:adjustRightInd/>
              <w:snapToGrid/>
              <w:spacing w:beforeAutospacing="0" w:afterAutospacing="0" w:line="260" w:lineRule="exact"/>
              <w:ind w:left="0" w:leftChars="0" w:right="0" w:rightChars="0"/>
              <w:textAlignment w:val="center"/>
              <w:rPr>
                <w:rFonts w:hint="eastAsia" w:ascii="仿宋_GB2312" w:hAnsi="宋体" w:eastAsia="仿宋_GB2312" w:cs="Times New Roman"/>
                <w:color w:val="auto"/>
                <w:kern w:val="0"/>
                <w:sz w:val="13"/>
                <w:szCs w:val="13"/>
                <w:highlight w:val="none"/>
                <w:lang w:val="en-US" w:eastAsia="zh-CN"/>
              </w:rPr>
            </w:pPr>
            <w:r>
              <w:rPr>
                <w:rFonts w:hint="eastAsia" w:ascii="仿宋_GB2312" w:hAnsi="宋体" w:eastAsia="仿宋_GB2312" w:cs="Times New Roman"/>
                <w:color w:val="auto"/>
                <w:kern w:val="0"/>
                <w:sz w:val="13"/>
                <w:szCs w:val="13"/>
                <w:highlight w:val="none"/>
                <w:lang w:val="en-US" w:eastAsia="zh-CN"/>
              </w:rPr>
              <w:t>　　（七）同时在2个或者2个以上房地产估价机构执业；</w:t>
            </w:r>
          </w:p>
          <w:p w14:paraId="19C13CFB">
            <w:pPr>
              <w:keepNext w:val="0"/>
              <w:keepLines w:val="0"/>
              <w:pageBreakBefore w:val="0"/>
              <w:widowControl/>
              <w:numPr>
                <w:ilvl w:val="0"/>
                <w:numId w:val="0"/>
              </w:numPr>
              <w:kinsoku/>
              <w:overflowPunct/>
              <w:topLinePunct w:val="0"/>
              <w:autoSpaceDE/>
              <w:autoSpaceDN/>
              <w:bidi w:val="0"/>
              <w:adjustRightInd/>
              <w:snapToGrid/>
              <w:spacing w:beforeAutospacing="0" w:afterAutospacing="0" w:line="260" w:lineRule="exact"/>
              <w:ind w:left="0" w:leftChars="0" w:right="0" w:rightChars="0"/>
              <w:textAlignment w:val="center"/>
              <w:rPr>
                <w:rFonts w:hint="eastAsia" w:ascii="仿宋_GB2312" w:hAnsi="宋体" w:eastAsia="仿宋_GB2312" w:cs="Times New Roman"/>
                <w:color w:val="auto"/>
                <w:kern w:val="0"/>
                <w:sz w:val="13"/>
                <w:szCs w:val="13"/>
                <w:highlight w:val="none"/>
                <w:lang w:val="en-US" w:eastAsia="zh-CN"/>
              </w:rPr>
            </w:pPr>
            <w:r>
              <w:rPr>
                <w:rFonts w:hint="eastAsia" w:ascii="仿宋_GB2312" w:hAnsi="宋体" w:eastAsia="仿宋_GB2312" w:cs="Times New Roman"/>
                <w:color w:val="auto"/>
                <w:kern w:val="0"/>
                <w:sz w:val="13"/>
                <w:szCs w:val="13"/>
                <w:highlight w:val="none"/>
                <w:lang w:val="en-US" w:eastAsia="zh-CN"/>
              </w:rPr>
              <w:t>　　（八）以个人名义承揽房地产估价业务；</w:t>
            </w:r>
          </w:p>
          <w:p w14:paraId="529C7BAA">
            <w:pPr>
              <w:keepNext w:val="0"/>
              <w:keepLines w:val="0"/>
              <w:pageBreakBefore w:val="0"/>
              <w:widowControl/>
              <w:numPr>
                <w:ilvl w:val="0"/>
                <w:numId w:val="0"/>
              </w:numPr>
              <w:kinsoku/>
              <w:overflowPunct/>
              <w:topLinePunct w:val="0"/>
              <w:autoSpaceDE/>
              <w:autoSpaceDN/>
              <w:bidi w:val="0"/>
              <w:adjustRightInd/>
              <w:snapToGrid/>
              <w:spacing w:beforeAutospacing="0" w:afterAutospacing="0" w:line="260" w:lineRule="exact"/>
              <w:ind w:left="0" w:leftChars="0" w:right="0" w:rightChars="0"/>
              <w:textAlignment w:val="center"/>
              <w:rPr>
                <w:rFonts w:hint="eastAsia" w:ascii="仿宋_GB2312" w:hAnsi="宋体" w:eastAsia="仿宋_GB2312" w:cs="Times New Roman"/>
                <w:color w:val="auto"/>
                <w:kern w:val="0"/>
                <w:sz w:val="13"/>
                <w:szCs w:val="13"/>
                <w:highlight w:val="none"/>
                <w:lang w:val="en-US" w:eastAsia="zh-CN"/>
              </w:rPr>
            </w:pPr>
            <w:r>
              <w:rPr>
                <w:rFonts w:hint="eastAsia" w:ascii="仿宋_GB2312" w:hAnsi="宋体" w:eastAsia="仿宋_GB2312" w:cs="Times New Roman"/>
                <w:color w:val="auto"/>
                <w:kern w:val="0"/>
                <w:sz w:val="13"/>
                <w:szCs w:val="13"/>
                <w:highlight w:val="none"/>
                <w:lang w:val="en-US" w:eastAsia="zh-CN"/>
              </w:rPr>
              <w:t>　　（九）涂改、出租、出借或者以其他形式非法转让注册证书；</w:t>
            </w:r>
          </w:p>
          <w:p w14:paraId="506B826F">
            <w:pPr>
              <w:keepNext w:val="0"/>
              <w:keepLines w:val="0"/>
              <w:pageBreakBefore w:val="0"/>
              <w:widowControl/>
              <w:numPr>
                <w:ilvl w:val="0"/>
                <w:numId w:val="0"/>
              </w:numPr>
              <w:kinsoku/>
              <w:overflowPunct/>
              <w:topLinePunct w:val="0"/>
              <w:autoSpaceDE/>
              <w:autoSpaceDN/>
              <w:bidi w:val="0"/>
              <w:adjustRightInd/>
              <w:snapToGrid/>
              <w:spacing w:beforeAutospacing="0" w:afterAutospacing="0" w:line="260" w:lineRule="exact"/>
              <w:ind w:left="0" w:leftChars="0" w:right="0" w:rightChars="0"/>
              <w:textAlignment w:val="center"/>
              <w:rPr>
                <w:rFonts w:hint="eastAsia" w:ascii="仿宋_GB2312" w:hAnsi="宋体" w:eastAsia="仿宋_GB2312" w:cs="Times New Roman"/>
                <w:color w:val="auto"/>
                <w:kern w:val="0"/>
                <w:sz w:val="13"/>
                <w:szCs w:val="13"/>
                <w:highlight w:val="none"/>
                <w:lang w:val="en-US" w:eastAsia="zh-CN"/>
              </w:rPr>
            </w:pPr>
            <w:r>
              <w:rPr>
                <w:rFonts w:hint="eastAsia" w:ascii="仿宋_GB2312" w:hAnsi="宋体" w:eastAsia="仿宋_GB2312" w:cs="Times New Roman"/>
                <w:color w:val="auto"/>
                <w:kern w:val="0"/>
                <w:sz w:val="13"/>
                <w:szCs w:val="13"/>
                <w:highlight w:val="none"/>
                <w:lang w:val="en-US" w:eastAsia="zh-CN"/>
              </w:rPr>
              <w:t>　　（十）超出聘用单位业务范围从事房地产估价活动；</w:t>
            </w:r>
          </w:p>
          <w:p w14:paraId="75BD2AB3">
            <w:pPr>
              <w:keepNext w:val="0"/>
              <w:keepLines w:val="0"/>
              <w:pageBreakBefore w:val="0"/>
              <w:widowControl/>
              <w:numPr>
                <w:ilvl w:val="0"/>
                <w:numId w:val="0"/>
              </w:numPr>
              <w:kinsoku/>
              <w:overflowPunct/>
              <w:topLinePunct w:val="0"/>
              <w:autoSpaceDE/>
              <w:autoSpaceDN/>
              <w:bidi w:val="0"/>
              <w:adjustRightInd/>
              <w:snapToGrid/>
              <w:spacing w:beforeAutospacing="0" w:afterAutospacing="0" w:line="260" w:lineRule="exact"/>
              <w:ind w:left="0" w:leftChars="0" w:right="0" w:rightChars="0"/>
              <w:textAlignment w:val="center"/>
              <w:rPr>
                <w:rFonts w:hint="eastAsia" w:ascii="仿宋_GB2312" w:hAnsi="宋体" w:eastAsia="仿宋_GB2312" w:cs="Times New Roman"/>
                <w:color w:val="auto"/>
                <w:kern w:val="0"/>
                <w:sz w:val="13"/>
                <w:szCs w:val="13"/>
                <w:highlight w:val="none"/>
                <w:lang w:val="en-US" w:eastAsia="zh-CN"/>
              </w:rPr>
            </w:pPr>
            <w:r>
              <w:rPr>
                <w:rFonts w:hint="eastAsia" w:ascii="仿宋_GB2312" w:hAnsi="宋体" w:eastAsia="仿宋_GB2312" w:cs="Times New Roman"/>
                <w:color w:val="auto"/>
                <w:kern w:val="0"/>
                <w:sz w:val="13"/>
                <w:szCs w:val="13"/>
                <w:highlight w:val="none"/>
                <w:lang w:val="en-US" w:eastAsia="zh-CN"/>
              </w:rPr>
              <w:t>　　（十一）严重损害他人利益、名誉的行为；</w:t>
            </w:r>
          </w:p>
          <w:p w14:paraId="2EFC966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lang w:val="en-US" w:eastAsia="zh-CN"/>
              </w:rPr>
              <w:t>　　（十二）法律、法规禁止的其他行为。</w:t>
            </w:r>
          </w:p>
        </w:tc>
        <w:tc>
          <w:tcPr>
            <w:tcW w:w="4820" w:type="dxa"/>
            <w:vMerge w:val="restart"/>
            <w:tcBorders>
              <w:tl2br w:val="nil"/>
              <w:tr2bl w:val="nil"/>
            </w:tcBorders>
            <w:vAlign w:val="center"/>
          </w:tcPr>
          <w:p w14:paraId="621B82C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《注册房地产估价师管理办法》</w:t>
            </w:r>
            <w:r>
              <w:rPr>
                <w:rFonts w:hint="eastAsia" w:ascii="仿宋_GB2312" w:hAnsi="宋体" w:eastAsia="仿宋_GB2312" w:cs="Times New Roman"/>
                <w:b/>
                <w:bCs/>
                <w:color w:val="auto"/>
                <w:kern w:val="0"/>
                <w:sz w:val="13"/>
                <w:szCs w:val="13"/>
                <w:highlight w:val="none"/>
              </w:rPr>
              <w:t>第三十八条：</w:t>
            </w:r>
            <w:r>
              <w:rPr>
                <w:rFonts w:hint="eastAsia" w:ascii="仿宋_GB2312" w:hAnsi="宋体" w:eastAsia="仿宋_GB2312" w:cs="Times New Roman"/>
                <w:color w:val="auto"/>
                <w:kern w:val="0"/>
                <w:sz w:val="13"/>
                <w:szCs w:val="13"/>
                <w:highlight w:val="none"/>
              </w:rPr>
              <w:t>注册房地产估价师有违反第二十六条行为之一的，由县级以上地方人民政府建设（房地产）主管部门给予警告，责令其改正，没有违法所得的，处以1万元以下罚款，有违法所得的，处以违法所得3倍以下且不超过3万元的罚款；造成损失的，依法承担赔偿责任；构成犯罪的，依法追究刑事责任。</w:t>
            </w:r>
          </w:p>
          <w:p w14:paraId="6A74AD2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1" w:firstLineChars="200"/>
              <w:textAlignment w:val="center"/>
              <w:rPr>
                <w:rFonts w:ascii="仿宋_GB2312" w:hAnsi="宋体" w:eastAsia="仿宋_GB2312" w:cs="Times New Roman"/>
                <w:color w:val="auto"/>
                <w:kern w:val="0"/>
                <w:sz w:val="13"/>
                <w:szCs w:val="13"/>
                <w:highlight w:val="none"/>
              </w:rPr>
            </w:pPr>
            <w:r>
              <w:rPr>
                <w:rFonts w:ascii="仿宋_GB2312" w:hAnsi="宋体" w:eastAsia="仿宋_GB2312" w:cs="Times New Roman"/>
                <w:b/>
                <w:bCs/>
                <w:color w:val="auto"/>
                <w:kern w:val="0"/>
                <w:sz w:val="13"/>
                <w:szCs w:val="13"/>
                <w:highlight w:val="none"/>
              </w:rPr>
              <w:t>第二十六条</w:t>
            </w:r>
            <w:r>
              <w:rPr>
                <w:rFonts w:hint="eastAsia" w:ascii="仿宋_GB2312" w:hAnsi="宋体" w:eastAsia="仿宋_GB2312" w:cs="Times New Roman"/>
                <w:b/>
                <w:bCs/>
                <w:color w:val="auto"/>
                <w:kern w:val="0"/>
                <w:sz w:val="13"/>
                <w:szCs w:val="13"/>
                <w:highlight w:val="none"/>
                <w:lang w:eastAsia="zh-CN"/>
              </w:rPr>
              <w:t>：</w:t>
            </w:r>
            <w:r>
              <w:rPr>
                <w:rFonts w:ascii="仿宋_GB2312" w:hAnsi="宋体" w:eastAsia="仿宋_GB2312" w:cs="Times New Roman"/>
                <w:color w:val="auto"/>
                <w:kern w:val="0"/>
                <w:sz w:val="13"/>
                <w:szCs w:val="13"/>
                <w:highlight w:val="none"/>
              </w:rPr>
              <w:t>注册房地产估价师不得有下列行为：</w:t>
            </w:r>
          </w:p>
          <w:p w14:paraId="02BC9848">
            <w:pPr>
              <w:keepNext w:val="0"/>
              <w:keepLines w:val="0"/>
              <w:pageBreakBefore w:val="0"/>
              <w:widowControl/>
              <w:numPr>
                <w:ilvl w:val="0"/>
                <w:numId w:val="7"/>
              </w:numPr>
              <w:kinsoku/>
              <w:overflowPunct/>
              <w:topLinePunct w:val="0"/>
              <w:autoSpaceDE/>
              <w:autoSpaceDN/>
              <w:bidi w:val="0"/>
              <w:adjustRightInd/>
              <w:snapToGrid/>
              <w:spacing w:beforeAutospacing="0" w:afterAutospacing="0" w:line="260" w:lineRule="exact"/>
              <w:ind w:left="0" w:leftChars="0" w:right="0" w:rightChars="0" w:firstLine="260" w:firstLineChars="200"/>
              <w:textAlignment w:val="center"/>
              <w:rPr>
                <w:rFonts w:ascii="仿宋_GB2312" w:hAnsi="宋体" w:eastAsia="仿宋_GB2312" w:cs="Times New Roman"/>
                <w:color w:val="auto"/>
                <w:kern w:val="0"/>
                <w:sz w:val="13"/>
                <w:szCs w:val="13"/>
                <w:highlight w:val="none"/>
              </w:rPr>
            </w:pPr>
            <w:r>
              <w:rPr>
                <w:rFonts w:ascii="仿宋_GB2312" w:hAnsi="宋体" w:eastAsia="仿宋_GB2312" w:cs="Times New Roman"/>
                <w:color w:val="auto"/>
                <w:kern w:val="0"/>
                <w:sz w:val="13"/>
                <w:szCs w:val="13"/>
                <w:highlight w:val="none"/>
              </w:rPr>
              <w:t>不履行注册房地产估价师义务；</w:t>
            </w:r>
          </w:p>
          <w:p w14:paraId="5E3947E6">
            <w:pPr>
              <w:keepNext w:val="0"/>
              <w:keepLines w:val="0"/>
              <w:pageBreakBefore w:val="0"/>
              <w:widowControl/>
              <w:numPr>
                <w:ilvl w:val="0"/>
                <w:numId w:val="0"/>
              </w:numPr>
              <w:kinsoku/>
              <w:overflowPunct/>
              <w:topLinePunct w:val="0"/>
              <w:autoSpaceDE/>
              <w:autoSpaceDN/>
              <w:bidi w:val="0"/>
              <w:adjustRightInd/>
              <w:snapToGrid/>
              <w:spacing w:beforeAutospacing="0" w:afterAutospacing="0" w:line="260" w:lineRule="exact"/>
              <w:ind w:left="0" w:leftChars="0" w:right="0" w:rightChars="0"/>
              <w:textAlignment w:val="center"/>
              <w:rPr>
                <w:rFonts w:hint="eastAsia" w:ascii="仿宋_GB2312" w:hAnsi="宋体" w:eastAsia="仿宋_GB2312" w:cs="Times New Roman"/>
                <w:color w:val="auto"/>
                <w:kern w:val="0"/>
                <w:sz w:val="13"/>
                <w:szCs w:val="13"/>
                <w:highlight w:val="none"/>
                <w:lang w:val="en-US" w:eastAsia="zh-CN"/>
              </w:rPr>
            </w:pPr>
            <w:r>
              <w:rPr>
                <w:rFonts w:hint="eastAsia" w:ascii="仿宋_GB2312" w:hAnsi="宋体" w:eastAsia="仿宋_GB2312" w:cs="Times New Roman"/>
                <w:color w:val="auto"/>
                <w:kern w:val="0"/>
                <w:sz w:val="13"/>
                <w:szCs w:val="13"/>
                <w:highlight w:val="none"/>
                <w:lang w:val="en-US" w:eastAsia="zh-CN"/>
              </w:rPr>
              <w:t>（二）在执业过程中，索贿、受贿或者谋取合同约定费用外的其他利益；</w:t>
            </w:r>
          </w:p>
          <w:p w14:paraId="7363D3A8">
            <w:pPr>
              <w:keepNext w:val="0"/>
              <w:keepLines w:val="0"/>
              <w:pageBreakBefore w:val="0"/>
              <w:widowControl/>
              <w:numPr>
                <w:ilvl w:val="0"/>
                <w:numId w:val="0"/>
              </w:numPr>
              <w:kinsoku/>
              <w:overflowPunct/>
              <w:topLinePunct w:val="0"/>
              <w:autoSpaceDE/>
              <w:autoSpaceDN/>
              <w:bidi w:val="0"/>
              <w:adjustRightInd/>
              <w:snapToGrid/>
              <w:spacing w:beforeAutospacing="0" w:afterAutospacing="0" w:line="260" w:lineRule="exact"/>
              <w:ind w:left="0" w:leftChars="0" w:right="0" w:rightChars="0"/>
              <w:textAlignment w:val="center"/>
              <w:rPr>
                <w:rFonts w:hint="eastAsia" w:ascii="仿宋_GB2312" w:hAnsi="宋体" w:eastAsia="仿宋_GB2312" w:cs="Times New Roman"/>
                <w:color w:val="auto"/>
                <w:kern w:val="0"/>
                <w:sz w:val="13"/>
                <w:szCs w:val="13"/>
                <w:highlight w:val="none"/>
                <w:lang w:val="en-US" w:eastAsia="zh-CN"/>
              </w:rPr>
            </w:pPr>
            <w:r>
              <w:rPr>
                <w:rFonts w:hint="eastAsia" w:ascii="仿宋_GB2312" w:hAnsi="宋体" w:eastAsia="仿宋_GB2312" w:cs="Times New Roman"/>
                <w:color w:val="auto"/>
                <w:kern w:val="0"/>
                <w:sz w:val="13"/>
                <w:szCs w:val="13"/>
                <w:highlight w:val="none"/>
                <w:lang w:val="en-US" w:eastAsia="zh-CN"/>
              </w:rPr>
              <w:t>　　（三）在执业过程中实施商业贿赂；</w:t>
            </w:r>
          </w:p>
          <w:p w14:paraId="60886337">
            <w:pPr>
              <w:keepNext w:val="0"/>
              <w:keepLines w:val="0"/>
              <w:pageBreakBefore w:val="0"/>
              <w:widowControl/>
              <w:numPr>
                <w:ilvl w:val="0"/>
                <w:numId w:val="0"/>
              </w:numPr>
              <w:kinsoku/>
              <w:overflowPunct/>
              <w:topLinePunct w:val="0"/>
              <w:autoSpaceDE/>
              <w:autoSpaceDN/>
              <w:bidi w:val="0"/>
              <w:adjustRightInd/>
              <w:snapToGrid/>
              <w:spacing w:beforeAutospacing="0" w:afterAutospacing="0" w:line="260" w:lineRule="exact"/>
              <w:ind w:left="0" w:leftChars="0" w:right="0" w:rightChars="0"/>
              <w:textAlignment w:val="center"/>
              <w:rPr>
                <w:rFonts w:hint="eastAsia" w:ascii="仿宋_GB2312" w:hAnsi="宋体" w:eastAsia="仿宋_GB2312" w:cs="Times New Roman"/>
                <w:color w:val="auto"/>
                <w:kern w:val="0"/>
                <w:sz w:val="13"/>
                <w:szCs w:val="13"/>
                <w:highlight w:val="none"/>
                <w:lang w:val="en-US" w:eastAsia="zh-CN"/>
              </w:rPr>
            </w:pPr>
            <w:r>
              <w:rPr>
                <w:rFonts w:hint="eastAsia" w:ascii="仿宋_GB2312" w:hAnsi="宋体" w:eastAsia="仿宋_GB2312" w:cs="Times New Roman"/>
                <w:color w:val="auto"/>
                <w:kern w:val="0"/>
                <w:sz w:val="13"/>
                <w:szCs w:val="13"/>
                <w:highlight w:val="none"/>
                <w:lang w:val="en-US" w:eastAsia="zh-CN"/>
              </w:rPr>
              <w:t>　　（四）签署有虚假记载、误导性陈述或者重大遗漏的估价报告；</w:t>
            </w:r>
          </w:p>
          <w:p w14:paraId="2B35E269">
            <w:pPr>
              <w:keepNext w:val="0"/>
              <w:keepLines w:val="0"/>
              <w:pageBreakBefore w:val="0"/>
              <w:widowControl/>
              <w:numPr>
                <w:ilvl w:val="0"/>
                <w:numId w:val="0"/>
              </w:numPr>
              <w:kinsoku/>
              <w:overflowPunct/>
              <w:topLinePunct w:val="0"/>
              <w:autoSpaceDE/>
              <w:autoSpaceDN/>
              <w:bidi w:val="0"/>
              <w:adjustRightInd/>
              <w:snapToGrid/>
              <w:spacing w:beforeAutospacing="0" w:afterAutospacing="0" w:line="260" w:lineRule="exact"/>
              <w:ind w:left="0" w:leftChars="0" w:right="0" w:rightChars="0"/>
              <w:textAlignment w:val="center"/>
              <w:rPr>
                <w:rFonts w:hint="eastAsia" w:ascii="仿宋_GB2312" w:hAnsi="宋体" w:eastAsia="仿宋_GB2312" w:cs="Times New Roman"/>
                <w:color w:val="auto"/>
                <w:kern w:val="0"/>
                <w:sz w:val="13"/>
                <w:szCs w:val="13"/>
                <w:highlight w:val="none"/>
                <w:lang w:val="en-US" w:eastAsia="zh-CN"/>
              </w:rPr>
            </w:pPr>
            <w:r>
              <w:rPr>
                <w:rFonts w:hint="eastAsia" w:ascii="仿宋_GB2312" w:hAnsi="宋体" w:eastAsia="仿宋_GB2312" w:cs="Times New Roman"/>
                <w:color w:val="auto"/>
                <w:kern w:val="0"/>
                <w:sz w:val="13"/>
                <w:szCs w:val="13"/>
                <w:highlight w:val="none"/>
                <w:lang w:val="en-US" w:eastAsia="zh-CN"/>
              </w:rPr>
              <w:t>　　（五）在估价报告中隐瞒或者歪曲事实；</w:t>
            </w:r>
          </w:p>
          <w:p w14:paraId="1B18AFC2">
            <w:pPr>
              <w:keepNext w:val="0"/>
              <w:keepLines w:val="0"/>
              <w:pageBreakBefore w:val="0"/>
              <w:widowControl/>
              <w:numPr>
                <w:ilvl w:val="0"/>
                <w:numId w:val="0"/>
              </w:numPr>
              <w:kinsoku/>
              <w:overflowPunct/>
              <w:topLinePunct w:val="0"/>
              <w:autoSpaceDE/>
              <w:autoSpaceDN/>
              <w:bidi w:val="0"/>
              <w:adjustRightInd/>
              <w:snapToGrid/>
              <w:spacing w:beforeAutospacing="0" w:afterAutospacing="0" w:line="260" w:lineRule="exact"/>
              <w:ind w:left="0" w:leftChars="0" w:right="0" w:rightChars="0"/>
              <w:textAlignment w:val="center"/>
              <w:rPr>
                <w:rFonts w:hint="eastAsia" w:ascii="仿宋_GB2312" w:hAnsi="宋体" w:eastAsia="仿宋_GB2312" w:cs="Times New Roman"/>
                <w:color w:val="auto"/>
                <w:kern w:val="0"/>
                <w:sz w:val="13"/>
                <w:szCs w:val="13"/>
                <w:highlight w:val="none"/>
                <w:lang w:val="en-US" w:eastAsia="zh-CN"/>
              </w:rPr>
            </w:pPr>
            <w:r>
              <w:rPr>
                <w:rFonts w:hint="eastAsia" w:ascii="仿宋_GB2312" w:hAnsi="宋体" w:eastAsia="仿宋_GB2312" w:cs="Times New Roman"/>
                <w:color w:val="auto"/>
                <w:kern w:val="0"/>
                <w:sz w:val="13"/>
                <w:szCs w:val="13"/>
                <w:highlight w:val="none"/>
                <w:lang w:val="en-US" w:eastAsia="zh-CN"/>
              </w:rPr>
              <w:t>　　（六）允许他人以自己的名义从事房地产估价业务；</w:t>
            </w:r>
          </w:p>
          <w:p w14:paraId="54B12548">
            <w:pPr>
              <w:keepNext w:val="0"/>
              <w:keepLines w:val="0"/>
              <w:pageBreakBefore w:val="0"/>
              <w:widowControl/>
              <w:numPr>
                <w:ilvl w:val="0"/>
                <w:numId w:val="0"/>
              </w:numPr>
              <w:kinsoku/>
              <w:overflowPunct/>
              <w:topLinePunct w:val="0"/>
              <w:autoSpaceDE/>
              <w:autoSpaceDN/>
              <w:bidi w:val="0"/>
              <w:adjustRightInd/>
              <w:snapToGrid/>
              <w:spacing w:beforeAutospacing="0" w:afterAutospacing="0" w:line="260" w:lineRule="exact"/>
              <w:ind w:left="0" w:leftChars="0" w:right="0" w:rightChars="0"/>
              <w:textAlignment w:val="center"/>
              <w:rPr>
                <w:rFonts w:hint="eastAsia" w:ascii="仿宋_GB2312" w:hAnsi="宋体" w:eastAsia="仿宋_GB2312" w:cs="Times New Roman"/>
                <w:color w:val="auto"/>
                <w:kern w:val="0"/>
                <w:sz w:val="13"/>
                <w:szCs w:val="13"/>
                <w:highlight w:val="none"/>
                <w:lang w:val="en-US" w:eastAsia="zh-CN"/>
              </w:rPr>
            </w:pPr>
            <w:r>
              <w:rPr>
                <w:rFonts w:hint="eastAsia" w:ascii="仿宋_GB2312" w:hAnsi="宋体" w:eastAsia="仿宋_GB2312" w:cs="Times New Roman"/>
                <w:color w:val="auto"/>
                <w:kern w:val="0"/>
                <w:sz w:val="13"/>
                <w:szCs w:val="13"/>
                <w:highlight w:val="none"/>
                <w:lang w:val="en-US" w:eastAsia="zh-CN"/>
              </w:rPr>
              <w:t>　　（七）同时在2个或者2个以上房地产估价机构执业；</w:t>
            </w:r>
          </w:p>
          <w:p w14:paraId="606B46D5">
            <w:pPr>
              <w:keepNext w:val="0"/>
              <w:keepLines w:val="0"/>
              <w:pageBreakBefore w:val="0"/>
              <w:widowControl/>
              <w:numPr>
                <w:ilvl w:val="0"/>
                <w:numId w:val="0"/>
              </w:numPr>
              <w:kinsoku/>
              <w:overflowPunct/>
              <w:topLinePunct w:val="0"/>
              <w:autoSpaceDE/>
              <w:autoSpaceDN/>
              <w:bidi w:val="0"/>
              <w:adjustRightInd/>
              <w:snapToGrid/>
              <w:spacing w:beforeAutospacing="0" w:afterAutospacing="0" w:line="260" w:lineRule="exact"/>
              <w:ind w:left="0" w:leftChars="0" w:right="0" w:rightChars="0"/>
              <w:textAlignment w:val="center"/>
              <w:rPr>
                <w:rFonts w:hint="eastAsia" w:ascii="仿宋_GB2312" w:hAnsi="宋体" w:eastAsia="仿宋_GB2312" w:cs="Times New Roman"/>
                <w:color w:val="auto"/>
                <w:kern w:val="0"/>
                <w:sz w:val="13"/>
                <w:szCs w:val="13"/>
                <w:highlight w:val="none"/>
                <w:lang w:val="en-US" w:eastAsia="zh-CN"/>
              </w:rPr>
            </w:pPr>
            <w:r>
              <w:rPr>
                <w:rFonts w:hint="eastAsia" w:ascii="仿宋_GB2312" w:hAnsi="宋体" w:eastAsia="仿宋_GB2312" w:cs="Times New Roman"/>
                <w:color w:val="auto"/>
                <w:kern w:val="0"/>
                <w:sz w:val="13"/>
                <w:szCs w:val="13"/>
                <w:highlight w:val="none"/>
                <w:lang w:val="en-US" w:eastAsia="zh-CN"/>
              </w:rPr>
              <w:t>　　（八）以个人名义承揽房地产估价业务；</w:t>
            </w:r>
          </w:p>
          <w:p w14:paraId="684DE6AD">
            <w:pPr>
              <w:keepNext w:val="0"/>
              <w:keepLines w:val="0"/>
              <w:pageBreakBefore w:val="0"/>
              <w:widowControl/>
              <w:numPr>
                <w:ilvl w:val="0"/>
                <w:numId w:val="0"/>
              </w:numPr>
              <w:kinsoku/>
              <w:overflowPunct/>
              <w:topLinePunct w:val="0"/>
              <w:autoSpaceDE/>
              <w:autoSpaceDN/>
              <w:bidi w:val="0"/>
              <w:adjustRightInd/>
              <w:snapToGrid/>
              <w:spacing w:beforeAutospacing="0" w:afterAutospacing="0" w:line="260" w:lineRule="exact"/>
              <w:ind w:left="0" w:leftChars="0" w:right="0" w:rightChars="0"/>
              <w:textAlignment w:val="center"/>
              <w:rPr>
                <w:rFonts w:hint="eastAsia" w:ascii="仿宋_GB2312" w:hAnsi="宋体" w:eastAsia="仿宋_GB2312" w:cs="Times New Roman"/>
                <w:color w:val="auto"/>
                <w:kern w:val="0"/>
                <w:sz w:val="13"/>
                <w:szCs w:val="13"/>
                <w:highlight w:val="none"/>
                <w:lang w:val="en-US" w:eastAsia="zh-CN"/>
              </w:rPr>
            </w:pPr>
            <w:r>
              <w:rPr>
                <w:rFonts w:hint="eastAsia" w:ascii="仿宋_GB2312" w:hAnsi="宋体" w:eastAsia="仿宋_GB2312" w:cs="Times New Roman"/>
                <w:color w:val="auto"/>
                <w:kern w:val="0"/>
                <w:sz w:val="13"/>
                <w:szCs w:val="13"/>
                <w:highlight w:val="none"/>
                <w:lang w:val="en-US" w:eastAsia="zh-CN"/>
              </w:rPr>
              <w:t>　　（九）涂改、出租、出借或者以其他形式非法转让注册证书；</w:t>
            </w:r>
          </w:p>
          <w:p w14:paraId="6BEC3771">
            <w:pPr>
              <w:keepNext w:val="0"/>
              <w:keepLines w:val="0"/>
              <w:pageBreakBefore w:val="0"/>
              <w:widowControl/>
              <w:numPr>
                <w:ilvl w:val="0"/>
                <w:numId w:val="0"/>
              </w:numPr>
              <w:kinsoku/>
              <w:overflowPunct/>
              <w:topLinePunct w:val="0"/>
              <w:autoSpaceDE/>
              <w:autoSpaceDN/>
              <w:bidi w:val="0"/>
              <w:adjustRightInd/>
              <w:snapToGrid/>
              <w:spacing w:beforeAutospacing="0" w:afterAutospacing="0" w:line="260" w:lineRule="exact"/>
              <w:ind w:left="0" w:leftChars="0" w:right="0" w:rightChars="0"/>
              <w:textAlignment w:val="center"/>
              <w:rPr>
                <w:rFonts w:hint="eastAsia" w:ascii="仿宋_GB2312" w:hAnsi="宋体" w:eastAsia="仿宋_GB2312" w:cs="Times New Roman"/>
                <w:color w:val="auto"/>
                <w:kern w:val="0"/>
                <w:sz w:val="13"/>
                <w:szCs w:val="13"/>
                <w:highlight w:val="none"/>
                <w:lang w:val="en-US" w:eastAsia="zh-CN"/>
              </w:rPr>
            </w:pPr>
            <w:r>
              <w:rPr>
                <w:rFonts w:hint="eastAsia" w:ascii="仿宋_GB2312" w:hAnsi="宋体" w:eastAsia="仿宋_GB2312" w:cs="Times New Roman"/>
                <w:color w:val="auto"/>
                <w:kern w:val="0"/>
                <w:sz w:val="13"/>
                <w:szCs w:val="13"/>
                <w:highlight w:val="none"/>
                <w:lang w:val="en-US" w:eastAsia="zh-CN"/>
              </w:rPr>
              <w:t>　　（十）超出聘用单位业务范围从事房地产估价活动；</w:t>
            </w:r>
          </w:p>
          <w:p w14:paraId="7CAE90AF">
            <w:pPr>
              <w:keepNext w:val="0"/>
              <w:keepLines w:val="0"/>
              <w:pageBreakBefore w:val="0"/>
              <w:widowControl/>
              <w:numPr>
                <w:ilvl w:val="0"/>
                <w:numId w:val="0"/>
              </w:numPr>
              <w:kinsoku/>
              <w:overflowPunct/>
              <w:topLinePunct w:val="0"/>
              <w:autoSpaceDE/>
              <w:autoSpaceDN/>
              <w:bidi w:val="0"/>
              <w:adjustRightInd/>
              <w:snapToGrid/>
              <w:spacing w:beforeAutospacing="0" w:afterAutospacing="0" w:line="260" w:lineRule="exact"/>
              <w:ind w:left="0" w:leftChars="0" w:right="0" w:rightChars="0"/>
              <w:textAlignment w:val="center"/>
              <w:rPr>
                <w:rFonts w:hint="eastAsia" w:ascii="仿宋_GB2312" w:hAnsi="宋体" w:eastAsia="仿宋_GB2312" w:cs="Times New Roman"/>
                <w:color w:val="auto"/>
                <w:kern w:val="0"/>
                <w:sz w:val="13"/>
                <w:szCs w:val="13"/>
                <w:highlight w:val="none"/>
                <w:lang w:val="en-US" w:eastAsia="zh-CN"/>
              </w:rPr>
            </w:pPr>
            <w:r>
              <w:rPr>
                <w:rFonts w:hint="eastAsia" w:ascii="仿宋_GB2312" w:hAnsi="宋体" w:eastAsia="仿宋_GB2312" w:cs="Times New Roman"/>
                <w:color w:val="auto"/>
                <w:kern w:val="0"/>
                <w:sz w:val="13"/>
                <w:szCs w:val="13"/>
                <w:highlight w:val="none"/>
                <w:lang w:val="en-US" w:eastAsia="zh-CN"/>
              </w:rPr>
              <w:t>　　（十一）严重损害他人利益、名誉的行为；</w:t>
            </w:r>
          </w:p>
          <w:p w14:paraId="3B3A3FF9">
            <w:pPr>
              <w:keepNext w:val="0"/>
              <w:keepLines w:val="0"/>
              <w:pageBreakBefore w:val="0"/>
              <w:widowControl/>
              <w:numPr>
                <w:ilvl w:val="0"/>
                <w:numId w:val="0"/>
              </w:numPr>
              <w:kinsoku/>
              <w:overflowPunct/>
              <w:topLinePunct w:val="0"/>
              <w:autoSpaceDE/>
              <w:autoSpaceDN/>
              <w:bidi w:val="0"/>
              <w:adjustRightInd/>
              <w:snapToGrid/>
              <w:spacing w:beforeAutospacing="0" w:afterAutospacing="0" w:line="260" w:lineRule="exact"/>
              <w:ind w:left="0" w:leftChars="0" w:right="0" w:rightChars="0"/>
              <w:textAlignment w:val="center"/>
              <w:rPr>
                <w:rFonts w:hint="default" w:ascii="仿宋_GB2312" w:hAnsi="宋体" w:eastAsia="仿宋_GB2312" w:cs="Times New Roman"/>
                <w:color w:val="auto"/>
                <w:kern w:val="0"/>
                <w:sz w:val="13"/>
                <w:szCs w:val="13"/>
                <w:highlight w:val="none"/>
                <w:lang w:val="en-US" w:eastAsia="zh-CN"/>
              </w:rPr>
            </w:pPr>
            <w:r>
              <w:rPr>
                <w:rFonts w:hint="eastAsia" w:ascii="仿宋_GB2312" w:hAnsi="宋体" w:eastAsia="仿宋_GB2312" w:cs="Times New Roman"/>
                <w:color w:val="auto"/>
                <w:kern w:val="0"/>
                <w:sz w:val="13"/>
                <w:szCs w:val="13"/>
                <w:highlight w:val="none"/>
                <w:lang w:val="en-US" w:eastAsia="zh-CN"/>
              </w:rPr>
              <w:t>　　（十二）法律、法规禁止的其他行为。</w:t>
            </w:r>
          </w:p>
        </w:tc>
        <w:tc>
          <w:tcPr>
            <w:tcW w:w="823" w:type="dxa"/>
            <w:tcBorders>
              <w:tl2br w:val="nil"/>
              <w:tr2bl w:val="nil"/>
            </w:tcBorders>
            <w:tcMar>
              <w:top w:w="15" w:type="dxa"/>
              <w:left w:w="15" w:type="dxa"/>
              <w:bottom w:w="15" w:type="dxa"/>
              <w:right w:w="15" w:type="dxa"/>
            </w:tcMar>
            <w:vAlign w:val="center"/>
          </w:tcPr>
          <w:p w14:paraId="0B60A26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s="Times New Roman"/>
                <w:color w:val="auto"/>
                <w:kern w:val="0"/>
                <w:sz w:val="13"/>
                <w:szCs w:val="13"/>
                <w:highlight w:val="none"/>
                <w:lang w:eastAsia="zh-CN"/>
              </w:rPr>
              <w:t>从轻情节</w:t>
            </w:r>
          </w:p>
        </w:tc>
        <w:tc>
          <w:tcPr>
            <w:tcW w:w="3437" w:type="dxa"/>
            <w:gridSpan w:val="2"/>
            <w:tcBorders>
              <w:tl2br w:val="nil"/>
              <w:tr2bl w:val="nil"/>
            </w:tcBorders>
            <w:tcMar>
              <w:top w:w="15" w:type="dxa"/>
              <w:left w:w="15" w:type="dxa"/>
              <w:bottom w:w="15" w:type="dxa"/>
              <w:right w:w="15" w:type="dxa"/>
            </w:tcMar>
            <w:vAlign w:val="center"/>
          </w:tcPr>
          <w:p w14:paraId="707EE29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初次违法，危害后果轻微，主动采取措施消除或减轻违法行为危害后果。</w:t>
            </w:r>
          </w:p>
        </w:tc>
        <w:tc>
          <w:tcPr>
            <w:tcW w:w="3058" w:type="dxa"/>
            <w:tcBorders>
              <w:tl2br w:val="nil"/>
              <w:tr2bl w:val="nil"/>
            </w:tcBorders>
            <w:tcMar>
              <w:top w:w="15" w:type="dxa"/>
              <w:left w:w="15" w:type="dxa"/>
              <w:bottom w:w="15" w:type="dxa"/>
              <w:right w:w="15" w:type="dxa"/>
            </w:tcMar>
            <w:vAlign w:val="center"/>
          </w:tcPr>
          <w:p w14:paraId="57E271A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给予警告，责令其改正，没有违法所得的，处以3千元以下罚款，有违法所得的，处以违法所得1倍以下且不超过3万元的罚款。</w:t>
            </w:r>
          </w:p>
        </w:tc>
      </w:tr>
      <w:tr w14:paraId="2BB3116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47" w:hRule="atLeast"/>
          <w:jc w:val="center"/>
        </w:trPr>
        <w:tc>
          <w:tcPr>
            <w:tcW w:w="443" w:type="dxa"/>
            <w:gridSpan w:val="2"/>
            <w:vMerge w:val="continue"/>
            <w:tcBorders>
              <w:tl2br w:val="nil"/>
              <w:tr2bl w:val="nil"/>
            </w:tcBorders>
            <w:vAlign w:val="center"/>
          </w:tcPr>
          <w:p w14:paraId="230D0B32">
            <w:pPr>
              <w:pStyle w:val="37"/>
              <w:keepNext w:val="0"/>
              <w:keepLines w:val="0"/>
              <w:pageBreakBefore w:val="0"/>
              <w:widowControl/>
              <w:numPr>
                <w:ilvl w:val="0"/>
                <w:numId w:val="4"/>
              </w:numPr>
              <w:kinsoku/>
              <w:overflowPunct/>
              <w:topLinePunct w:val="0"/>
              <w:autoSpaceDE/>
              <w:autoSpaceDN/>
              <w:bidi w:val="0"/>
              <w:adjustRightInd/>
              <w:snapToGrid/>
              <w:spacing w:beforeAutospacing="0" w:afterAutospacing="0" w:line="260" w:lineRule="exact"/>
              <w:ind w:left="638" w:leftChars="88" w:right="0" w:rightChars="0" w:hanging="453" w:hangingChars="349"/>
              <w:jc w:val="center"/>
              <w:rPr>
                <w:rFonts w:ascii="仿宋_GB2312" w:hAnsi="宋体" w:eastAsia="仿宋_GB2312"/>
                <w:color w:val="auto"/>
                <w:sz w:val="13"/>
                <w:szCs w:val="13"/>
                <w:highlight w:val="none"/>
              </w:rPr>
            </w:pPr>
          </w:p>
        </w:tc>
        <w:tc>
          <w:tcPr>
            <w:tcW w:w="1550" w:type="dxa"/>
            <w:vMerge w:val="continue"/>
            <w:tcBorders>
              <w:tl2br w:val="nil"/>
              <w:tr2bl w:val="nil"/>
            </w:tcBorders>
            <w:vAlign w:val="center"/>
          </w:tcPr>
          <w:p w14:paraId="15496F7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095D591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071545C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s="Times New Roman"/>
                <w:color w:val="auto"/>
                <w:kern w:val="0"/>
                <w:sz w:val="13"/>
                <w:szCs w:val="13"/>
                <w:highlight w:val="none"/>
                <w:lang w:eastAsia="zh-CN"/>
              </w:rPr>
              <w:t>一般情节</w:t>
            </w:r>
          </w:p>
        </w:tc>
        <w:tc>
          <w:tcPr>
            <w:tcW w:w="3437" w:type="dxa"/>
            <w:gridSpan w:val="2"/>
            <w:tcBorders>
              <w:tl2br w:val="nil"/>
              <w:tr2bl w:val="nil"/>
            </w:tcBorders>
            <w:tcMar>
              <w:top w:w="15" w:type="dxa"/>
              <w:left w:w="15" w:type="dxa"/>
              <w:bottom w:w="15" w:type="dxa"/>
              <w:right w:w="15" w:type="dxa"/>
            </w:tcMar>
            <w:vAlign w:val="center"/>
          </w:tcPr>
          <w:p w14:paraId="3B63D10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实施违法行为，造成不良社会影响，不具有从轻、</w:t>
            </w:r>
            <w:r>
              <w:rPr>
                <w:rFonts w:hint="eastAsia" w:ascii="仿宋_GB2312" w:hAnsi="宋体" w:eastAsia="仿宋_GB2312" w:cs="Times New Roman"/>
                <w:color w:val="auto"/>
                <w:kern w:val="0"/>
                <w:sz w:val="13"/>
                <w:szCs w:val="13"/>
                <w:highlight w:val="none"/>
                <w:lang w:eastAsia="zh-CN"/>
              </w:rPr>
              <w:t>从重情节</w:t>
            </w:r>
            <w:r>
              <w:rPr>
                <w:rFonts w:hint="eastAsia" w:ascii="仿宋_GB2312" w:hAnsi="宋体" w:eastAsia="仿宋_GB2312" w:cs="Times New Roman"/>
                <w:color w:val="auto"/>
                <w:kern w:val="0"/>
                <w:sz w:val="13"/>
                <w:szCs w:val="13"/>
                <w:highlight w:val="none"/>
              </w:rPr>
              <w:t>的。</w:t>
            </w:r>
          </w:p>
        </w:tc>
        <w:tc>
          <w:tcPr>
            <w:tcW w:w="3058" w:type="dxa"/>
            <w:tcBorders>
              <w:tl2br w:val="nil"/>
              <w:tr2bl w:val="nil"/>
            </w:tcBorders>
            <w:tcMar>
              <w:top w:w="15" w:type="dxa"/>
              <w:left w:w="15" w:type="dxa"/>
              <w:bottom w:w="15" w:type="dxa"/>
              <w:right w:w="15" w:type="dxa"/>
            </w:tcMar>
            <w:vAlign w:val="center"/>
          </w:tcPr>
          <w:p w14:paraId="7AEC317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给予警告，责令其改正，没有违法所得的，处以3千元以上7千元以下罚款，有违法所得的，处以违法所得1倍以上2倍以下且不超过3万元的罚款。</w:t>
            </w:r>
          </w:p>
        </w:tc>
      </w:tr>
      <w:tr w14:paraId="50C1CD4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47" w:hRule="atLeast"/>
          <w:jc w:val="center"/>
        </w:trPr>
        <w:tc>
          <w:tcPr>
            <w:tcW w:w="443" w:type="dxa"/>
            <w:gridSpan w:val="2"/>
            <w:vMerge w:val="continue"/>
            <w:tcBorders>
              <w:tl2br w:val="nil"/>
              <w:tr2bl w:val="nil"/>
            </w:tcBorders>
            <w:vAlign w:val="center"/>
          </w:tcPr>
          <w:p w14:paraId="64337712">
            <w:pPr>
              <w:pStyle w:val="37"/>
              <w:keepNext w:val="0"/>
              <w:keepLines w:val="0"/>
              <w:pageBreakBefore w:val="0"/>
              <w:widowControl/>
              <w:numPr>
                <w:ilvl w:val="0"/>
                <w:numId w:val="4"/>
              </w:numPr>
              <w:kinsoku/>
              <w:overflowPunct/>
              <w:topLinePunct w:val="0"/>
              <w:autoSpaceDE/>
              <w:autoSpaceDN/>
              <w:bidi w:val="0"/>
              <w:adjustRightInd/>
              <w:snapToGrid/>
              <w:spacing w:beforeAutospacing="0" w:afterAutospacing="0" w:line="260" w:lineRule="exact"/>
              <w:ind w:left="638" w:leftChars="88" w:right="0" w:rightChars="0" w:hanging="453" w:hangingChars="349"/>
              <w:jc w:val="center"/>
              <w:rPr>
                <w:rFonts w:ascii="仿宋_GB2312" w:hAnsi="宋体" w:eastAsia="仿宋_GB2312"/>
                <w:color w:val="auto"/>
                <w:sz w:val="13"/>
                <w:szCs w:val="13"/>
                <w:highlight w:val="none"/>
              </w:rPr>
            </w:pPr>
          </w:p>
        </w:tc>
        <w:tc>
          <w:tcPr>
            <w:tcW w:w="1550" w:type="dxa"/>
            <w:vMerge w:val="continue"/>
            <w:tcBorders>
              <w:tl2br w:val="nil"/>
              <w:tr2bl w:val="nil"/>
            </w:tcBorders>
            <w:vAlign w:val="center"/>
          </w:tcPr>
          <w:p w14:paraId="4A347E4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4DED45D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387D0E6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s="Times New Roman"/>
                <w:color w:val="auto"/>
                <w:kern w:val="0"/>
                <w:sz w:val="13"/>
                <w:szCs w:val="13"/>
                <w:highlight w:val="none"/>
                <w:lang w:eastAsia="zh-CN"/>
              </w:rPr>
              <w:t>从重情节</w:t>
            </w:r>
          </w:p>
        </w:tc>
        <w:tc>
          <w:tcPr>
            <w:tcW w:w="3437" w:type="dxa"/>
            <w:gridSpan w:val="2"/>
            <w:tcBorders>
              <w:tl2br w:val="nil"/>
              <w:tr2bl w:val="nil"/>
            </w:tcBorders>
            <w:tcMar>
              <w:top w:w="15" w:type="dxa"/>
              <w:left w:w="15" w:type="dxa"/>
              <w:bottom w:w="15" w:type="dxa"/>
              <w:right w:w="15" w:type="dxa"/>
            </w:tcMar>
            <w:vAlign w:val="center"/>
          </w:tcPr>
          <w:p w14:paraId="0E59CF1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经责令停止违法行为后，继续实施违法行为的</w:t>
            </w:r>
            <w:r>
              <w:rPr>
                <w:rFonts w:hint="eastAsia" w:ascii="仿宋_GB2312" w:hAnsi="宋体" w:eastAsia="仿宋_GB2312" w:cs="Times New Roman"/>
                <w:color w:val="auto"/>
                <w:kern w:val="0"/>
                <w:sz w:val="13"/>
                <w:szCs w:val="13"/>
                <w:highlight w:val="none"/>
                <w:lang w:eastAsia="zh-CN"/>
              </w:rPr>
              <w:t>，</w:t>
            </w:r>
            <w:r>
              <w:rPr>
                <w:rFonts w:hint="eastAsia" w:ascii="仿宋_GB2312" w:hAnsi="宋体" w:eastAsia="仿宋_GB2312" w:cs="Times New Roman"/>
                <w:color w:val="auto"/>
                <w:kern w:val="0"/>
                <w:sz w:val="13"/>
                <w:szCs w:val="13"/>
                <w:highlight w:val="none"/>
                <w:lang w:val="en-US" w:eastAsia="zh-CN"/>
              </w:rPr>
              <w:t>或</w:t>
            </w:r>
            <w:r>
              <w:rPr>
                <w:rFonts w:hint="eastAsia" w:ascii="仿宋_GB2312" w:hAnsi="宋体" w:eastAsia="仿宋_GB2312" w:cs="Times New Roman"/>
                <w:color w:val="auto"/>
                <w:kern w:val="0"/>
                <w:sz w:val="13"/>
                <w:szCs w:val="13"/>
                <w:highlight w:val="none"/>
              </w:rPr>
              <w:t>2年内2次及以上同类型违法。</w:t>
            </w:r>
          </w:p>
        </w:tc>
        <w:tc>
          <w:tcPr>
            <w:tcW w:w="3058" w:type="dxa"/>
            <w:tcBorders>
              <w:tl2br w:val="nil"/>
              <w:tr2bl w:val="nil"/>
            </w:tcBorders>
            <w:tcMar>
              <w:top w:w="15" w:type="dxa"/>
              <w:left w:w="15" w:type="dxa"/>
              <w:bottom w:w="15" w:type="dxa"/>
              <w:right w:w="15" w:type="dxa"/>
            </w:tcMar>
            <w:vAlign w:val="center"/>
          </w:tcPr>
          <w:p w14:paraId="0343805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给予警告，责令其改正，没有违法所得的，处以7千元以上1万元以下罚款，有违法所得的，处以违法所得2倍以上3倍以下且不超过3万元的罚款。</w:t>
            </w:r>
          </w:p>
        </w:tc>
      </w:tr>
      <w:tr w14:paraId="292AC42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9" w:hRule="atLeast"/>
          <w:jc w:val="center"/>
        </w:trPr>
        <w:tc>
          <w:tcPr>
            <w:tcW w:w="443" w:type="dxa"/>
            <w:gridSpan w:val="2"/>
            <w:vMerge w:val="restart"/>
            <w:tcBorders>
              <w:tl2br w:val="nil"/>
              <w:tr2bl w:val="nil"/>
            </w:tcBorders>
            <w:tcMar>
              <w:top w:w="15" w:type="dxa"/>
              <w:left w:w="15" w:type="dxa"/>
              <w:bottom w:w="15" w:type="dxa"/>
              <w:right w:w="15" w:type="dxa"/>
            </w:tcMar>
            <w:vAlign w:val="center"/>
          </w:tcPr>
          <w:p w14:paraId="70AFD542">
            <w:pPr>
              <w:keepNext w:val="0"/>
              <w:keepLines w:val="0"/>
              <w:pageBreakBefore w:val="0"/>
              <w:widowControl/>
              <w:numPr>
                <w:ilvl w:val="0"/>
                <w:numId w:val="6"/>
              </w:numPr>
              <w:suppressLineNumbers w:val="0"/>
              <w:tabs>
                <w:tab w:val="clear" w:pos="397"/>
              </w:tabs>
              <w:kinsoku/>
              <w:overflowPunct/>
              <w:topLinePunct w:val="0"/>
              <w:autoSpaceDE/>
              <w:autoSpaceDN/>
              <w:bidi w:val="0"/>
              <w:adjustRightInd/>
              <w:snapToGrid/>
              <w:spacing w:beforeAutospacing="0" w:afterAutospacing="0" w:line="260" w:lineRule="exact"/>
              <w:ind w:left="638" w:leftChars="88" w:right="0" w:rightChars="0" w:hanging="453" w:hangingChars="349"/>
              <w:jc w:val="center"/>
              <w:textAlignment w:val="center"/>
              <w:rPr>
                <w:rFonts w:hint="default" w:ascii="仿宋_GB2312" w:hAnsi="宋体" w:eastAsia="仿宋_GB2312"/>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249</w:t>
            </w:r>
          </w:p>
        </w:tc>
        <w:tc>
          <w:tcPr>
            <w:tcW w:w="1550" w:type="dxa"/>
            <w:vMerge w:val="restart"/>
            <w:tcBorders>
              <w:tl2br w:val="nil"/>
              <w:tr2bl w:val="nil"/>
            </w:tcBorders>
            <w:tcMar>
              <w:top w:w="15" w:type="dxa"/>
              <w:left w:w="15" w:type="dxa"/>
              <w:bottom w:w="15" w:type="dxa"/>
              <w:right w:w="15" w:type="dxa"/>
            </w:tcMar>
            <w:vAlign w:val="center"/>
          </w:tcPr>
          <w:p w14:paraId="65252A1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注册房地产估价师或者其聘用单位未按照要求提供房地产估价师信用档案信息的</w:t>
            </w:r>
          </w:p>
        </w:tc>
        <w:tc>
          <w:tcPr>
            <w:tcW w:w="4820" w:type="dxa"/>
            <w:vMerge w:val="restart"/>
            <w:tcBorders>
              <w:tl2br w:val="nil"/>
              <w:tr2bl w:val="nil"/>
            </w:tcBorders>
            <w:tcMar>
              <w:top w:w="15" w:type="dxa"/>
              <w:left w:w="15" w:type="dxa"/>
              <w:bottom w:w="15" w:type="dxa"/>
              <w:right w:w="15" w:type="dxa"/>
            </w:tcMar>
            <w:vAlign w:val="center"/>
          </w:tcPr>
          <w:p w14:paraId="71FED99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《注册房地产估价师管理办法》</w:t>
            </w:r>
            <w:r>
              <w:rPr>
                <w:rFonts w:hint="eastAsia" w:ascii="仿宋_GB2312" w:hAnsi="宋体" w:eastAsia="仿宋_GB2312" w:cs="Times New Roman"/>
                <w:b/>
                <w:bCs/>
                <w:color w:val="auto"/>
                <w:kern w:val="0"/>
                <w:sz w:val="13"/>
                <w:szCs w:val="13"/>
                <w:highlight w:val="none"/>
              </w:rPr>
              <w:t>第三十九条</w:t>
            </w:r>
            <w:r>
              <w:rPr>
                <w:rFonts w:hint="eastAsia" w:ascii="仿宋_GB2312" w:hAnsi="宋体" w:eastAsia="仿宋_GB2312" w:cs="Times New Roman"/>
                <w:b/>
                <w:bCs/>
                <w:color w:val="auto"/>
                <w:kern w:val="0"/>
                <w:sz w:val="13"/>
                <w:szCs w:val="13"/>
                <w:highlight w:val="none"/>
                <w:lang w:eastAsia="zh-CN"/>
              </w:rPr>
              <w:t>：</w:t>
            </w:r>
            <w:r>
              <w:rPr>
                <w:rFonts w:hint="eastAsia" w:ascii="仿宋_GB2312" w:hAnsi="宋体" w:eastAsia="仿宋_GB2312" w:cs="Times New Roman"/>
                <w:color w:val="auto"/>
                <w:kern w:val="0"/>
                <w:sz w:val="13"/>
                <w:szCs w:val="13"/>
                <w:highlight w:val="none"/>
              </w:rPr>
              <w:t>违反本办法规定，注册房地产估价师或者其聘用单位未按照要求提供房地产估价师信用档案信息的，由县级以上地方人民政府建设（房地产）主管部门责令限期改正；逾期未改正的，可处以1千元以上1万元以下的罚款。</w:t>
            </w:r>
          </w:p>
          <w:p w14:paraId="72CEE88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1" w:firstLineChars="200"/>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b/>
                <w:bCs/>
                <w:color w:val="auto"/>
                <w:kern w:val="0"/>
                <w:sz w:val="13"/>
                <w:szCs w:val="13"/>
                <w:highlight w:val="none"/>
              </w:rPr>
              <w:t>第三十二条第一款</w:t>
            </w:r>
            <w:r>
              <w:rPr>
                <w:rFonts w:hint="eastAsia" w:ascii="仿宋_GB2312" w:hAnsi="宋体" w:eastAsia="仿宋_GB2312" w:cs="Times New Roman"/>
                <w:b/>
                <w:bCs/>
                <w:color w:val="auto"/>
                <w:kern w:val="0"/>
                <w:sz w:val="13"/>
                <w:szCs w:val="13"/>
                <w:highlight w:val="none"/>
                <w:lang w:eastAsia="zh-CN"/>
              </w:rPr>
              <w:t>：</w:t>
            </w:r>
            <w:r>
              <w:rPr>
                <w:rFonts w:hint="eastAsia" w:ascii="仿宋_GB2312" w:hAnsi="宋体" w:eastAsia="仿宋_GB2312" w:cs="Times New Roman"/>
                <w:color w:val="auto"/>
                <w:kern w:val="0"/>
                <w:sz w:val="13"/>
                <w:szCs w:val="13"/>
                <w:highlight w:val="none"/>
              </w:rPr>
              <w:t>注册房地产估价师及其聘用单位应当按照要求，向注册机关提供真实、准确、完整的注册房地产估价师信用档案信息。</w:t>
            </w:r>
          </w:p>
        </w:tc>
        <w:tc>
          <w:tcPr>
            <w:tcW w:w="823" w:type="dxa"/>
            <w:tcBorders>
              <w:tl2br w:val="nil"/>
              <w:tr2bl w:val="nil"/>
            </w:tcBorders>
            <w:tcMar>
              <w:top w:w="15" w:type="dxa"/>
              <w:left w:w="15" w:type="dxa"/>
              <w:bottom w:w="15" w:type="dxa"/>
              <w:right w:w="15" w:type="dxa"/>
            </w:tcMar>
            <w:vAlign w:val="center"/>
          </w:tcPr>
          <w:p w14:paraId="50DECDD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s="Times New Roman"/>
                <w:color w:val="auto"/>
                <w:kern w:val="0"/>
                <w:sz w:val="13"/>
                <w:szCs w:val="13"/>
                <w:highlight w:val="none"/>
                <w:lang w:eastAsia="zh-CN"/>
              </w:rPr>
              <w:t>从轻情节</w:t>
            </w:r>
          </w:p>
        </w:tc>
        <w:tc>
          <w:tcPr>
            <w:tcW w:w="3437" w:type="dxa"/>
            <w:gridSpan w:val="2"/>
            <w:tcBorders>
              <w:tl2br w:val="nil"/>
              <w:tr2bl w:val="nil"/>
            </w:tcBorders>
            <w:tcMar>
              <w:top w:w="15" w:type="dxa"/>
              <w:left w:w="15" w:type="dxa"/>
              <w:bottom w:w="15" w:type="dxa"/>
              <w:right w:w="15" w:type="dxa"/>
            </w:tcMar>
            <w:vAlign w:val="center"/>
          </w:tcPr>
          <w:p w14:paraId="3C58B11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责令限期改正；逾期未改正，超出规定日期1个月以下。</w:t>
            </w:r>
          </w:p>
        </w:tc>
        <w:tc>
          <w:tcPr>
            <w:tcW w:w="3058" w:type="dxa"/>
            <w:tcBorders>
              <w:tl2br w:val="nil"/>
              <w:tr2bl w:val="nil"/>
            </w:tcBorders>
            <w:tcMar>
              <w:top w:w="15" w:type="dxa"/>
              <w:left w:w="15" w:type="dxa"/>
              <w:bottom w:w="15" w:type="dxa"/>
              <w:right w:w="15" w:type="dxa"/>
            </w:tcMar>
            <w:vAlign w:val="center"/>
          </w:tcPr>
          <w:p w14:paraId="5ABC55D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可处以1千元罚款。</w:t>
            </w:r>
          </w:p>
        </w:tc>
      </w:tr>
      <w:tr w14:paraId="0234D25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9" w:hRule="atLeast"/>
          <w:jc w:val="center"/>
        </w:trPr>
        <w:tc>
          <w:tcPr>
            <w:tcW w:w="443" w:type="dxa"/>
            <w:gridSpan w:val="2"/>
            <w:vMerge w:val="continue"/>
            <w:tcBorders>
              <w:tl2br w:val="nil"/>
              <w:tr2bl w:val="nil"/>
            </w:tcBorders>
            <w:vAlign w:val="center"/>
          </w:tcPr>
          <w:p w14:paraId="7EDC4601">
            <w:pPr>
              <w:pStyle w:val="37"/>
              <w:keepNext w:val="0"/>
              <w:keepLines w:val="0"/>
              <w:pageBreakBefore w:val="0"/>
              <w:widowControl/>
              <w:numPr>
                <w:ilvl w:val="0"/>
                <w:numId w:val="4"/>
              </w:numPr>
              <w:kinsoku/>
              <w:overflowPunct/>
              <w:topLinePunct w:val="0"/>
              <w:autoSpaceDE/>
              <w:autoSpaceDN/>
              <w:bidi w:val="0"/>
              <w:adjustRightInd/>
              <w:snapToGrid/>
              <w:spacing w:beforeAutospacing="0" w:afterAutospacing="0" w:line="260" w:lineRule="exact"/>
              <w:ind w:left="638" w:leftChars="88" w:right="0" w:rightChars="0" w:hanging="453" w:hangingChars="349"/>
              <w:jc w:val="center"/>
              <w:rPr>
                <w:rFonts w:ascii="仿宋_GB2312" w:hAnsi="宋体" w:eastAsia="仿宋_GB2312"/>
                <w:color w:val="auto"/>
                <w:sz w:val="13"/>
                <w:szCs w:val="13"/>
                <w:highlight w:val="none"/>
              </w:rPr>
            </w:pPr>
          </w:p>
        </w:tc>
        <w:tc>
          <w:tcPr>
            <w:tcW w:w="1550" w:type="dxa"/>
            <w:vMerge w:val="continue"/>
            <w:tcBorders>
              <w:tl2br w:val="nil"/>
              <w:tr2bl w:val="nil"/>
            </w:tcBorders>
            <w:vAlign w:val="center"/>
          </w:tcPr>
          <w:p w14:paraId="4AED47B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441387A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41F77FD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s="Times New Roman"/>
                <w:color w:val="auto"/>
                <w:kern w:val="0"/>
                <w:sz w:val="13"/>
                <w:szCs w:val="13"/>
                <w:highlight w:val="none"/>
                <w:lang w:eastAsia="zh-CN"/>
              </w:rPr>
              <w:t>一般情节</w:t>
            </w:r>
          </w:p>
        </w:tc>
        <w:tc>
          <w:tcPr>
            <w:tcW w:w="3437" w:type="dxa"/>
            <w:gridSpan w:val="2"/>
            <w:tcBorders>
              <w:tl2br w:val="nil"/>
              <w:tr2bl w:val="nil"/>
            </w:tcBorders>
            <w:tcMar>
              <w:top w:w="15" w:type="dxa"/>
              <w:left w:w="15" w:type="dxa"/>
              <w:bottom w:w="15" w:type="dxa"/>
              <w:right w:w="15" w:type="dxa"/>
            </w:tcMar>
            <w:vAlign w:val="center"/>
          </w:tcPr>
          <w:p w14:paraId="204E272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责令限期改正；逾期未改正，超出规定日期1个月以上3个月以下。</w:t>
            </w:r>
          </w:p>
        </w:tc>
        <w:tc>
          <w:tcPr>
            <w:tcW w:w="3058" w:type="dxa"/>
            <w:tcBorders>
              <w:tl2br w:val="nil"/>
              <w:tr2bl w:val="nil"/>
            </w:tcBorders>
            <w:tcMar>
              <w:top w:w="15" w:type="dxa"/>
              <w:left w:w="15" w:type="dxa"/>
              <w:bottom w:w="15" w:type="dxa"/>
              <w:right w:w="15" w:type="dxa"/>
            </w:tcMar>
            <w:vAlign w:val="center"/>
          </w:tcPr>
          <w:p w14:paraId="3ACABDD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可处以1千元以上5千元以下罚款。</w:t>
            </w:r>
          </w:p>
        </w:tc>
      </w:tr>
      <w:tr w14:paraId="0A31932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9" w:hRule="atLeast"/>
          <w:jc w:val="center"/>
        </w:trPr>
        <w:tc>
          <w:tcPr>
            <w:tcW w:w="443" w:type="dxa"/>
            <w:gridSpan w:val="2"/>
            <w:vMerge w:val="continue"/>
            <w:tcBorders>
              <w:tl2br w:val="nil"/>
              <w:tr2bl w:val="nil"/>
            </w:tcBorders>
            <w:vAlign w:val="center"/>
          </w:tcPr>
          <w:p w14:paraId="0FE8A6D8">
            <w:pPr>
              <w:pStyle w:val="37"/>
              <w:keepNext w:val="0"/>
              <w:keepLines w:val="0"/>
              <w:pageBreakBefore w:val="0"/>
              <w:widowControl/>
              <w:numPr>
                <w:ilvl w:val="0"/>
                <w:numId w:val="4"/>
              </w:numPr>
              <w:kinsoku/>
              <w:overflowPunct/>
              <w:topLinePunct w:val="0"/>
              <w:autoSpaceDE/>
              <w:autoSpaceDN/>
              <w:bidi w:val="0"/>
              <w:adjustRightInd/>
              <w:snapToGrid/>
              <w:spacing w:beforeAutospacing="0" w:afterAutospacing="0" w:line="260" w:lineRule="exact"/>
              <w:ind w:left="638" w:leftChars="88" w:right="0" w:rightChars="0" w:hanging="453" w:hangingChars="349"/>
              <w:jc w:val="center"/>
              <w:rPr>
                <w:rFonts w:ascii="仿宋_GB2312" w:hAnsi="宋体" w:eastAsia="仿宋_GB2312"/>
                <w:color w:val="auto"/>
                <w:sz w:val="13"/>
                <w:szCs w:val="13"/>
                <w:highlight w:val="none"/>
              </w:rPr>
            </w:pPr>
          </w:p>
        </w:tc>
        <w:tc>
          <w:tcPr>
            <w:tcW w:w="1550" w:type="dxa"/>
            <w:vMerge w:val="continue"/>
            <w:tcBorders>
              <w:tl2br w:val="nil"/>
              <w:tr2bl w:val="nil"/>
            </w:tcBorders>
            <w:vAlign w:val="center"/>
          </w:tcPr>
          <w:p w14:paraId="5675658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7622D6A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33EA7F0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s="Times New Roman"/>
                <w:color w:val="auto"/>
                <w:kern w:val="0"/>
                <w:sz w:val="13"/>
                <w:szCs w:val="13"/>
                <w:highlight w:val="none"/>
                <w:lang w:eastAsia="zh-CN"/>
              </w:rPr>
              <w:t>从重情节</w:t>
            </w:r>
          </w:p>
        </w:tc>
        <w:tc>
          <w:tcPr>
            <w:tcW w:w="3437" w:type="dxa"/>
            <w:gridSpan w:val="2"/>
            <w:tcBorders>
              <w:tl2br w:val="nil"/>
              <w:tr2bl w:val="nil"/>
            </w:tcBorders>
            <w:tcMar>
              <w:top w:w="15" w:type="dxa"/>
              <w:left w:w="15" w:type="dxa"/>
              <w:bottom w:w="15" w:type="dxa"/>
              <w:right w:w="15" w:type="dxa"/>
            </w:tcMar>
            <w:vAlign w:val="center"/>
          </w:tcPr>
          <w:p w14:paraId="436CF6D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责令限期改正；逾期未改正，超出规定日期3个月以上。</w:t>
            </w:r>
          </w:p>
        </w:tc>
        <w:tc>
          <w:tcPr>
            <w:tcW w:w="3058" w:type="dxa"/>
            <w:tcBorders>
              <w:tl2br w:val="nil"/>
              <w:tr2bl w:val="nil"/>
            </w:tcBorders>
            <w:tcMar>
              <w:top w:w="15" w:type="dxa"/>
              <w:left w:w="15" w:type="dxa"/>
              <w:bottom w:w="15" w:type="dxa"/>
              <w:right w:w="15" w:type="dxa"/>
            </w:tcMar>
            <w:vAlign w:val="center"/>
          </w:tcPr>
          <w:p w14:paraId="70685C0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可处以5千元以上1万元以下罚款。</w:t>
            </w:r>
          </w:p>
        </w:tc>
      </w:tr>
      <w:tr w14:paraId="78C05A4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43" w:hRule="atLeast"/>
          <w:jc w:val="center"/>
        </w:trPr>
        <w:tc>
          <w:tcPr>
            <w:tcW w:w="443" w:type="dxa"/>
            <w:gridSpan w:val="2"/>
            <w:vMerge w:val="restart"/>
            <w:tcBorders>
              <w:tl2br w:val="nil"/>
              <w:tr2bl w:val="nil"/>
            </w:tcBorders>
            <w:vAlign w:val="center"/>
          </w:tcPr>
          <w:p w14:paraId="3BE6DA07">
            <w:pPr>
              <w:keepNext w:val="0"/>
              <w:keepLines w:val="0"/>
              <w:pageBreakBefore w:val="0"/>
              <w:widowControl/>
              <w:numPr>
                <w:ilvl w:val="0"/>
                <w:numId w:val="6"/>
              </w:numPr>
              <w:suppressLineNumbers w:val="0"/>
              <w:tabs>
                <w:tab w:val="clear" w:pos="397"/>
              </w:tabs>
              <w:kinsoku/>
              <w:overflowPunct/>
              <w:topLinePunct w:val="0"/>
              <w:autoSpaceDE/>
              <w:autoSpaceDN/>
              <w:bidi w:val="0"/>
              <w:adjustRightInd/>
              <w:snapToGrid/>
              <w:spacing w:beforeAutospacing="0" w:afterAutospacing="0" w:line="260" w:lineRule="exact"/>
              <w:ind w:left="638" w:leftChars="88" w:right="0" w:rightChars="0" w:hanging="453" w:hangingChars="349"/>
              <w:jc w:val="center"/>
              <w:textAlignment w:val="center"/>
              <w:rPr>
                <w:rFonts w:hint="default" w:ascii="仿宋_GB2312" w:hAnsi="宋体" w:eastAsia="仿宋_GB2312"/>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250</w:t>
            </w:r>
          </w:p>
        </w:tc>
        <w:tc>
          <w:tcPr>
            <w:tcW w:w="1550" w:type="dxa"/>
            <w:vMerge w:val="restart"/>
            <w:tcBorders>
              <w:tl2br w:val="nil"/>
              <w:tr2bl w:val="nil"/>
            </w:tcBorders>
            <w:vAlign w:val="center"/>
          </w:tcPr>
          <w:p w14:paraId="0C11231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以欺骗、贿赂等不正当手段取得房地产估价机构资质的</w:t>
            </w:r>
          </w:p>
        </w:tc>
        <w:tc>
          <w:tcPr>
            <w:tcW w:w="4820" w:type="dxa"/>
            <w:vMerge w:val="restart"/>
            <w:tcBorders>
              <w:tl2br w:val="nil"/>
              <w:tr2bl w:val="nil"/>
            </w:tcBorders>
            <w:vAlign w:val="center"/>
          </w:tcPr>
          <w:p w14:paraId="5597A27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《房地产估价机构管理办法》</w:t>
            </w:r>
            <w:r>
              <w:rPr>
                <w:rFonts w:hint="eastAsia" w:ascii="仿宋_GB2312" w:hAnsi="宋体" w:eastAsia="仿宋_GB2312" w:cs="Times New Roman"/>
                <w:b/>
                <w:bCs/>
                <w:color w:val="auto"/>
                <w:kern w:val="0"/>
                <w:sz w:val="13"/>
                <w:szCs w:val="13"/>
                <w:highlight w:val="none"/>
              </w:rPr>
              <w:t>第四十六条</w:t>
            </w:r>
            <w:r>
              <w:rPr>
                <w:rFonts w:hint="eastAsia" w:ascii="仿宋_GB2312" w:hAnsi="宋体" w:eastAsia="仿宋_GB2312" w:cs="Times New Roman"/>
                <w:b/>
                <w:bCs/>
                <w:color w:val="auto"/>
                <w:kern w:val="0"/>
                <w:sz w:val="13"/>
                <w:szCs w:val="13"/>
                <w:highlight w:val="none"/>
                <w:lang w:eastAsia="zh-CN"/>
              </w:rPr>
              <w:t>：</w:t>
            </w:r>
            <w:r>
              <w:rPr>
                <w:rFonts w:hint="eastAsia" w:ascii="仿宋_GB2312" w:hAnsi="宋体" w:eastAsia="仿宋_GB2312" w:cs="Times New Roman"/>
                <w:color w:val="auto"/>
                <w:kern w:val="0"/>
                <w:sz w:val="13"/>
                <w:szCs w:val="13"/>
                <w:highlight w:val="none"/>
              </w:rPr>
              <w:t>以欺骗、贿赂等不正当手段取得房地产估价机构资质的，由资质许可机关给予警告，并处1万元以上3万元以下的罚款，申请人3年内不得再次申请房地产估价机构资质。</w:t>
            </w:r>
          </w:p>
          <w:p w14:paraId="60CB1E8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1" w:firstLineChars="200"/>
              <w:rPr>
                <w:rFonts w:ascii="仿宋_GB2312" w:hAnsi="宋体" w:eastAsia="仿宋_GB2312"/>
                <w:color w:val="auto"/>
                <w:sz w:val="13"/>
                <w:szCs w:val="13"/>
                <w:highlight w:val="none"/>
              </w:rPr>
            </w:pPr>
            <w:r>
              <w:rPr>
                <w:rFonts w:ascii="仿宋_GB2312" w:hAnsi="宋体" w:eastAsia="仿宋_GB2312" w:cs="Times New Roman"/>
                <w:b/>
                <w:bCs/>
                <w:color w:val="auto"/>
                <w:kern w:val="0"/>
                <w:sz w:val="13"/>
                <w:szCs w:val="13"/>
                <w:highlight w:val="none"/>
              </w:rPr>
              <w:t>第四十一条</w:t>
            </w:r>
            <w:r>
              <w:rPr>
                <w:rFonts w:hint="eastAsia" w:ascii="仿宋_GB2312" w:hAnsi="宋体" w:eastAsia="仿宋_GB2312" w:cs="Times New Roman"/>
                <w:b/>
                <w:bCs/>
                <w:color w:val="auto"/>
                <w:kern w:val="0"/>
                <w:sz w:val="13"/>
                <w:szCs w:val="13"/>
                <w:highlight w:val="none"/>
              </w:rPr>
              <w:t>第二款</w:t>
            </w:r>
            <w:r>
              <w:rPr>
                <w:rFonts w:hint="eastAsia" w:ascii="仿宋_GB2312" w:hAnsi="宋体" w:eastAsia="仿宋_GB2312" w:cs="Times New Roman"/>
                <w:b/>
                <w:bCs/>
                <w:color w:val="auto"/>
                <w:kern w:val="0"/>
                <w:sz w:val="13"/>
                <w:szCs w:val="13"/>
                <w:highlight w:val="none"/>
                <w:lang w:eastAsia="zh-CN"/>
              </w:rPr>
              <w:t>：</w:t>
            </w:r>
            <w:r>
              <w:rPr>
                <w:color w:val="auto"/>
                <w:sz w:val="13"/>
                <w:szCs w:val="13"/>
                <w:highlight w:val="none"/>
              </w:rPr>
              <w:fldChar w:fldCharType="begin"/>
            </w:r>
            <w:r>
              <w:rPr>
                <w:color w:val="auto"/>
                <w:sz w:val="13"/>
                <w:szCs w:val="13"/>
                <w:highlight w:val="none"/>
              </w:rPr>
              <w:instrText xml:space="preserve"> HYPERLINK "https://baike.baidu.com/item/%E6%88%BF%E5%9C%B0%E4%BA%A7%E4%BC%B0%E4%BB%B7%E6%9C%BA%E6%9E%84/6224909" \t "https://baike.baidu.com/item/_blank" </w:instrText>
            </w:r>
            <w:r>
              <w:rPr>
                <w:color w:val="auto"/>
                <w:sz w:val="13"/>
                <w:szCs w:val="13"/>
                <w:highlight w:val="none"/>
              </w:rPr>
              <w:fldChar w:fldCharType="separate"/>
            </w:r>
            <w:r>
              <w:rPr>
                <w:rFonts w:ascii="仿宋_GB2312" w:hAnsi="宋体" w:eastAsia="仿宋_GB2312" w:cs="Times New Roman"/>
                <w:color w:val="auto"/>
                <w:kern w:val="0"/>
                <w:sz w:val="13"/>
                <w:szCs w:val="13"/>
                <w:highlight w:val="none"/>
              </w:rPr>
              <w:t>房地产估价机构</w:t>
            </w:r>
            <w:r>
              <w:rPr>
                <w:rFonts w:ascii="仿宋_GB2312" w:hAnsi="宋体" w:eastAsia="仿宋_GB2312" w:cs="Times New Roman"/>
                <w:color w:val="auto"/>
                <w:kern w:val="0"/>
                <w:sz w:val="13"/>
                <w:szCs w:val="13"/>
                <w:highlight w:val="none"/>
              </w:rPr>
              <w:fldChar w:fldCharType="end"/>
            </w:r>
            <w:r>
              <w:rPr>
                <w:rFonts w:ascii="仿宋_GB2312" w:hAnsi="宋体" w:eastAsia="仿宋_GB2312" w:cs="Times New Roman"/>
                <w:color w:val="auto"/>
                <w:kern w:val="0"/>
                <w:sz w:val="13"/>
                <w:szCs w:val="13"/>
                <w:highlight w:val="none"/>
              </w:rPr>
              <w:t>以欺骗、贿赂等不正当手段取得房地产估价机构资质的，应当予以撤销。</w:t>
            </w:r>
          </w:p>
        </w:tc>
        <w:tc>
          <w:tcPr>
            <w:tcW w:w="823" w:type="dxa"/>
            <w:tcBorders>
              <w:tl2br w:val="nil"/>
              <w:tr2bl w:val="nil"/>
            </w:tcBorders>
            <w:tcMar>
              <w:top w:w="15" w:type="dxa"/>
              <w:left w:w="15" w:type="dxa"/>
              <w:bottom w:w="15" w:type="dxa"/>
              <w:right w:w="15" w:type="dxa"/>
            </w:tcMar>
            <w:vAlign w:val="center"/>
          </w:tcPr>
          <w:p w14:paraId="2F6D0CC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s="Times New Roman"/>
                <w:color w:val="auto"/>
                <w:kern w:val="0"/>
                <w:sz w:val="13"/>
                <w:szCs w:val="13"/>
                <w:highlight w:val="none"/>
                <w:lang w:eastAsia="zh-CN"/>
              </w:rPr>
              <w:t>从轻情节</w:t>
            </w:r>
          </w:p>
        </w:tc>
        <w:tc>
          <w:tcPr>
            <w:tcW w:w="3437" w:type="dxa"/>
            <w:gridSpan w:val="2"/>
            <w:tcBorders>
              <w:tl2br w:val="nil"/>
              <w:tr2bl w:val="nil"/>
            </w:tcBorders>
            <w:tcMar>
              <w:top w:w="15" w:type="dxa"/>
              <w:left w:w="15" w:type="dxa"/>
              <w:bottom w:w="15" w:type="dxa"/>
              <w:right w:w="15" w:type="dxa"/>
            </w:tcMar>
            <w:vAlign w:val="center"/>
          </w:tcPr>
          <w:p w14:paraId="4A1BF9D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初次违法，危害后果轻微，主动采取措施消除或减轻违法行为危害后果。</w:t>
            </w:r>
          </w:p>
        </w:tc>
        <w:tc>
          <w:tcPr>
            <w:tcW w:w="3058" w:type="dxa"/>
            <w:tcBorders>
              <w:tl2br w:val="nil"/>
              <w:tr2bl w:val="nil"/>
            </w:tcBorders>
            <w:tcMar>
              <w:top w:w="15" w:type="dxa"/>
              <w:left w:w="15" w:type="dxa"/>
              <w:bottom w:w="15" w:type="dxa"/>
              <w:right w:w="15" w:type="dxa"/>
            </w:tcMar>
            <w:vAlign w:val="center"/>
          </w:tcPr>
          <w:p w14:paraId="6652655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给予警告,处1万元以上1.5万元以下的罚款，申请人3年内不得再次申请房地产估价机构资质。</w:t>
            </w:r>
          </w:p>
        </w:tc>
      </w:tr>
      <w:tr w14:paraId="74E67DA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43" w:hRule="atLeast"/>
          <w:jc w:val="center"/>
        </w:trPr>
        <w:tc>
          <w:tcPr>
            <w:tcW w:w="443" w:type="dxa"/>
            <w:gridSpan w:val="2"/>
            <w:vMerge w:val="continue"/>
            <w:tcBorders>
              <w:tl2br w:val="nil"/>
              <w:tr2bl w:val="nil"/>
            </w:tcBorders>
            <w:vAlign w:val="center"/>
          </w:tcPr>
          <w:p w14:paraId="6AA3CB40">
            <w:pPr>
              <w:pStyle w:val="37"/>
              <w:keepNext w:val="0"/>
              <w:keepLines w:val="0"/>
              <w:pageBreakBefore w:val="0"/>
              <w:widowControl/>
              <w:numPr>
                <w:ilvl w:val="0"/>
                <w:numId w:val="4"/>
              </w:numPr>
              <w:kinsoku/>
              <w:overflowPunct/>
              <w:topLinePunct w:val="0"/>
              <w:autoSpaceDE/>
              <w:autoSpaceDN/>
              <w:bidi w:val="0"/>
              <w:adjustRightInd/>
              <w:snapToGrid/>
              <w:spacing w:beforeAutospacing="0" w:afterAutospacing="0" w:line="260" w:lineRule="exact"/>
              <w:ind w:left="638" w:leftChars="88" w:right="0" w:rightChars="0" w:hanging="453" w:hangingChars="349"/>
              <w:jc w:val="center"/>
              <w:textAlignment w:val="center"/>
              <w:rPr>
                <w:color w:val="auto"/>
                <w:sz w:val="13"/>
                <w:szCs w:val="13"/>
                <w:highlight w:val="none"/>
              </w:rPr>
            </w:pPr>
          </w:p>
        </w:tc>
        <w:tc>
          <w:tcPr>
            <w:tcW w:w="1550" w:type="dxa"/>
            <w:vMerge w:val="continue"/>
            <w:tcBorders>
              <w:tl2br w:val="nil"/>
              <w:tr2bl w:val="nil"/>
            </w:tcBorders>
            <w:vAlign w:val="center"/>
          </w:tcPr>
          <w:p w14:paraId="3776A70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2049FA9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607C6D5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s="Times New Roman"/>
                <w:color w:val="auto"/>
                <w:kern w:val="0"/>
                <w:sz w:val="13"/>
                <w:szCs w:val="13"/>
                <w:highlight w:val="none"/>
                <w:lang w:eastAsia="zh-CN"/>
              </w:rPr>
              <w:t>一般情节</w:t>
            </w:r>
          </w:p>
        </w:tc>
        <w:tc>
          <w:tcPr>
            <w:tcW w:w="3437" w:type="dxa"/>
            <w:gridSpan w:val="2"/>
            <w:tcBorders>
              <w:tl2br w:val="nil"/>
              <w:tr2bl w:val="nil"/>
            </w:tcBorders>
            <w:tcMar>
              <w:top w:w="15" w:type="dxa"/>
              <w:left w:w="15" w:type="dxa"/>
              <w:bottom w:w="15" w:type="dxa"/>
              <w:right w:w="15" w:type="dxa"/>
            </w:tcMar>
            <w:vAlign w:val="center"/>
          </w:tcPr>
          <w:p w14:paraId="1AD56FD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实施违法行为，造成不良社会影响，不具有从轻、</w:t>
            </w:r>
            <w:r>
              <w:rPr>
                <w:rFonts w:hint="eastAsia" w:ascii="仿宋_GB2312" w:hAnsi="宋体" w:eastAsia="仿宋_GB2312" w:cs="Times New Roman"/>
                <w:color w:val="auto"/>
                <w:kern w:val="0"/>
                <w:sz w:val="13"/>
                <w:szCs w:val="13"/>
                <w:highlight w:val="none"/>
                <w:lang w:eastAsia="zh-CN"/>
              </w:rPr>
              <w:t>从重情节</w:t>
            </w:r>
            <w:r>
              <w:rPr>
                <w:rFonts w:hint="eastAsia" w:ascii="仿宋_GB2312" w:hAnsi="宋体" w:eastAsia="仿宋_GB2312" w:cs="Times New Roman"/>
                <w:color w:val="auto"/>
                <w:kern w:val="0"/>
                <w:sz w:val="13"/>
                <w:szCs w:val="13"/>
                <w:highlight w:val="none"/>
              </w:rPr>
              <w:t>的。</w:t>
            </w:r>
          </w:p>
        </w:tc>
        <w:tc>
          <w:tcPr>
            <w:tcW w:w="3058" w:type="dxa"/>
            <w:tcBorders>
              <w:tl2br w:val="nil"/>
              <w:tr2bl w:val="nil"/>
            </w:tcBorders>
            <w:tcMar>
              <w:top w:w="15" w:type="dxa"/>
              <w:left w:w="15" w:type="dxa"/>
              <w:bottom w:w="15" w:type="dxa"/>
              <w:right w:w="15" w:type="dxa"/>
            </w:tcMar>
            <w:vAlign w:val="center"/>
          </w:tcPr>
          <w:p w14:paraId="3AEDB24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给予警告,处1.5万元以上2万元以下的罚款，申请人3年内不得再次申请房地产估价机构资质。</w:t>
            </w:r>
          </w:p>
        </w:tc>
      </w:tr>
      <w:tr w14:paraId="62BCAF0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43" w:hRule="atLeast"/>
          <w:jc w:val="center"/>
        </w:trPr>
        <w:tc>
          <w:tcPr>
            <w:tcW w:w="443" w:type="dxa"/>
            <w:gridSpan w:val="2"/>
            <w:vMerge w:val="continue"/>
            <w:tcBorders>
              <w:tl2br w:val="nil"/>
              <w:tr2bl w:val="nil"/>
            </w:tcBorders>
            <w:vAlign w:val="center"/>
          </w:tcPr>
          <w:p w14:paraId="2EBCFF8F">
            <w:pPr>
              <w:pStyle w:val="37"/>
              <w:keepNext w:val="0"/>
              <w:keepLines w:val="0"/>
              <w:pageBreakBefore w:val="0"/>
              <w:widowControl/>
              <w:numPr>
                <w:ilvl w:val="0"/>
                <w:numId w:val="4"/>
              </w:numPr>
              <w:kinsoku/>
              <w:overflowPunct/>
              <w:topLinePunct w:val="0"/>
              <w:autoSpaceDE/>
              <w:autoSpaceDN/>
              <w:bidi w:val="0"/>
              <w:adjustRightInd/>
              <w:snapToGrid/>
              <w:spacing w:beforeAutospacing="0" w:afterAutospacing="0" w:line="260" w:lineRule="exact"/>
              <w:ind w:left="638" w:leftChars="88" w:right="0" w:rightChars="0" w:hanging="453" w:hangingChars="349"/>
              <w:jc w:val="center"/>
              <w:textAlignment w:val="center"/>
              <w:rPr>
                <w:rFonts w:ascii="仿宋_GB2312" w:hAnsi="宋体" w:eastAsia="仿宋_GB2312"/>
                <w:color w:val="auto"/>
                <w:kern w:val="0"/>
                <w:sz w:val="13"/>
                <w:szCs w:val="13"/>
                <w:highlight w:val="none"/>
              </w:rPr>
            </w:pPr>
          </w:p>
        </w:tc>
        <w:tc>
          <w:tcPr>
            <w:tcW w:w="1550" w:type="dxa"/>
            <w:vMerge w:val="continue"/>
            <w:tcBorders>
              <w:tl2br w:val="nil"/>
              <w:tr2bl w:val="nil"/>
            </w:tcBorders>
            <w:vAlign w:val="center"/>
          </w:tcPr>
          <w:p w14:paraId="732DB37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2C7D226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olor w:val="auto"/>
                <w:kern w:val="0"/>
                <w:sz w:val="13"/>
                <w:szCs w:val="13"/>
                <w:highlight w:val="none"/>
              </w:rPr>
            </w:pPr>
          </w:p>
        </w:tc>
        <w:tc>
          <w:tcPr>
            <w:tcW w:w="823" w:type="dxa"/>
            <w:tcBorders>
              <w:tl2br w:val="nil"/>
              <w:tr2bl w:val="nil"/>
            </w:tcBorders>
            <w:tcMar>
              <w:top w:w="15" w:type="dxa"/>
              <w:left w:w="15" w:type="dxa"/>
              <w:bottom w:w="15" w:type="dxa"/>
              <w:right w:w="15" w:type="dxa"/>
            </w:tcMar>
            <w:vAlign w:val="center"/>
          </w:tcPr>
          <w:p w14:paraId="15A26D9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s="Times New Roman"/>
                <w:color w:val="auto"/>
                <w:kern w:val="0"/>
                <w:sz w:val="13"/>
                <w:szCs w:val="13"/>
                <w:highlight w:val="none"/>
                <w:lang w:eastAsia="zh-CN"/>
              </w:rPr>
              <w:t>从重情节</w:t>
            </w:r>
          </w:p>
        </w:tc>
        <w:tc>
          <w:tcPr>
            <w:tcW w:w="3437" w:type="dxa"/>
            <w:gridSpan w:val="2"/>
            <w:tcBorders>
              <w:tl2br w:val="nil"/>
              <w:tr2bl w:val="nil"/>
            </w:tcBorders>
            <w:tcMar>
              <w:top w:w="15" w:type="dxa"/>
              <w:left w:w="15" w:type="dxa"/>
              <w:bottom w:w="15" w:type="dxa"/>
              <w:right w:w="15" w:type="dxa"/>
            </w:tcMar>
            <w:vAlign w:val="center"/>
          </w:tcPr>
          <w:p w14:paraId="5F3C5D5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经责令停止违法行为后，继续实施违法行为的。</w:t>
            </w:r>
          </w:p>
        </w:tc>
        <w:tc>
          <w:tcPr>
            <w:tcW w:w="3058" w:type="dxa"/>
            <w:tcBorders>
              <w:tl2br w:val="nil"/>
              <w:tr2bl w:val="nil"/>
            </w:tcBorders>
            <w:tcMar>
              <w:top w:w="15" w:type="dxa"/>
              <w:left w:w="15" w:type="dxa"/>
              <w:bottom w:w="15" w:type="dxa"/>
              <w:right w:w="15" w:type="dxa"/>
            </w:tcMar>
            <w:vAlign w:val="center"/>
          </w:tcPr>
          <w:p w14:paraId="7CA0FAB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给予警告,处2万元以上3万元以下的罚款，申请人3年内不得再次申请房地产估价机构资质。</w:t>
            </w:r>
          </w:p>
        </w:tc>
      </w:tr>
      <w:tr w14:paraId="3435ECB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9" w:hRule="atLeast"/>
          <w:jc w:val="center"/>
        </w:trPr>
        <w:tc>
          <w:tcPr>
            <w:tcW w:w="443" w:type="dxa"/>
            <w:gridSpan w:val="2"/>
            <w:vMerge w:val="restart"/>
            <w:tcBorders>
              <w:tl2br w:val="nil"/>
              <w:tr2bl w:val="nil"/>
            </w:tcBorders>
            <w:tcMar>
              <w:top w:w="15" w:type="dxa"/>
              <w:left w:w="15" w:type="dxa"/>
              <w:bottom w:w="15" w:type="dxa"/>
              <w:right w:w="15" w:type="dxa"/>
            </w:tcMar>
            <w:vAlign w:val="center"/>
          </w:tcPr>
          <w:p w14:paraId="4F51C6E3">
            <w:pPr>
              <w:keepNext w:val="0"/>
              <w:keepLines w:val="0"/>
              <w:pageBreakBefore w:val="0"/>
              <w:widowControl/>
              <w:numPr>
                <w:ilvl w:val="0"/>
                <w:numId w:val="6"/>
              </w:numPr>
              <w:suppressLineNumbers w:val="0"/>
              <w:tabs>
                <w:tab w:val="clear" w:pos="397"/>
              </w:tabs>
              <w:kinsoku/>
              <w:overflowPunct/>
              <w:topLinePunct w:val="0"/>
              <w:autoSpaceDE/>
              <w:autoSpaceDN/>
              <w:bidi w:val="0"/>
              <w:adjustRightInd/>
              <w:snapToGrid/>
              <w:spacing w:beforeAutospacing="0" w:afterAutospacing="0" w:line="260" w:lineRule="exact"/>
              <w:ind w:left="638" w:leftChars="88" w:right="0" w:rightChars="0" w:hanging="453" w:hangingChars="349"/>
              <w:jc w:val="center"/>
              <w:textAlignment w:val="center"/>
              <w:rPr>
                <w:rFonts w:hint="default" w:ascii="仿宋_GB2312" w:hAnsi="宋体" w:eastAsia="仿宋_GB2312"/>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251</w:t>
            </w:r>
          </w:p>
        </w:tc>
        <w:tc>
          <w:tcPr>
            <w:tcW w:w="1550" w:type="dxa"/>
            <w:vMerge w:val="restart"/>
            <w:tcBorders>
              <w:tl2br w:val="nil"/>
              <w:tr2bl w:val="nil"/>
            </w:tcBorders>
            <w:tcMar>
              <w:top w:w="15" w:type="dxa"/>
              <w:left w:w="15" w:type="dxa"/>
              <w:bottom w:w="15" w:type="dxa"/>
              <w:right w:w="15" w:type="dxa"/>
            </w:tcMar>
            <w:vAlign w:val="center"/>
          </w:tcPr>
          <w:p w14:paraId="39C27A9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未取得房地产估价机构资质从事房地产估价活动或者超越资质等级承揽估价业务的</w:t>
            </w:r>
          </w:p>
        </w:tc>
        <w:tc>
          <w:tcPr>
            <w:tcW w:w="4820" w:type="dxa"/>
            <w:vMerge w:val="restart"/>
            <w:tcBorders>
              <w:tl2br w:val="nil"/>
              <w:tr2bl w:val="nil"/>
            </w:tcBorders>
            <w:tcMar>
              <w:top w:w="15" w:type="dxa"/>
              <w:left w:w="15" w:type="dxa"/>
              <w:bottom w:w="15" w:type="dxa"/>
              <w:right w:w="15" w:type="dxa"/>
            </w:tcMar>
            <w:vAlign w:val="center"/>
          </w:tcPr>
          <w:p w14:paraId="2001A7B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Times New Roman"/>
                <w:color w:val="auto"/>
                <w:kern w:val="0"/>
                <w:sz w:val="13"/>
                <w:szCs w:val="13"/>
                <w:highlight w:val="none"/>
              </w:rPr>
            </w:pPr>
          </w:p>
          <w:p w14:paraId="3878623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《房地产估价机构管理办法》</w:t>
            </w:r>
            <w:r>
              <w:rPr>
                <w:rFonts w:hint="eastAsia" w:ascii="仿宋_GB2312" w:hAnsi="宋体" w:eastAsia="仿宋_GB2312" w:cs="Times New Roman"/>
                <w:b/>
                <w:bCs/>
                <w:color w:val="auto"/>
                <w:kern w:val="0"/>
                <w:sz w:val="13"/>
                <w:szCs w:val="13"/>
                <w:highlight w:val="none"/>
              </w:rPr>
              <w:t>第四十七条</w:t>
            </w:r>
            <w:r>
              <w:rPr>
                <w:rFonts w:hint="eastAsia" w:ascii="仿宋_GB2312" w:hAnsi="宋体" w:eastAsia="仿宋_GB2312" w:cs="Times New Roman"/>
                <w:b/>
                <w:bCs/>
                <w:color w:val="auto"/>
                <w:kern w:val="0"/>
                <w:sz w:val="13"/>
                <w:szCs w:val="13"/>
                <w:highlight w:val="none"/>
                <w:lang w:eastAsia="zh-CN"/>
              </w:rPr>
              <w:t>：</w:t>
            </w:r>
            <w:r>
              <w:rPr>
                <w:rFonts w:hint="eastAsia" w:ascii="仿宋_GB2312" w:hAnsi="宋体" w:eastAsia="仿宋_GB2312" w:cs="Times New Roman"/>
                <w:color w:val="auto"/>
                <w:kern w:val="0"/>
                <w:sz w:val="13"/>
                <w:szCs w:val="13"/>
                <w:highlight w:val="none"/>
              </w:rPr>
              <w:t>未取得房地产估价机构资质从事房地产估价活动或者超越资质等级承揽估价业务的，出具的估价报告无效，由县级以上地方人民政府房地产主管部门给予警告，责令限期改正，并处1万元以上3万元以下的罚款；造成当事人损失的，依法承担赔偿责任。</w:t>
            </w:r>
          </w:p>
          <w:p w14:paraId="13F6399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1" w:firstLineChars="200"/>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b/>
                <w:bCs/>
                <w:color w:val="auto"/>
                <w:kern w:val="0"/>
                <w:sz w:val="13"/>
                <w:szCs w:val="13"/>
                <w:highlight w:val="none"/>
              </w:rPr>
              <w:t>第二十五条第一款</w:t>
            </w:r>
            <w:r>
              <w:rPr>
                <w:rFonts w:hint="eastAsia" w:ascii="仿宋_GB2312" w:hAnsi="宋体" w:eastAsia="仿宋_GB2312" w:cs="Times New Roman"/>
                <w:b/>
                <w:bCs/>
                <w:color w:val="auto"/>
                <w:kern w:val="0"/>
                <w:sz w:val="13"/>
                <w:szCs w:val="13"/>
                <w:highlight w:val="none"/>
                <w:lang w:eastAsia="zh-CN"/>
              </w:rPr>
              <w:t>：</w:t>
            </w:r>
            <w:r>
              <w:rPr>
                <w:rFonts w:hint="eastAsia" w:ascii="仿宋_GB2312" w:hAnsi="宋体" w:eastAsia="仿宋_GB2312" w:cs="Times New Roman"/>
                <w:color w:val="auto"/>
                <w:kern w:val="0"/>
                <w:sz w:val="13"/>
                <w:szCs w:val="13"/>
                <w:highlight w:val="none"/>
              </w:rPr>
              <w:t>从事房地产估价活动的机构，应当依法取得房地产估价机构资质，并在其资质等级许可范围内从事估价业务。</w:t>
            </w:r>
          </w:p>
        </w:tc>
        <w:tc>
          <w:tcPr>
            <w:tcW w:w="823" w:type="dxa"/>
            <w:tcBorders>
              <w:tl2br w:val="nil"/>
              <w:tr2bl w:val="nil"/>
            </w:tcBorders>
            <w:tcMar>
              <w:top w:w="15" w:type="dxa"/>
              <w:left w:w="15" w:type="dxa"/>
              <w:bottom w:w="15" w:type="dxa"/>
              <w:right w:w="15" w:type="dxa"/>
            </w:tcMar>
            <w:vAlign w:val="center"/>
          </w:tcPr>
          <w:p w14:paraId="31FCFF3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s="Times New Roman"/>
                <w:color w:val="auto"/>
                <w:kern w:val="0"/>
                <w:sz w:val="13"/>
                <w:szCs w:val="13"/>
                <w:highlight w:val="none"/>
                <w:lang w:eastAsia="zh-CN"/>
              </w:rPr>
              <w:t>从轻情节</w:t>
            </w:r>
          </w:p>
        </w:tc>
        <w:tc>
          <w:tcPr>
            <w:tcW w:w="3437" w:type="dxa"/>
            <w:gridSpan w:val="2"/>
            <w:tcBorders>
              <w:tl2br w:val="nil"/>
              <w:tr2bl w:val="nil"/>
            </w:tcBorders>
            <w:tcMar>
              <w:top w:w="15" w:type="dxa"/>
              <w:left w:w="15" w:type="dxa"/>
              <w:bottom w:w="15" w:type="dxa"/>
              <w:right w:w="15" w:type="dxa"/>
            </w:tcMar>
            <w:vAlign w:val="center"/>
          </w:tcPr>
          <w:p w14:paraId="2A9CCC9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初次违法，危害后果轻微，主动采取措施消除或减轻违法行为危害后果。</w:t>
            </w:r>
          </w:p>
        </w:tc>
        <w:tc>
          <w:tcPr>
            <w:tcW w:w="3058" w:type="dxa"/>
            <w:tcBorders>
              <w:tl2br w:val="nil"/>
              <w:tr2bl w:val="nil"/>
            </w:tcBorders>
            <w:tcMar>
              <w:top w:w="15" w:type="dxa"/>
              <w:left w:w="15" w:type="dxa"/>
              <w:bottom w:w="15" w:type="dxa"/>
              <w:right w:w="15" w:type="dxa"/>
            </w:tcMar>
            <w:vAlign w:val="center"/>
          </w:tcPr>
          <w:p w14:paraId="5DD494C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给予警告，责令限期改正，并处1万元罚款。</w:t>
            </w:r>
          </w:p>
        </w:tc>
      </w:tr>
      <w:tr w14:paraId="1614665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9" w:hRule="atLeast"/>
          <w:jc w:val="center"/>
        </w:trPr>
        <w:tc>
          <w:tcPr>
            <w:tcW w:w="443" w:type="dxa"/>
            <w:gridSpan w:val="2"/>
            <w:vMerge w:val="continue"/>
            <w:tcBorders>
              <w:tl2br w:val="nil"/>
              <w:tr2bl w:val="nil"/>
            </w:tcBorders>
            <w:vAlign w:val="center"/>
          </w:tcPr>
          <w:p w14:paraId="2BF1DD96">
            <w:pPr>
              <w:pStyle w:val="37"/>
              <w:keepNext w:val="0"/>
              <w:keepLines w:val="0"/>
              <w:pageBreakBefore w:val="0"/>
              <w:widowControl/>
              <w:numPr>
                <w:ilvl w:val="0"/>
                <w:numId w:val="4"/>
              </w:numPr>
              <w:kinsoku/>
              <w:overflowPunct/>
              <w:topLinePunct w:val="0"/>
              <w:autoSpaceDE/>
              <w:autoSpaceDN/>
              <w:bidi w:val="0"/>
              <w:adjustRightInd/>
              <w:snapToGrid/>
              <w:spacing w:beforeAutospacing="0" w:afterAutospacing="0" w:line="260" w:lineRule="exact"/>
              <w:ind w:left="638" w:leftChars="88" w:right="0" w:rightChars="0" w:hanging="453" w:hangingChars="349"/>
              <w:jc w:val="center"/>
              <w:rPr>
                <w:rFonts w:ascii="仿宋_GB2312" w:hAnsi="宋体" w:eastAsia="仿宋_GB2312"/>
                <w:color w:val="auto"/>
                <w:sz w:val="13"/>
                <w:szCs w:val="13"/>
                <w:highlight w:val="none"/>
              </w:rPr>
            </w:pPr>
          </w:p>
        </w:tc>
        <w:tc>
          <w:tcPr>
            <w:tcW w:w="1550" w:type="dxa"/>
            <w:vMerge w:val="continue"/>
            <w:tcBorders>
              <w:tl2br w:val="nil"/>
              <w:tr2bl w:val="nil"/>
            </w:tcBorders>
            <w:vAlign w:val="center"/>
          </w:tcPr>
          <w:p w14:paraId="7ADD61F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67A5259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49512B1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s="Times New Roman"/>
                <w:color w:val="auto"/>
                <w:kern w:val="0"/>
                <w:sz w:val="13"/>
                <w:szCs w:val="13"/>
                <w:highlight w:val="none"/>
                <w:lang w:eastAsia="zh-CN"/>
              </w:rPr>
              <w:t>一般情节</w:t>
            </w:r>
          </w:p>
        </w:tc>
        <w:tc>
          <w:tcPr>
            <w:tcW w:w="3437" w:type="dxa"/>
            <w:gridSpan w:val="2"/>
            <w:tcBorders>
              <w:tl2br w:val="nil"/>
              <w:tr2bl w:val="nil"/>
            </w:tcBorders>
            <w:tcMar>
              <w:top w:w="15" w:type="dxa"/>
              <w:left w:w="15" w:type="dxa"/>
              <w:bottom w:w="15" w:type="dxa"/>
              <w:right w:w="15" w:type="dxa"/>
            </w:tcMar>
            <w:vAlign w:val="center"/>
          </w:tcPr>
          <w:p w14:paraId="7EB0F44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实施违法行为，造成不良社会影响，不具有从轻、</w:t>
            </w:r>
            <w:r>
              <w:rPr>
                <w:rFonts w:hint="eastAsia" w:ascii="仿宋_GB2312" w:hAnsi="宋体" w:eastAsia="仿宋_GB2312" w:cs="Times New Roman"/>
                <w:color w:val="auto"/>
                <w:kern w:val="0"/>
                <w:sz w:val="13"/>
                <w:szCs w:val="13"/>
                <w:highlight w:val="none"/>
                <w:lang w:eastAsia="zh-CN"/>
              </w:rPr>
              <w:t>从重情节</w:t>
            </w:r>
            <w:r>
              <w:rPr>
                <w:rFonts w:hint="eastAsia" w:ascii="仿宋_GB2312" w:hAnsi="宋体" w:eastAsia="仿宋_GB2312" w:cs="Times New Roman"/>
                <w:color w:val="auto"/>
                <w:kern w:val="0"/>
                <w:sz w:val="13"/>
                <w:szCs w:val="13"/>
                <w:highlight w:val="none"/>
              </w:rPr>
              <w:t>的。</w:t>
            </w:r>
          </w:p>
        </w:tc>
        <w:tc>
          <w:tcPr>
            <w:tcW w:w="3058" w:type="dxa"/>
            <w:tcBorders>
              <w:tl2br w:val="nil"/>
              <w:tr2bl w:val="nil"/>
            </w:tcBorders>
            <w:tcMar>
              <w:top w:w="15" w:type="dxa"/>
              <w:left w:w="15" w:type="dxa"/>
              <w:bottom w:w="15" w:type="dxa"/>
              <w:right w:w="15" w:type="dxa"/>
            </w:tcMar>
            <w:vAlign w:val="center"/>
          </w:tcPr>
          <w:p w14:paraId="457C49F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给予警告，责令限期改正，并处1万元以上2万元以下罚款。</w:t>
            </w:r>
          </w:p>
        </w:tc>
      </w:tr>
      <w:tr w14:paraId="31BC638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5" w:hRule="atLeast"/>
          <w:jc w:val="center"/>
        </w:trPr>
        <w:tc>
          <w:tcPr>
            <w:tcW w:w="443" w:type="dxa"/>
            <w:gridSpan w:val="2"/>
            <w:vMerge w:val="continue"/>
            <w:tcBorders>
              <w:tl2br w:val="nil"/>
              <w:tr2bl w:val="nil"/>
            </w:tcBorders>
            <w:vAlign w:val="center"/>
          </w:tcPr>
          <w:p w14:paraId="6D002658">
            <w:pPr>
              <w:pStyle w:val="37"/>
              <w:keepNext w:val="0"/>
              <w:keepLines w:val="0"/>
              <w:pageBreakBefore w:val="0"/>
              <w:widowControl/>
              <w:numPr>
                <w:ilvl w:val="0"/>
                <w:numId w:val="4"/>
              </w:numPr>
              <w:kinsoku/>
              <w:overflowPunct/>
              <w:topLinePunct w:val="0"/>
              <w:autoSpaceDE/>
              <w:autoSpaceDN/>
              <w:bidi w:val="0"/>
              <w:adjustRightInd/>
              <w:snapToGrid/>
              <w:spacing w:beforeAutospacing="0" w:afterAutospacing="0" w:line="260" w:lineRule="exact"/>
              <w:ind w:left="638" w:leftChars="88" w:right="0" w:rightChars="0" w:hanging="453" w:hangingChars="349"/>
              <w:jc w:val="center"/>
              <w:rPr>
                <w:rFonts w:ascii="仿宋_GB2312" w:hAnsi="宋体" w:eastAsia="仿宋_GB2312"/>
                <w:color w:val="auto"/>
                <w:sz w:val="13"/>
                <w:szCs w:val="13"/>
                <w:highlight w:val="none"/>
              </w:rPr>
            </w:pPr>
          </w:p>
        </w:tc>
        <w:tc>
          <w:tcPr>
            <w:tcW w:w="1550" w:type="dxa"/>
            <w:vMerge w:val="continue"/>
            <w:tcBorders>
              <w:tl2br w:val="nil"/>
              <w:tr2bl w:val="nil"/>
            </w:tcBorders>
            <w:vAlign w:val="center"/>
          </w:tcPr>
          <w:p w14:paraId="6EDED73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2B25509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5A3D946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s="Times New Roman"/>
                <w:color w:val="auto"/>
                <w:kern w:val="0"/>
                <w:sz w:val="13"/>
                <w:szCs w:val="13"/>
                <w:highlight w:val="none"/>
                <w:lang w:eastAsia="zh-CN"/>
              </w:rPr>
              <w:t>从重情节</w:t>
            </w:r>
          </w:p>
        </w:tc>
        <w:tc>
          <w:tcPr>
            <w:tcW w:w="3437" w:type="dxa"/>
            <w:gridSpan w:val="2"/>
            <w:tcBorders>
              <w:tl2br w:val="nil"/>
              <w:tr2bl w:val="nil"/>
            </w:tcBorders>
            <w:tcMar>
              <w:top w:w="15" w:type="dxa"/>
              <w:left w:w="15" w:type="dxa"/>
              <w:bottom w:w="15" w:type="dxa"/>
              <w:right w:w="15" w:type="dxa"/>
            </w:tcMar>
            <w:vAlign w:val="center"/>
          </w:tcPr>
          <w:p w14:paraId="588D167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经责令停止违法行为后，继续实施违法行为的</w:t>
            </w:r>
            <w:r>
              <w:rPr>
                <w:rFonts w:hint="eastAsia" w:ascii="仿宋_GB2312" w:hAnsi="宋体" w:eastAsia="仿宋_GB2312" w:cs="Times New Roman"/>
                <w:color w:val="auto"/>
                <w:kern w:val="0"/>
                <w:sz w:val="13"/>
                <w:szCs w:val="13"/>
                <w:highlight w:val="none"/>
                <w:lang w:eastAsia="zh-CN"/>
              </w:rPr>
              <w:t>，</w:t>
            </w:r>
            <w:r>
              <w:rPr>
                <w:rFonts w:hint="eastAsia" w:ascii="仿宋_GB2312" w:hAnsi="宋体" w:eastAsia="仿宋_GB2312" w:cs="Times New Roman"/>
                <w:color w:val="auto"/>
                <w:kern w:val="0"/>
                <w:sz w:val="13"/>
                <w:szCs w:val="13"/>
                <w:highlight w:val="none"/>
                <w:lang w:val="en-US" w:eastAsia="zh-CN"/>
              </w:rPr>
              <w:t>或</w:t>
            </w:r>
            <w:r>
              <w:rPr>
                <w:rFonts w:hint="eastAsia" w:ascii="仿宋_GB2312" w:hAnsi="宋体" w:eastAsia="仿宋_GB2312" w:cs="Times New Roman"/>
                <w:color w:val="auto"/>
                <w:kern w:val="0"/>
                <w:sz w:val="13"/>
                <w:szCs w:val="13"/>
                <w:highlight w:val="none"/>
              </w:rPr>
              <w:t>2年内2次及以上同类型违法。</w:t>
            </w:r>
          </w:p>
        </w:tc>
        <w:tc>
          <w:tcPr>
            <w:tcW w:w="3058" w:type="dxa"/>
            <w:tcBorders>
              <w:tl2br w:val="nil"/>
              <w:tr2bl w:val="nil"/>
            </w:tcBorders>
            <w:tcMar>
              <w:top w:w="15" w:type="dxa"/>
              <w:left w:w="15" w:type="dxa"/>
              <w:bottom w:w="15" w:type="dxa"/>
              <w:right w:w="15" w:type="dxa"/>
            </w:tcMar>
            <w:vAlign w:val="center"/>
          </w:tcPr>
          <w:p w14:paraId="2086765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给予警告，责令限期改正，并处2万元以上3万元以下罚款。</w:t>
            </w:r>
          </w:p>
        </w:tc>
      </w:tr>
      <w:tr w14:paraId="2FF2991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4" w:hRule="atLeast"/>
          <w:jc w:val="center"/>
        </w:trPr>
        <w:tc>
          <w:tcPr>
            <w:tcW w:w="443" w:type="dxa"/>
            <w:gridSpan w:val="2"/>
            <w:vMerge w:val="restart"/>
            <w:tcBorders>
              <w:tl2br w:val="nil"/>
              <w:tr2bl w:val="nil"/>
            </w:tcBorders>
            <w:vAlign w:val="center"/>
          </w:tcPr>
          <w:p w14:paraId="5AD9AB48">
            <w:pPr>
              <w:keepNext w:val="0"/>
              <w:keepLines w:val="0"/>
              <w:pageBreakBefore w:val="0"/>
              <w:widowControl/>
              <w:numPr>
                <w:ilvl w:val="0"/>
                <w:numId w:val="6"/>
              </w:numPr>
              <w:suppressLineNumbers w:val="0"/>
              <w:tabs>
                <w:tab w:val="clear" w:pos="397"/>
              </w:tabs>
              <w:kinsoku/>
              <w:overflowPunct/>
              <w:topLinePunct w:val="0"/>
              <w:autoSpaceDE/>
              <w:autoSpaceDN/>
              <w:bidi w:val="0"/>
              <w:adjustRightInd/>
              <w:snapToGrid/>
              <w:spacing w:beforeAutospacing="0" w:afterAutospacing="0" w:line="260" w:lineRule="exact"/>
              <w:ind w:left="638" w:leftChars="88" w:right="0" w:rightChars="0" w:hanging="453" w:hangingChars="349"/>
              <w:jc w:val="center"/>
              <w:textAlignment w:val="center"/>
              <w:rPr>
                <w:rFonts w:hint="default" w:ascii="仿宋_GB2312" w:hAnsi="宋体" w:eastAsia="仿宋_GB2312"/>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252</w:t>
            </w:r>
          </w:p>
        </w:tc>
        <w:tc>
          <w:tcPr>
            <w:tcW w:w="1550" w:type="dxa"/>
            <w:vMerge w:val="restart"/>
            <w:tcBorders>
              <w:tl2br w:val="nil"/>
              <w:tr2bl w:val="nil"/>
            </w:tcBorders>
            <w:vAlign w:val="center"/>
          </w:tcPr>
          <w:p w14:paraId="0E3D670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房地产估价机构的名称、法定代表人或者执行合伙人、注册资本或者出资额、组织形式、住所等事项发生变更，在工商行政管理部门办理变更手续后30日内，未到资质许可机关办理资质证书变更手续的</w:t>
            </w:r>
          </w:p>
        </w:tc>
        <w:tc>
          <w:tcPr>
            <w:tcW w:w="4820" w:type="dxa"/>
            <w:vMerge w:val="restart"/>
            <w:tcBorders>
              <w:tl2br w:val="nil"/>
              <w:tr2bl w:val="nil"/>
            </w:tcBorders>
            <w:vAlign w:val="center"/>
          </w:tcPr>
          <w:p w14:paraId="16C5D91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《房地产估价机构管理办法》</w:t>
            </w:r>
            <w:r>
              <w:rPr>
                <w:rFonts w:hint="eastAsia" w:ascii="仿宋_GB2312" w:hAnsi="宋体" w:eastAsia="仿宋_GB2312" w:cs="Times New Roman"/>
                <w:b/>
                <w:bCs/>
                <w:color w:val="auto"/>
                <w:kern w:val="0"/>
                <w:sz w:val="13"/>
                <w:szCs w:val="13"/>
                <w:highlight w:val="none"/>
              </w:rPr>
              <w:t>第四十八条：</w:t>
            </w:r>
            <w:r>
              <w:rPr>
                <w:rFonts w:hint="eastAsia" w:ascii="仿宋_GB2312" w:hAnsi="宋体" w:eastAsia="仿宋_GB2312" w:cs="Times New Roman"/>
                <w:color w:val="auto"/>
                <w:kern w:val="0"/>
                <w:sz w:val="13"/>
                <w:szCs w:val="13"/>
                <w:highlight w:val="none"/>
              </w:rPr>
              <w:t>违反本办法第十七条规定，房地产估价机构不及时办理资质证书变更手续的，由资质许可机关责令限期办理；逾期不办理的，可处1万元以下的罚款。</w:t>
            </w:r>
          </w:p>
          <w:p w14:paraId="70A2EF8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1" w:firstLineChars="200"/>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b/>
                <w:bCs/>
                <w:color w:val="auto"/>
                <w:kern w:val="0"/>
                <w:sz w:val="13"/>
                <w:szCs w:val="13"/>
                <w:highlight w:val="none"/>
              </w:rPr>
              <w:t>第十七条</w:t>
            </w:r>
            <w:r>
              <w:rPr>
                <w:rFonts w:hint="eastAsia" w:ascii="仿宋_GB2312" w:hAnsi="宋体" w:eastAsia="仿宋_GB2312" w:cs="Times New Roman"/>
                <w:b/>
                <w:bCs/>
                <w:color w:val="auto"/>
                <w:kern w:val="0"/>
                <w:sz w:val="13"/>
                <w:szCs w:val="13"/>
                <w:highlight w:val="none"/>
                <w:lang w:eastAsia="zh-CN"/>
              </w:rPr>
              <w:t>：</w:t>
            </w:r>
            <w:r>
              <w:rPr>
                <w:rFonts w:hint="eastAsia" w:ascii="仿宋_GB2312" w:hAnsi="宋体" w:eastAsia="仿宋_GB2312" w:cs="Times New Roman"/>
                <w:color w:val="auto"/>
                <w:kern w:val="0"/>
                <w:sz w:val="13"/>
                <w:szCs w:val="13"/>
                <w:highlight w:val="none"/>
              </w:rPr>
              <w:t>房地产估价机构的名称、法定代表人或者执行合伙人、组织形式、住所等事项发生变更的，应当在工商行政管理部门办理变更手续后30日内，到资质许可机关办理资质证书变更手续。</w:t>
            </w:r>
          </w:p>
          <w:p w14:paraId="0F5CE4B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olor w:val="auto"/>
                <w:kern w:val="0"/>
                <w:sz w:val="13"/>
                <w:szCs w:val="13"/>
                <w:highlight w:val="none"/>
              </w:rPr>
            </w:pPr>
          </w:p>
        </w:tc>
        <w:tc>
          <w:tcPr>
            <w:tcW w:w="823" w:type="dxa"/>
            <w:tcBorders>
              <w:tl2br w:val="nil"/>
              <w:tr2bl w:val="nil"/>
            </w:tcBorders>
            <w:tcMar>
              <w:top w:w="15" w:type="dxa"/>
              <w:left w:w="15" w:type="dxa"/>
              <w:bottom w:w="15" w:type="dxa"/>
              <w:right w:w="15" w:type="dxa"/>
            </w:tcMar>
            <w:vAlign w:val="center"/>
          </w:tcPr>
          <w:p w14:paraId="56A57F5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s="Times New Roman"/>
                <w:color w:val="auto"/>
                <w:kern w:val="0"/>
                <w:sz w:val="13"/>
                <w:szCs w:val="13"/>
                <w:highlight w:val="none"/>
                <w:lang w:eastAsia="zh-CN"/>
              </w:rPr>
              <w:t>从轻情节</w:t>
            </w:r>
          </w:p>
        </w:tc>
        <w:tc>
          <w:tcPr>
            <w:tcW w:w="3437" w:type="dxa"/>
            <w:gridSpan w:val="2"/>
            <w:tcBorders>
              <w:tl2br w:val="nil"/>
              <w:tr2bl w:val="nil"/>
            </w:tcBorders>
            <w:tcMar>
              <w:top w:w="15" w:type="dxa"/>
              <w:left w:w="15" w:type="dxa"/>
              <w:bottom w:w="15" w:type="dxa"/>
              <w:right w:w="15" w:type="dxa"/>
            </w:tcMar>
            <w:vAlign w:val="center"/>
          </w:tcPr>
          <w:p w14:paraId="32FCCD0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责令限期办理，逾期不办理，超过规定日期1月以下办理变更手续的。</w:t>
            </w:r>
          </w:p>
        </w:tc>
        <w:tc>
          <w:tcPr>
            <w:tcW w:w="3058" w:type="dxa"/>
            <w:tcBorders>
              <w:tl2br w:val="nil"/>
              <w:tr2bl w:val="nil"/>
            </w:tcBorders>
            <w:tcMar>
              <w:top w:w="15" w:type="dxa"/>
              <w:left w:w="15" w:type="dxa"/>
              <w:bottom w:w="15" w:type="dxa"/>
              <w:right w:w="15" w:type="dxa"/>
            </w:tcMar>
            <w:vAlign w:val="center"/>
          </w:tcPr>
          <w:p w14:paraId="75A9450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可处0.3万元以下的罚款。</w:t>
            </w:r>
          </w:p>
        </w:tc>
      </w:tr>
      <w:tr w14:paraId="505E045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4" w:hRule="atLeast"/>
          <w:jc w:val="center"/>
        </w:trPr>
        <w:tc>
          <w:tcPr>
            <w:tcW w:w="443" w:type="dxa"/>
            <w:gridSpan w:val="2"/>
            <w:vMerge w:val="continue"/>
            <w:tcBorders>
              <w:tl2br w:val="nil"/>
              <w:tr2bl w:val="nil"/>
            </w:tcBorders>
            <w:vAlign w:val="center"/>
          </w:tcPr>
          <w:p w14:paraId="08601BF0">
            <w:pPr>
              <w:pStyle w:val="37"/>
              <w:keepNext w:val="0"/>
              <w:keepLines w:val="0"/>
              <w:pageBreakBefore w:val="0"/>
              <w:widowControl/>
              <w:numPr>
                <w:ilvl w:val="0"/>
                <w:numId w:val="4"/>
              </w:numPr>
              <w:kinsoku/>
              <w:overflowPunct/>
              <w:topLinePunct w:val="0"/>
              <w:autoSpaceDE/>
              <w:autoSpaceDN/>
              <w:bidi w:val="0"/>
              <w:adjustRightInd/>
              <w:snapToGrid/>
              <w:spacing w:beforeAutospacing="0" w:afterAutospacing="0" w:line="260" w:lineRule="exact"/>
              <w:ind w:left="638" w:leftChars="88" w:right="0" w:rightChars="0" w:hanging="453" w:hangingChars="349"/>
              <w:jc w:val="center"/>
              <w:textAlignment w:val="center"/>
              <w:rPr>
                <w:color w:val="auto"/>
                <w:sz w:val="13"/>
                <w:szCs w:val="13"/>
                <w:highlight w:val="none"/>
              </w:rPr>
            </w:pPr>
          </w:p>
        </w:tc>
        <w:tc>
          <w:tcPr>
            <w:tcW w:w="1550" w:type="dxa"/>
            <w:vMerge w:val="continue"/>
            <w:tcBorders>
              <w:tl2br w:val="nil"/>
              <w:tr2bl w:val="nil"/>
            </w:tcBorders>
            <w:vAlign w:val="center"/>
          </w:tcPr>
          <w:p w14:paraId="3AC9680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02989ED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3DB2384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s="Times New Roman"/>
                <w:color w:val="auto"/>
                <w:kern w:val="0"/>
                <w:sz w:val="13"/>
                <w:szCs w:val="13"/>
                <w:highlight w:val="none"/>
                <w:lang w:eastAsia="zh-CN"/>
              </w:rPr>
              <w:t>一般情节</w:t>
            </w:r>
          </w:p>
        </w:tc>
        <w:tc>
          <w:tcPr>
            <w:tcW w:w="3437" w:type="dxa"/>
            <w:gridSpan w:val="2"/>
            <w:tcBorders>
              <w:tl2br w:val="nil"/>
              <w:tr2bl w:val="nil"/>
            </w:tcBorders>
            <w:tcMar>
              <w:top w:w="15" w:type="dxa"/>
              <w:left w:w="15" w:type="dxa"/>
              <w:bottom w:w="15" w:type="dxa"/>
              <w:right w:w="15" w:type="dxa"/>
            </w:tcMar>
            <w:vAlign w:val="center"/>
          </w:tcPr>
          <w:p w14:paraId="3D5C98B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责令限期办理，逾期不办理，超过规定日期1月以上2月以下办理变更手续的。</w:t>
            </w:r>
          </w:p>
        </w:tc>
        <w:tc>
          <w:tcPr>
            <w:tcW w:w="3058" w:type="dxa"/>
            <w:tcBorders>
              <w:tl2br w:val="nil"/>
              <w:tr2bl w:val="nil"/>
            </w:tcBorders>
            <w:tcMar>
              <w:top w:w="15" w:type="dxa"/>
              <w:left w:w="15" w:type="dxa"/>
              <w:bottom w:w="15" w:type="dxa"/>
              <w:right w:w="15" w:type="dxa"/>
            </w:tcMar>
            <w:vAlign w:val="center"/>
          </w:tcPr>
          <w:p w14:paraId="7407B4C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可处0.3万元以上0.7万元以下的罚款。</w:t>
            </w:r>
          </w:p>
        </w:tc>
      </w:tr>
      <w:tr w14:paraId="59F9AA3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49" w:hRule="atLeast"/>
          <w:jc w:val="center"/>
        </w:trPr>
        <w:tc>
          <w:tcPr>
            <w:tcW w:w="443" w:type="dxa"/>
            <w:gridSpan w:val="2"/>
            <w:vMerge w:val="continue"/>
            <w:tcBorders>
              <w:tl2br w:val="nil"/>
              <w:tr2bl w:val="nil"/>
            </w:tcBorders>
            <w:vAlign w:val="center"/>
          </w:tcPr>
          <w:p w14:paraId="1F5AB557">
            <w:pPr>
              <w:pStyle w:val="37"/>
              <w:keepNext w:val="0"/>
              <w:keepLines w:val="0"/>
              <w:pageBreakBefore w:val="0"/>
              <w:widowControl/>
              <w:numPr>
                <w:ilvl w:val="0"/>
                <w:numId w:val="4"/>
              </w:numPr>
              <w:kinsoku/>
              <w:overflowPunct/>
              <w:topLinePunct w:val="0"/>
              <w:autoSpaceDE/>
              <w:autoSpaceDN/>
              <w:bidi w:val="0"/>
              <w:adjustRightInd/>
              <w:snapToGrid/>
              <w:spacing w:beforeAutospacing="0" w:afterAutospacing="0" w:line="260" w:lineRule="exact"/>
              <w:ind w:left="638" w:leftChars="88" w:right="0" w:rightChars="0" w:hanging="453" w:hangingChars="349"/>
              <w:jc w:val="center"/>
              <w:textAlignment w:val="center"/>
              <w:rPr>
                <w:rFonts w:ascii="仿宋_GB2312" w:hAnsi="宋体" w:eastAsia="仿宋_GB2312"/>
                <w:color w:val="auto"/>
                <w:kern w:val="0"/>
                <w:sz w:val="13"/>
                <w:szCs w:val="13"/>
                <w:highlight w:val="none"/>
              </w:rPr>
            </w:pPr>
          </w:p>
        </w:tc>
        <w:tc>
          <w:tcPr>
            <w:tcW w:w="1550" w:type="dxa"/>
            <w:vMerge w:val="continue"/>
            <w:tcBorders>
              <w:tl2br w:val="nil"/>
              <w:tr2bl w:val="nil"/>
            </w:tcBorders>
            <w:vAlign w:val="center"/>
          </w:tcPr>
          <w:p w14:paraId="463D7E6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653E23D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olor w:val="auto"/>
                <w:kern w:val="0"/>
                <w:sz w:val="13"/>
                <w:szCs w:val="13"/>
                <w:highlight w:val="none"/>
              </w:rPr>
            </w:pPr>
          </w:p>
        </w:tc>
        <w:tc>
          <w:tcPr>
            <w:tcW w:w="823" w:type="dxa"/>
            <w:tcBorders>
              <w:tl2br w:val="nil"/>
              <w:tr2bl w:val="nil"/>
            </w:tcBorders>
            <w:tcMar>
              <w:top w:w="15" w:type="dxa"/>
              <w:left w:w="15" w:type="dxa"/>
              <w:bottom w:w="15" w:type="dxa"/>
              <w:right w:w="15" w:type="dxa"/>
            </w:tcMar>
            <w:vAlign w:val="center"/>
          </w:tcPr>
          <w:p w14:paraId="57D3E21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s="Times New Roman"/>
                <w:color w:val="auto"/>
                <w:kern w:val="0"/>
                <w:sz w:val="13"/>
                <w:szCs w:val="13"/>
                <w:highlight w:val="none"/>
                <w:lang w:eastAsia="zh-CN"/>
              </w:rPr>
              <w:t>从重情节</w:t>
            </w:r>
          </w:p>
        </w:tc>
        <w:tc>
          <w:tcPr>
            <w:tcW w:w="3437" w:type="dxa"/>
            <w:gridSpan w:val="2"/>
            <w:tcBorders>
              <w:tl2br w:val="nil"/>
              <w:tr2bl w:val="nil"/>
            </w:tcBorders>
            <w:tcMar>
              <w:top w:w="15" w:type="dxa"/>
              <w:left w:w="15" w:type="dxa"/>
              <w:bottom w:w="15" w:type="dxa"/>
              <w:right w:w="15" w:type="dxa"/>
            </w:tcMar>
            <w:vAlign w:val="center"/>
          </w:tcPr>
          <w:p w14:paraId="52C3C2D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责令限期办理，逾期不办理，超过规定日期</w:t>
            </w:r>
            <w:r>
              <w:rPr>
                <w:rFonts w:hint="eastAsia" w:ascii="仿宋_GB2312" w:hAnsi="宋体" w:eastAsia="仿宋_GB2312" w:cs="Times New Roman"/>
                <w:color w:val="auto"/>
                <w:kern w:val="0"/>
                <w:sz w:val="13"/>
                <w:szCs w:val="13"/>
                <w:highlight w:val="none"/>
                <w:lang w:val="en-US" w:eastAsia="zh-CN"/>
              </w:rPr>
              <w:t>2</w:t>
            </w:r>
            <w:r>
              <w:rPr>
                <w:rFonts w:hint="eastAsia" w:ascii="仿宋_GB2312" w:hAnsi="宋体" w:eastAsia="仿宋_GB2312" w:cs="Times New Roman"/>
                <w:color w:val="auto"/>
                <w:kern w:val="0"/>
                <w:sz w:val="13"/>
                <w:szCs w:val="13"/>
                <w:highlight w:val="none"/>
              </w:rPr>
              <w:t>月以上办理变更手续的。</w:t>
            </w:r>
          </w:p>
        </w:tc>
        <w:tc>
          <w:tcPr>
            <w:tcW w:w="3058" w:type="dxa"/>
            <w:tcBorders>
              <w:tl2br w:val="nil"/>
              <w:tr2bl w:val="nil"/>
            </w:tcBorders>
            <w:tcMar>
              <w:top w:w="15" w:type="dxa"/>
              <w:left w:w="15" w:type="dxa"/>
              <w:bottom w:w="15" w:type="dxa"/>
              <w:right w:w="15" w:type="dxa"/>
            </w:tcMar>
            <w:vAlign w:val="center"/>
          </w:tcPr>
          <w:p w14:paraId="64F505F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可处0.7万元以上1万元以下的罚款。</w:t>
            </w:r>
          </w:p>
        </w:tc>
      </w:tr>
      <w:tr w14:paraId="30E1D60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9" w:hRule="atLeast"/>
          <w:jc w:val="center"/>
        </w:trPr>
        <w:tc>
          <w:tcPr>
            <w:tcW w:w="443" w:type="dxa"/>
            <w:gridSpan w:val="2"/>
            <w:vMerge w:val="restart"/>
            <w:tcBorders>
              <w:tl2br w:val="nil"/>
              <w:tr2bl w:val="nil"/>
            </w:tcBorders>
            <w:vAlign w:val="center"/>
          </w:tcPr>
          <w:p w14:paraId="1C652E5F">
            <w:pPr>
              <w:keepNext w:val="0"/>
              <w:keepLines w:val="0"/>
              <w:pageBreakBefore w:val="0"/>
              <w:widowControl/>
              <w:numPr>
                <w:ilvl w:val="0"/>
                <w:numId w:val="6"/>
              </w:numPr>
              <w:suppressLineNumbers w:val="0"/>
              <w:tabs>
                <w:tab w:val="clear" w:pos="397"/>
              </w:tabs>
              <w:kinsoku/>
              <w:overflowPunct/>
              <w:topLinePunct w:val="0"/>
              <w:autoSpaceDE/>
              <w:autoSpaceDN/>
              <w:bidi w:val="0"/>
              <w:adjustRightInd/>
              <w:snapToGrid/>
              <w:spacing w:beforeAutospacing="0" w:afterAutospacing="0" w:line="260" w:lineRule="exact"/>
              <w:ind w:left="638" w:leftChars="88" w:right="0" w:rightChars="0" w:hanging="453" w:hangingChars="349"/>
              <w:jc w:val="center"/>
              <w:textAlignment w:val="center"/>
              <w:rPr>
                <w:rFonts w:hint="default" w:ascii="仿宋_GB2312" w:hAnsi="宋体" w:eastAsia="仿宋_GB2312"/>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253</w:t>
            </w:r>
          </w:p>
        </w:tc>
        <w:tc>
          <w:tcPr>
            <w:tcW w:w="1550" w:type="dxa"/>
            <w:vMerge w:val="restart"/>
            <w:tcBorders>
              <w:tl2br w:val="nil"/>
              <w:tr2bl w:val="nil"/>
            </w:tcBorders>
            <w:vAlign w:val="center"/>
          </w:tcPr>
          <w:p w14:paraId="102A25E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二、三级资质房地产估价机构设立分支机构的</w:t>
            </w:r>
          </w:p>
        </w:tc>
        <w:tc>
          <w:tcPr>
            <w:tcW w:w="4820" w:type="dxa"/>
            <w:vMerge w:val="restart"/>
            <w:tcBorders>
              <w:tl2br w:val="nil"/>
              <w:tr2bl w:val="nil"/>
            </w:tcBorders>
            <w:vAlign w:val="center"/>
          </w:tcPr>
          <w:p w14:paraId="64CBFA4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《房地产估价机构管理办法》</w:t>
            </w:r>
            <w:r>
              <w:rPr>
                <w:rFonts w:hint="eastAsia" w:ascii="仿宋_GB2312" w:hAnsi="宋体" w:eastAsia="仿宋_GB2312" w:cs="Times New Roman"/>
                <w:b/>
                <w:bCs/>
                <w:color w:val="auto"/>
                <w:kern w:val="0"/>
                <w:sz w:val="13"/>
                <w:szCs w:val="13"/>
                <w:highlight w:val="none"/>
              </w:rPr>
              <w:t>第四十九条</w:t>
            </w:r>
            <w:r>
              <w:rPr>
                <w:rFonts w:hint="eastAsia" w:ascii="仿宋_GB2312" w:hAnsi="宋体" w:eastAsia="仿宋_GB2312" w:cs="Times New Roman"/>
                <w:b/>
                <w:bCs/>
                <w:color w:val="auto"/>
                <w:kern w:val="0"/>
                <w:sz w:val="13"/>
                <w:szCs w:val="13"/>
                <w:highlight w:val="none"/>
                <w:lang w:eastAsia="zh-CN"/>
              </w:rPr>
              <w:t>（一）</w:t>
            </w:r>
            <w:r>
              <w:rPr>
                <w:rFonts w:hint="eastAsia" w:ascii="仿宋_GB2312" w:hAnsi="宋体" w:eastAsia="仿宋_GB2312" w:cs="Times New Roman"/>
                <w:b/>
                <w:bCs/>
                <w:color w:val="auto"/>
                <w:kern w:val="0"/>
                <w:sz w:val="13"/>
                <w:szCs w:val="13"/>
                <w:highlight w:val="none"/>
              </w:rPr>
              <w:t>项：</w:t>
            </w:r>
            <w:r>
              <w:rPr>
                <w:rFonts w:hint="eastAsia" w:ascii="仿宋_GB2312" w:hAnsi="宋体" w:eastAsia="仿宋_GB2312" w:cs="Times New Roman"/>
                <w:color w:val="auto"/>
                <w:kern w:val="0"/>
                <w:sz w:val="13"/>
                <w:szCs w:val="13"/>
                <w:highlight w:val="none"/>
              </w:rPr>
              <w:t>有下列行为之一的，由县级以上地方人民政府房地产主管部门给予警告，责令限期改正，并可处1万元以上2万元以下的罚款：</w:t>
            </w:r>
          </w:p>
          <w:p w14:paraId="66985063">
            <w:pPr>
              <w:keepNext w:val="0"/>
              <w:keepLines w:val="0"/>
              <w:pageBreakBefore w:val="0"/>
              <w:widowControl/>
              <w:numPr>
                <w:ilvl w:val="0"/>
                <w:numId w:val="0"/>
              </w:numPr>
              <w:kinsoku/>
              <w:overflowPunct/>
              <w:topLinePunct w:val="0"/>
              <w:autoSpaceDE/>
              <w:autoSpaceDN/>
              <w:bidi w:val="0"/>
              <w:adjustRightInd/>
              <w:snapToGrid/>
              <w:spacing w:beforeAutospacing="0" w:afterAutospacing="0" w:line="260" w:lineRule="exact"/>
              <w:ind w:left="0" w:leftChars="0" w:right="0" w:rightChars="0" w:firstLine="260" w:firstLineChars="200"/>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lang w:eastAsia="zh-CN"/>
              </w:rPr>
              <w:t>（一）</w:t>
            </w:r>
            <w:r>
              <w:rPr>
                <w:rFonts w:hint="eastAsia" w:ascii="仿宋_GB2312" w:hAnsi="宋体" w:eastAsia="仿宋_GB2312" w:cs="Times New Roman"/>
                <w:color w:val="auto"/>
                <w:kern w:val="0"/>
                <w:sz w:val="13"/>
                <w:szCs w:val="13"/>
                <w:highlight w:val="none"/>
              </w:rPr>
              <w:t>违反本办法第二十条第一款规定设立分支机构的。</w:t>
            </w:r>
          </w:p>
          <w:p w14:paraId="7634D25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1" w:firstLineChars="200"/>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b/>
                <w:bCs/>
                <w:color w:val="auto"/>
                <w:kern w:val="0"/>
                <w:sz w:val="13"/>
                <w:szCs w:val="13"/>
                <w:highlight w:val="none"/>
              </w:rPr>
              <w:t>第二十条第一款</w:t>
            </w:r>
            <w:r>
              <w:rPr>
                <w:rFonts w:hint="eastAsia" w:ascii="仿宋_GB2312" w:hAnsi="宋体" w:eastAsia="仿宋_GB2312" w:cs="Times New Roman"/>
                <w:b/>
                <w:bCs/>
                <w:color w:val="auto"/>
                <w:kern w:val="0"/>
                <w:sz w:val="13"/>
                <w:szCs w:val="13"/>
                <w:highlight w:val="none"/>
                <w:lang w:eastAsia="zh-CN"/>
              </w:rPr>
              <w:t>：</w:t>
            </w:r>
            <w:r>
              <w:rPr>
                <w:rFonts w:hint="eastAsia" w:ascii="仿宋_GB2312" w:hAnsi="宋体" w:eastAsia="仿宋_GB2312" w:cs="Times New Roman"/>
                <w:color w:val="auto"/>
                <w:kern w:val="0"/>
                <w:sz w:val="13"/>
                <w:szCs w:val="13"/>
                <w:highlight w:val="none"/>
              </w:rPr>
              <w:t>一级资质</w:t>
            </w:r>
            <w:r>
              <w:rPr>
                <w:color w:val="auto"/>
                <w:sz w:val="13"/>
                <w:szCs w:val="13"/>
                <w:highlight w:val="none"/>
              </w:rPr>
              <w:fldChar w:fldCharType="begin"/>
            </w:r>
            <w:r>
              <w:rPr>
                <w:color w:val="auto"/>
                <w:sz w:val="13"/>
                <w:szCs w:val="13"/>
                <w:highlight w:val="none"/>
              </w:rPr>
              <w:instrText xml:space="preserve"> HYPERLINK "https://baike.baidu.com/item/%E6%88%BF%E5%9C%B0%E4%BA%A7%E4%BC%B0%E4%BB%B7%E6%9C%BA%E6%9E%84/6224909" \t "https://baike.baidu.com/item/_blank" </w:instrText>
            </w:r>
            <w:r>
              <w:rPr>
                <w:color w:val="auto"/>
                <w:sz w:val="13"/>
                <w:szCs w:val="13"/>
                <w:highlight w:val="none"/>
              </w:rPr>
              <w:fldChar w:fldCharType="separate"/>
            </w:r>
            <w:r>
              <w:rPr>
                <w:rFonts w:ascii="仿宋_GB2312" w:hAnsi="宋体" w:eastAsia="仿宋_GB2312" w:cs="Times New Roman"/>
                <w:color w:val="auto"/>
                <w:kern w:val="0"/>
                <w:sz w:val="13"/>
                <w:szCs w:val="13"/>
                <w:highlight w:val="none"/>
              </w:rPr>
              <w:t>房地产估价机构</w:t>
            </w:r>
            <w:r>
              <w:rPr>
                <w:rFonts w:ascii="仿宋_GB2312" w:hAnsi="宋体" w:eastAsia="仿宋_GB2312" w:cs="Times New Roman"/>
                <w:color w:val="auto"/>
                <w:kern w:val="0"/>
                <w:sz w:val="13"/>
                <w:szCs w:val="13"/>
                <w:highlight w:val="none"/>
              </w:rPr>
              <w:fldChar w:fldCharType="end"/>
            </w:r>
            <w:r>
              <w:rPr>
                <w:rFonts w:ascii="仿宋_GB2312" w:hAnsi="宋体" w:eastAsia="仿宋_GB2312" w:cs="Times New Roman"/>
                <w:color w:val="auto"/>
                <w:kern w:val="0"/>
                <w:sz w:val="13"/>
                <w:szCs w:val="13"/>
                <w:highlight w:val="none"/>
              </w:rPr>
              <w:t>可以按照本办法第二十一条的规定设立分支机构。二、三级资质房地产估价机构不得设立分支机构。</w:t>
            </w:r>
          </w:p>
        </w:tc>
        <w:tc>
          <w:tcPr>
            <w:tcW w:w="823" w:type="dxa"/>
            <w:tcBorders>
              <w:tl2br w:val="nil"/>
              <w:tr2bl w:val="nil"/>
            </w:tcBorders>
            <w:tcMar>
              <w:top w:w="15" w:type="dxa"/>
              <w:left w:w="15" w:type="dxa"/>
              <w:bottom w:w="15" w:type="dxa"/>
              <w:right w:w="15" w:type="dxa"/>
            </w:tcMar>
            <w:vAlign w:val="center"/>
          </w:tcPr>
          <w:p w14:paraId="5DF9FD7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s="Times New Roman"/>
                <w:color w:val="auto"/>
                <w:kern w:val="0"/>
                <w:sz w:val="13"/>
                <w:szCs w:val="13"/>
                <w:highlight w:val="none"/>
                <w:lang w:eastAsia="zh-CN"/>
              </w:rPr>
              <w:t>从轻情节</w:t>
            </w:r>
          </w:p>
        </w:tc>
        <w:tc>
          <w:tcPr>
            <w:tcW w:w="3437" w:type="dxa"/>
            <w:gridSpan w:val="2"/>
            <w:tcBorders>
              <w:tl2br w:val="nil"/>
              <w:tr2bl w:val="nil"/>
            </w:tcBorders>
            <w:tcMar>
              <w:top w:w="15" w:type="dxa"/>
              <w:left w:w="15" w:type="dxa"/>
              <w:bottom w:w="15" w:type="dxa"/>
              <w:right w:w="15" w:type="dxa"/>
            </w:tcMar>
            <w:vAlign w:val="center"/>
          </w:tcPr>
          <w:p w14:paraId="34EB53A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设立1个分支机构的。</w:t>
            </w:r>
          </w:p>
        </w:tc>
        <w:tc>
          <w:tcPr>
            <w:tcW w:w="3058" w:type="dxa"/>
            <w:tcBorders>
              <w:tl2br w:val="nil"/>
              <w:tr2bl w:val="nil"/>
            </w:tcBorders>
            <w:tcMar>
              <w:top w:w="15" w:type="dxa"/>
              <w:left w:w="15" w:type="dxa"/>
              <w:bottom w:w="15" w:type="dxa"/>
              <w:right w:w="15" w:type="dxa"/>
            </w:tcMar>
            <w:vAlign w:val="center"/>
          </w:tcPr>
          <w:p w14:paraId="0B9820E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给予警告，责令限期改正，并可处1万元以上1.3万元以下的罚款。</w:t>
            </w:r>
          </w:p>
        </w:tc>
      </w:tr>
      <w:tr w14:paraId="7D68CCB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9" w:hRule="atLeast"/>
          <w:jc w:val="center"/>
        </w:trPr>
        <w:tc>
          <w:tcPr>
            <w:tcW w:w="443" w:type="dxa"/>
            <w:gridSpan w:val="2"/>
            <w:vMerge w:val="continue"/>
            <w:tcBorders>
              <w:tl2br w:val="nil"/>
              <w:tr2bl w:val="nil"/>
            </w:tcBorders>
            <w:vAlign w:val="center"/>
          </w:tcPr>
          <w:p w14:paraId="5020CFF1">
            <w:pPr>
              <w:pStyle w:val="37"/>
              <w:keepNext w:val="0"/>
              <w:keepLines w:val="0"/>
              <w:pageBreakBefore w:val="0"/>
              <w:widowControl/>
              <w:numPr>
                <w:ilvl w:val="0"/>
                <w:numId w:val="4"/>
              </w:numPr>
              <w:kinsoku/>
              <w:overflowPunct/>
              <w:topLinePunct w:val="0"/>
              <w:autoSpaceDE/>
              <w:autoSpaceDN/>
              <w:bidi w:val="0"/>
              <w:adjustRightInd/>
              <w:snapToGrid/>
              <w:spacing w:beforeAutospacing="0" w:afterAutospacing="0" w:line="260" w:lineRule="exact"/>
              <w:ind w:left="638" w:leftChars="88" w:right="0" w:rightChars="0" w:hanging="453" w:hangingChars="349"/>
              <w:jc w:val="center"/>
              <w:rPr>
                <w:rFonts w:ascii="仿宋_GB2312" w:hAnsi="宋体" w:eastAsia="仿宋_GB2312"/>
                <w:color w:val="auto"/>
                <w:sz w:val="13"/>
                <w:szCs w:val="13"/>
                <w:highlight w:val="none"/>
              </w:rPr>
            </w:pPr>
          </w:p>
        </w:tc>
        <w:tc>
          <w:tcPr>
            <w:tcW w:w="1550" w:type="dxa"/>
            <w:vMerge w:val="continue"/>
            <w:tcBorders>
              <w:tl2br w:val="nil"/>
              <w:tr2bl w:val="nil"/>
            </w:tcBorders>
            <w:vAlign w:val="center"/>
          </w:tcPr>
          <w:p w14:paraId="45B497B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21E6414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olor w:val="auto"/>
                <w:kern w:val="0"/>
                <w:sz w:val="13"/>
                <w:szCs w:val="13"/>
                <w:highlight w:val="none"/>
              </w:rPr>
            </w:pPr>
          </w:p>
        </w:tc>
        <w:tc>
          <w:tcPr>
            <w:tcW w:w="823" w:type="dxa"/>
            <w:tcBorders>
              <w:tl2br w:val="nil"/>
              <w:tr2bl w:val="nil"/>
            </w:tcBorders>
            <w:tcMar>
              <w:top w:w="15" w:type="dxa"/>
              <w:left w:w="15" w:type="dxa"/>
              <w:bottom w:w="15" w:type="dxa"/>
              <w:right w:w="15" w:type="dxa"/>
            </w:tcMar>
            <w:vAlign w:val="center"/>
          </w:tcPr>
          <w:p w14:paraId="5238F87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s="Times New Roman"/>
                <w:color w:val="auto"/>
                <w:kern w:val="0"/>
                <w:sz w:val="13"/>
                <w:szCs w:val="13"/>
                <w:highlight w:val="none"/>
                <w:lang w:eastAsia="zh-CN"/>
              </w:rPr>
              <w:t>一般情节</w:t>
            </w:r>
          </w:p>
        </w:tc>
        <w:tc>
          <w:tcPr>
            <w:tcW w:w="3437" w:type="dxa"/>
            <w:gridSpan w:val="2"/>
            <w:tcBorders>
              <w:tl2br w:val="nil"/>
              <w:tr2bl w:val="nil"/>
            </w:tcBorders>
            <w:tcMar>
              <w:top w:w="15" w:type="dxa"/>
              <w:left w:w="15" w:type="dxa"/>
              <w:bottom w:w="15" w:type="dxa"/>
              <w:right w:w="15" w:type="dxa"/>
            </w:tcMar>
            <w:vAlign w:val="center"/>
          </w:tcPr>
          <w:p w14:paraId="1B94059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设立2个分支机构的</w:t>
            </w:r>
          </w:p>
        </w:tc>
        <w:tc>
          <w:tcPr>
            <w:tcW w:w="3058" w:type="dxa"/>
            <w:tcBorders>
              <w:tl2br w:val="nil"/>
              <w:tr2bl w:val="nil"/>
            </w:tcBorders>
            <w:tcMar>
              <w:top w:w="15" w:type="dxa"/>
              <w:left w:w="15" w:type="dxa"/>
              <w:bottom w:w="15" w:type="dxa"/>
              <w:right w:w="15" w:type="dxa"/>
            </w:tcMar>
            <w:vAlign w:val="center"/>
          </w:tcPr>
          <w:p w14:paraId="79AFCD4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给予警告，责令限期改正，并可处1.3万元以上1.7万元以下的罚款。</w:t>
            </w:r>
          </w:p>
        </w:tc>
      </w:tr>
      <w:tr w14:paraId="588FDDB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9" w:hRule="atLeast"/>
          <w:jc w:val="center"/>
        </w:trPr>
        <w:tc>
          <w:tcPr>
            <w:tcW w:w="443" w:type="dxa"/>
            <w:gridSpan w:val="2"/>
            <w:vMerge w:val="continue"/>
            <w:tcBorders>
              <w:tl2br w:val="nil"/>
              <w:tr2bl w:val="nil"/>
            </w:tcBorders>
            <w:vAlign w:val="center"/>
          </w:tcPr>
          <w:p w14:paraId="4481F6FF">
            <w:pPr>
              <w:pStyle w:val="37"/>
              <w:keepNext w:val="0"/>
              <w:keepLines w:val="0"/>
              <w:pageBreakBefore w:val="0"/>
              <w:widowControl/>
              <w:numPr>
                <w:ilvl w:val="0"/>
                <w:numId w:val="4"/>
              </w:numPr>
              <w:kinsoku/>
              <w:overflowPunct/>
              <w:topLinePunct w:val="0"/>
              <w:autoSpaceDE/>
              <w:autoSpaceDN/>
              <w:bidi w:val="0"/>
              <w:adjustRightInd/>
              <w:snapToGrid/>
              <w:spacing w:beforeAutospacing="0" w:afterAutospacing="0" w:line="260" w:lineRule="exact"/>
              <w:ind w:left="638" w:leftChars="88" w:right="0" w:rightChars="0" w:hanging="453" w:hangingChars="349"/>
              <w:jc w:val="center"/>
              <w:rPr>
                <w:rFonts w:ascii="仿宋_GB2312" w:hAnsi="宋体" w:eastAsia="仿宋_GB2312"/>
                <w:color w:val="auto"/>
                <w:sz w:val="13"/>
                <w:szCs w:val="13"/>
                <w:highlight w:val="none"/>
              </w:rPr>
            </w:pPr>
          </w:p>
        </w:tc>
        <w:tc>
          <w:tcPr>
            <w:tcW w:w="1550" w:type="dxa"/>
            <w:vMerge w:val="continue"/>
            <w:tcBorders>
              <w:tl2br w:val="nil"/>
              <w:tr2bl w:val="nil"/>
            </w:tcBorders>
            <w:vAlign w:val="center"/>
          </w:tcPr>
          <w:p w14:paraId="5F11F5F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75E2DB0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olor w:val="auto"/>
                <w:kern w:val="0"/>
                <w:sz w:val="13"/>
                <w:szCs w:val="13"/>
                <w:highlight w:val="none"/>
              </w:rPr>
            </w:pPr>
          </w:p>
        </w:tc>
        <w:tc>
          <w:tcPr>
            <w:tcW w:w="823" w:type="dxa"/>
            <w:tcBorders>
              <w:tl2br w:val="nil"/>
              <w:tr2bl w:val="nil"/>
            </w:tcBorders>
            <w:tcMar>
              <w:top w:w="15" w:type="dxa"/>
              <w:left w:w="15" w:type="dxa"/>
              <w:bottom w:w="15" w:type="dxa"/>
              <w:right w:w="15" w:type="dxa"/>
            </w:tcMar>
            <w:vAlign w:val="center"/>
          </w:tcPr>
          <w:p w14:paraId="776CFBB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s="Times New Roman"/>
                <w:color w:val="auto"/>
                <w:kern w:val="0"/>
                <w:sz w:val="13"/>
                <w:szCs w:val="13"/>
                <w:highlight w:val="none"/>
                <w:lang w:eastAsia="zh-CN"/>
              </w:rPr>
              <w:t>从重情节</w:t>
            </w:r>
          </w:p>
        </w:tc>
        <w:tc>
          <w:tcPr>
            <w:tcW w:w="3437" w:type="dxa"/>
            <w:gridSpan w:val="2"/>
            <w:tcBorders>
              <w:tl2br w:val="nil"/>
              <w:tr2bl w:val="nil"/>
            </w:tcBorders>
            <w:tcMar>
              <w:top w:w="15" w:type="dxa"/>
              <w:left w:w="15" w:type="dxa"/>
              <w:bottom w:w="15" w:type="dxa"/>
              <w:right w:w="15" w:type="dxa"/>
            </w:tcMar>
            <w:vAlign w:val="center"/>
          </w:tcPr>
          <w:p w14:paraId="3FEFE24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设立3个</w:t>
            </w:r>
            <w:r>
              <w:rPr>
                <w:rFonts w:hint="eastAsia" w:ascii="仿宋_GB2312" w:hAnsi="宋体" w:eastAsia="仿宋_GB2312" w:cs="Times New Roman"/>
                <w:color w:val="auto"/>
                <w:kern w:val="0"/>
                <w:sz w:val="13"/>
                <w:szCs w:val="13"/>
                <w:highlight w:val="none"/>
                <w:lang w:val="en-US" w:eastAsia="zh-CN"/>
              </w:rPr>
              <w:t>及3个以上</w:t>
            </w:r>
            <w:r>
              <w:rPr>
                <w:rFonts w:hint="eastAsia" w:ascii="仿宋_GB2312" w:hAnsi="宋体" w:eastAsia="仿宋_GB2312" w:cs="Times New Roman"/>
                <w:color w:val="auto"/>
                <w:kern w:val="0"/>
                <w:sz w:val="13"/>
                <w:szCs w:val="13"/>
                <w:highlight w:val="none"/>
              </w:rPr>
              <w:t>分支机构的。</w:t>
            </w:r>
          </w:p>
        </w:tc>
        <w:tc>
          <w:tcPr>
            <w:tcW w:w="3058" w:type="dxa"/>
            <w:tcBorders>
              <w:tl2br w:val="nil"/>
              <w:tr2bl w:val="nil"/>
            </w:tcBorders>
            <w:tcMar>
              <w:top w:w="15" w:type="dxa"/>
              <w:left w:w="15" w:type="dxa"/>
              <w:bottom w:w="15" w:type="dxa"/>
              <w:right w:w="15" w:type="dxa"/>
            </w:tcMar>
            <w:vAlign w:val="center"/>
          </w:tcPr>
          <w:p w14:paraId="72E5779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给予警告，责令限期改正，并可处1.7万元以上2万元以下的罚款。</w:t>
            </w:r>
          </w:p>
        </w:tc>
      </w:tr>
      <w:tr w14:paraId="1B30421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9" w:hRule="atLeast"/>
          <w:jc w:val="center"/>
        </w:trPr>
        <w:tc>
          <w:tcPr>
            <w:tcW w:w="443" w:type="dxa"/>
            <w:gridSpan w:val="2"/>
            <w:vMerge w:val="restart"/>
            <w:tcBorders>
              <w:tl2br w:val="nil"/>
              <w:tr2bl w:val="nil"/>
            </w:tcBorders>
            <w:vAlign w:val="center"/>
          </w:tcPr>
          <w:p w14:paraId="7BF0AA52">
            <w:pPr>
              <w:keepNext w:val="0"/>
              <w:keepLines w:val="0"/>
              <w:pageBreakBefore w:val="0"/>
              <w:widowControl/>
              <w:numPr>
                <w:ilvl w:val="0"/>
                <w:numId w:val="6"/>
              </w:numPr>
              <w:suppressLineNumbers w:val="0"/>
              <w:tabs>
                <w:tab w:val="clear" w:pos="397"/>
              </w:tabs>
              <w:kinsoku/>
              <w:overflowPunct/>
              <w:topLinePunct w:val="0"/>
              <w:autoSpaceDE/>
              <w:autoSpaceDN/>
              <w:bidi w:val="0"/>
              <w:adjustRightInd/>
              <w:snapToGrid/>
              <w:spacing w:beforeAutospacing="0" w:afterAutospacing="0" w:line="260" w:lineRule="exact"/>
              <w:ind w:left="638" w:leftChars="88" w:right="0" w:rightChars="0" w:hanging="453" w:hangingChars="349"/>
              <w:jc w:val="center"/>
              <w:textAlignment w:val="center"/>
              <w:rPr>
                <w:rFonts w:hint="default" w:ascii="仿宋_GB2312" w:hAnsi="宋体" w:eastAsia="仿宋_GB2312"/>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254</w:t>
            </w:r>
          </w:p>
        </w:tc>
        <w:tc>
          <w:tcPr>
            <w:tcW w:w="1550" w:type="dxa"/>
            <w:vMerge w:val="restart"/>
            <w:tcBorders>
              <w:tl2br w:val="nil"/>
              <w:tr2bl w:val="nil"/>
            </w:tcBorders>
            <w:vAlign w:val="center"/>
          </w:tcPr>
          <w:p w14:paraId="1A6BD51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分支机构不具备以下条件：</w:t>
            </w:r>
          </w:p>
          <w:p w14:paraId="2CE1228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（一）名称采用“房地产估价机构名称+分支机构所在地行政区划名+分公司（分所）”的形式；</w:t>
            </w:r>
          </w:p>
          <w:p w14:paraId="4682924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（二）分支机构负责人应当是注册后从事房地产估价工作3年以上并无不良执业记录的专职注册房地产估价师；</w:t>
            </w:r>
          </w:p>
          <w:p w14:paraId="67BEBCD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（三）在分支机构所在地有3名以上专职注册房地产估价师；</w:t>
            </w:r>
          </w:p>
          <w:p w14:paraId="2ACB858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（四）有固定的经营服务场所；</w:t>
            </w:r>
          </w:p>
          <w:p w14:paraId="0B37B0F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（五）估价质量管理、估价档案管理、财务管理等各项内部管理制度健全。</w:t>
            </w:r>
          </w:p>
        </w:tc>
        <w:tc>
          <w:tcPr>
            <w:tcW w:w="4820" w:type="dxa"/>
            <w:vMerge w:val="restart"/>
            <w:tcBorders>
              <w:tl2br w:val="nil"/>
              <w:tr2bl w:val="nil"/>
            </w:tcBorders>
            <w:vAlign w:val="center"/>
          </w:tcPr>
          <w:p w14:paraId="039184F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《房地产估价机构管理办法》</w:t>
            </w:r>
            <w:r>
              <w:rPr>
                <w:rFonts w:hint="eastAsia" w:ascii="仿宋_GB2312" w:hAnsi="宋体" w:eastAsia="仿宋_GB2312" w:cs="Times New Roman"/>
                <w:b/>
                <w:bCs/>
                <w:color w:val="auto"/>
                <w:kern w:val="0"/>
                <w:sz w:val="13"/>
                <w:szCs w:val="13"/>
                <w:highlight w:val="none"/>
              </w:rPr>
              <w:t>第四十九条</w:t>
            </w:r>
            <w:r>
              <w:rPr>
                <w:rFonts w:hint="eastAsia" w:ascii="仿宋_GB2312" w:hAnsi="宋体" w:eastAsia="仿宋_GB2312" w:cs="Times New Roman"/>
                <w:b/>
                <w:bCs/>
                <w:color w:val="auto"/>
                <w:kern w:val="0"/>
                <w:sz w:val="13"/>
                <w:szCs w:val="13"/>
                <w:highlight w:val="none"/>
                <w:lang w:eastAsia="zh-CN"/>
              </w:rPr>
              <w:t>（二）</w:t>
            </w:r>
            <w:r>
              <w:rPr>
                <w:rFonts w:hint="eastAsia" w:ascii="仿宋_GB2312" w:hAnsi="宋体" w:eastAsia="仿宋_GB2312" w:cs="Times New Roman"/>
                <w:b/>
                <w:bCs/>
                <w:color w:val="auto"/>
                <w:kern w:val="0"/>
                <w:sz w:val="13"/>
                <w:szCs w:val="13"/>
                <w:highlight w:val="none"/>
              </w:rPr>
              <w:t>项：</w:t>
            </w:r>
            <w:r>
              <w:rPr>
                <w:rFonts w:hint="eastAsia" w:ascii="仿宋_GB2312" w:hAnsi="宋体" w:eastAsia="仿宋_GB2312" w:cs="Times New Roman"/>
                <w:color w:val="auto"/>
                <w:kern w:val="0"/>
                <w:sz w:val="13"/>
                <w:szCs w:val="13"/>
                <w:highlight w:val="none"/>
              </w:rPr>
              <w:t>有下列行为之一的，由县级以上地方人民政府房地产主管部门给予警告，责令限期改正，并可处1万元以上2万元以下的罚款：</w:t>
            </w:r>
          </w:p>
          <w:p w14:paraId="2F07318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0" w:firstLineChars="200"/>
              <w:jc w:val="left"/>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lang w:eastAsia="zh-CN"/>
              </w:rPr>
              <w:t>（</w:t>
            </w:r>
            <w:r>
              <w:rPr>
                <w:rFonts w:hint="eastAsia" w:ascii="仿宋_GB2312" w:hAnsi="宋体" w:eastAsia="仿宋_GB2312" w:cs="Times New Roman"/>
                <w:color w:val="auto"/>
                <w:kern w:val="0"/>
                <w:sz w:val="13"/>
                <w:szCs w:val="13"/>
                <w:highlight w:val="none"/>
                <w:lang w:val="en-US" w:eastAsia="zh-CN"/>
              </w:rPr>
              <w:t>二</w:t>
            </w:r>
            <w:r>
              <w:rPr>
                <w:rFonts w:hint="eastAsia" w:ascii="仿宋_GB2312" w:hAnsi="宋体" w:eastAsia="仿宋_GB2312" w:cs="Times New Roman"/>
                <w:color w:val="auto"/>
                <w:kern w:val="0"/>
                <w:sz w:val="13"/>
                <w:szCs w:val="13"/>
                <w:highlight w:val="none"/>
                <w:lang w:eastAsia="zh-CN"/>
              </w:rPr>
              <w:t>）</w:t>
            </w:r>
            <w:r>
              <w:rPr>
                <w:rFonts w:hint="eastAsia" w:ascii="仿宋_GB2312" w:hAnsi="宋体" w:eastAsia="仿宋_GB2312" w:cs="Times New Roman"/>
                <w:color w:val="auto"/>
                <w:kern w:val="0"/>
                <w:sz w:val="13"/>
                <w:szCs w:val="13"/>
                <w:highlight w:val="none"/>
              </w:rPr>
              <w:t>违反本办法第二十一条规定设立分支机构的。</w:t>
            </w:r>
          </w:p>
          <w:p w14:paraId="68CE473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1" w:firstLineChars="200"/>
              <w:jc w:val="left"/>
              <w:textAlignment w:val="center"/>
              <w:rPr>
                <w:rFonts w:ascii="仿宋_GB2312" w:hAnsi="宋体" w:eastAsia="仿宋_GB2312" w:cs="Times New Roman"/>
                <w:color w:val="auto"/>
                <w:kern w:val="0"/>
                <w:sz w:val="13"/>
                <w:szCs w:val="13"/>
                <w:highlight w:val="none"/>
              </w:rPr>
            </w:pPr>
            <w:r>
              <w:rPr>
                <w:rFonts w:ascii="仿宋_GB2312" w:hAnsi="宋体" w:eastAsia="仿宋_GB2312" w:cs="Times New Roman"/>
                <w:b/>
                <w:bCs/>
                <w:color w:val="auto"/>
                <w:kern w:val="0"/>
                <w:sz w:val="13"/>
                <w:szCs w:val="13"/>
                <w:highlight w:val="none"/>
              </w:rPr>
              <w:t>第二十一条</w:t>
            </w:r>
            <w:r>
              <w:rPr>
                <w:rFonts w:hint="eastAsia" w:ascii="仿宋_GB2312" w:hAnsi="宋体" w:eastAsia="仿宋_GB2312" w:cs="Times New Roman"/>
                <w:b/>
                <w:bCs/>
                <w:color w:val="auto"/>
                <w:kern w:val="0"/>
                <w:sz w:val="13"/>
                <w:szCs w:val="13"/>
                <w:highlight w:val="none"/>
              </w:rPr>
              <w:t>第一款</w:t>
            </w:r>
            <w:r>
              <w:rPr>
                <w:rFonts w:hint="eastAsia" w:ascii="仿宋_GB2312" w:hAnsi="宋体" w:eastAsia="仿宋_GB2312" w:cs="Times New Roman"/>
                <w:b/>
                <w:bCs/>
                <w:color w:val="auto"/>
                <w:kern w:val="0"/>
                <w:sz w:val="13"/>
                <w:szCs w:val="13"/>
                <w:highlight w:val="none"/>
                <w:lang w:eastAsia="zh-CN"/>
              </w:rPr>
              <w:t>：</w:t>
            </w:r>
            <w:r>
              <w:rPr>
                <w:rFonts w:ascii="仿宋_GB2312" w:hAnsi="宋体" w:eastAsia="仿宋_GB2312" w:cs="Times New Roman"/>
                <w:color w:val="auto"/>
                <w:kern w:val="0"/>
                <w:sz w:val="13"/>
                <w:szCs w:val="13"/>
                <w:highlight w:val="none"/>
              </w:rPr>
              <w:t>分支机构应当具备下列条件：</w:t>
            </w:r>
          </w:p>
          <w:p w14:paraId="23DCD45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0" w:firstLineChars="200"/>
              <w:jc w:val="left"/>
              <w:textAlignment w:val="center"/>
              <w:rPr>
                <w:rFonts w:ascii="仿宋_GB2312" w:hAnsi="宋体" w:eastAsia="仿宋_GB2312" w:cs="Times New Roman"/>
                <w:color w:val="auto"/>
                <w:kern w:val="0"/>
                <w:sz w:val="13"/>
                <w:szCs w:val="13"/>
                <w:highlight w:val="none"/>
              </w:rPr>
            </w:pPr>
            <w:r>
              <w:rPr>
                <w:rFonts w:ascii="仿宋_GB2312" w:hAnsi="宋体" w:eastAsia="仿宋_GB2312" w:cs="Times New Roman"/>
                <w:color w:val="auto"/>
                <w:kern w:val="0"/>
                <w:sz w:val="13"/>
                <w:szCs w:val="13"/>
                <w:highlight w:val="none"/>
              </w:rPr>
              <w:t>（一）名称采用“房地产估价机构名称+分支机构所在地行政区划名+分公司（分所）”的形式；</w:t>
            </w:r>
          </w:p>
          <w:p w14:paraId="45D3BB9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0" w:firstLineChars="200"/>
              <w:jc w:val="left"/>
              <w:textAlignment w:val="center"/>
              <w:rPr>
                <w:rFonts w:ascii="仿宋_GB2312" w:hAnsi="宋体" w:eastAsia="仿宋_GB2312" w:cs="Times New Roman"/>
                <w:color w:val="auto"/>
                <w:kern w:val="0"/>
                <w:sz w:val="13"/>
                <w:szCs w:val="13"/>
                <w:highlight w:val="none"/>
              </w:rPr>
            </w:pPr>
            <w:r>
              <w:rPr>
                <w:rFonts w:ascii="仿宋_GB2312" w:hAnsi="宋体" w:eastAsia="仿宋_GB2312" w:cs="Times New Roman"/>
                <w:color w:val="auto"/>
                <w:kern w:val="0"/>
                <w:sz w:val="13"/>
                <w:szCs w:val="13"/>
                <w:highlight w:val="none"/>
              </w:rPr>
              <w:t>（二）分支机构负责人应当是注册后从事房地产估价工作3年以上并无不良执业记录的专职注册房地产估价师；</w:t>
            </w:r>
          </w:p>
          <w:p w14:paraId="5EAC321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0" w:firstLineChars="200"/>
              <w:jc w:val="left"/>
              <w:textAlignment w:val="center"/>
              <w:rPr>
                <w:rFonts w:ascii="仿宋_GB2312" w:hAnsi="宋体" w:eastAsia="仿宋_GB2312" w:cs="Times New Roman"/>
                <w:color w:val="auto"/>
                <w:kern w:val="0"/>
                <w:sz w:val="13"/>
                <w:szCs w:val="13"/>
                <w:highlight w:val="none"/>
              </w:rPr>
            </w:pPr>
            <w:r>
              <w:rPr>
                <w:rFonts w:ascii="仿宋_GB2312" w:hAnsi="宋体" w:eastAsia="仿宋_GB2312" w:cs="Times New Roman"/>
                <w:color w:val="auto"/>
                <w:kern w:val="0"/>
                <w:sz w:val="13"/>
                <w:szCs w:val="13"/>
                <w:highlight w:val="none"/>
              </w:rPr>
              <w:t>（三）在分支机构所在地有3名以上专职注册房地产估价师；</w:t>
            </w:r>
          </w:p>
          <w:p w14:paraId="5148D92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0" w:firstLineChars="200"/>
              <w:jc w:val="left"/>
              <w:textAlignment w:val="center"/>
              <w:rPr>
                <w:rFonts w:ascii="仿宋_GB2312" w:hAnsi="宋体" w:eastAsia="仿宋_GB2312" w:cs="Times New Roman"/>
                <w:color w:val="auto"/>
                <w:kern w:val="0"/>
                <w:sz w:val="13"/>
                <w:szCs w:val="13"/>
                <w:highlight w:val="none"/>
              </w:rPr>
            </w:pPr>
            <w:r>
              <w:rPr>
                <w:rFonts w:ascii="仿宋_GB2312" w:hAnsi="宋体" w:eastAsia="仿宋_GB2312" w:cs="Times New Roman"/>
                <w:color w:val="auto"/>
                <w:kern w:val="0"/>
                <w:sz w:val="13"/>
                <w:szCs w:val="13"/>
                <w:highlight w:val="none"/>
              </w:rPr>
              <w:t>（四）有固定的经营服务场所；</w:t>
            </w:r>
          </w:p>
          <w:p w14:paraId="60CAD42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0" w:firstLineChars="200"/>
              <w:jc w:val="left"/>
              <w:textAlignment w:val="center"/>
              <w:rPr>
                <w:rFonts w:ascii="仿宋_GB2312" w:hAnsi="宋体" w:eastAsia="仿宋_GB2312" w:cs="Times New Roman"/>
                <w:color w:val="auto"/>
                <w:kern w:val="0"/>
                <w:sz w:val="13"/>
                <w:szCs w:val="13"/>
                <w:highlight w:val="none"/>
              </w:rPr>
            </w:pPr>
            <w:r>
              <w:rPr>
                <w:rFonts w:ascii="仿宋_GB2312" w:hAnsi="宋体" w:eastAsia="仿宋_GB2312" w:cs="Times New Roman"/>
                <w:color w:val="auto"/>
                <w:kern w:val="0"/>
                <w:sz w:val="13"/>
                <w:szCs w:val="13"/>
                <w:highlight w:val="none"/>
              </w:rPr>
              <w:t>（五）估价质量管理、估价档案管理、财务管理等各项内部管理制度健全。</w:t>
            </w:r>
          </w:p>
          <w:p w14:paraId="2F6A8D3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823" w:type="dxa"/>
            <w:tcBorders>
              <w:tl2br w:val="nil"/>
              <w:tr2bl w:val="nil"/>
            </w:tcBorders>
            <w:tcMar>
              <w:top w:w="15" w:type="dxa"/>
              <w:left w:w="15" w:type="dxa"/>
              <w:bottom w:w="15" w:type="dxa"/>
              <w:right w:w="15" w:type="dxa"/>
            </w:tcMar>
            <w:vAlign w:val="center"/>
          </w:tcPr>
          <w:p w14:paraId="0C1A219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s="Times New Roman"/>
                <w:color w:val="auto"/>
                <w:kern w:val="0"/>
                <w:sz w:val="13"/>
                <w:szCs w:val="13"/>
                <w:highlight w:val="none"/>
                <w:lang w:eastAsia="zh-CN"/>
              </w:rPr>
              <w:t>从轻情节</w:t>
            </w:r>
          </w:p>
        </w:tc>
        <w:tc>
          <w:tcPr>
            <w:tcW w:w="3437" w:type="dxa"/>
            <w:gridSpan w:val="2"/>
            <w:tcBorders>
              <w:tl2br w:val="nil"/>
              <w:tr2bl w:val="nil"/>
            </w:tcBorders>
            <w:tcMar>
              <w:top w:w="15" w:type="dxa"/>
              <w:left w:w="15" w:type="dxa"/>
              <w:bottom w:w="15" w:type="dxa"/>
              <w:right w:w="15" w:type="dxa"/>
            </w:tcMar>
            <w:vAlign w:val="center"/>
          </w:tcPr>
          <w:p w14:paraId="497D42E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jc w:val="left"/>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有1个条件不具备的。</w:t>
            </w:r>
          </w:p>
        </w:tc>
        <w:tc>
          <w:tcPr>
            <w:tcW w:w="3058" w:type="dxa"/>
            <w:tcBorders>
              <w:tl2br w:val="nil"/>
              <w:tr2bl w:val="nil"/>
            </w:tcBorders>
            <w:tcMar>
              <w:top w:w="15" w:type="dxa"/>
              <w:left w:w="15" w:type="dxa"/>
              <w:bottom w:w="15" w:type="dxa"/>
              <w:right w:w="15" w:type="dxa"/>
            </w:tcMar>
            <w:vAlign w:val="center"/>
          </w:tcPr>
          <w:p w14:paraId="2A96D78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jc w:val="left"/>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给予警告，责令限期改正，并可处1万元以上1.3万元以下的罚款。</w:t>
            </w:r>
          </w:p>
        </w:tc>
      </w:tr>
      <w:tr w14:paraId="4801A42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9" w:hRule="atLeast"/>
          <w:jc w:val="center"/>
        </w:trPr>
        <w:tc>
          <w:tcPr>
            <w:tcW w:w="443" w:type="dxa"/>
            <w:gridSpan w:val="2"/>
            <w:vMerge w:val="continue"/>
            <w:tcBorders>
              <w:tl2br w:val="nil"/>
              <w:tr2bl w:val="nil"/>
            </w:tcBorders>
            <w:vAlign w:val="center"/>
          </w:tcPr>
          <w:p w14:paraId="03D05A8D">
            <w:pPr>
              <w:pStyle w:val="37"/>
              <w:keepNext w:val="0"/>
              <w:keepLines w:val="0"/>
              <w:pageBreakBefore w:val="0"/>
              <w:widowControl/>
              <w:numPr>
                <w:ilvl w:val="0"/>
                <w:numId w:val="4"/>
              </w:numPr>
              <w:kinsoku/>
              <w:overflowPunct/>
              <w:topLinePunct w:val="0"/>
              <w:autoSpaceDE/>
              <w:autoSpaceDN/>
              <w:bidi w:val="0"/>
              <w:adjustRightInd/>
              <w:snapToGrid/>
              <w:spacing w:beforeAutospacing="0" w:afterAutospacing="0" w:line="260" w:lineRule="exact"/>
              <w:ind w:left="638" w:leftChars="88" w:right="0" w:rightChars="0" w:hanging="453" w:hangingChars="349"/>
              <w:jc w:val="center"/>
              <w:rPr>
                <w:rFonts w:ascii="仿宋_GB2312" w:hAnsi="宋体" w:eastAsia="仿宋_GB2312"/>
                <w:color w:val="auto"/>
                <w:sz w:val="13"/>
                <w:szCs w:val="13"/>
                <w:highlight w:val="none"/>
              </w:rPr>
            </w:pPr>
          </w:p>
        </w:tc>
        <w:tc>
          <w:tcPr>
            <w:tcW w:w="1550" w:type="dxa"/>
            <w:vMerge w:val="continue"/>
            <w:tcBorders>
              <w:tl2br w:val="nil"/>
              <w:tr2bl w:val="nil"/>
            </w:tcBorders>
            <w:vAlign w:val="center"/>
          </w:tcPr>
          <w:p w14:paraId="3FA3537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center"/>
              <w:textAlignment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4D003C6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olor w:val="auto"/>
                <w:kern w:val="0"/>
                <w:sz w:val="13"/>
                <w:szCs w:val="13"/>
                <w:highlight w:val="none"/>
              </w:rPr>
            </w:pPr>
          </w:p>
        </w:tc>
        <w:tc>
          <w:tcPr>
            <w:tcW w:w="823" w:type="dxa"/>
            <w:tcBorders>
              <w:tl2br w:val="nil"/>
              <w:tr2bl w:val="nil"/>
            </w:tcBorders>
            <w:tcMar>
              <w:top w:w="15" w:type="dxa"/>
              <w:left w:w="15" w:type="dxa"/>
              <w:bottom w:w="15" w:type="dxa"/>
              <w:right w:w="15" w:type="dxa"/>
            </w:tcMar>
            <w:vAlign w:val="center"/>
          </w:tcPr>
          <w:p w14:paraId="784E468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s="Times New Roman"/>
                <w:color w:val="auto"/>
                <w:kern w:val="0"/>
                <w:sz w:val="13"/>
                <w:szCs w:val="13"/>
                <w:highlight w:val="none"/>
                <w:lang w:eastAsia="zh-CN"/>
              </w:rPr>
              <w:t>一般情节</w:t>
            </w:r>
          </w:p>
        </w:tc>
        <w:tc>
          <w:tcPr>
            <w:tcW w:w="3437" w:type="dxa"/>
            <w:gridSpan w:val="2"/>
            <w:tcBorders>
              <w:tl2br w:val="nil"/>
              <w:tr2bl w:val="nil"/>
            </w:tcBorders>
            <w:tcMar>
              <w:top w:w="15" w:type="dxa"/>
              <w:left w:w="15" w:type="dxa"/>
              <w:bottom w:w="15" w:type="dxa"/>
              <w:right w:w="15" w:type="dxa"/>
            </w:tcMar>
            <w:vAlign w:val="center"/>
          </w:tcPr>
          <w:p w14:paraId="44E1AAE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jc w:val="left"/>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有2个条件不具备的。</w:t>
            </w:r>
          </w:p>
        </w:tc>
        <w:tc>
          <w:tcPr>
            <w:tcW w:w="3058" w:type="dxa"/>
            <w:tcBorders>
              <w:tl2br w:val="nil"/>
              <w:tr2bl w:val="nil"/>
            </w:tcBorders>
            <w:tcMar>
              <w:top w:w="15" w:type="dxa"/>
              <w:left w:w="15" w:type="dxa"/>
              <w:bottom w:w="15" w:type="dxa"/>
              <w:right w:w="15" w:type="dxa"/>
            </w:tcMar>
            <w:vAlign w:val="center"/>
          </w:tcPr>
          <w:p w14:paraId="3CCF95B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jc w:val="left"/>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给予警告，责令限期改正，并可处1.3万元以上1.7万元以下的罚款。</w:t>
            </w:r>
          </w:p>
        </w:tc>
      </w:tr>
      <w:tr w14:paraId="1BE7096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614" w:hRule="atLeast"/>
          <w:jc w:val="center"/>
        </w:trPr>
        <w:tc>
          <w:tcPr>
            <w:tcW w:w="443" w:type="dxa"/>
            <w:gridSpan w:val="2"/>
            <w:vMerge w:val="continue"/>
            <w:tcBorders>
              <w:tl2br w:val="nil"/>
              <w:tr2bl w:val="nil"/>
            </w:tcBorders>
            <w:vAlign w:val="center"/>
          </w:tcPr>
          <w:p w14:paraId="4BE9DE6A">
            <w:pPr>
              <w:pStyle w:val="37"/>
              <w:keepNext w:val="0"/>
              <w:keepLines w:val="0"/>
              <w:pageBreakBefore w:val="0"/>
              <w:widowControl/>
              <w:numPr>
                <w:ilvl w:val="0"/>
                <w:numId w:val="4"/>
              </w:numPr>
              <w:kinsoku/>
              <w:overflowPunct/>
              <w:topLinePunct w:val="0"/>
              <w:autoSpaceDE/>
              <w:autoSpaceDN/>
              <w:bidi w:val="0"/>
              <w:adjustRightInd/>
              <w:snapToGrid/>
              <w:spacing w:beforeAutospacing="0" w:afterAutospacing="0" w:line="260" w:lineRule="exact"/>
              <w:ind w:left="638" w:leftChars="88" w:right="0" w:rightChars="0" w:hanging="453" w:hangingChars="349"/>
              <w:jc w:val="center"/>
              <w:rPr>
                <w:rFonts w:ascii="仿宋_GB2312" w:hAnsi="宋体" w:eastAsia="仿宋_GB2312"/>
                <w:color w:val="auto"/>
                <w:sz w:val="13"/>
                <w:szCs w:val="13"/>
                <w:highlight w:val="none"/>
              </w:rPr>
            </w:pPr>
          </w:p>
        </w:tc>
        <w:tc>
          <w:tcPr>
            <w:tcW w:w="1550" w:type="dxa"/>
            <w:vMerge w:val="continue"/>
            <w:tcBorders>
              <w:tl2br w:val="nil"/>
              <w:tr2bl w:val="nil"/>
            </w:tcBorders>
            <w:vAlign w:val="center"/>
          </w:tcPr>
          <w:p w14:paraId="4D3ADD4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center"/>
              <w:textAlignment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230EDE5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olor w:val="auto"/>
                <w:kern w:val="0"/>
                <w:sz w:val="13"/>
                <w:szCs w:val="13"/>
                <w:highlight w:val="none"/>
              </w:rPr>
            </w:pPr>
          </w:p>
        </w:tc>
        <w:tc>
          <w:tcPr>
            <w:tcW w:w="823" w:type="dxa"/>
            <w:tcBorders>
              <w:tl2br w:val="nil"/>
              <w:tr2bl w:val="nil"/>
            </w:tcBorders>
            <w:tcMar>
              <w:top w:w="15" w:type="dxa"/>
              <w:left w:w="15" w:type="dxa"/>
              <w:bottom w:w="15" w:type="dxa"/>
              <w:right w:w="15" w:type="dxa"/>
            </w:tcMar>
            <w:vAlign w:val="center"/>
          </w:tcPr>
          <w:p w14:paraId="3B25DE5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s="Times New Roman"/>
                <w:color w:val="auto"/>
                <w:kern w:val="0"/>
                <w:sz w:val="13"/>
                <w:szCs w:val="13"/>
                <w:highlight w:val="none"/>
                <w:lang w:eastAsia="zh-CN"/>
              </w:rPr>
              <w:t>从重情节</w:t>
            </w:r>
          </w:p>
        </w:tc>
        <w:tc>
          <w:tcPr>
            <w:tcW w:w="3437" w:type="dxa"/>
            <w:gridSpan w:val="2"/>
            <w:tcBorders>
              <w:tl2br w:val="nil"/>
              <w:tr2bl w:val="nil"/>
            </w:tcBorders>
            <w:tcMar>
              <w:top w:w="15" w:type="dxa"/>
              <w:left w:w="15" w:type="dxa"/>
              <w:bottom w:w="15" w:type="dxa"/>
              <w:right w:w="15" w:type="dxa"/>
            </w:tcMar>
            <w:vAlign w:val="center"/>
          </w:tcPr>
          <w:p w14:paraId="78737C8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jc w:val="left"/>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有3个以上条件不具备的。</w:t>
            </w:r>
          </w:p>
        </w:tc>
        <w:tc>
          <w:tcPr>
            <w:tcW w:w="3058" w:type="dxa"/>
            <w:tcBorders>
              <w:tl2br w:val="nil"/>
              <w:tr2bl w:val="nil"/>
            </w:tcBorders>
            <w:tcMar>
              <w:top w:w="15" w:type="dxa"/>
              <w:left w:w="15" w:type="dxa"/>
              <w:bottom w:w="15" w:type="dxa"/>
              <w:right w:w="15" w:type="dxa"/>
            </w:tcMar>
            <w:vAlign w:val="center"/>
          </w:tcPr>
          <w:p w14:paraId="1AB072A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jc w:val="left"/>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给予警告，责令限期改正，并可处1.7万元以上2万元以下的罚款。</w:t>
            </w:r>
          </w:p>
        </w:tc>
      </w:tr>
      <w:tr w14:paraId="251A505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9" w:hRule="atLeast"/>
          <w:jc w:val="center"/>
        </w:trPr>
        <w:tc>
          <w:tcPr>
            <w:tcW w:w="443" w:type="dxa"/>
            <w:gridSpan w:val="2"/>
            <w:vMerge w:val="restart"/>
            <w:tcBorders>
              <w:tl2br w:val="nil"/>
              <w:tr2bl w:val="nil"/>
            </w:tcBorders>
            <w:vAlign w:val="center"/>
          </w:tcPr>
          <w:p w14:paraId="30E4000F">
            <w:pPr>
              <w:keepNext w:val="0"/>
              <w:keepLines w:val="0"/>
              <w:pageBreakBefore w:val="0"/>
              <w:widowControl/>
              <w:numPr>
                <w:ilvl w:val="0"/>
                <w:numId w:val="6"/>
              </w:numPr>
              <w:suppressLineNumbers w:val="0"/>
              <w:tabs>
                <w:tab w:val="clear" w:pos="397"/>
              </w:tabs>
              <w:kinsoku/>
              <w:overflowPunct/>
              <w:topLinePunct w:val="0"/>
              <w:autoSpaceDE/>
              <w:autoSpaceDN/>
              <w:bidi w:val="0"/>
              <w:adjustRightInd/>
              <w:snapToGrid/>
              <w:spacing w:beforeAutospacing="0" w:afterAutospacing="0" w:line="260" w:lineRule="exact"/>
              <w:ind w:left="638" w:leftChars="88" w:right="0" w:rightChars="0" w:hanging="453" w:hangingChars="349"/>
              <w:jc w:val="center"/>
              <w:textAlignment w:val="center"/>
              <w:rPr>
                <w:rFonts w:hint="default" w:ascii="仿宋_GB2312" w:hAnsi="宋体" w:eastAsia="仿宋_GB2312"/>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255</w:t>
            </w:r>
          </w:p>
        </w:tc>
        <w:tc>
          <w:tcPr>
            <w:tcW w:w="1550" w:type="dxa"/>
            <w:vMerge w:val="restart"/>
            <w:tcBorders>
              <w:tl2br w:val="nil"/>
              <w:tr2bl w:val="nil"/>
            </w:tcBorders>
            <w:vAlign w:val="center"/>
          </w:tcPr>
          <w:p w14:paraId="16125AC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新设立的分支机构，自领取分支机构营业执照之日起30日内不备案的</w:t>
            </w:r>
          </w:p>
        </w:tc>
        <w:tc>
          <w:tcPr>
            <w:tcW w:w="4820" w:type="dxa"/>
            <w:vMerge w:val="restart"/>
            <w:tcBorders>
              <w:tl2br w:val="nil"/>
              <w:tr2bl w:val="nil"/>
            </w:tcBorders>
            <w:vAlign w:val="center"/>
          </w:tcPr>
          <w:p w14:paraId="322D8C5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《房地产估价机构管理办法》</w:t>
            </w:r>
            <w:r>
              <w:rPr>
                <w:rFonts w:hint="eastAsia" w:ascii="仿宋_GB2312" w:hAnsi="宋体" w:eastAsia="仿宋_GB2312" w:cs="Times New Roman"/>
                <w:b/>
                <w:bCs/>
                <w:color w:val="auto"/>
                <w:kern w:val="0"/>
                <w:sz w:val="13"/>
                <w:szCs w:val="13"/>
                <w:highlight w:val="none"/>
              </w:rPr>
              <w:t>第四十九条</w:t>
            </w:r>
            <w:r>
              <w:rPr>
                <w:rFonts w:hint="eastAsia" w:ascii="仿宋_GB2312" w:hAnsi="宋体" w:eastAsia="仿宋_GB2312" w:cs="Times New Roman"/>
                <w:b/>
                <w:bCs/>
                <w:color w:val="auto"/>
                <w:kern w:val="0"/>
                <w:sz w:val="13"/>
                <w:szCs w:val="13"/>
                <w:highlight w:val="none"/>
                <w:lang w:eastAsia="zh-CN"/>
              </w:rPr>
              <w:t>（三）</w:t>
            </w:r>
            <w:r>
              <w:rPr>
                <w:rFonts w:hint="eastAsia" w:ascii="仿宋_GB2312" w:hAnsi="宋体" w:eastAsia="仿宋_GB2312" w:cs="Times New Roman"/>
                <w:b/>
                <w:bCs/>
                <w:color w:val="auto"/>
                <w:kern w:val="0"/>
                <w:sz w:val="13"/>
                <w:szCs w:val="13"/>
                <w:highlight w:val="none"/>
              </w:rPr>
              <w:t>项：</w:t>
            </w:r>
            <w:r>
              <w:rPr>
                <w:rFonts w:hint="eastAsia" w:ascii="仿宋_GB2312" w:hAnsi="宋体" w:eastAsia="仿宋_GB2312" w:cs="Times New Roman"/>
                <w:color w:val="auto"/>
                <w:kern w:val="0"/>
                <w:sz w:val="13"/>
                <w:szCs w:val="13"/>
                <w:highlight w:val="none"/>
              </w:rPr>
              <w:t>有下列行为之一的，由县级以上地方人民政府房地产主管部门给予警告，责令限期改正，并可处1万元以上2万元以下的罚款：</w:t>
            </w:r>
          </w:p>
          <w:p w14:paraId="47C9BC4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0" w:firstLineChars="200"/>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lang w:eastAsia="zh-CN"/>
              </w:rPr>
              <w:t>（</w:t>
            </w:r>
            <w:r>
              <w:rPr>
                <w:rFonts w:hint="eastAsia" w:ascii="仿宋_GB2312" w:hAnsi="宋体" w:eastAsia="仿宋_GB2312" w:cs="Times New Roman"/>
                <w:color w:val="auto"/>
                <w:kern w:val="0"/>
                <w:sz w:val="13"/>
                <w:szCs w:val="13"/>
                <w:highlight w:val="none"/>
                <w:lang w:val="en-US" w:eastAsia="zh-CN"/>
              </w:rPr>
              <w:t>三</w:t>
            </w:r>
            <w:r>
              <w:rPr>
                <w:rFonts w:hint="eastAsia" w:ascii="仿宋_GB2312" w:hAnsi="宋体" w:eastAsia="仿宋_GB2312" w:cs="Times New Roman"/>
                <w:color w:val="auto"/>
                <w:kern w:val="0"/>
                <w:sz w:val="13"/>
                <w:szCs w:val="13"/>
                <w:highlight w:val="none"/>
                <w:lang w:eastAsia="zh-CN"/>
              </w:rPr>
              <w:t>）</w:t>
            </w:r>
            <w:r>
              <w:rPr>
                <w:rFonts w:hint="eastAsia" w:ascii="仿宋_GB2312" w:hAnsi="宋体" w:eastAsia="仿宋_GB2312" w:cs="Times New Roman"/>
                <w:color w:val="auto"/>
                <w:kern w:val="0"/>
                <w:sz w:val="13"/>
                <w:szCs w:val="13"/>
                <w:highlight w:val="none"/>
              </w:rPr>
              <w:t>违反本办法第二十二条第一款规定，新设立的分支机构不备案的。</w:t>
            </w:r>
          </w:p>
          <w:p w14:paraId="06FC8F7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1" w:firstLineChars="200"/>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b/>
                <w:bCs/>
                <w:color w:val="auto"/>
                <w:kern w:val="0"/>
                <w:sz w:val="13"/>
                <w:szCs w:val="13"/>
                <w:highlight w:val="none"/>
              </w:rPr>
              <w:t>第二十二条第一款</w:t>
            </w:r>
            <w:r>
              <w:rPr>
                <w:rFonts w:hint="eastAsia" w:ascii="仿宋_GB2312" w:hAnsi="宋体" w:eastAsia="仿宋_GB2312" w:cs="Times New Roman"/>
                <w:b/>
                <w:bCs/>
                <w:color w:val="auto"/>
                <w:kern w:val="0"/>
                <w:sz w:val="13"/>
                <w:szCs w:val="13"/>
                <w:highlight w:val="none"/>
                <w:lang w:eastAsia="zh-CN"/>
              </w:rPr>
              <w:t>：</w:t>
            </w:r>
            <w:r>
              <w:rPr>
                <w:rFonts w:hint="eastAsia" w:ascii="仿宋_GB2312" w:hAnsi="宋体" w:eastAsia="仿宋_GB2312" w:cs="Times New Roman"/>
                <w:color w:val="auto"/>
                <w:kern w:val="0"/>
                <w:sz w:val="13"/>
                <w:szCs w:val="13"/>
                <w:highlight w:val="none"/>
              </w:rPr>
              <w:t>新设立的分支机构，应当自领取分支机构营业执照之日起30日内，到分支机构工商注册所在地的省、自治区人民政府住房城乡建设主管部门、直辖市人民政府房地产主管部门备案。</w:t>
            </w:r>
          </w:p>
        </w:tc>
        <w:tc>
          <w:tcPr>
            <w:tcW w:w="823" w:type="dxa"/>
            <w:tcBorders>
              <w:tl2br w:val="nil"/>
              <w:tr2bl w:val="nil"/>
            </w:tcBorders>
            <w:tcMar>
              <w:top w:w="15" w:type="dxa"/>
              <w:left w:w="15" w:type="dxa"/>
              <w:bottom w:w="15" w:type="dxa"/>
              <w:right w:w="15" w:type="dxa"/>
            </w:tcMar>
            <w:vAlign w:val="center"/>
          </w:tcPr>
          <w:p w14:paraId="4FE270B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s="Times New Roman"/>
                <w:color w:val="auto"/>
                <w:kern w:val="0"/>
                <w:sz w:val="13"/>
                <w:szCs w:val="13"/>
                <w:highlight w:val="none"/>
                <w:lang w:eastAsia="zh-CN"/>
              </w:rPr>
              <w:t>从轻情节</w:t>
            </w:r>
          </w:p>
        </w:tc>
        <w:tc>
          <w:tcPr>
            <w:tcW w:w="3437" w:type="dxa"/>
            <w:gridSpan w:val="2"/>
            <w:tcBorders>
              <w:tl2br w:val="nil"/>
              <w:tr2bl w:val="nil"/>
            </w:tcBorders>
            <w:tcMar>
              <w:top w:w="15" w:type="dxa"/>
              <w:left w:w="15" w:type="dxa"/>
              <w:bottom w:w="15" w:type="dxa"/>
              <w:right w:w="15" w:type="dxa"/>
            </w:tcMar>
            <w:vAlign w:val="center"/>
          </w:tcPr>
          <w:p w14:paraId="5D567F8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超过规定日期1个月以下备案的。</w:t>
            </w:r>
          </w:p>
        </w:tc>
        <w:tc>
          <w:tcPr>
            <w:tcW w:w="3058" w:type="dxa"/>
            <w:tcBorders>
              <w:tl2br w:val="nil"/>
              <w:tr2bl w:val="nil"/>
            </w:tcBorders>
            <w:tcMar>
              <w:top w:w="15" w:type="dxa"/>
              <w:left w:w="15" w:type="dxa"/>
              <w:bottom w:w="15" w:type="dxa"/>
              <w:right w:w="15" w:type="dxa"/>
            </w:tcMar>
            <w:vAlign w:val="center"/>
          </w:tcPr>
          <w:p w14:paraId="0E2CE51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给予警告，责令限期改正，并可处1万元以上1.3万元以下的罚款。</w:t>
            </w:r>
          </w:p>
        </w:tc>
      </w:tr>
      <w:tr w14:paraId="5B94BFA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9" w:hRule="atLeast"/>
          <w:jc w:val="center"/>
        </w:trPr>
        <w:tc>
          <w:tcPr>
            <w:tcW w:w="443" w:type="dxa"/>
            <w:gridSpan w:val="2"/>
            <w:vMerge w:val="continue"/>
            <w:tcBorders>
              <w:tl2br w:val="nil"/>
              <w:tr2bl w:val="nil"/>
            </w:tcBorders>
            <w:vAlign w:val="center"/>
          </w:tcPr>
          <w:p w14:paraId="363CD549">
            <w:pPr>
              <w:pStyle w:val="37"/>
              <w:keepNext w:val="0"/>
              <w:keepLines w:val="0"/>
              <w:pageBreakBefore w:val="0"/>
              <w:widowControl/>
              <w:numPr>
                <w:ilvl w:val="0"/>
                <w:numId w:val="4"/>
              </w:numPr>
              <w:kinsoku/>
              <w:overflowPunct/>
              <w:topLinePunct w:val="0"/>
              <w:autoSpaceDE/>
              <w:autoSpaceDN/>
              <w:bidi w:val="0"/>
              <w:adjustRightInd/>
              <w:snapToGrid/>
              <w:spacing w:beforeAutospacing="0" w:afterAutospacing="0" w:line="260" w:lineRule="exact"/>
              <w:ind w:left="638" w:leftChars="88" w:right="0" w:rightChars="0" w:hanging="453" w:hangingChars="349"/>
              <w:jc w:val="center"/>
              <w:rPr>
                <w:rFonts w:ascii="仿宋_GB2312" w:hAnsi="宋体" w:eastAsia="仿宋_GB2312"/>
                <w:color w:val="auto"/>
                <w:sz w:val="13"/>
                <w:szCs w:val="13"/>
                <w:highlight w:val="none"/>
              </w:rPr>
            </w:pPr>
          </w:p>
        </w:tc>
        <w:tc>
          <w:tcPr>
            <w:tcW w:w="1550" w:type="dxa"/>
            <w:vMerge w:val="continue"/>
            <w:tcBorders>
              <w:tl2br w:val="nil"/>
              <w:tr2bl w:val="nil"/>
            </w:tcBorders>
            <w:vAlign w:val="center"/>
          </w:tcPr>
          <w:p w14:paraId="0469DE1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0311214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strike/>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5C28B5D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s="Times New Roman"/>
                <w:color w:val="auto"/>
                <w:kern w:val="0"/>
                <w:sz w:val="13"/>
                <w:szCs w:val="13"/>
                <w:highlight w:val="none"/>
                <w:lang w:eastAsia="zh-CN"/>
              </w:rPr>
              <w:t>一般情节</w:t>
            </w:r>
          </w:p>
        </w:tc>
        <w:tc>
          <w:tcPr>
            <w:tcW w:w="3437" w:type="dxa"/>
            <w:gridSpan w:val="2"/>
            <w:tcBorders>
              <w:tl2br w:val="nil"/>
              <w:tr2bl w:val="nil"/>
            </w:tcBorders>
            <w:tcMar>
              <w:top w:w="15" w:type="dxa"/>
              <w:left w:w="15" w:type="dxa"/>
              <w:bottom w:w="15" w:type="dxa"/>
              <w:right w:w="15" w:type="dxa"/>
            </w:tcMar>
            <w:vAlign w:val="center"/>
          </w:tcPr>
          <w:p w14:paraId="3FDC55B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超过规定日期1个月以上2个月以下备案的。</w:t>
            </w:r>
          </w:p>
        </w:tc>
        <w:tc>
          <w:tcPr>
            <w:tcW w:w="3058" w:type="dxa"/>
            <w:tcBorders>
              <w:tl2br w:val="nil"/>
              <w:tr2bl w:val="nil"/>
            </w:tcBorders>
            <w:tcMar>
              <w:top w:w="15" w:type="dxa"/>
              <w:left w:w="15" w:type="dxa"/>
              <w:bottom w:w="15" w:type="dxa"/>
              <w:right w:w="15" w:type="dxa"/>
            </w:tcMar>
            <w:vAlign w:val="center"/>
          </w:tcPr>
          <w:p w14:paraId="41E7432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给予警告，责令限期改正，并可处1.3万元以上1.7万元以下的罚款。</w:t>
            </w:r>
          </w:p>
        </w:tc>
      </w:tr>
      <w:tr w14:paraId="482FA57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23" w:hRule="atLeast"/>
          <w:jc w:val="center"/>
        </w:trPr>
        <w:tc>
          <w:tcPr>
            <w:tcW w:w="443" w:type="dxa"/>
            <w:gridSpan w:val="2"/>
            <w:vMerge w:val="continue"/>
            <w:tcBorders>
              <w:tl2br w:val="nil"/>
              <w:tr2bl w:val="nil"/>
            </w:tcBorders>
            <w:vAlign w:val="center"/>
          </w:tcPr>
          <w:p w14:paraId="45784E7B">
            <w:pPr>
              <w:pStyle w:val="37"/>
              <w:keepNext w:val="0"/>
              <w:keepLines w:val="0"/>
              <w:pageBreakBefore w:val="0"/>
              <w:widowControl/>
              <w:numPr>
                <w:ilvl w:val="0"/>
                <w:numId w:val="4"/>
              </w:numPr>
              <w:kinsoku/>
              <w:overflowPunct/>
              <w:topLinePunct w:val="0"/>
              <w:autoSpaceDE/>
              <w:autoSpaceDN/>
              <w:bidi w:val="0"/>
              <w:adjustRightInd/>
              <w:snapToGrid/>
              <w:spacing w:beforeAutospacing="0" w:afterAutospacing="0" w:line="260" w:lineRule="exact"/>
              <w:ind w:left="638" w:leftChars="88" w:right="0" w:rightChars="0" w:hanging="453" w:hangingChars="349"/>
              <w:jc w:val="center"/>
              <w:rPr>
                <w:rFonts w:ascii="仿宋_GB2312" w:hAnsi="宋体" w:eastAsia="仿宋_GB2312"/>
                <w:color w:val="auto"/>
                <w:sz w:val="13"/>
                <w:szCs w:val="13"/>
                <w:highlight w:val="none"/>
              </w:rPr>
            </w:pPr>
          </w:p>
        </w:tc>
        <w:tc>
          <w:tcPr>
            <w:tcW w:w="1550" w:type="dxa"/>
            <w:vMerge w:val="continue"/>
            <w:tcBorders>
              <w:tl2br w:val="nil"/>
              <w:tr2bl w:val="nil"/>
            </w:tcBorders>
            <w:vAlign w:val="center"/>
          </w:tcPr>
          <w:p w14:paraId="28011CA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35C5000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strike/>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1A18CCC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s="Times New Roman"/>
                <w:color w:val="auto"/>
                <w:kern w:val="0"/>
                <w:sz w:val="13"/>
                <w:szCs w:val="13"/>
                <w:highlight w:val="none"/>
                <w:lang w:eastAsia="zh-CN"/>
              </w:rPr>
              <w:t>从重情节</w:t>
            </w:r>
          </w:p>
        </w:tc>
        <w:tc>
          <w:tcPr>
            <w:tcW w:w="3437" w:type="dxa"/>
            <w:gridSpan w:val="2"/>
            <w:tcBorders>
              <w:tl2br w:val="nil"/>
              <w:tr2bl w:val="nil"/>
            </w:tcBorders>
            <w:tcMar>
              <w:top w:w="15" w:type="dxa"/>
              <w:left w:w="15" w:type="dxa"/>
              <w:bottom w:w="15" w:type="dxa"/>
              <w:right w:w="15" w:type="dxa"/>
            </w:tcMar>
            <w:vAlign w:val="center"/>
          </w:tcPr>
          <w:p w14:paraId="1B48349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超过规定日期2个月以上备案的。</w:t>
            </w:r>
          </w:p>
        </w:tc>
        <w:tc>
          <w:tcPr>
            <w:tcW w:w="3058" w:type="dxa"/>
            <w:tcBorders>
              <w:tl2br w:val="nil"/>
              <w:tr2bl w:val="nil"/>
            </w:tcBorders>
            <w:tcMar>
              <w:top w:w="15" w:type="dxa"/>
              <w:left w:w="15" w:type="dxa"/>
              <w:bottom w:w="15" w:type="dxa"/>
              <w:right w:w="15" w:type="dxa"/>
            </w:tcMar>
            <w:vAlign w:val="center"/>
          </w:tcPr>
          <w:p w14:paraId="677C8C0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给予警告，责令限期改正，并可处1.7万元以上2万元以下的罚款。</w:t>
            </w:r>
          </w:p>
        </w:tc>
      </w:tr>
      <w:tr w14:paraId="29A51D7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9" w:hRule="atLeast"/>
          <w:jc w:val="center"/>
        </w:trPr>
        <w:tc>
          <w:tcPr>
            <w:tcW w:w="443" w:type="dxa"/>
            <w:gridSpan w:val="2"/>
            <w:vMerge w:val="restart"/>
            <w:tcBorders>
              <w:tl2br w:val="nil"/>
              <w:tr2bl w:val="nil"/>
            </w:tcBorders>
            <w:vAlign w:val="center"/>
          </w:tcPr>
          <w:p w14:paraId="17D0DC13">
            <w:pPr>
              <w:keepNext w:val="0"/>
              <w:keepLines w:val="0"/>
              <w:pageBreakBefore w:val="0"/>
              <w:widowControl/>
              <w:numPr>
                <w:ilvl w:val="0"/>
                <w:numId w:val="6"/>
              </w:numPr>
              <w:suppressLineNumbers w:val="0"/>
              <w:tabs>
                <w:tab w:val="clear" w:pos="397"/>
              </w:tabs>
              <w:kinsoku/>
              <w:overflowPunct/>
              <w:topLinePunct w:val="0"/>
              <w:autoSpaceDE/>
              <w:autoSpaceDN/>
              <w:bidi w:val="0"/>
              <w:adjustRightInd/>
              <w:snapToGrid/>
              <w:spacing w:beforeAutospacing="0" w:afterAutospacing="0" w:line="260" w:lineRule="exact"/>
              <w:ind w:left="638" w:leftChars="88" w:right="0" w:rightChars="0" w:hanging="453" w:hangingChars="349"/>
              <w:jc w:val="center"/>
              <w:textAlignment w:val="center"/>
              <w:rPr>
                <w:rFonts w:hint="default" w:ascii="仿宋_GB2312" w:hAnsi="宋体" w:eastAsia="仿宋_GB2312"/>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256</w:t>
            </w:r>
          </w:p>
        </w:tc>
        <w:tc>
          <w:tcPr>
            <w:tcW w:w="1550" w:type="dxa"/>
            <w:vMerge w:val="restart"/>
            <w:tcBorders>
              <w:tl2br w:val="nil"/>
              <w:tr2bl w:val="nil"/>
            </w:tcBorders>
            <w:vAlign w:val="center"/>
          </w:tcPr>
          <w:p w14:paraId="0D41ECA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房地产估价业务不由房地产估价机构统一接受委托，统一收取费用</w:t>
            </w:r>
          </w:p>
          <w:p w14:paraId="145C468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房地产估价师以个人名义承揽估价业务或分支机构不以设立该分支机构的房地产估价机构名义承揽估价业务</w:t>
            </w:r>
          </w:p>
        </w:tc>
        <w:tc>
          <w:tcPr>
            <w:tcW w:w="4820" w:type="dxa"/>
            <w:vMerge w:val="restart"/>
            <w:tcBorders>
              <w:tl2br w:val="nil"/>
              <w:tr2bl w:val="nil"/>
            </w:tcBorders>
            <w:vAlign w:val="center"/>
          </w:tcPr>
          <w:p w14:paraId="73F81E0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《房地产估价机构管理办法》</w:t>
            </w:r>
            <w:r>
              <w:rPr>
                <w:rFonts w:hint="eastAsia" w:ascii="仿宋_GB2312" w:hAnsi="宋体" w:eastAsia="仿宋_GB2312" w:cs="Times New Roman"/>
                <w:b/>
                <w:bCs/>
                <w:color w:val="auto"/>
                <w:kern w:val="0"/>
                <w:sz w:val="13"/>
                <w:szCs w:val="13"/>
                <w:highlight w:val="none"/>
              </w:rPr>
              <w:t>第五十条</w:t>
            </w:r>
            <w:r>
              <w:rPr>
                <w:rFonts w:hint="eastAsia" w:ascii="仿宋_GB2312" w:hAnsi="宋体" w:eastAsia="仿宋_GB2312" w:cs="Times New Roman"/>
                <w:b/>
                <w:bCs/>
                <w:color w:val="auto"/>
                <w:kern w:val="0"/>
                <w:sz w:val="13"/>
                <w:szCs w:val="13"/>
                <w:highlight w:val="none"/>
                <w:lang w:eastAsia="zh-CN"/>
              </w:rPr>
              <w:t>（一）</w:t>
            </w:r>
            <w:r>
              <w:rPr>
                <w:rFonts w:hint="eastAsia" w:ascii="仿宋_GB2312" w:hAnsi="宋体" w:eastAsia="仿宋_GB2312" w:cs="Times New Roman"/>
                <w:b/>
                <w:bCs/>
                <w:color w:val="auto"/>
                <w:kern w:val="0"/>
                <w:sz w:val="13"/>
                <w:szCs w:val="13"/>
                <w:highlight w:val="none"/>
              </w:rPr>
              <w:t>项：</w:t>
            </w:r>
            <w:r>
              <w:rPr>
                <w:rFonts w:hint="eastAsia" w:ascii="仿宋_GB2312" w:hAnsi="宋体" w:eastAsia="仿宋_GB2312" w:cs="Times New Roman"/>
                <w:color w:val="auto"/>
                <w:kern w:val="0"/>
                <w:sz w:val="13"/>
                <w:szCs w:val="13"/>
                <w:highlight w:val="none"/>
              </w:rPr>
              <w:t>有下列行为之一的，由县级以上地方人民政府房地产主管部门给予警告，责令限期改正；逾期未改正的，可处5千元以上2万元以下的罚款；给当事人造成损失的，依法承担赔偿责任：</w:t>
            </w:r>
          </w:p>
          <w:p w14:paraId="4F51575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0" w:firstLineChars="200"/>
              <w:jc w:val="left"/>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（一）违反本办法第二十六条规定承揽业务的</w:t>
            </w:r>
          </w:p>
          <w:p w14:paraId="36B89D5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1" w:firstLineChars="200"/>
              <w:textAlignment w:val="center"/>
              <w:rPr>
                <w:rFonts w:ascii="仿宋_GB2312" w:hAnsi="宋体" w:eastAsia="仿宋_GB2312" w:cs="Times New Roman"/>
                <w:color w:val="auto"/>
                <w:kern w:val="0"/>
                <w:sz w:val="13"/>
                <w:szCs w:val="13"/>
                <w:highlight w:val="none"/>
              </w:rPr>
            </w:pPr>
            <w:r>
              <w:rPr>
                <w:rFonts w:ascii="仿宋_GB2312" w:hAnsi="宋体" w:eastAsia="仿宋_GB2312" w:cs="Times New Roman"/>
                <w:b/>
                <w:bCs/>
                <w:color w:val="auto"/>
                <w:kern w:val="0"/>
                <w:sz w:val="13"/>
                <w:szCs w:val="13"/>
                <w:highlight w:val="none"/>
              </w:rPr>
              <w:t>第二十六条</w:t>
            </w:r>
            <w:r>
              <w:rPr>
                <w:rFonts w:hint="eastAsia" w:ascii="仿宋_GB2312" w:hAnsi="宋体" w:eastAsia="仿宋_GB2312" w:cs="Times New Roman"/>
                <w:b/>
                <w:bCs/>
                <w:color w:val="auto"/>
                <w:kern w:val="0"/>
                <w:sz w:val="13"/>
                <w:szCs w:val="13"/>
                <w:highlight w:val="none"/>
                <w:lang w:eastAsia="zh-CN"/>
              </w:rPr>
              <w:t>：</w:t>
            </w:r>
            <w:r>
              <w:rPr>
                <w:rFonts w:ascii="仿宋_GB2312" w:hAnsi="宋体" w:eastAsia="仿宋_GB2312" w:cs="Times New Roman"/>
                <w:color w:val="auto"/>
                <w:kern w:val="0"/>
                <w:sz w:val="13"/>
                <w:szCs w:val="13"/>
                <w:highlight w:val="none"/>
              </w:rPr>
              <w:t>房地产估价业务应当由房地产估价机构统一接受委托，统一收取费用。</w:t>
            </w:r>
          </w:p>
          <w:p w14:paraId="4466F47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Times New Roman"/>
                <w:color w:val="auto"/>
                <w:kern w:val="0"/>
                <w:sz w:val="13"/>
                <w:szCs w:val="13"/>
                <w:highlight w:val="none"/>
              </w:rPr>
            </w:pPr>
            <w:r>
              <w:rPr>
                <w:rFonts w:ascii="仿宋_GB2312" w:hAnsi="宋体" w:eastAsia="仿宋_GB2312" w:cs="Times New Roman"/>
                <w:color w:val="auto"/>
                <w:kern w:val="0"/>
                <w:sz w:val="13"/>
                <w:szCs w:val="13"/>
                <w:highlight w:val="none"/>
              </w:rPr>
              <w:t>房地产估价师不得以个人名义承揽估价业务，分支机构应当以设立该分支机构的房地产估价机构名义承揽估价业务。</w:t>
            </w:r>
          </w:p>
        </w:tc>
        <w:tc>
          <w:tcPr>
            <w:tcW w:w="823" w:type="dxa"/>
            <w:tcBorders>
              <w:tl2br w:val="nil"/>
              <w:tr2bl w:val="nil"/>
            </w:tcBorders>
            <w:tcMar>
              <w:top w:w="15" w:type="dxa"/>
              <w:left w:w="15" w:type="dxa"/>
              <w:bottom w:w="15" w:type="dxa"/>
              <w:right w:w="15" w:type="dxa"/>
            </w:tcMar>
            <w:vAlign w:val="center"/>
          </w:tcPr>
          <w:p w14:paraId="310D277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s="Times New Roman"/>
                <w:color w:val="auto"/>
                <w:kern w:val="0"/>
                <w:sz w:val="13"/>
                <w:szCs w:val="13"/>
                <w:highlight w:val="none"/>
                <w:lang w:eastAsia="zh-CN"/>
              </w:rPr>
              <w:t>从轻情节</w:t>
            </w:r>
          </w:p>
        </w:tc>
        <w:tc>
          <w:tcPr>
            <w:tcW w:w="3437" w:type="dxa"/>
            <w:gridSpan w:val="2"/>
            <w:tcBorders>
              <w:tl2br w:val="nil"/>
              <w:tr2bl w:val="nil"/>
            </w:tcBorders>
            <w:tcMar>
              <w:top w:w="15" w:type="dxa"/>
              <w:left w:w="15" w:type="dxa"/>
              <w:bottom w:w="15" w:type="dxa"/>
              <w:right w:w="15" w:type="dxa"/>
            </w:tcMar>
            <w:vAlign w:val="center"/>
          </w:tcPr>
          <w:p w14:paraId="093D1EB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警告，责令限期改正，违法所得1万元以下。</w:t>
            </w:r>
          </w:p>
        </w:tc>
        <w:tc>
          <w:tcPr>
            <w:tcW w:w="3058" w:type="dxa"/>
            <w:tcBorders>
              <w:tl2br w:val="nil"/>
              <w:tr2bl w:val="nil"/>
            </w:tcBorders>
            <w:tcMar>
              <w:top w:w="15" w:type="dxa"/>
              <w:left w:w="15" w:type="dxa"/>
              <w:bottom w:w="15" w:type="dxa"/>
              <w:right w:w="15" w:type="dxa"/>
            </w:tcMar>
            <w:vAlign w:val="center"/>
          </w:tcPr>
          <w:p w14:paraId="1E4C8EC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警告，责令限期改正。</w:t>
            </w:r>
          </w:p>
        </w:tc>
      </w:tr>
      <w:tr w14:paraId="16EBADC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9" w:hRule="atLeast"/>
          <w:jc w:val="center"/>
        </w:trPr>
        <w:tc>
          <w:tcPr>
            <w:tcW w:w="443" w:type="dxa"/>
            <w:gridSpan w:val="2"/>
            <w:vMerge w:val="continue"/>
            <w:tcBorders>
              <w:tl2br w:val="nil"/>
              <w:tr2bl w:val="nil"/>
            </w:tcBorders>
            <w:vAlign w:val="center"/>
          </w:tcPr>
          <w:p w14:paraId="79408E7E">
            <w:pPr>
              <w:pStyle w:val="37"/>
              <w:keepNext w:val="0"/>
              <w:keepLines w:val="0"/>
              <w:pageBreakBefore w:val="0"/>
              <w:widowControl/>
              <w:numPr>
                <w:ilvl w:val="0"/>
                <w:numId w:val="4"/>
              </w:numPr>
              <w:kinsoku/>
              <w:overflowPunct/>
              <w:topLinePunct w:val="0"/>
              <w:autoSpaceDE/>
              <w:autoSpaceDN/>
              <w:bidi w:val="0"/>
              <w:adjustRightInd/>
              <w:snapToGrid/>
              <w:spacing w:beforeAutospacing="0" w:afterAutospacing="0" w:line="260" w:lineRule="exact"/>
              <w:ind w:left="638" w:leftChars="88" w:right="0" w:rightChars="0" w:hanging="453" w:hangingChars="349"/>
              <w:jc w:val="center"/>
              <w:rPr>
                <w:rFonts w:ascii="仿宋_GB2312" w:hAnsi="宋体" w:eastAsia="仿宋_GB2312"/>
                <w:color w:val="auto"/>
                <w:sz w:val="13"/>
                <w:szCs w:val="13"/>
                <w:highlight w:val="none"/>
              </w:rPr>
            </w:pPr>
          </w:p>
        </w:tc>
        <w:tc>
          <w:tcPr>
            <w:tcW w:w="1550" w:type="dxa"/>
            <w:vMerge w:val="continue"/>
            <w:tcBorders>
              <w:tl2br w:val="nil"/>
              <w:tr2bl w:val="nil"/>
            </w:tcBorders>
            <w:vAlign w:val="center"/>
          </w:tcPr>
          <w:p w14:paraId="27F11A6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74EBC86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olor w:val="auto"/>
                <w:kern w:val="0"/>
                <w:sz w:val="13"/>
                <w:szCs w:val="13"/>
                <w:highlight w:val="none"/>
              </w:rPr>
            </w:pPr>
          </w:p>
        </w:tc>
        <w:tc>
          <w:tcPr>
            <w:tcW w:w="823" w:type="dxa"/>
            <w:tcBorders>
              <w:tl2br w:val="nil"/>
              <w:tr2bl w:val="nil"/>
            </w:tcBorders>
            <w:tcMar>
              <w:top w:w="15" w:type="dxa"/>
              <w:left w:w="15" w:type="dxa"/>
              <w:bottom w:w="15" w:type="dxa"/>
              <w:right w:w="15" w:type="dxa"/>
            </w:tcMar>
            <w:vAlign w:val="center"/>
          </w:tcPr>
          <w:p w14:paraId="2CA52C2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s="Times New Roman"/>
                <w:color w:val="auto"/>
                <w:kern w:val="0"/>
                <w:sz w:val="13"/>
                <w:szCs w:val="13"/>
                <w:highlight w:val="none"/>
                <w:lang w:eastAsia="zh-CN"/>
              </w:rPr>
              <w:t>一般情节</w:t>
            </w:r>
          </w:p>
        </w:tc>
        <w:tc>
          <w:tcPr>
            <w:tcW w:w="3437" w:type="dxa"/>
            <w:gridSpan w:val="2"/>
            <w:tcBorders>
              <w:tl2br w:val="nil"/>
              <w:tr2bl w:val="nil"/>
            </w:tcBorders>
            <w:tcMar>
              <w:top w:w="15" w:type="dxa"/>
              <w:left w:w="15" w:type="dxa"/>
              <w:bottom w:w="15" w:type="dxa"/>
              <w:right w:w="15" w:type="dxa"/>
            </w:tcMar>
            <w:vAlign w:val="center"/>
          </w:tcPr>
          <w:p w14:paraId="4C6D989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经责令限期改正，逾期未改正，违法所得1万元以上2万元以下。</w:t>
            </w:r>
          </w:p>
        </w:tc>
        <w:tc>
          <w:tcPr>
            <w:tcW w:w="3058" w:type="dxa"/>
            <w:tcBorders>
              <w:tl2br w:val="nil"/>
              <w:tr2bl w:val="nil"/>
            </w:tcBorders>
            <w:tcMar>
              <w:top w:w="15" w:type="dxa"/>
              <w:left w:w="15" w:type="dxa"/>
              <w:bottom w:w="15" w:type="dxa"/>
              <w:right w:w="15" w:type="dxa"/>
            </w:tcMar>
            <w:vAlign w:val="center"/>
          </w:tcPr>
          <w:p w14:paraId="2F56E60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可处5千元以上1万元以下的罚款。</w:t>
            </w:r>
          </w:p>
        </w:tc>
      </w:tr>
      <w:tr w14:paraId="2F2F5AB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79" w:hRule="atLeast"/>
          <w:jc w:val="center"/>
        </w:trPr>
        <w:tc>
          <w:tcPr>
            <w:tcW w:w="443" w:type="dxa"/>
            <w:gridSpan w:val="2"/>
            <w:vMerge w:val="continue"/>
            <w:tcBorders>
              <w:tl2br w:val="nil"/>
              <w:tr2bl w:val="nil"/>
            </w:tcBorders>
            <w:vAlign w:val="center"/>
          </w:tcPr>
          <w:p w14:paraId="167E11F8">
            <w:pPr>
              <w:pStyle w:val="37"/>
              <w:keepNext w:val="0"/>
              <w:keepLines w:val="0"/>
              <w:pageBreakBefore w:val="0"/>
              <w:widowControl/>
              <w:numPr>
                <w:ilvl w:val="0"/>
                <w:numId w:val="4"/>
              </w:numPr>
              <w:kinsoku/>
              <w:overflowPunct/>
              <w:topLinePunct w:val="0"/>
              <w:autoSpaceDE/>
              <w:autoSpaceDN/>
              <w:bidi w:val="0"/>
              <w:adjustRightInd/>
              <w:snapToGrid/>
              <w:spacing w:beforeAutospacing="0" w:afterAutospacing="0" w:line="260" w:lineRule="exact"/>
              <w:ind w:left="638" w:leftChars="88" w:right="0" w:rightChars="0" w:hanging="453" w:hangingChars="349"/>
              <w:jc w:val="center"/>
              <w:rPr>
                <w:rFonts w:ascii="仿宋_GB2312" w:hAnsi="宋体" w:eastAsia="仿宋_GB2312"/>
                <w:color w:val="auto"/>
                <w:sz w:val="13"/>
                <w:szCs w:val="13"/>
                <w:highlight w:val="none"/>
              </w:rPr>
            </w:pPr>
          </w:p>
        </w:tc>
        <w:tc>
          <w:tcPr>
            <w:tcW w:w="1550" w:type="dxa"/>
            <w:vMerge w:val="continue"/>
            <w:tcBorders>
              <w:tl2br w:val="nil"/>
              <w:tr2bl w:val="nil"/>
            </w:tcBorders>
            <w:vAlign w:val="center"/>
          </w:tcPr>
          <w:p w14:paraId="22CEC01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2D5408F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olor w:val="auto"/>
                <w:kern w:val="0"/>
                <w:sz w:val="13"/>
                <w:szCs w:val="13"/>
                <w:highlight w:val="none"/>
              </w:rPr>
            </w:pPr>
          </w:p>
        </w:tc>
        <w:tc>
          <w:tcPr>
            <w:tcW w:w="823" w:type="dxa"/>
            <w:tcBorders>
              <w:tl2br w:val="nil"/>
              <w:tr2bl w:val="nil"/>
            </w:tcBorders>
            <w:tcMar>
              <w:top w:w="15" w:type="dxa"/>
              <w:left w:w="15" w:type="dxa"/>
              <w:bottom w:w="15" w:type="dxa"/>
              <w:right w:w="15" w:type="dxa"/>
            </w:tcMar>
            <w:vAlign w:val="center"/>
          </w:tcPr>
          <w:p w14:paraId="59848C9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s="Times New Roman"/>
                <w:color w:val="auto"/>
                <w:kern w:val="0"/>
                <w:sz w:val="13"/>
                <w:szCs w:val="13"/>
                <w:highlight w:val="none"/>
                <w:lang w:eastAsia="zh-CN"/>
              </w:rPr>
              <w:t>从重情节</w:t>
            </w:r>
          </w:p>
        </w:tc>
        <w:tc>
          <w:tcPr>
            <w:tcW w:w="3437" w:type="dxa"/>
            <w:gridSpan w:val="2"/>
            <w:tcBorders>
              <w:tl2br w:val="nil"/>
              <w:tr2bl w:val="nil"/>
            </w:tcBorders>
            <w:tcMar>
              <w:top w:w="15" w:type="dxa"/>
              <w:left w:w="15" w:type="dxa"/>
              <w:bottom w:w="15" w:type="dxa"/>
              <w:right w:w="15" w:type="dxa"/>
            </w:tcMar>
            <w:vAlign w:val="center"/>
          </w:tcPr>
          <w:p w14:paraId="36DD14F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经责令限期改正，逾期未改正，违法所得2万元以上。</w:t>
            </w:r>
          </w:p>
        </w:tc>
        <w:tc>
          <w:tcPr>
            <w:tcW w:w="3058" w:type="dxa"/>
            <w:tcBorders>
              <w:tl2br w:val="nil"/>
              <w:tr2bl w:val="nil"/>
            </w:tcBorders>
            <w:tcMar>
              <w:top w:w="15" w:type="dxa"/>
              <w:left w:w="15" w:type="dxa"/>
              <w:bottom w:w="15" w:type="dxa"/>
              <w:right w:w="15" w:type="dxa"/>
            </w:tcMar>
            <w:vAlign w:val="center"/>
          </w:tcPr>
          <w:p w14:paraId="588C8B6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可处1万元以上2万元以下的罚款。</w:t>
            </w:r>
          </w:p>
        </w:tc>
      </w:tr>
      <w:tr w14:paraId="7577CA1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9" w:hRule="atLeast"/>
          <w:jc w:val="center"/>
        </w:trPr>
        <w:tc>
          <w:tcPr>
            <w:tcW w:w="443" w:type="dxa"/>
            <w:gridSpan w:val="2"/>
            <w:vMerge w:val="restart"/>
            <w:tcBorders>
              <w:tl2br w:val="nil"/>
              <w:tr2bl w:val="nil"/>
            </w:tcBorders>
            <w:vAlign w:val="center"/>
          </w:tcPr>
          <w:p w14:paraId="24712044">
            <w:pPr>
              <w:keepNext w:val="0"/>
              <w:keepLines w:val="0"/>
              <w:pageBreakBefore w:val="0"/>
              <w:widowControl/>
              <w:numPr>
                <w:ilvl w:val="0"/>
                <w:numId w:val="6"/>
              </w:numPr>
              <w:suppressLineNumbers w:val="0"/>
              <w:tabs>
                <w:tab w:val="clear" w:pos="397"/>
              </w:tabs>
              <w:kinsoku/>
              <w:overflowPunct/>
              <w:topLinePunct w:val="0"/>
              <w:autoSpaceDE/>
              <w:autoSpaceDN/>
              <w:bidi w:val="0"/>
              <w:adjustRightInd/>
              <w:snapToGrid/>
              <w:spacing w:beforeAutospacing="0" w:afterAutospacing="0" w:line="260" w:lineRule="exact"/>
              <w:ind w:left="638" w:leftChars="88" w:right="0" w:rightChars="0" w:hanging="453" w:hangingChars="349"/>
              <w:jc w:val="center"/>
              <w:textAlignment w:val="center"/>
              <w:rPr>
                <w:rFonts w:hint="default" w:ascii="仿宋_GB2312" w:hAnsi="宋体" w:eastAsia="仿宋_GB2312"/>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257</w:t>
            </w:r>
          </w:p>
        </w:tc>
        <w:tc>
          <w:tcPr>
            <w:tcW w:w="1550" w:type="dxa"/>
            <w:vMerge w:val="restart"/>
            <w:tcBorders>
              <w:tl2br w:val="nil"/>
              <w:tr2bl w:val="nil"/>
            </w:tcBorders>
            <w:vAlign w:val="center"/>
          </w:tcPr>
          <w:p w14:paraId="0E28E3C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未经委托人书面同意擅自转让受托的估价业务的，逾期未改正的</w:t>
            </w:r>
          </w:p>
        </w:tc>
        <w:tc>
          <w:tcPr>
            <w:tcW w:w="4820" w:type="dxa"/>
            <w:vMerge w:val="restart"/>
            <w:tcBorders>
              <w:tl2br w:val="nil"/>
              <w:tr2bl w:val="nil"/>
            </w:tcBorders>
            <w:vAlign w:val="center"/>
          </w:tcPr>
          <w:p w14:paraId="0352CA3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《房地产估价机构管理办法》</w:t>
            </w:r>
            <w:r>
              <w:rPr>
                <w:rFonts w:hint="eastAsia" w:ascii="仿宋_GB2312" w:hAnsi="宋体" w:eastAsia="仿宋_GB2312" w:cs="Times New Roman"/>
                <w:b/>
                <w:bCs/>
                <w:color w:val="auto"/>
                <w:kern w:val="0"/>
                <w:sz w:val="13"/>
                <w:szCs w:val="13"/>
                <w:highlight w:val="none"/>
              </w:rPr>
              <w:t>第五十条</w:t>
            </w:r>
            <w:r>
              <w:rPr>
                <w:rFonts w:hint="eastAsia" w:ascii="仿宋_GB2312" w:hAnsi="宋体" w:eastAsia="仿宋_GB2312" w:cs="Times New Roman"/>
                <w:b/>
                <w:bCs/>
                <w:color w:val="auto"/>
                <w:kern w:val="0"/>
                <w:sz w:val="13"/>
                <w:szCs w:val="13"/>
                <w:highlight w:val="none"/>
                <w:lang w:eastAsia="zh-CN"/>
              </w:rPr>
              <w:t>（二）</w:t>
            </w:r>
            <w:r>
              <w:rPr>
                <w:rFonts w:hint="eastAsia" w:ascii="仿宋_GB2312" w:hAnsi="宋体" w:eastAsia="仿宋_GB2312" w:cs="Times New Roman"/>
                <w:b/>
                <w:bCs/>
                <w:color w:val="auto"/>
                <w:kern w:val="0"/>
                <w:sz w:val="13"/>
                <w:szCs w:val="13"/>
                <w:highlight w:val="none"/>
              </w:rPr>
              <w:t>项：</w:t>
            </w:r>
            <w:r>
              <w:rPr>
                <w:rFonts w:hint="eastAsia" w:ascii="仿宋_GB2312" w:hAnsi="宋体" w:eastAsia="仿宋_GB2312" w:cs="Times New Roman"/>
                <w:color w:val="auto"/>
                <w:kern w:val="0"/>
                <w:sz w:val="13"/>
                <w:szCs w:val="13"/>
                <w:highlight w:val="none"/>
              </w:rPr>
              <w:t>有下列行为之一的，由县级以上地方人民政府房地产主管部门给予警告，责令限期改正；逾期未改正的，可处5千元以上2万元以下的罚款；给当事人造成损失的，依法承担赔偿责任：</w:t>
            </w:r>
          </w:p>
          <w:p w14:paraId="1D8E444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0" w:firstLineChars="200"/>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（二）违反本办法第二十九条第一款规定，擅自转让受托的估价业务的；</w:t>
            </w:r>
          </w:p>
          <w:p w14:paraId="6F12B8F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1" w:firstLineChars="200"/>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b/>
                <w:bCs/>
                <w:color w:val="auto"/>
                <w:kern w:val="0"/>
                <w:sz w:val="13"/>
                <w:szCs w:val="13"/>
                <w:highlight w:val="none"/>
              </w:rPr>
              <w:t>第二十九条第一款</w:t>
            </w:r>
            <w:r>
              <w:rPr>
                <w:rFonts w:hint="eastAsia" w:ascii="仿宋_GB2312" w:hAnsi="宋体" w:eastAsia="仿宋_GB2312" w:cs="Times New Roman"/>
                <w:b/>
                <w:bCs/>
                <w:color w:val="auto"/>
                <w:kern w:val="0"/>
                <w:sz w:val="13"/>
                <w:szCs w:val="13"/>
                <w:highlight w:val="none"/>
                <w:lang w:eastAsia="zh-CN"/>
              </w:rPr>
              <w:t>：</w:t>
            </w:r>
            <w:r>
              <w:rPr>
                <w:color w:val="auto"/>
                <w:sz w:val="13"/>
                <w:szCs w:val="13"/>
                <w:highlight w:val="none"/>
              </w:rPr>
              <w:fldChar w:fldCharType="begin"/>
            </w:r>
            <w:r>
              <w:rPr>
                <w:color w:val="auto"/>
                <w:sz w:val="13"/>
                <w:szCs w:val="13"/>
                <w:highlight w:val="none"/>
              </w:rPr>
              <w:instrText xml:space="preserve"> HYPERLINK "https://baike.baidu.com/item/%E6%88%BF%E5%9C%B0%E4%BA%A7%E4%BC%B0%E4%BB%B7%E6%9C%BA%E6%9E%84/6224909" \t "https://baike.baidu.com/item/_blank" </w:instrText>
            </w:r>
            <w:r>
              <w:rPr>
                <w:color w:val="auto"/>
                <w:sz w:val="13"/>
                <w:szCs w:val="13"/>
                <w:highlight w:val="none"/>
              </w:rPr>
              <w:fldChar w:fldCharType="separate"/>
            </w:r>
            <w:r>
              <w:rPr>
                <w:rFonts w:ascii="仿宋_GB2312" w:hAnsi="宋体" w:eastAsia="仿宋_GB2312" w:cs="Times New Roman"/>
                <w:color w:val="auto"/>
                <w:kern w:val="0"/>
                <w:sz w:val="13"/>
                <w:szCs w:val="13"/>
                <w:highlight w:val="none"/>
              </w:rPr>
              <w:t>房地产估价机构</w:t>
            </w:r>
            <w:r>
              <w:rPr>
                <w:rFonts w:ascii="仿宋_GB2312" w:hAnsi="宋体" w:eastAsia="仿宋_GB2312" w:cs="Times New Roman"/>
                <w:color w:val="auto"/>
                <w:kern w:val="0"/>
                <w:sz w:val="13"/>
                <w:szCs w:val="13"/>
                <w:highlight w:val="none"/>
              </w:rPr>
              <w:fldChar w:fldCharType="end"/>
            </w:r>
            <w:r>
              <w:rPr>
                <w:rFonts w:ascii="仿宋_GB2312" w:hAnsi="宋体" w:eastAsia="仿宋_GB2312" w:cs="Times New Roman"/>
                <w:color w:val="auto"/>
                <w:kern w:val="0"/>
                <w:sz w:val="13"/>
                <w:szCs w:val="13"/>
                <w:highlight w:val="none"/>
              </w:rPr>
              <w:t>未经委托人书面同意，不得转让受托的估价业务。</w:t>
            </w:r>
          </w:p>
          <w:p w14:paraId="266CF1B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olor w:val="auto"/>
                <w:kern w:val="0"/>
                <w:sz w:val="13"/>
                <w:szCs w:val="13"/>
                <w:highlight w:val="none"/>
              </w:rPr>
            </w:pPr>
          </w:p>
        </w:tc>
        <w:tc>
          <w:tcPr>
            <w:tcW w:w="823" w:type="dxa"/>
            <w:tcBorders>
              <w:tl2br w:val="nil"/>
              <w:tr2bl w:val="nil"/>
            </w:tcBorders>
            <w:tcMar>
              <w:top w:w="15" w:type="dxa"/>
              <w:left w:w="15" w:type="dxa"/>
              <w:bottom w:w="15" w:type="dxa"/>
              <w:right w:w="15" w:type="dxa"/>
            </w:tcMar>
            <w:vAlign w:val="center"/>
          </w:tcPr>
          <w:p w14:paraId="0A3C806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s="Times New Roman"/>
                <w:color w:val="auto"/>
                <w:kern w:val="0"/>
                <w:sz w:val="13"/>
                <w:szCs w:val="13"/>
                <w:highlight w:val="none"/>
                <w:lang w:eastAsia="zh-CN"/>
              </w:rPr>
              <w:t>从轻情节</w:t>
            </w:r>
          </w:p>
        </w:tc>
        <w:tc>
          <w:tcPr>
            <w:tcW w:w="3437" w:type="dxa"/>
            <w:gridSpan w:val="2"/>
            <w:tcBorders>
              <w:tl2br w:val="nil"/>
              <w:tr2bl w:val="nil"/>
            </w:tcBorders>
            <w:tcMar>
              <w:top w:w="15" w:type="dxa"/>
              <w:left w:w="15" w:type="dxa"/>
              <w:bottom w:w="15" w:type="dxa"/>
              <w:right w:w="15" w:type="dxa"/>
            </w:tcMar>
            <w:vAlign w:val="center"/>
          </w:tcPr>
          <w:p w14:paraId="6E1C383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3" w:firstLineChars="203"/>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初次违法，</w:t>
            </w:r>
            <w:r>
              <w:rPr>
                <w:rFonts w:hint="eastAsia" w:ascii="仿宋_GB2312" w:hAnsi="宋体" w:eastAsia="仿宋_GB2312" w:cs="Times New Roman"/>
                <w:color w:val="auto"/>
                <w:kern w:val="0"/>
                <w:sz w:val="13"/>
                <w:szCs w:val="13"/>
                <w:highlight w:val="none"/>
                <w:lang w:val="en-US" w:eastAsia="zh-CN"/>
              </w:rPr>
              <w:t>并在责令期限内</w:t>
            </w:r>
            <w:r>
              <w:rPr>
                <w:rFonts w:hint="eastAsia" w:ascii="仿宋_GB2312" w:hAnsi="宋体" w:eastAsia="仿宋_GB2312" w:cs="Times New Roman"/>
                <w:color w:val="auto"/>
                <w:kern w:val="0"/>
                <w:sz w:val="13"/>
                <w:szCs w:val="13"/>
                <w:highlight w:val="none"/>
              </w:rPr>
              <w:t>主动采取措施</w:t>
            </w:r>
            <w:r>
              <w:rPr>
                <w:rFonts w:hint="eastAsia" w:ascii="仿宋_GB2312" w:hAnsi="宋体" w:eastAsia="仿宋_GB2312" w:cs="Times New Roman"/>
                <w:color w:val="auto"/>
                <w:kern w:val="0"/>
                <w:sz w:val="13"/>
                <w:szCs w:val="13"/>
                <w:highlight w:val="none"/>
                <w:lang w:val="en-US" w:eastAsia="zh-CN"/>
              </w:rPr>
              <w:t>改正违法行为，</w:t>
            </w:r>
            <w:r>
              <w:rPr>
                <w:rFonts w:hint="eastAsia" w:ascii="仿宋_GB2312" w:hAnsi="宋体" w:eastAsia="仿宋_GB2312" w:cs="Times New Roman"/>
                <w:color w:val="auto"/>
                <w:kern w:val="0"/>
                <w:sz w:val="13"/>
                <w:szCs w:val="13"/>
                <w:highlight w:val="none"/>
              </w:rPr>
              <w:t>危害后果轻微。</w:t>
            </w:r>
          </w:p>
        </w:tc>
        <w:tc>
          <w:tcPr>
            <w:tcW w:w="3058" w:type="dxa"/>
            <w:tcBorders>
              <w:tl2br w:val="nil"/>
              <w:tr2bl w:val="nil"/>
            </w:tcBorders>
            <w:tcMar>
              <w:top w:w="15" w:type="dxa"/>
              <w:left w:w="15" w:type="dxa"/>
              <w:bottom w:w="15" w:type="dxa"/>
              <w:right w:w="15" w:type="dxa"/>
            </w:tcMar>
            <w:vAlign w:val="center"/>
          </w:tcPr>
          <w:p w14:paraId="446C0A3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lang w:val="en-US" w:eastAsia="zh-CN"/>
              </w:rPr>
              <w:t>给予警告。</w:t>
            </w:r>
          </w:p>
        </w:tc>
      </w:tr>
      <w:tr w14:paraId="3C12140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63" w:hRule="atLeast"/>
          <w:jc w:val="center"/>
        </w:trPr>
        <w:tc>
          <w:tcPr>
            <w:tcW w:w="443" w:type="dxa"/>
            <w:gridSpan w:val="2"/>
            <w:vMerge w:val="continue"/>
            <w:tcBorders>
              <w:tl2br w:val="nil"/>
              <w:tr2bl w:val="nil"/>
            </w:tcBorders>
            <w:vAlign w:val="center"/>
          </w:tcPr>
          <w:p w14:paraId="7F667C1F">
            <w:pPr>
              <w:pStyle w:val="37"/>
              <w:keepNext w:val="0"/>
              <w:keepLines w:val="0"/>
              <w:pageBreakBefore w:val="0"/>
              <w:widowControl/>
              <w:numPr>
                <w:ilvl w:val="0"/>
                <w:numId w:val="4"/>
              </w:numPr>
              <w:kinsoku/>
              <w:overflowPunct/>
              <w:topLinePunct w:val="0"/>
              <w:autoSpaceDE/>
              <w:autoSpaceDN/>
              <w:bidi w:val="0"/>
              <w:adjustRightInd/>
              <w:snapToGrid/>
              <w:spacing w:beforeAutospacing="0" w:afterAutospacing="0" w:line="260" w:lineRule="exact"/>
              <w:ind w:left="638" w:leftChars="88" w:right="0" w:rightChars="0" w:hanging="453" w:hangingChars="349"/>
              <w:jc w:val="center"/>
              <w:rPr>
                <w:rFonts w:ascii="仿宋_GB2312" w:hAnsi="宋体" w:eastAsia="仿宋_GB2312"/>
                <w:color w:val="auto"/>
                <w:sz w:val="13"/>
                <w:szCs w:val="13"/>
                <w:highlight w:val="none"/>
              </w:rPr>
            </w:pPr>
          </w:p>
        </w:tc>
        <w:tc>
          <w:tcPr>
            <w:tcW w:w="1550" w:type="dxa"/>
            <w:vMerge w:val="continue"/>
            <w:tcBorders>
              <w:tl2br w:val="nil"/>
              <w:tr2bl w:val="nil"/>
            </w:tcBorders>
            <w:vAlign w:val="center"/>
          </w:tcPr>
          <w:p w14:paraId="1F69154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2AA8477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olor w:val="auto"/>
                <w:kern w:val="0"/>
                <w:sz w:val="13"/>
                <w:szCs w:val="13"/>
                <w:highlight w:val="none"/>
              </w:rPr>
            </w:pPr>
          </w:p>
        </w:tc>
        <w:tc>
          <w:tcPr>
            <w:tcW w:w="823" w:type="dxa"/>
            <w:vMerge w:val="restart"/>
            <w:tcBorders>
              <w:tl2br w:val="nil"/>
              <w:tr2bl w:val="nil"/>
            </w:tcBorders>
            <w:tcMar>
              <w:top w:w="15" w:type="dxa"/>
              <w:left w:w="15" w:type="dxa"/>
              <w:bottom w:w="15" w:type="dxa"/>
              <w:right w:w="15" w:type="dxa"/>
            </w:tcMar>
            <w:vAlign w:val="center"/>
          </w:tcPr>
          <w:p w14:paraId="7D7BF4F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s="Times New Roman"/>
                <w:color w:val="auto"/>
                <w:kern w:val="0"/>
                <w:sz w:val="13"/>
                <w:szCs w:val="13"/>
                <w:highlight w:val="none"/>
                <w:lang w:eastAsia="zh-CN"/>
              </w:rPr>
              <w:t>一般情节</w:t>
            </w:r>
          </w:p>
        </w:tc>
        <w:tc>
          <w:tcPr>
            <w:tcW w:w="3437" w:type="dxa"/>
            <w:gridSpan w:val="2"/>
            <w:tcBorders>
              <w:tl2br w:val="nil"/>
              <w:tr2bl w:val="nil"/>
            </w:tcBorders>
            <w:tcMar>
              <w:top w:w="15" w:type="dxa"/>
              <w:left w:w="15" w:type="dxa"/>
              <w:bottom w:w="15" w:type="dxa"/>
              <w:right w:w="15" w:type="dxa"/>
            </w:tcMar>
            <w:vAlign w:val="center"/>
          </w:tcPr>
          <w:p w14:paraId="3D8D612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经责令限期改正，逾期不改正，从事违法行为，逾期1个月以下的。</w:t>
            </w:r>
          </w:p>
        </w:tc>
        <w:tc>
          <w:tcPr>
            <w:tcW w:w="3058" w:type="dxa"/>
            <w:tcBorders>
              <w:tl2br w:val="nil"/>
              <w:tr2bl w:val="nil"/>
            </w:tcBorders>
            <w:tcMar>
              <w:top w:w="15" w:type="dxa"/>
              <w:left w:w="15" w:type="dxa"/>
              <w:bottom w:w="15" w:type="dxa"/>
              <w:right w:w="15" w:type="dxa"/>
            </w:tcMar>
            <w:vAlign w:val="center"/>
          </w:tcPr>
          <w:p w14:paraId="1237DE0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给予警告，可处5千元以上1万元以下的罚款。</w:t>
            </w:r>
          </w:p>
        </w:tc>
      </w:tr>
      <w:tr w14:paraId="552F30D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97" w:hRule="atLeast"/>
          <w:jc w:val="center"/>
        </w:trPr>
        <w:tc>
          <w:tcPr>
            <w:tcW w:w="443" w:type="dxa"/>
            <w:gridSpan w:val="2"/>
            <w:vMerge w:val="continue"/>
            <w:tcBorders>
              <w:tl2br w:val="nil"/>
              <w:tr2bl w:val="nil"/>
            </w:tcBorders>
            <w:vAlign w:val="center"/>
          </w:tcPr>
          <w:p w14:paraId="671E1F63">
            <w:pPr>
              <w:pStyle w:val="37"/>
              <w:keepNext w:val="0"/>
              <w:keepLines w:val="0"/>
              <w:pageBreakBefore w:val="0"/>
              <w:widowControl/>
              <w:numPr>
                <w:ilvl w:val="0"/>
                <w:numId w:val="4"/>
              </w:numPr>
              <w:kinsoku/>
              <w:overflowPunct/>
              <w:topLinePunct w:val="0"/>
              <w:autoSpaceDE/>
              <w:autoSpaceDN/>
              <w:bidi w:val="0"/>
              <w:adjustRightInd/>
              <w:snapToGrid/>
              <w:spacing w:beforeAutospacing="0" w:afterAutospacing="0" w:line="260" w:lineRule="exact"/>
              <w:ind w:left="638" w:leftChars="88" w:right="0" w:rightChars="0" w:hanging="453" w:hangingChars="349"/>
              <w:jc w:val="center"/>
              <w:rPr>
                <w:rFonts w:ascii="仿宋_GB2312" w:hAnsi="宋体" w:eastAsia="仿宋_GB2312"/>
                <w:color w:val="auto"/>
                <w:sz w:val="13"/>
                <w:szCs w:val="13"/>
                <w:highlight w:val="none"/>
              </w:rPr>
            </w:pPr>
          </w:p>
        </w:tc>
        <w:tc>
          <w:tcPr>
            <w:tcW w:w="1550" w:type="dxa"/>
            <w:vMerge w:val="continue"/>
            <w:tcBorders>
              <w:tl2br w:val="nil"/>
              <w:tr2bl w:val="nil"/>
            </w:tcBorders>
            <w:vAlign w:val="center"/>
          </w:tcPr>
          <w:p w14:paraId="617BC59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71CC1A0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olor w:val="auto"/>
                <w:kern w:val="0"/>
                <w:sz w:val="13"/>
                <w:szCs w:val="13"/>
                <w:highlight w:val="none"/>
              </w:rPr>
            </w:pPr>
          </w:p>
        </w:tc>
        <w:tc>
          <w:tcPr>
            <w:tcW w:w="823" w:type="dxa"/>
            <w:vMerge w:val="continue"/>
            <w:tcBorders>
              <w:tl2br w:val="nil"/>
              <w:tr2bl w:val="nil"/>
            </w:tcBorders>
            <w:tcMar>
              <w:top w:w="15" w:type="dxa"/>
              <w:left w:w="15" w:type="dxa"/>
              <w:bottom w:w="15" w:type="dxa"/>
              <w:right w:w="15" w:type="dxa"/>
            </w:tcMar>
            <w:vAlign w:val="center"/>
          </w:tcPr>
          <w:p w14:paraId="7626E3F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Times New Roman"/>
                <w:color w:val="auto"/>
                <w:kern w:val="0"/>
                <w:sz w:val="13"/>
                <w:szCs w:val="13"/>
                <w:highlight w:val="none"/>
                <w:lang w:eastAsia="zh-CN"/>
              </w:rPr>
            </w:pPr>
          </w:p>
        </w:tc>
        <w:tc>
          <w:tcPr>
            <w:tcW w:w="3437" w:type="dxa"/>
            <w:gridSpan w:val="2"/>
            <w:tcBorders>
              <w:tl2br w:val="nil"/>
              <w:tr2bl w:val="nil"/>
            </w:tcBorders>
            <w:tcMar>
              <w:top w:w="15" w:type="dxa"/>
              <w:left w:w="15" w:type="dxa"/>
              <w:bottom w:w="15" w:type="dxa"/>
              <w:right w:w="15" w:type="dxa"/>
            </w:tcMar>
            <w:vAlign w:val="center"/>
          </w:tcPr>
          <w:p w14:paraId="4953B0C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hint="eastAsia"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经责令限期改正，逾期不改正，从事违法行为，逾期1个月以上2个月以下的。</w:t>
            </w:r>
          </w:p>
        </w:tc>
        <w:tc>
          <w:tcPr>
            <w:tcW w:w="3058" w:type="dxa"/>
            <w:tcBorders>
              <w:tl2br w:val="nil"/>
              <w:tr2bl w:val="nil"/>
            </w:tcBorders>
            <w:tcMar>
              <w:top w:w="15" w:type="dxa"/>
              <w:left w:w="15" w:type="dxa"/>
              <w:bottom w:w="15" w:type="dxa"/>
              <w:right w:w="15" w:type="dxa"/>
            </w:tcMar>
            <w:vAlign w:val="center"/>
          </w:tcPr>
          <w:p w14:paraId="3796845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hint="eastAsia"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给予警告，可处1万元以上1.5万元以下的罚款。</w:t>
            </w:r>
          </w:p>
        </w:tc>
      </w:tr>
      <w:tr w14:paraId="7C37265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25" w:hRule="atLeast"/>
          <w:jc w:val="center"/>
        </w:trPr>
        <w:tc>
          <w:tcPr>
            <w:tcW w:w="443" w:type="dxa"/>
            <w:gridSpan w:val="2"/>
            <w:vMerge w:val="continue"/>
            <w:tcBorders>
              <w:tl2br w:val="nil"/>
              <w:tr2bl w:val="nil"/>
            </w:tcBorders>
            <w:vAlign w:val="center"/>
          </w:tcPr>
          <w:p w14:paraId="1C070474">
            <w:pPr>
              <w:pStyle w:val="37"/>
              <w:keepNext w:val="0"/>
              <w:keepLines w:val="0"/>
              <w:pageBreakBefore w:val="0"/>
              <w:widowControl/>
              <w:numPr>
                <w:ilvl w:val="0"/>
                <w:numId w:val="4"/>
              </w:numPr>
              <w:kinsoku/>
              <w:overflowPunct/>
              <w:topLinePunct w:val="0"/>
              <w:autoSpaceDE/>
              <w:autoSpaceDN/>
              <w:bidi w:val="0"/>
              <w:adjustRightInd/>
              <w:snapToGrid/>
              <w:spacing w:beforeAutospacing="0" w:afterAutospacing="0" w:line="260" w:lineRule="exact"/>
              <w:ind w:left="638" w:leftChars="88" w:right="0" w:rightChars="0" w:hanging="453" w:hangingChars="349"/>
              <w:jc w:val="center"/>
              <w:rPr>
                <w:rFonts w:ascii="仿宋_GB2312" w:hAnsi="宋体" w:eastAsia="仿宋_GB2312"/>
                <w:color w:val="auto"/>
                <w:sz w:val="13"/>
                <w:szCs w:val="13"/>
                <w:highlight w:val="none"/>
              </w:rPr>
            </w:pPr>
          </w:p>
        </w:tc>
        <w:tc>
          <w:tcPr>
            <w:tcW w:w="1550" w:type="dxa"/>
            <w:vMerge w:val="continue"/>
            <w:tcBorders>
              <w:tl2br w:val="nil"/>
              <w:tr2bl w:val="nil"/>
            </w:tcBorders>
            <w:vAlign w:val="center"/>
          </w:tcPr>
          <w:p w14:paraId="4BEBA69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1FD6F90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olor w:val="auto"/>
                <w:kern w:val="0"/>
                <w:sz w:val="13"/>
                <w:szCs w:val="13"/>
                <w:highlight w:val="none"/>
              </w:rPr>
            </w:pPr>
          </w:p>
        </w:tc>
        <w:tc>
          <w:tcPr>
            <w:tcW w:w="823" w:type="dxa"/>
            <w:tcBorders>
              <w:tl2br w:val="nil"/>
              <w:tr2bl w:val="nil"/>
            </w:tcBorders>
            <w:tcMar>
              <w:top w:w="15" w:type="dxa"/>
              <w:left w:w="15" w:type="dxa"/>
              <w:bottom w:w="15" w:type="dxa"/>
              <w:right w:w="15" w:type="dxa"/>
            </w:tcMar>
            <w:vAlign w:val="center"/>
          </w:tcPr>
          <w:p w14:paraId="0A1C1BA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s="Times New Roman"/>
                <w:color w:val="auto"/>
                <w:kern w:val="0"/>
                <w:sz w:val="13"/>
                <w:szCs w:val="13"/>
                <w:highlight w:val="none"/>
                <w:lang w:eastAsia="zh-CN"/>
              </w:rPr>
              <w:t>从重情节</w:t>
            </w:r>
          </w:p>
        </w:tc>
        <w:tc>
          <w:tcPr>
            <w:tcW w:w="3437" w:type="dxa"/>
            <w:gridSpan w:val="2"/>
            <w:tcBorders>
              <w:tl2br w:val="nil"/>
              <w:tr2bl w:val="nil"/>
            </w:tcBorders>
            <w:tcMar>
              <w:top w:w="15" w:type="dxa"/>
              <w:left w:w="15" w:type="dxa"/>
              <w:bottom w:w="15" w:type="dxa"/>
              <w:right w:w="15" w:type="dxa"/>
            </w:tcMar>
            <w:vAlign w:val="center"/>
          </w:tcPr>
          <w:p w14:paraId="4935920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lang w:eastAsia="zh-CN"/>
              </w:rPr>
              <w:t>（</w:t>
            </w:r>
            <w:r>
              <w:rPr>
                <w:rFonts w:hint="eastAsia" w:ascii="仿宋_GB2312" w:hAnsi="宋体" w:eastAsia="仿宋_GB2312" w:cs="Times New Roman"/>
                <w:color w:val="auto"/>
                <w:kern w:val="0"/>
                <w:sz w:val="13"/>
                <w:szCs w:val="13"/>
                <w:highlight w:val="none"/>
                <w:lang w:val="en-US" w:eastAsia="zh-CN"/>
              </w:rPr>
              <w:t>1</w:t>
            </w:r>
            <w:r>
              <w:rPr>
                <w:rFonts w:hint="eastAsia" w:ascii="仿宋_GB2312" w:hAnsi="宋体" w:eastAsia="仿宋_GB2312" w:cs="Times New Roman"/>
                <w:color w:val="auto"/>
                <w:kern w:val="0"/>
                <w:sz w:val="13"/>
                <w:szCs w:val="13"/>
                <w:highlight w:val="none"/>
                <w:lang w:eastAsia="zh-CN"/>
              </w:rPr>
              <w:t>）</w:t>
            </w:r>
            <w:r>
              <w:rPr>
                <w:rFonts w:hint="eastAsia" w:ascii="仿宋_GB2312" w:hAnsi="宋体" w:eastAsia="仿宋_GB2312" w:cs="Times New Roman"/>
                <w:color w:val="auto"/>
                <w:kern w:val="0"/>
                <w:sz w:val="13"/>
                <w:szCs w:val="13"/>
                <w:highlight w:val="none"/>
              </w:rPr>
              <w:t>经责令限期改正，逾期不改正，从事违法行为，逾期2个月以上的。</w:t>
            </w:r>
            <w:r>
              <w:rPr>
                <w:rFonts w:hint="eastAsia" w:ascii="仿宋_GB2312" w:hAnsi="宋体" w:eastAsia="仿宋_GB2312" w:cs="Times New Roman"/>
                <w:color w:val="auto"/>
                <w:kern w:val="0"/>
                <w:sz w:val="13"/>
                <w:szCs w:val="13"/>
                <w:highlight w:val="none"/>
                <w:lang w:eastAsia="zh-CN"/>
              </w:rPr>
              <w:t>（</w:t>
            </w:r>
            <w:r>
              <w:rPr>
                <w:rFonts w:hint="eastAsia" w:ascii="仿宋_GB2312" w:hAnsi="宋体" w:eastAsia="仿宋_GB2312" w:cs="Times New Roman"/>
                <w:color w:val="auto"/>
                <w:kern w:val="0"/>
                <w:sz w:val="13"/>
                <w:szCs w:val="13"/>
                <w:highlight w:val="none"/>
                <w:lang w:val="en-US" w:eastAsia="zh-CN"/>
              </w:rPr>
              <w:t>2</w:t>
            </w:r>
            <w:r>
              <w:rPr>
                <w:rFonts w:hint="eastAsia" w:ascii="仿宋_GB2312" w:hAnsi="宋体" w:eastAsia="仿宋_GB2312" w:cs="Times New Roman"/>
                <w:color w:val="auto"/>
                <w:kern w:val="0"/>
                <w:sz w:val="13"/>
                <w:szCs w:val="13"/>
                <w:highlight w:val="none"/>
                <w:lang w:eastAsia="zh-CN"/>
              </w:rPr>
              <w:t>）</w:t>
            </w:r>
            <w:r>
              <w:rPr>
                <w:rFonts w:hint="eastAsia" w:ascii="仿宋_GB2312" w:hAnsi="宋体" w:eastAsia="仿宋_GB2312" w:cs="Times New Roman"/>
                <w:color w:val="auto"/>
                <w:kern w:val="0"/>
                <w:sz w:val="13"/>
                <w:szCs w:val="13"/>
                <w:highlight w:val="none"/>
              </w:rPr>
              <w:t>经责令停止违法行为后，继续实施违法行为的</w:t>
            </w:r>
            <w:r>
              <w:rPr>
                <w:rFonts w:hint="eastAsia" w:ascii="仿宋_GB2312" w:hAnsi="宋体" w:eastAsia="仿宋_GB2312" w:cs="Times New Roman"/>
                <w:color w:val="auto"/>
                <w:kern w:val="0"/>
                <w:sz w:val="13"/>
                <w:szCs w:val="13"/>
                <w:highlight w:val="none"/>
                <w:lang w:eastAsia="zh-CN"/>
              </w:rPr>
              <w:t>，</w:t>
            </w:r>
            <w:r>
              <w:rPr>
                <w:rFonts w:hint="eastAsia" w:ascii="仿宋_GB2312" w:hAnsi="宋体" w:eastAsia="仿宋_GB2312" w:cs="Times New Roman"/>
                <w:color w:val="auto"/>
                <w:kern w:val="0"/>
                <w:sz w:val="13"/>
                <w:szCs w:val="13"/>
                <w:highlight w:val="none"/>
                <w:lang w:val="en-US" w:eastAsia="zh-CN"/>
              </w:rPr>
              <w:t>或</w:t>
            </w:r>
            <w:r>
              <w:rPr>
                <w:rFonts w:hint="eastAsia" w:ascii="仿宋_GB2312" w:hAnsi="宋体" w:eastAsia="仿宋_GB2312" w:cs="Times New Roman"/>
                <w:color w:val="auto"/>
                <w:kern w:val="0"/>
                <w:sz w:val="13"/>
                <w:szCs w:val="13"/>
                <w:highlight w:val="none"/>
              </w:rPr>
              <w:t>2年内2次及以上同类型违法。（3）</w:t>
            </w:r>
            <w:r>
              <w:rPr>
                <w:rFonts w:hint="eastAsia" w:ascii="仿宋_GB2312" w:hAnsi="宋体" w:eastAsia="仿宋_GB2312" w:cs="Times New Roman"/>
                <w:color w:val="auto"/>
                <w:kern w:val="0"/>
                <w:sz w:val="13"/>
                <w:szCs w:val="13"/>
                <w:highlight w:val="none"/>
                <w:lang w:val="en-US" w:eastAsia="zh-CN"/>
              </w:rPr>
              <w:t>其他</w:t>
            </w:r>
            <w:r>
              <w:rPr>
                <w:rFonts w:hint="eastAsia" w:ascii="仿宋_GB2312" w:hAnsi="宋体" w:eastAsia="仿宋_GB2312" w:cs="Times New Roman"/>
                <w:color w:val="auto"/>
                <w:kern w:val="0"/>
                <w:sz w:val="13"/>
                <w:szCs w:val="13"/>
                <w:highlight w:val="none"/>
              </w:rPr>
              <w:t>足以影响房地产市场秩序和社会稳定</w:t>
            </w:r>
            <w:r>
              <w:rPr>
                <w:rFonts w:hint="eastAsia" w:ascii="仿宋_GB2312" w:hAnsi="宋体" w:eastAsia="仿宋_GB2312" w:cs="Times New Roman"/>
                <w:color w:val="auto"/>
                <w:kern w:val="0"/>
                <w:sz w:val="13"/>
                <w:szCs w:val="13"/>
                <w:highlight w:val="none"/>
                <w:lang w:val="en-US" w:eastAsia="zh-CN"/>
              </w:rPr>
              <w:t>情形</w:t>
            </w:r>
            <w:r>
              <w:rPr>
                <w:rFonts w:hint="eastAsia" w:ascii="仿宋_GB2312" w:hAnsi="宋体" w:eastAsia="仿宋_GB2312" w:cs="Times New Roman"/>
                <w:color w:val="auto"/>
                <w:kern w:val="0"/>
                <w:sz w:val="13"/>
                <w:szCs w:val="13"/>
                <w:highlight w:val="none"/>
              </w:rPr>
              <w:t>。</w:t>
            </w:r>
          </w:p>
        </w:tc>
        <w:tc>
          <w:tcPr>
            <w:tcW w:w="3058" w:type="dxa"/>
            <w:tcBorders>
              <w:tl2br w:val="nil"/>
              <w:tr2bl w:val="nil"/>
            </w:tcBorders>
            <w:tcMar>
              <w:top w:w="15" w:type="dxa"/>
              <w:left w:w="15" w:type="dxa"/>
              <w:bottom w:w="15" w:type="dxa"/>
              <w:right w:w="15" w:type="dxa"/>
            </w:tcMar>
            <w:vAlign w:val="center"/>
          </w:tcPr>
          <w:p w14:paraId="585AED1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给予警告，可处1.5万元以上2万元以下的罚款。</w:t>
            </w:r>
          </w:p>
        </w:tc>
      </w:tr>
      <w:tr w14:paraId="174EB34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70" w:hRule="atLeast"/>
          <w:jc w:val="center"/>
        </w:trPr>
        <w:tc>
          <w:tcPr>
            <w:tcW w:w="443" w:type="dxa"/>
            <w:gridSpan w:val="2"/>
            <w:vMerge w:val="restart"/>
            <w:tcBorders>
              <w:tl2br w:val="nil"/>
              <w:tr2bl w:val="nil"/>
            </w:tcBorders>
            <w:vAlign w:val="center"/>
          </w:tcPr>
          <w:p w14:paraId="78B1F7A7">
            <w:pPr>
              <w:keepNext w:val="0"/>
              <w:keepLines w:val="0"/>
              <w:pageBreakBefore w:val="0"/>
              <w:widowControl/>
              <w:numPr>
                <w:ilvl w:val="0"/>
                <w:numId w:val="6"/>
              </w:numPr>
              <w:suppressLineNumbers w:val="0"/>
              <w:tabs>
                <w:tab w:val="clear" w:pos="397"/>
              </w:tabs>
              <w:kinsoku/>
              <w:overflowPunct/>
              <w:topLinePunct w:val="0"/>
              <w:autoSpaceDE/>
              <w:autoSpaceDN/>
              <w:bidi w:val="0"/>
              <w:adjustRightInd/>
              <w:snapToGrid/>
              <w:spacing w:beforeAutospacing="0" w:afterAutospacing="0" w:line="260" w:lineRule="exact"/>
              <w:ind w:left="638" w:leftChars="88" w:right="0" w:rightChars="0" w:hanging="453" w:hangingChars="349"/>
              <w:jc w:val="center"/>
              <w:textAlignment w:val="center"/>
              <w:rPr>
                <w:rFonts w:hint="default" w:ascii="仿宋_GB2312" w:hAnsi="宋体" w:eastAsia="仿宋_GB2312"/>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258</w:t>
            </w:r>
          </w:p>
        </w:tc>
        <w:tc>
          <w:tcPr>
            <w:tcW w:w="1550" w:type="dxa"/>
            <w:vMerge w:val="restart"/>
            <w:tcBorders>
              <w:tl2br w:val="nil"/>
              <w:tr2bl w:val="nil"/>
            </w:tcBorders>
            <w:vAlign w:val="center"/>
          </w:tcPr>
          <w:p w14:paraId="73E166F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分支机构不以设立该分支机构的房地产估价机构的名义出具估价报告或不加盖该房地产估价机构公章</w:t>
            </w:r>
          </w:p>
        </w:tc>
        <w:tc>
          <w:tcPr>
            <w:tcW w:w="4820" w:type="dxa"/>
            <w:vMerge w:val="restart"/>
            <w:tcBorders>
              <w:tl2br w:val="nil"/>
              <w:tr2bl w:val="nil"/>
            </w:tcBorders>
            <w:vAlign w:val="center"/>
          </w:tcPr>
          <w:p w14:paraId="1899E25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《房地产估价机构管理办法》</w:t>
            </w:r>
            <w:r>
              <w:rPr>
                <w:rFonts w:hint="eastAsia" w:ascii="仿宋_GB2312" w:hAnsi="宋体" w:eastAsia="仿宋_GB2312" w:cs="Times New Roman"/>
                <w:b/>
                <w:bCs/>
                <w:color w:val="auto"/>
                <w:kern w:val="0"/>
                <w:sz w:val="13"/>
                <w:szCs w:val="13"/>
                <w:highlight w:val="none"/>
              </w:rPr>
              <w:t>第五十条</w:t>
            </w:r>
            <w:r>
              <w:rPr>
                <w:rFonts w:hint="eastAsia" w:ascii="仿宋_GB2312" w:hAnsi="宋体" w:eastAsia="仿宋_GB2312" w:cs="Times New Roman"/>
                <w:b/>
                <w:bCs/>
                <w:color w:val="auto"/>
                <w:kern w:val="0"/>
                <w:sz w:val="13"/>
                <w:szCs w:val="13"/>
                <w:highlight w:val="none"/>
                <w:lang w:eastAsia="zh-CN"/>
              </w:rPr>
              <w:t>（三）项</w:t>
            </w:r>
            <w:r>
              <w:rPr>
                <w:rFonts w:hint="eastAsia" w:ascii="仿宋_GB2312" w:hAnsi="宋体" w:eastAsia="仿宋_GB2312" w:cs="Times New Roman"/>
                <w:b/>
                <w:bCs/>
                <w:color w:val="auto"/>
                <w:kern w:val="0"/>
                <w:sz w:val="13"/>
                <w:szCs w:val="13"/>
                <w:highlight w:val="none"/>
              </w:rPr>
              <w:t>：</w:t>
            </w:r>
          </w:p>
          <w:p w14:paraId="7498325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0" w:firstLineChars="200"/>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有下列行为之一的，由县级以上地方人民政府房地产主管部门给予警告，责令限期改正；逾期未改正的，可处5千元以上2万元以下的罚款；给当事人造成损失的，依法承担赔偿责任：</w:t>
            </w:r>
          </w:p>
          <w:p w14:paraId="504443C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0" w:firstLineChars="200"/>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（三）违反本办法第二十条第二款、第二十九条第二款、第三十二条规定出具估价报告的。</w:t>
            </w:r>
          </w:p>
          <w:p w14:paraId="7963BD2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1" w:firstLineChars="200"/>
              <w:textAlignment w:val="center"/>
              <w:rPr>
                <w:rFonts w:ascii="仿宋_GB2312" w:hAnsi="宋体" w:eastAsia="仿宋_GB2312" w:cs="Times New Roman"/>
                <w:color w:val="auto"/>
                <w:kern w:val="0"/>
                <w:sz w:val="13"/>
                <w:szCs w:val="13"/>
                <w:highlight w:val="none"/>
              </w:rPr>
            </w:pPr>
            <w:r>
              <w:rPr>
                <w:rFonts w:ascii="仿宋_GB2312" w:hAnsi="宋体" w:eastAsia="仿宋_GB2312" w:cs="Times New Roman"/>
                <w:b/>
                <w:bCs/>
                <w:color w:val="auto"/>
                <w:kern w:val="0"/>
                <w:sz w:val="13"/>
                <w:szCs w:val="13"/>
                <w:highlight w:val="none"/>
              </w:rPr>
              <w:t>第二十条</w:t>
            </w:r>
            <w:r>
              <w:rPr>
                <w:rFonts w:hint="eastAsia" w:ascii="仿宋_GB2312" w:hAnsi="宋体" w:eastAsia="仿宋_GB2312" w:cs="Times New Roman"/>
                <w:b/>
                <w:bCs/>
                <w:color w:val="auto"/>
                <w:kern w:val="0"/>
                <w:sz w:val="13"/>
                <w:szCs w:val="13"/>
                <w:highlight w:val="none"/>
              </w:rPr>
              <w:t>第二款</w:t>
            </w:r>
            <w:r>
              <w:rPr>
                <w:rFonts w:hint="eastAsia" w:ascii="仿宋_GB2312" w:hAnsi="宋体" w:eastAsia="仿宋_GB2312" w:cs="Times New Roman"/>
                <w:b/>
                <w:bCs/>
                <w:color w:val="auto"/>
                <w:kern w:val="0"/>
                <w:sz w:val="13"/>
                <w:szCs w:val="13"/>
                <w:highlight w:val="none"/>
                <w:lang w:eastAsia="zh-CN"/>
              </w:rPr>
              <w:t>：</w:t>
            </w:r>
            <w:r>
              <w:rPr>
                <w:rFonts w:ascii="仿宋_GB2312" w:hAnsi="宋体" w:eastAsia="仿宋_GB2312" w:cs="Times New Roman"/>
                <w:color w:val="auto"/>
                <w:kern w:val="0"/>
                <w:sz w:val="13"/>
                <w:szCs w:val="13"/>
                <w:highlight w:val="none"/>
              </w:rPr>
              <w:t>分支机构应当以设立该分支机构的房地产估价机构的名义出具</w:t>
            </w:r>
            <w:r>
              <w:rPr>
                <w:color w:val="auto"/>
                <w:sz w:val="13"/>
                <w:szCs w:val="13"/>
                <w:highlight w:val="none"/>
              </w:rPr>
              <w:fldChar w:fldCharType="begin"/>
            </w:r>
            <w:r>
              <w:rPr>
                <w:color w:val="auto"/>
                <w:sz w:val="13"/>
                <w:szCs w:val="13"/>
                <w:highlight w:val="none"/>
              </w:rPr>
              <w:instrText xml:space="preserve"> HYPERLINK "https://baike.baidu.com/item/%E4%BC%B0%E4%BB%B7%E6%8A%A5%E5%91%8A/7359509" \t "https://baike.baidu.com/item/_blank" </w:instrText>
            </w:r>
            <w:r>
              <w:rPr>
                <w:color w:val="auto"/>
                <w:sz w:val="13"/>
                <w:szCs w:val="13"/>
                <w:highlight w:val="none"/>
              </w:rPr>
              <w:fldChar w:fldCharType="separate"/>
            </w:r>
            <w:r>
              <w:rPr>
                <w:rFonts w:ascii="仿宋_GB2312" w:hAnsi="宋体" w:eastAsia="仿宋_GB2312" w:cs="Times New Roman"/>
                <w:color w:val="auto"/>
                <w:kern w:val="0"/>
                <w:sz w:val="13"/>
                <w:szCs w:val="13"/>
                <w:highlight w:val="none"/>
              </w:rPr>
              <w:t>估价报告</w:t>
            </w:r>
            <w:r>
              <w:rPr>
                <w:rFonts w:ascii="仿宋_GB2312" w:hAnsi="宋体" w:eastAsia="仿宋_GB2312" w:cs="Times New Roman"/>
                <w:color w:val="auto"/>
                <w:kern w:val="0"/>
                <w:sz w:val="13"/>
                <w:szCs w:val="13"/>
                <w:highlight w:val="none"/>
              </w:rPr>
              <w:fldChar w:fldCharType="end"/>
            </w:r>
            <w:r>
              <w:rPr>
                <w:rFonts w:ascii="仿宋_GB2312" w:hAnsi="宋体" w:eastAsia="仿宋_GB2312" w:cs="Times New Roman"/>
                <w:color w:val="auto"/>
                <w:kern w:val="0"/>
                <w:sz w:val="13"/>
                <w:szCs w:val="13"/>
                <w:highlight w:val="none"/>
              </w:rPr>
              <w:t>，并加盖该房地产估价机构公章。</w:t>
            </w:r>
          </w:p>
        </w:tc>
        <w:tc>
          <w:tcPr>
            <w:tcW w:w="823" w:type="dxa"/>
            <w:tcBorders>
              <w:tl2br w:val="nil"/>
              <w:tr2bl w:val="nil"/>
            </w:tcBorders>
            <w:tcMar>
              <w:top w:w="15" w:type="dxa"/>
              <w:left w:w="15" w:type="dxa"/>
              <w:bottom w:w="15" w:type="dxa"/>
              <w:right w:w="15" w:type="dxa"/>
            </w:tcMar>
            <w:vAlign w:val="center"/>
          </w:tcPr>
          <w:p w14:paraId="489DD1A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s="Times New Roman"/>
                <w:color w:val="auto"/>
                <w:kern w:val="0"/>
                <w:sz w:val="13"/>
                <w:szCs w:val="13"/>
                <w:highlight w:val="none"/>
                <w:lang w:eastAsia="zh-CN"/>
              </w:rPr>
              <w:t>从轻情节</w:t>
            </w:r>
          </w:p>
        </w:tc>
        <w:tc>
          <w:tcPr>
            <w:tcW w:w="3437" w:type="dxa"/>
            <w:gridSpan w:val="2"/>
            <w:tcBorders>
              <w:tl2br w:val="nil"/>
              <w:tr2bl w:val="nil"/>
            </w:tcBorders>
            <w:tcMar>
              <w:top w:w="15" w:type="dxa"/>
              <w:left w:w="15" w:type="dxa"/>
              <w:bottom w:w="15" w:type="dxa"/>
              <w:right w:w="15" w:type="dxa"/>
            </w:tcMar>
            <w:vAlign w:val="center"/>
          </w:tcPr>
          <w:p w14:paraId="6037075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3" w:firstLineChars="203"/>
              <w:textAlignment w:val="center"/>
              <w:rPr>
                <w:rFonts w:hint="default" w:ascii="仿宋_GB2312" w:hAnsi="宋体" w:eastAsia="仿宋_GB2312"/>
                <w:color w:val="auto"/>
                <w:kern w:val="0"/>
                <w:sz w:val="13"/>
                <w:szCs w:val="13"/>
                <w:highlight w:val="none"/>
                <w:lang w:val="en-US" w:eastAsia="zh-CN"/>
              </w:rPr>
            </w:pPr>
            <w:r>
              <w:rPr>
                <w:rFonts w:hint="eastAsia" w:ascii="仿宋_GB2312" w:hAnsi="宋体" w:eastAsia="仿宋_GB2312" w:cs="Times New Roman"/>
                <w:color w:val="auto"/>
                <w:kern w:val="0"/>
                <w:sz w:val="13"/>
                <w:szCs w:val="13"/>
                <w:highlight w:val="none"/>
              </w:rPr>
              <w:t>初次违法，</w:t>
            </w:r>
            <w:r>
              <w:rPr>
                <w:rFonts w:hint="eastAsia" w:ascii="仿宋_GB2312" w:hAnsi="宋体" w:eastAsia="仿宋_GB2312" w:cs="Times New Roman"/>
                <w:color w:val="auto"/>
                <w:kern w:val="0"/>
                <w:sz w:val="13"/>
                <w:szCs w:val="13"/>
                <w:highlight w:val="none"/>
                <w:lang w:val="en-US" w:eastAsia="zh-CN"/>
              </w:rPr>
              <w:t>并在责令期限内</w:t>
            </w:r>
            <w:r>
              <w:rPr>
                <w:rFonts w:hint="eastAsia" w:ascii="仿宋_GB2312" w:hAnsi="宋体" w:eastAsia="仿宋_GB2312" w:cs="Times New Roman"/>
                <w:color w:val="auto"/>
                <w:kern w:val="0"/>
                <w:sz w:val="13"/>
                <w:szCs w:val="13"/>
                <w:highlight w:val="none"/>
              </w:rPr>
              <w:t>主动采取措施</w:t>
            </w:r>
            <w:r>
              <w:rPr>
                <w:rFonts w:hint="eastAsia" w:ascii="仿宋_GB2312" w:hAnsi="宋体" w:eastAsia="仿宋_GB2312" w:cs="Times New Roman"/>
                <w:color w:val="auto"/>
                <w:kern w:val="0"/>
                <w:sz w:val="13"/>
                <w:szCs w:val="13"/>
                <w:highlight w:val="none"/>
                <w:lang w:val="en-US" w:eastAsia="zh-CN"/>
              </w:rPr>
              <w:t>改正违法行为，</w:t>
            </w:r>
            <w:r>
              <w:rPr>
                <w:rFonts w:hint="eastAsia" w:ascii="仿宋_GB2312" w:hAnsi="宋体" w:eastAsia="仿宋_GB2312" w:cs="Times New Roman"/>
                <w:color w:val="auto"/>
                <w:kern w:val="0"/>
                <w:sz w:val="13"/>
                <w:szCs w:val="13"/>
                <w:highlight w:val="none"/>
              </w:rPr>
              <w:t>危害后果轻微。</w:t>
            </w:r>
          </w:p>
        </w:tc>
        <w:tc>
          <w:tcPr>
            <w:tcW w:w="3058" w:type="dxa"/>
            <w:tcBorders>
              <w:tl2br w:val="nil"/>
              <w:tr2bl w:val="nil"/>
            </w:tcBorders>
            <w:tcMar>
              <w:top w:w="15" w:type="dxa"/>
              <w:left w:w="15" w:type="dxa"/>
              <w:bottom w:w="15" w:type="dxa"/>
              <w:right w:w="15" w:type="dxa"/>
            </w:tcMar>
            <w:vAlign w:val="center"/>
          </w:tcPr>
          <w:p w14:paraId="225A12A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hint="default" w:ascii="仿宋_GB2312" w:hAnsi="宋体" w:eastAsia="仿宋_GB2312"/>
                <w:color w:val="auto"/>
                <w:kern w:val="0"/>
                <w:sz w:val="13"/>
                <w:szCs w:val="13"/>
                <w:highlight w:val="none"/>
                <w:lang w:val="en-US" w:eastAsia="zh-CN"/>
              </w:rPr>
            </w:pPr>
            <w:r>
              <w:rPr>
                <w:rFonts w:hint="eastAsia" w:ascii="仿宋_GB2312" w:hAnsi="宋体" w:eastAsia="仿宋_GB2312"/>
                <w:color w:val="auto"/>
                <w:kern w:val="0"/>
                <w:sz w:val="13"/>
                <w:szCs w:val="13"/>
                <w:highlight w:val="none"/>
                <w:lang w:val="en-US" w:eastAsia="zh-CN"/>
              </w:rPr>
              <w:t>给予警告。</w:t>
            </w:r>
          </w:p>
        </w:tc>
      </w:tr>
      <w:tr w14:paraId="137706D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70" w:hRule="atLeast"/>
          <w:jc w:val="center"/>
        </w:trPr>
        <w:tc>
          <w:tcPr>
            <w:tcW w:w="443" w:type="dxa"/>
            <w:gridSpan w:val="2"/>
            <w:vMerge w:val="continue"/>
            <w:tcBorders>
              <w:tl2br w:val="nil"/>
              <w:tr2bl w:val="nil"/>
            </w:tcBorders>
            <w:vAlign w:val="center"/>
          </w:tcPr>
          <w:p w14:paraId="4E466168">
            <w:pPr>
              <w:keepNext w:val="0"/>
              <w:keepLines w:val="0"/>
              <w:pageBreakBefore w:val="0"/>
              <w:widowControl/>
              <w:kinsoku/>
              <w:overflowPunct/>
              <w:topLinePunct w:val="0"/>
              <w:autoSpaceDE/>
              <w:autoSpaceDN/>
              <w:bidi w:val="0"/>
              <w:adjustRightInd/>
              <w:snapToGrid/>
              <w:spacing w:beforeAutospacing="0" w:afterAutospacing="0" w:line="260" w:lineRule="exact"/>
              <w:ind w:left="917" w:leftChars="88" w:right="0" w:rightChars="0" w:hanging="732" w:hangingChars="349"/>
              <w:textAlignment w:val="center"/>
              <w:rPr>
                <w:color w:val="auto"/>
                <w:highlight w:val="none"/>
              </w:rPr>
            </w:pPr>
          </w:p>
        </w:tc>
        <w:tc>
          <w:tcPr>
            <w:tcW w:w="1550" w:type="dxa"/>
            <w:vMerge w:val="continue"/>
            <w:tcBorders>
              <w:tl2br w:val="nil"/>
              <w:tr2bl w:val="nil"/>
            </w:tcBorders>
            <w:vAlign w:val="center"/>
          </w:tcPr>
          <w:p w14:paraId="5B6C4BC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18" w:firstLineChars="104"/>
              <w:textAlignment w:val="center"/>
              <w:rPr>
                <w:color w:val="auto"/>
                <w:highlight w:val="none"/>
              </w:rPr>
            </w:pPr>
          </w:p>
        </w:tc>
        <w:tc>
          <w:tcPr>
            <w:tcW w:w="4820" w:type="dxa"/>
            <w:vMerge w:val="continue"/>
            <w:tcBorders>
              <w:tl2br w:val="nil"/>
              <w:tr2bl w:val="nil"/>
            </w:tcBorders>
            <w:vAlign w:val="center"/>
          </w:tcPr>
          <w:p w14:paraId="409DAD4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18" w:firstLineChars="104"/>
              <w:textAlignment w:val="center"/>
              <w:rPr>
                <w:color w:val="auto"/>
                <w:highlight w:val="none"/>
              </w:rPr>
            </w:pPr>
          </w:p>
        </w:tc>
        <w:tc>
          <w:tcPr>
            <w:tcW w:w="823" w:type="dxa"/>
            <w:vMerge w:val="restart"/>
            <w:tcBorders>
              <w:tl2br w:val="nil"/>
              <w:tr2bl w:val="nil"/>
            </w:tcBorders>
            <w:tcMar>
              <w:top w:w="15" w:type="dxa"/>
              <w:left w:w="15" w:type="dxa"/>
              <w:bottom w:w="15" w:type="dxa"/>
              <w:right w:w="15" w:type="dxa"/>
            </w:tcMar>
            <w:vAlign w:val="center"/>
          </w:tcPr>
          <w:p w14:paraId="53B85F7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s="Times New Roman"/>
                <w:color w:val="auto"/>
                <w:kern w:val="0"/>
                <w:sz w:val="13"/>
                <w:szCs w:val="13"/>
                <w:highlight w:val="none"/>
                <w:lang w:eastAsia="zh-CN"/>
              </w:rPr>
              <w:t>一般情节</w:t>
            </w:r>
          </w:p>
        </w:tc>
        <w:tc>
          <w:tcPr>
            <w:tcW w:w="3437" w:type="dxa"/>
            <w:gridSpan w:val="2"/>
            <w:tcBorders>
              <w:tl2br w:val="nil"/>
              <w:tr2bl w:val="nil"/>
            </w:tcBorders>
            <w:tcMar>
              <w:top w:w="15" w:type="dxa"/>
              <w:left w:w="15" w:type="dxa"/>
              <w:bottom w:w="15" w:type="dxa"/>
              <w:right w:w="15" w:type="dxa"/>
            </w:tcMar>
            <w:vAlign w:val="center"/>
          </w:tcPr>
          <w:p w14:paraId="4DB14A6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hint="eastAsia" w:ascii="仿宋_GB2312" w:hAnsi="宋体" w:eastAsia="仿宋_GB2312" w:cstheme="minorBidi"/>
                <w:color w:val="auto"/>
                <w:kern w:val="0"/>
                <w:sz w:val="13"/>
                <w:szCs w:val="13"/>
                <w:highlight w:val="none"/>
                <w:lang w:val="en-US" w:eastAsia="zh-CN" w:bidi="ar-SA"/>
              </w:rPr>
            </w:pPr>
            <w:r>
              <w:rPr>
                <w:rFonts w:hint="eastAsia" w:ascii="仿宋_GB2312" w:hAnsi="宋体" w:eastAsia="仿宋_GB2312" w:cs="Times New Roman"/>
                <w:color w:val="auto"/>
                <w:kern w:val="0"/>
                <w:sz w:val="13"/>
                <w:szCs w:val="13"/>
                <w:highlight w:val="none"/>
              </w:rPr>
              <w:t>经责令限期改正，逾期不改正，从事违法行为，逾期1个月以下的。</w:t>
            </w:r>
          </w:p>
        </w:tc>
        <w:tc>
          <w:tcPr>
            <w:tcW w:w="3058" w:type="dxa"/>
            <w:tcBorders>
              <w:tl2br w:val="nil"/>
              <w:tr2bl w:val="nil"/>
            </w:tcBorders>
            <w:tcMar>
              <w:top w:w="15" w:type="dxa"/>
              <w:left w:w="15" w:type="dxa"/>
              <w:bottom w:w="15" w:type="dxa"/>
              <w:right w:w="15" w:type="dxa"/>
            </w:tcMar>
            <w:vAlign w:val="center"/>
          </w:tcPr>
          <w:p w14:paraId="57BCC72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hint="eastAsia" w:ascii="仿宋_GB2312" w:hAnsi="宋体" w:eastAsia="仿宋_GB2312" w:cstheme="minorBidi"/>
                <w:color w:val="auto"/>
                <w:kern w:val="0"/>
                <w:sz w:val="13"/>
                <w:szCs w:val="13"/>
                <w:highlight w:val="none"/>
                <w:lang w:val="en-US" w:eastAsia="zh-CN" w:bidi="ar-SA"/>
              </w:rPr>
            </w:pPr>
            <w:r>
              <w:rPr>
                <w:rFonts w:hint="eastAsia" w:ascii="仿宋_GB2312" w:hAnsi="宋体" w:eastAsia="仿宋_GB2312" w:cs="Times New Roman"/>
                <w:color w:val="auto"/>
                <w:kern w:val="0"/>
                <w:sz w:val="13"/>
                <w:szCs w:val="13"/>
                <w:highlight w:val="none"/>
              </w:rPr>
              <w:t>给予警告，可处5千元以上1万元以下的罚款。</w:t>
            </w:r>
          </w:p>
        </w:tc>
      </w:tr>
      <w:tr w14:paraId="28F6450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9" w:hRule="atLeast"/>
          <w:jc w:val="center"/>
        </w:trPr>
        <w:tc>
          <w:tcPr>
            <w:tcW w:w="443" w:type="dxa"/>
            <w:gridSpan w:val="2"/>
            <w:vMerge w:val="continue"/>
            <w:tcBorders>
              <w:tl2br w:val="nil"/>
              <w:tr2bl w:val="nil"/>
            </w:tcBorders>
            <w:vAlign w:val="center"/>
          </w:tcPr>
          <w:p w14:paraId="381B6906">
            <w:pPr>
              <w:pStyle w:val="37"/>
              <w:keepNext w:val="0"/>
              <w:keepLines w:val="0"/>
              <w:pageBreakBefore w:val="0"/>
              <w:widowControl/>
              <w:numPr>
                <w:ilvl w:val="0"/>
                <w:numId w:val="4"/>
              </w:numPr>
              <w:kinsoku/>
              <w:overflowPunct/>
              <w:topLinePunct w:val="0"/>
              <w:autoSpaceDE/>
              <w:autoSpaceDN/>
              <w:bidi w:val="0"/>
              <w:adjustRightInd/>
              <w:snapToGrid/>
              <w:spacing w:beforeAutospacing="0" w:afterAutospacing="0" w:line="260" w:lineRule="exact"/>
              <w:ind w:left="638" w:leftChars="88" w:right="0" w:rightChars="0" w:hanging="453" w:hangingChars="349"/>
              <w:jc w:val="center"/>
              <w:rPr>
                <w:rFonts w:ascii="仿宋_GB2312" w:hAnsi="宋体" w:eastAsia="仿宋_GB2312"/>
                <w:color w:val="auto"/>
                <w:sz w:val="13"/>
                <w:szCs w:val="13"/>
                <w:highlight w:val="none"/>
              </w:rPr>
            </w:pPr>
          </w:p>
        </w:tc>
        <w:tc>
          <w:tcPr>
            <w:tcW w:w="1550" w:type="dxa"/>
            <w:vMerge w:val="continue"/>
            <w:tcBorders>
              <w:tl2br w:val="nil"/>
              <w:tr2bl w:val="nil"/>
            </w:tcBorders>
            <w:vAlign w:val="center"/>
          </w:tcPr>
          <w:p w14:paraId="42B2AA3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5F1441E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strike/>
                <w:color w:val="auto"/>
                <w:sz w:val="13"/>
                <w:szCs w:val="13"/>
                <w:highlight w:val="none"/>
              </w:rPr>
            </w:pPr>
          </w:p>
        </w:tc>
        <w:tc>
          <w:tcPr>
            <w:tcW w:w="823" w:type="dxa"/>
            <w:vMerge w:val="continue"/>
            <w:tcBorders>
              <w:tl2br w:val="nil"/>
              <w:tr2bl w:val="nil"/>
            </w:tcBorders>
            <w:tcMar>
              <w:top w:w="15" w:type="dxa"/>
              <w:left w:w="15" w:type="dxa"/>
              <w:bottom w:w="15" w:type="dxa"/>
              <w:right w:w="15" w:type="dxa"/>
            </w:tcMar>
            <w:vAlign w:val="center"/>
          </w:tcPr>
          <w:p w14:paraId="052443C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p>
        </w:tc>
        <w:tc>
          <w:tcPr>
            <w:tcW w:w="3437" w:type="dxa"/>
            <w:gridSpan w:val="2"/>
            <w:tcBorders>
              <w:tl2br w:val="nil"/>
              <w:tr2bl w:val="nil"/>
            </w:tcBorders>
            <w:tcMar>
              <w:top w:w="15" w:type="dxa"/>
              <w:left w:w="15" w:type="dxa"/>
              <w:bottom w:w="15" w:type="dxa"/>
              <w:right w:w="15" w:type="dxa"/>
            </w:tcMar>
            <w:vAlign w:val="center"/>
          </w:tcPr>
          <w:p w14:paraId="598691D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经责令限期改正，逾期不改正，从事违法行为，逾期1个月以上2个月以下的。</w:t>
            </w:r>
          </w:p>
        </w:tc>
        <w:tc>
          <w:tcPr>
            <w:tcW w:w="3058" w:type="dxa"/>
            <w:tcBorders>
              <w:tl2br w:val="nil"/>
              <w:tr2bl w:val="nil"/>
            </w:tcBorders>
            <w:tcMar>
              <w:top w:w="15" w:type="dxa"/>
              <w:left w:w="15" w:type="dxa"/>
              <w:bottom w:w="15" w:type="dxa"/>
              <w:right w:w="15" w:type="dxa"/>
            </w:tcMar>
            <w:vAlign w:val="center"/>
          </w:tcPr>
          <w:p w14:paraId="2B7D9CA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给予警告，可处1万元以上1.5万元以下的罚款。</w:t>
            </w:r>
          </w:p>
        </w:tc>
      </w:tr>
      <w:tr w14:paraId="3F8AF18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01" w:hRule="atLeast"/>
          <w:jc w:val="center"/>
        </w:trPr>
        <w:tc>
          <w:tcPr>
            <w:tcW w:w="443" w:type="dxa"/>
            <w:gridSpan w:val="2"/>
            <w:vMerge w:val="continue"/>
            <w:tcBorders>
              <w:tl2br w:val="nil"/>
              <w:tr2bl w:val="nil"/>
            </w:tcBorders>
            <w:vAlign w:val="center"/>
          </w:tcPr>
          <w:p w14:paraId="79E4D116">
            <w:pPr>
              <w:pStyle w:val="37"/>
              <w:keepNext w:val="0"/>
              <w:keepLines w:val="0"/>
              <w:pageBreakBefore w:val="0"/>
              <w:widowControl/>
              <w:numPr>
                <w:ilvl w:val="0"/>
                <w:numId w:val="4"/>
              </w:numPr>
              <w:kinsoku/>
              <w:overflowPunct/>
              <w:topLinePunct w:val="0"/>
              <w:autoSpaceDE/>
              <w:autoSpaceDN/>
              <w:bidi w:val="0"/>
              <w:adjustRightInd/>
              <w:snapToGrid/>
              <w:spacing w:beforeAutospacing="0" w:afterAutospacing="0" w:line="260" w:lineRule="exact"/>
              <w:ind w:left="638" w:leftChars="88" w:right="0" w:rightChars="0" w:hanging="453" w:hangingChars="349"/>
              <w:jc w:val="center"/>
              <w:rPr>
                <w:rFonts w:ascii="仿宋_GB2312" w:hAnsi="宋体" w:eastAsia="仿宋_GB2312"/>
                <w:color w:val="auto"/>
                <w:sz w:val="13"/>
                <w:szCs w:val="13"/>
                <w:highlight w:val="none"/>
              </w:rPr>
            </w:pPr>
          </w:p>
        </w:tc>
        <w:tc>
          <w:tcPr>
            <w:tcW w:w="1550" w:type="dxa"/>
            <w:vMerge w:val="continue"/>
            <w:tcBorders>
              <w:tl2br w:val="nil"/>
              <w:tr2bl w:val="nil"/>
            </w:tcBorders>
            <w:vAlign w:val="center"/>
          </w:tcPr>
          <w:p w14:paraId="439BC85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01B3502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strike/>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510DF85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s="Times New Roman"/>
                <w:color w:val="auto"/>
                <w:kern w:val="0"/>
                <w:sz w:val="13"/>
                <w:szCs w:val="13"/>
                <w:highlight w:val="none"/>
                <w:lang w:eastAsia="zh-CN"/>
              </w:rPr>
              <w:t>从重情节</w:t>
            </w:r>
          </w:p>
        </w:tc>
        <w:tc>
          <w:tcPr>
            <w:tcW w:w="3437" w:type="dxa"/>
            <w:gridSpan w:val="2"/>
            <w:tcBorders>
              <w:tl2br w:val="nil"/>
              <w:tr2bl w:val="nil"/>
            </w:tcBorders>
            <w:tcMar>
              <w:top w:w="15" w:type="dxa"/>
              <w:left w:w="15" w:type="dxa"/>
              <w:bottom w:w="15" w:type="dxa"/>
              <w:right w:w="15" w:type="dxa"/>
            </w:tcMar>
            <w:vAlign w:val="center"/>
          </w:tcPr>
          <w:p w14:paraId="612558F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lang w:eastAsia="zh-CN"/>
              </w:rPr>
              <w:t>（</w:t>
            </w:r>
            <w:r>
              <w:rPr>
                <w:rFonts w:hint="eastAsia" w:ascii="仿宋_GB2312" w:hAnsi="宋体" w:eastAsia="仿宋_GB2312" w:cs="Times New Roman"/>
                <w:color w:val="auto"/>
                <w:kern w:val="0"/>
                <w:sz w:val="13"/>
                <w:szCs w:val="13"/>
                <w:highlight w:val="none"/>
                <w:lang w:val="en-US" w:eastAsia="zh-CN"/>
              </w:rPr>
              <w:t>1</w:t>
            </w:r>
            <w:r>
              <w:rPr>
                <w:rFonts w:hint="eastAsia" w:ascii="仿宋_GB2312" w:hAnsi="宋体" w:eastAsia="仿宋_GB2312" w:cs="Times New Roman"/>
                <w:color w:val="auto"/>
                <w:kern w:val="0"/>
                <w:sz w:val="13"/>
                <w:szCs w:val="13"/>
                <w:highlight w:val="none"/>
                <w:lang w:eastAsia="zh-CN"/>
              </w:rPr>
              <w:t>）</w:t>
            </w:r>
            <w:r>
              <w:rPr>
                <w:rFonts w:hint="eastAsia" w:ascii="仿宋_GB2312" w:hAnsi="宋体" w:eastAsia="仿宋_GB2312" w:cs="Times New Roman"/>
                <w:color w:val="auto"/>
                <w:kern w:val="0"/>
                <w:sz w:val="13"/>
                <w:szCs w:val="13"/>
                <w:highlight w:val="none"/>
              </w:rPr>
              <w:t>经责令限期改正，逾期不改正，从事违法行为，逾期2个月以上的。</w:t>
            </w:r>
            <w:r>
              <w:rPr>
                <w:rFonts w:hint="eastAsia" w:ascii="仿宋_GB2312" w:hAnsi="宋体" w:eastAsia="仿宋_GB2312" w:cs="Times New Roman"/>
                <w:color w:val="auto"/>
                <w:kern w:val="0"/>
                <w:sz w:val="13"/>
                <w:szCs w:val="13"/>
                <w:highlight w:val="none"/>
                <w:lang w:eastAsia="zh-CN"/>
              </w:rPr>
              <w:t>（</w:t>
            </w:r>
            <w:r>
              <w:rPr>
                <w:rFonts w:hint="eastAsia" w:ascii="仿宋_GB2312" w:hAnsi="宋体" w:eastAsia="仿宋_GB2312" w:cs="Times New Roman"/>
                <w:color w:val="auto"/>
                <w:kern w:val="0"/>
                <w:sz w:val="13"/>
                <w:szCs w:val="13"/>
                <w:highlight w:val="none"/>
                <w:lang w:val="en-US" w:eastAsia="zh-CN"/>
              </w:rPr>
              <w:t>2</w:t>
            </w:r>
            <w:r>
              <w:rPr>
                <w:rFonts w:hint="eastAsia" w:ascii="仿宋_GB2312" w:hAnsi="宋体" w:eastAsia="仿宋_GB2312" w:cs="Times New Roman"/>
                <w:color w:val="auto"/>
                <w:kern w:val="0"/>
                <w:sz w:val="13"/>
                <w:szCs w:val="13"/>
                <w:highlight w:val="none"/>
                <w:lang w:eastAsia="zh-CN"/>
              </w:rPr>
              <w:t>）</w:t>
            </w:r>
            <w:r>
              <w:rPr>
                <w:rFonts w:hint="eastAsia" w:ascii="仿宋_GB2312" w:hAnsi="宋体" w:eastAsia="仿宋_GB2312" w:cs="Times New Roman"/>
                <w:color w:val="auto"/>
                <w:kern w:val="0"/>
                <w:sz w:val="13"/>
                <w:szCs w:val="13"/>
                <w:highlight w:val="none"/>
              </w:rPr>
              <w:t>经责令停止违法行为后，继续实施违法行为的</w:t>
            </w:r>
            <w:r>
              <w:rPr>
                <w:rFonts w:hint="eastAsia" w:ascii="仿宋_GB2312" w:hAnsi="宋体" w:eastAsia="仿宋_GB2312" w:cs="Times New Roman"/>
                <w:color w:val="auto"/>
                <w:kern w:val="0"/>
                <w:sz w:val="13"/>
                <w:szCs w:val="13"/>
                <w:highlight w:val="none"/>
                <w:lang w:eastAsia="zh-CN"/>
              </w:rPr>
              <w:t>，</w:t>
            </w:r>
            <w:r>
              <w:rPr>
                <w:rFonts w:hint="eastAsia" w:ascii="仿宋_GB2312" w:hAnsi="宋体" w:eastAsia="仿宋_GB2312" w:cs="Times New Roman"/>
                <w:color w:val="auto"/>
                <w:kern w:val="0"/>
                <w:sz w:val="13"/>
                <w:szCs w:val="13"/>
                <w:highlight w:val="none"/>
                <w:lang w:val="en-US" w:eastAsia="zh-CN"/>
              </w:rPr>
              <w:t>或</w:t>
            </w:r>
            <w:r>
              <w:rPr>
                <w:rFonts w:hint="eastAsia" w:ascii="仿宋_GB2312" w:hAnsi="宋体" w:eastAsia="仿宋_GB2312" w:cs="Times New Roman"/>
                <w:color w:val="auto"/>
                <w:kern w:val="0"/>
                <w:sz w:val="13"/>
                <w:szCs w:val="13"/>
                <w:highlight w:val="none"/>
              </w:rPr>
              <w:t>2年内2次及以上同类型违法。（3）</w:t>
            </w:r>
            <w:r>
              <w:rPr>
                <w:rFonts w:hint="eastAsia" w:ascii="仿宋_GB2312" w:hAnsi="宋体" w:eastAsia="仿宋_GB2312" w:cs="Times New Roman"/>
                <w:color w:val="auto"/>
                <w:kern w:val="0"/>
                <w:sz w:val="13"/>
                <w:szCs w:val="13"/>
                <w:highlight w:val="none"/>
                <w:lang w:val="en-US" w:eastAsia="zh-CN"/>
              </w:rPr>
              <w:t>其他</w:t>
            </w:r>
            <w:r>
              <w:rPr>
                <w:rFonts w:hint="eastAsia" w:ascii="仿宋_GB2312" w:hAnsi="宋体" w:eastAsia="仿宋_GB2312" w:cs="Times New Roman"/>
                <w:color w:val="auto"/>
                <w:kern w:val="0"/>
                <w:sz w:val="13"/>
                <w:szCs w:val="13"/>
                <w:highlight w:val="none"/>
              </w:rPr>
              <w:t>足以影响房地产市场秩序和社会稳定</w:t>
            </w:r>
            <w:r>
              <w:rPr>
                <w:rFonts w:hint="eastAsia" w:ascii="仿宋_GB2312" w:hAnsi="宋体" w:eastAsia="仿宋_GB2312" w:cs="Times New Roman"/>
                <w:color w:val="auto"/>
                <w:kern w:val="0"/>
                <w:sz w:val="13"/>
                <w:szCs w:val="13"/>
                <w:highlight w:val="none"/>
                <w:lang w:val="en-US" w:eastAsia="zh-CN"/>
              </w:rPr>
              <w:t>情形</w:t>
            </w:r>
            <w:r>
              <w:rPr>
                <w:rFonts w:hint="eastAsia" w:ascii="仿宋_GB2312" w:hAnsi="宋体" w:eastAsia="仿宋_GB2312" w:cs="Times New Roman"/>
                <w:color w:val="auto"/>
                <w:kern w:val="0"/>
                <w:sz w:val="13"/>
                <w:szCs w:val="13"/>
                <w:highlight w:val="none"/>
              </w:rPr>
              <w:t>。</w:t>
            </w:r>
          </w:p>
        </w:tc>
        <w:tc>
          <w:tcPr>
            <w:tcW w:w="3058" w:type="dxa"/>
            <w:tcBorders>
              <w:tl2br w:val="nil"/>
              <w:tr2bl w:val="nil"/>
            </w:tcBorders>
            <w:tcMar>
              <w:top w:w="15" w:type="dxa"/>
              <w:left w:w="15" w:type="dxa"/>
              <w:bottom w:w="15" w:type="dxa"/>
              <w:right w:w="15" w:type="dxa"/>
            </w:tcMar>
            <w:vAlign w:val="center"/>
          </w:tcPr>
          <w:p w14:paraId="4CE8301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给予警告，可处1.5万元以上2万元以下的罚款。</w:t>
            </w:r>
          </w:p>
        </w:tc>
      </w:tr>
      <w:tr w14:paraId="612020E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9" w:hRule="atLeast"/>
          <w:jc w:val="center"/>
        </w:trPr>
        <w:tc>
          <w:tcPr>
            <w:tcW w:w="443" w:type="dxa"/>
            <w:gridSpan w:val="2"/>
            <w:vMerge w:val="restart"/>
            <w:tcBorders>
              <w:tl2br w:val="nil"/>
              <w:tr2bl w:val="nil"/>
            </w:tcBorders>
            <w:vAlign w:val="center"/>
          </w:tcPr>
          <w:p w14:paraId="609478B2">
            <w:pPr>
              <w:keepNext w:val="0"/>
              <w:keepLines w:val="0"/>
              <w:pageBreakBefore w:val="0"/>
              <w:widowControl/>
              <w:numPr>
                <w:ilvl w:val="0"/>
                <w:numId w:val="6"/>
              </w:numPr>
              <w:suppressLineNumbers w:val="0"/>
              <w:tabs>
                <w:tab w:val="clear" w:pos="397"/>
              </w:tabs>
              <w:kinsoku/>
              <w:overflowPunct/>
              <w:topLinePunct w:val="0"/>
              <w:autoSpaceDE/>
              <w:autoSpaceDN/>
              <w:bidi w:val="0"/>
              <w:adjustRightInd/>
              <w:snapToGrid/>
              <w:spacing w:beforeAutospacing="0" w:afterAutospacing="0" w:line="260" w:lineRule="exact"/>
              <w:ind w:left="638" w:leftChars="88" w:right="0" w:rightChars="0" w:hanging="453" w:hangingChars="349"/>
              <w:jc w:val="center"/>
              <w:textAlignment w:val="center"/>
              <w:rPr>
                <w:rFonts w:hint="default" w:ascii="仿宋_GB2312" w:hAnsi="宋体" w:eastAsia="仿宋_GB2312"/>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259</w:t>
            </w:r>
          </w:p>
        </w:tc>
        <w:tc>
          <w:tcPr>
            <w:tcW w:w="1550" w:type="dxa"/>
            <w:vMerge w:val="restart"/>
            <w:tcBorders>
              <w:tl2br w:val="nil"/>
              <w:tr2bl w:val="nil"/>
            </w:tcBorders>
            <w:vAlign w:val="center"/>
          </w:tcPr>
          <w:p w14:paraId="423BEE2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未经委托人书面同意，房地产估价机构与其他房地产估价机构合作完成估价业务，以合作双方的名义共同出具估价报告，逾期未改正的</w:t>
            </w:r>
          </w:p>
        </w:tc>
        <w:tc>
          <w:tcPr>
            <w:tcW w:w="4820" w:type="dxa"/>
            <w:vMerge w:val="restart"/>
            <w:tcBorders>
              <w:tl2br w:val="nil"/>
              <w:tr2bl w:val="nil"/>
            </w:tcBorders>
            <w:vAlign w:val="center"/>
          </w:tcPr>
          <w:p w14:paraId="5365629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Times New Roman"/>
                <w:b/>
                <w:bCs/>
                <w:color w:val="auto"/>
                <w:kern w:val="0"/>
                <w:sz w:val="13"/>
                <w:szCs w:val="13"/>
                <w:highlight w:val="none"/>
              </w:rPr>
            </w:pPr>
            <w:r>
              <w:rPr>
                <w:rFonts w:hint="eastAsia" w:ascii="仿宋_GB2312" w:hAnsi="宋体" w:eastAsia="仿宋_GB2312" w:cs="Times New Roman"/>
                <w:color w:val="auto"/>
                <w:kern w:val="0"/>
                <w:sz w:val="13"/>
                <w:szCs w:val="13"/>
                <w:highlight w:val="none"/>
              </w:rPr>
              <w:t>《房地产估价机构管理办法》</w:t>
            </w:r>
            <w:r>
              <w:rPr>
                <w:rFonts w:hint="eastAsia" w:ascii="仿宋_GB2312" w:hAnsi="宋体" w:eastAsia="仿宋_GB2312" w:cs="Times New Roman"/>
                <w:b/>
                <w:bCs/>
                <w:color w:val="auto"/>
                <w:kern w:val="0"/>
                <w:sz w:val="13"/>
                <w:szCs w:val="13"/>
                <w:highlight w:val="none"/>
              </w:rPr>
              <w:t>第五十条</w:t>
            </w:r>
            <w:r>
              <w:rPr>
                <w:rFonts w:hint="eastAsia" w:ascii="仿宋_GB2312" w:hAnsi="宋体" w:eastAsia="仿宋_GB2312" w:cs="Times New Roman"/>
                <w:b/>
                <w:bCs/>
                <w:color w:val="auto"/>
                <w:kern w:val="0"/>
                <w:sz w:val="13"/>
                <w:szCs w:val="13"/>
                <w:highlight w:val="none"/>
                <w:lang w:eastAsia="zh-CN"/>
              </w:rPr>
              <w:t>（三）项</w:t>
            </w:r>
            <w:r>
              <w:rPr>
                <w:rFonts w:hint="eastAsia" w:ascii="仿宋_GB2312" w:hAnsi="宋体" w:eastAsia="仿宋_GB2312" w:cs="Times New Roman"/>
                <w:b/>
                <w:bCs/>
                <w:color w:val="auto"/>
                <w:kern w:val="0"/>
                <w:sz w:val="13"/>
                <w:szCs w:val="13"/>
                <w:highlight w:val="none"/>
              </w:rPr>
              <w:t>：</w:t>
            </w:r>
          </w:p>
          <w:p w14:paraId="1179246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有下列行为之一的，由县级以上地方人民政府房地产主管部门给予警告，责令限期改正；逾期未改正的，可处5千元以上2万元以下的罚款；给当事人造成损失的，依法承担赔偿责任：</w:t>
            </w:r>
          </w:p>
          <w:p w14:paraId="3481D1B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0" w:firstLineChars="200"/>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（三）违反本办法第二十条第二款、第二十九条第二款、第三十二条规定出具估价报告的。</w:t>
            </w:r>
          </w:p>
          <w:p w14:paraId="3951687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1" w:firstLineChars="200"/>
              <w:textAlignment w:val="center"/>
              <w:rPr>
                <w:rFonts w:ascii="仿宋_GB2312" w:hAnsi="宋体" w:eastAsia="仿宋_GB2312"/>
                <w:strike/>
                <w:color w:val="auto"/>
                <w:sz w:val="13"/>
                <w:szCs w:val="13"/>
                <w:highlight w:val="none"/>
              </w:rPr>
            </w:pPr>
            <w:r>
              <w:rPr>
                <w:rFonts w:ascii="仿宋_GB2312" w:hAnsi="宋体" w:eastAsia="仿宋_GB2312" w:cs="Times New Roman"/>
                <w:b/>
                <w:bCs/>
                <w:color w:val="auto"/>
                <w:kern w:val="0"/>
                <w:sz w:val="13"/>
                <w:szCs w:val="13"/>
                <w:highlight w:val="none"/>
              </w:rPr>
              <w:t>第二十九条</w:t>
            </w:r>
            <w:r>
              <w:rPr>
                <w:rFonts w:hint="eastAsia" w:ascii="仿宋_GB2312" w:hAnsi="宋体" w:eastAsia="仿宋_GB2312" w:cs="Times New Roman"/>
                <w:b/>
                <w:bCs/>
                <w:color w:val="auto"/>
                <w:kern w:val="0"/>
                <w:sz w:val="13"/>
                <w:szCs w:val="13"/>
                <w:highlight w:val="none"/>
              </w:rPr>
              <w:t>第二款</w:t>
            </w:r>
            <w:r>
              <w:rPr>
                <w:rFonts w:hint="eastAsia" w:ascii="仿宋_GB2312" w:hAnsi="宋体" w:eastAsia="仿宋_GB2312" w:cs="Times New Roman"/>
                <w:b/>
                <w:bCs/>
                <w:color w:val="auto"/>
                <w:kern w:val="0"/>
                <w:sz w:val="13"/>
                <w:szCs w:val="13"/>
                <w:highlight w:val="none"/>
                <w:lang w:eastAsia="zh-CN"/>
              </w:rPr>
              <w:t>：</w:t>
            </w:r>
            <w:r>
              <w:rPr>
                <w:rFonts w:ascii="仿宋_GB2312" w:hAnsi="宋体" w:eastAsia="仿宋_GB2312" w:cs="Times New Roman"/>
                <w:color w:val="auto"/>
                <w:kern w:val="0"/>
                <w:sz w:val="13"/>
                <w:szCs w:val="13"/>
                <w:highlight w:val="none"/>
              </w:rPr>
              <w:t>经委托人书面同意，房地产估价机构可以与其他房地产估价机构合作完成估价业务，以合作双方的名义共同出具估价报告。</w:t>
            </w:r>
          </w:p>
        </w:tc>
        <w:tc>
          <w:tcPr>
            <w:tcW w:w="823" w:type="dxa"/>
            <w:tcBorders>
              <w:tl2br w:val="nil"/>
              <w:tr2bl w:val="nil"/>
            </w:tcBorders>
            <w:tcMar>
              <w:top w:w="15" w:type="dxa"/>
              <w:left w:w="15" w:type="dxa"/>
              <w:bottom w:w="15" w:type="dxa"/>
              <w:right w:w="15" w:type="dxa"/>
            </w:tcMar>
            <w:vAlign w:val="center"/>
          </w:tcPr>
          <w:p w14:paraId="31F8E3A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s="Times New Roman"/>
                <w:color w:val="auto"/>
                <w:kern w:val="0"/>
                <w:sz w:val="13"/>
                <w:szCs w:val="13"/>
                <w:highlight w:val="none"/>
                <w:lang w:eastAsia="zh-CN"/>
              </w:rPr>
              <w:t>从轻情节</w:t>
            </w:r>
          </w:p>
        </w:tc>
        <w:tc>
          <w:tcPr>
            <w:tcW w:w="3437" w:type="dxa"/>
            <w:gridSpan w:val="2"/>
            <w:tcBorders>
              <w:tl2br w:val="nil"/>
              <w:tr2bl w:val="nil"/>
            </w:tcBorders>
            <w:tcMar>
              <w:top w:w="15" w:type="dxa"/>
              <w:left w:w="15" w:type="dxa"/>
              <w:bottom w:w="15" w:type="dxa"/>
              <w:right w:w="15" w:type="dxa"/>
            </w:tcMar>
            <w:vAlign w:val="center"/>
          </w:tcPr>
          <w:p w14:paraId="449C719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3" w:firstLineChars="203"/>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初次违法，</w:t>
            </w:r>
            <w:r>
              <w:rPr>
                <w:rFonts w:hint="eastAsia" w:ascii="仿宋_GB2312" w:hAnsi="宋体" w:eastAsia="仿宋_GB2312" w:cs="Times New Roman"/>
                <w:color w:val="auto"/>
                <w:kern w:val="0"/>
                <w:sz w:val="13"/>
                <w:szCs w:val="13"/>
                <w:highlight w:val="none"/>
                <w:lang w:val="en-US" w:eastAsia="zh-CN"/>
              </w:rPr>
              <w:t>并在责令期限内</w:t>
            </w:r>
            <w:r>
              <w:rPr>
                <w:rFonts w:hint="eastAsia" w:ascii="仿宋_GB2312" w:hAnsi="宋体" w:eastAsia="仿宋_GB2312" w:cs="Times New Roman"/>
                <w:color w:val="auto"/>
                <w:kern w:val="0"/>
                <w:sz w:val="13"/>
                <w:szCs w:val="13"/>
                <w:highlight w:val="none"/>
              </w:rPr>
              <w:t>主动采取措施</w:t>
            </w:r>
            <w:r>
              <w:rPr>
                <w:rFonts w:hint="eastAsia" w:ascii="仿宋_GB2312" w:hAnsi="宋体" w:eastAsia="仿宋_GB2312" w:cs="Times New Roman"/>
                <w:color w:val="auto"/>
                <w:kern w:val="0"/>
                <w:sz w:val="13"/>
                <w:szCs w:val="13"/>
                <w:highlight w:val="none"/>
                <w:lang w:val="en-US" w:eastAsia="zh-CN"/>
              </w:rPr>
              <w:t>改正违法行为，</w:t>
            </w:r>
            <w:r>
              <w:rPr>
                <w:rFonts w:hint="eastAsia" w:ascii="仿宋_GB2312" w:hAnsi="宋体" w:eastAsia="仿宋_GB2312" w:cs="Times New Roman"/>
                <w:color w:val="auto"/>
                <w:kern w:val="0"/>
                <w:sz w:val="13"/>
                <w:szCs w:val="13"/>
                <w:highlight w:val="none"/>
              </w:rPr>
              <w:t>危害后果轻微。</w:t>
            </w:r>
          </w:p>
        </w:tc>
        <w:tc>
          <w:tcPr>
            <w:tcW w:w="3058" w:type="dxa"/>
            <w:tcBorders>
              <w:tl2br w:val="nil"/>
              <w:tr2bl w:val="nil"/>
            </w:tcBorders>
            <w:tcMar>
              <w:top w:w="15" w:type="dxa"/>
              <w:left w:w="15" w:type="dxa"/>
              <w:bottom w:w="15" w:type="dxa"/>
              <w:right w:w="15" w:type="dxa"/>
            </w:tcMar>
            <w:vAlign w:val="center"/>
          </w:tcPr>
          <w:p w14:paraId="12D101B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lang w:val="en-US" w:eastAsia="zh-CN"/>
              </w:rPr>
              <w:t>给予警告。</w:t>
            </w:r>
          </w:p>
        </w:tc>
      </w:tr>
      <w:tr w14:paraId="1AC9A51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16" w:hRule="atLeast"/>
          <w:jc w:val="center"/>
        </w:trPr>
        <w:tc>
          <w:tcPr>
            <w:tcW w:w="443" w:type="dxa"/>
            <w:gridSpan w:val="2"/>
            <w:vMerge w:val="continue"/>
            <w:tcBorders>
              <w:tl2br w:val="nil"/>
              <w:tr2bl w:val="nil"/>
            </w:tcBorders>
            <w:vAlign w:val="center"/>
          </w:tcPr>
          <w:p w14:paraId="29C7ACA9">
            <w:pPr>
              <w:pStyle w:val="37"/>
              <w:keepNext w:val="0"/>
              <w:keepLines w:val="0"/>
              <w:pageBreakBefore w:val="0"/>
              <w:widowControl/>
              <w:numPr>
                <w:ilvl w:val="0"/>
                <w:numId w:val="4"/>
              </w:numPr>
              <w:kinsoku/>
              <w:overflowPunct/>
              <w:topLinePunct w:val="0"/>
              <w:autoSpaceDE/>
              <w:autoSpaceDN/>
              <w:bidi w:val="0"/>
              <w:adjustRightInd/>
              <w:snapToGrid/>
              <w:spacing w:beforeAutospacing="0" w:afterAutospacing="0" w:line="260" w:lineRule="exact"/>
              <w:ind w:left="638" w:leftChars="88" w:right="0" w:rightChars="0" w:hanging="453" w:hangingChars="349"/>
              <w:jc w:val="center"/>
              <w:rPr>
                <w:rFonts w:ascii="仿宋_GB2312" w:hAnsi="宋体" w:eastAsia="仿宋_GB2312"/>
                <w:color w:val="auto"/>
                <w:sz w:val="13"/>
                <w:szCs w:val="13"/>
                <w:highlight w:val="none"/>
              </w:rPr>
            </w:pPr>
          </w:p>
        </w:tc>
        <w:tc>
          <w:tcPr>
            <w:tcW w:w="1550" w:type="dxa"/>
            <w:vMerge w:val="continue"/>
            <w:tcBorders>
              <w:tl2br w:val="nil"/>
              <w:tr2bl w:val="nil"/>
            </w:tcBorders>
            <w:vAlign w:val="center"/>
          </w:tcPr>
          <w:p w14:paraId="1C9E6F0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517E2BB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strike/>
                <w:color w:val="auto"/>
                <w:sz w:val="13"/>
                <w:szCs w:val="13"/>
                <w:highlight w:val="none"/>
              </w:rPr>
            </w:pPr>
          </w:p>
        </w:tc>
        <w:tc>
          <w:tcPr>
            <w:tcW w:w="823" w:type="dxa"/>
            <w:vMerge w:val="restart"/>
            <w:tcBorders>
              <w:tl2br w:val="nil"/>
              <w:tr2bl w:val="nil"/>
            </w:tcBorders>
            <w:tcMar>
              <w:top w:w="15" w:type="dxa"/>
              <w:left w:w="15" w:type="dxa"/>
              <w:bottom w:w="15" w:type="dxa"/>
              <w:right w:w="15" w:type="dxa"/>
            </w:tcMar>
            <w:vAlign w:val="center"/>
          </w:tcPr>
          <w:p w14:paraId="2116D67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s="Times New Roman"/>
                <w:color w:val="auto"/>
                <w:kern w:val="0"/>
                <w:sz w:val="13"/>
                <w:szCs w:val="13"/>
                <w:highlight w:val="none"/>
                <w:lang w:eastAsia="zh-CN"/>
              </w:rPr>
              <w:t>一般情节</w:t>
            </w:r>
          </w:p>
        </w:tc>
        <w:tc>
          <w:tcPr>
            <w:tcW w:w="3437" w:type="dxa"/>
            <w:gridSpan w:val="2"/>
            <w:tcBorders>
              <w:tl2br w:val="nil"/>
              <w:tr2bl w:val="nil"/>
            </w:tcBorders>
            <w:tcMar>
              <w:top w:w="15" w:type="dxa"/>
              <w:left w:w="15" w:type="dxa"/>
              <w:bottom w:w="15" w:type="dxa"/>
              <w:right w:w="15" w:type="dxa"/>
            </w:tcMar>
            <w:vAlign w:val="center"/>
          </w:tcPr>
          <w:p w14:paraId="093697E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经责令限期改正，逾期不改正，从事违法行为，逾期1个月以下的。</w:t>
            </w:r>
          </w:p>
        </w:tc>
        <w:tc>
          <w:tcPr>
            <w:tcW w:w="3058" w:type="dxa"/>
            <w:tcBorders>
              <w:tl2br w:val="nil"/>
              <w:tr2bl w:val="nil"/>
            </w:tcBorders>
            <w:tcMar>
              <w:top w:w="15" w:type="dxa"/>
              <w:left w:w="15" w:type="dxa"/>
              <w:bottom w:w="15" w:type="dxa"/>
              <w:right w:w="15" w:type="dxa"/>
            </w:tcMar>
            <w:vAlign w:val="center"/>
          </w:tcPr>
          <w:p w14:paraId="4E23E5D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给予警告，可处5千元以上1万元以下的罚款。</w:t>
            </w:r>
          </w:p>
        </w:tc>
      </w:tr>
      <w:tr w14:paraId="7F1035D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44" w:hRule="atLeast"/>
          <w:jc w:val="center"/>
        </w:trPr>
        <w:tc>
          <w:tcPr>
            <w:tcW w:w="443" w:type="dxa"/>
            <w:gridSpan w:val="2"/>
            <w:vMerge w:val="continue"/>
            <w:tcBorders>
              <w:tl2br w:val="nil"/>
              <w:tr2bl w:val="nil"/>
            </w:tcBorders>
            <w:vAlign w:val="center"/>
          </w:tcPr>
          <w:p w14:paraId="4FD7ED5C">
            <w:pPr>
              <w:pStyle w:val="37"/>
              <w:keepNext w:val="0"/>
              <w:keepLines w:val="0"/>
              <w:pageBreakBefore w:val="0"/>
              <w:widowControl/>
              <w:numPr>
                <w:ilvl w:val="0"/>
                <w:numId w:val="4"/>
              </w:numPr>
              <w:kinsoku/>
              <w:overflowPunct/>
              <w:topLinePunct w:val="0"/>
              <w:autoSpaceDE/>
              <w:autoSpaceDN/>
              <w:bidi w:val="0"/>
              <w:adjustRightInd/>
              <w:snapToGrid/>
              <w:spacing w:beforeAutospacing="0" w:afterAutospacing="0" w:line="260" w:lineRule="exact"/>
              <w:ind w:left="638" w:leftChars="88" w:right="0" w:rightChars="0" w:hanging="453" w:hangingChars="349"/>
              <w:jc w:val="center"/>
              <w:rPr>
                <w:rFonts w:ascii="仿宋_GB2312" w:hAnsi="宋体" w:eastAsia="仿宋_GB2312"/>
                <w:color w:val="auto"/>
                <w:sz w:val="13"/>
                <w:szCs w:val="13"/>
                <w:highlight w:val="none"/>
              </w:rPr>
            </w:pPr>
          </w:p>
        </w:tc>
        <w:tc>
          <w:tcPr>
            <w:tcW w:w="1550" w:type="dxa"/>
            <w:vMerge w:val="continue"/>
            <w:tcBorders>
              <w:tl2br w:val="nil"/>
              <w:tr2bl w:val="nil"/>
            </w:tcBorders>
            <w:vAlign w:val="center"/>
          </w:tcPr>
          <w:p w14:paraId="20E7EA7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6275E71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strike/>
                <w:color w:val="auto"/>
                <w:sz w:val="13"/>
                <w:szCs w:val="13"/>
                <w:highlight w:val="none"/>
              </w:rPr>
            </w:pPr>
          </w:p>
        </w:tc>
        <w:tc>
          <w:tcPr>
            <w:tcW w:w="823" w:type="dxa"/>
            <w:vMerge w:val="continue"/>
            <w:tcBorders>
              <w:tl2br w:val="nil"/>
              <w:tr2bl w:val="nil"/>
            </w:tcBorders>
            <w:tcMar>
              <w:top w:w="15" w:type="dxa"/>
              <w:left w:w="15" w:type="dxa"/>
              <w:bottom w:w="15" w:type="dxa"/>
              <w:right w:w="15" w:type="dxa"/>
            </w:tcMar>
            <w:vAlign w:val="center"/>
          </w:tcPr>
          <w:p w14:paraId="032B46E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Times New Roman"/>
                <w:color w:val="auto"/>
                <w:kern w:val="0"/>
                <w:sz w:val="13"/>
                <w:szCs w:val="13"/>
                <w:highlight w:val="none"/>
                <w:lang w:eastAsia="zh-CN"/>
              </w:rPr>
            </w:pPr>
          </w:p>
        </w:tc>
        <w:tc>
          <w:tcPr>
            <w:tcW w:w="3437" w:type="dxa"/>
            <w:gridSpan w:val="2"/>
            <w:tcBorders>
              <w:tl2br w:val="nil"/>
              <w:tr2bl w:val="nil"/>
            </w:tcBorders>
            <w:tcMar>
              <w:top w:w="15" w:type="dxa"/>
              <w:left w:w="15" w:type="dxa"/>
              <w:bottom w:w="15" w:type="dxa"/>
              <w:right w:w="15" w:type="dxa"/>
            </w:tcMar>
            <w:vAlign w:val="center"/>
          </w:tcPr>
          <w:p w14:paraId="2FBD3DC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hint="eastAsia"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经责令限期改正，逾期不改正，从事违法行为，逾期1个月以上2个月以下的。</w:t>
            </w:r>
          </w:p>
        </w:tc>
        <w:tc>
          <w:tcPr>
            <w:tcW w:w="3058" w:type="dxa"/>
            <w:tcBorders>
              <w:tl2br w:val="nil"/>
              <w:tr2bl w:val="nil"/>
            </w:tcBorders>
            <w:tcMar>
              <w:top w:w="15" w:type="dxa"/>
              <w:left w:w="15" w:type="dxa"/>
              <w:bottom w:w="15" w:type="dxa"/>
              <w:right w:w="15" w:type="dxa"/>
            </w:tcMar>
            <w:vAlign w:val="center"/>
          </w:tcPr>
          <w:p w14:paraId="45B1B7C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hint="eastAsia"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给予警告，可处1万元以上1.5万元以下的罚款。</w:t>
            </w:r>
          </w:p>
        </w:tc>
      </w:tr>
      <w:tr w14:paraId="63AF845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01" w:hRule="atLeast"/>
          <w:jc w:val="center"/>
        </w:trPr>
        <w:tc>
          <w:tcPr>
            <w:tcW w:w="443" w:type="dxa"/>
            <w:gridSpan w:val="2"/>
            <w:vMerge w:val="continue"/>
            <w:tcBorders>
              <w:tl2br w:val="nil"/>
              <w:tr2bl w:val="nil"/>
            </w:tcBorders>
            <w:vAlign w:val="center"/>
          </w:tcPr>
          <w:p w14:paraId="52AD98C7">
            <w:pPr>
              <w:pStyle w:val="37"/>
              <w:keepNext w:val="0"/>
              <w:keepLines w:val="0"/>
              <w:pageBreakBefore w:val="0"/>
              <w:widowControl/>
              <w:numPr>
                <w:ilvl w:val="0"/>
                <w:numId w:val="4"/>
              </w:numPr>
              <w:kinsoku/>
              <w:overflowPunct/>
              <w:topLinePunct w:val="0"/>
              <w:autoSpaceDE/>
              <w:autoSpaceDN/>
              <w:bidi w:val="0"/>
              <w:adjustRightInd/>
              <w:snapToGrid/>
              <w:spacing w:beforeAutospacing="0" w:afterAutospacing="0" w:line="260" w:lineRule="exact"/>
              <w:ind w:left="638" w:leftChars="88" w:right="0" w:rightChars="0" w:hanging="453" w:hangingChars="349"/>
              <w:jc w:val="center"/>
              <w:rPr>
                <w:rFonts w:ascii="仿宋_GB2312" w:hAnsi="宋体" w:eastAsia="仿宋_GB2312"/>
                <w:color w:val="auto"/>
                <w:sz w:val="13"/>
                <w:szCs w:val="13"/>
                <w:highlight w:val="none"/>
              </w:rPr>
            </w:pPr>
          </w:p>
        </w:tc>
        <w:tc>
          <w:tcPr>
            <w:tcW w:w="1550" w:type="dxa"/>
            <w:vMerge w:val="continue"/>
            <w:tcBorders>
              <w:tl2br w:val="nil"/>
              <w:tr2bl w:val="nil"/>
            </w:tcBorders>
            <w:vAlign w:val="center"/>
          </w:tcPr>
          <w:p w14:paraId="27FBEB4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278F5FE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strike/>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1865FD1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s="Times New Roman"/>
                <w:color w:val="auto"/>
                <w:kern w:val="0"/>
                <w:sz w:val="13"/>
                <w:szCs w:val="13"/>
                <w:highlight w:val="none"/>
                <w:lang w:eastAsia="zh-CN"/>
              </w:rPr>
              <w:t>从重情节</w:t>
            </w:r>
          </w:p>
        </w:tc>
        <w:tc>
          <w:tcPr>
            <w:tcW w:w="3437" w:type="dxa"/>
            <w:gridSpan w:val="2"/>
            <w:tcBorders>
              <w:tl2br w:val="nil"/>
              <w:tr2bl w:val="nil"/>
            </w:tcBorders>
            <w:tcMar>
              <w:top w:w="15" w:type="dxa"/>
              <w:left w:w="15" w:type="dxa"/>
              <w:bottom w:w="15" w:type="dxa"/>
              <w:right w:w="15" w:type="dxa"/>
            </w:tcMar>
            <w:vAlign w:val="center"/>
          </w:tcPr>
          <w:p w14:paraId="08F119B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lang w:eastAsia="zh-CN"/>
              </w:rPr>
              <w:t>（</w:t>
            </w:r>
            <w:r>
              <w:rPr>
                <w:rFonts w:hint="eastAsia" w:ascii="仿宋_GB2312" w:hAnsi="宋体" w:eastAsia="仿宋_GB2312" w:cs="Times New Roman"/>
                <w:color w:val="auto"/>
                <w:kern w:val="0"/>
                <w:sz w:val="13"/>
                <w:szCs w:val="13"/>
                <w:highlight w:val="none"/>
                <w:lang w:val="en-US" w:eastAsia="zh-CN"/>
              </w:rPr>
              <w:t>1</w:t>
            </w:r>
            <w:r>
              <w:rPr>
                <w:rFonts w:hint="eastAsia" w:ascii="仿宋_GB2312" w:hAnsi="宋体" w:eastAsia="仿宋_GB2312" w:cs="Times New Roman"/>
                <w:color w:val="auto"/>
                <w:kern w:val="0"/>
                <w:sz w:val="13"/>
                <w:szCs w:val="13"/>
                <w:highlight w:val="none"/>
                <w:lang w:eastAsia="zh-CN"/>
              </w:rPr>
              <w:t>）</w:t>
            </w:r>
            <w:r>
              <w:rPr>
                <w:rFonts w:hint="eastAsia" w:ascii="仿宋_GB2312" w:hAnsi="宋体" w:eastAsia="仿宋_GB2312" w:cs="Times New Roman"/>
                <w:color w:val="auto"/>
                <w:kern w:val="0"/>
                <w:sz w:val="13"/>
                <w:szCs w:val="13"/>
                <w:highlight w:val="none"/>
              </w:rPr>
              <w:t>经责令限期改正，逾期不改正，从事违法行为，逾期2个月以上的。</w:t>
            </w:r>
            <w:r>
              <w:rPr>
                <w:rFonts w:hint="eastAsia" w:ascii="仿宋_GB2312" w:hAnsi="宋体" w:eastAsia="仿宋_GB2312" w:cs="Times New Roman"/>
                <w:color w:val="auto"/>
                <w:kern w:val="0"/>
                <w:sz w:val="13"/>
                <w:szCs w:val="13"/>
                <w:highlight w:val="none"/>
                <w:lang w:eastAsia="zh-CN"/>
              </w:rPr>
              <w:t>（</w:t>
            </w:r>
            <w:r>
              <w:rPr>
                <w:rFonts w:hint="eastAsia" w:ascii="仿宋_GB2312" w:hAnsi="宋体" w:eastAsia="仿宋_GB2312" w:cs="Times New Roman"/>
                <w:color w:val="auto"/>
                <w:kern w:val="0"/>
                <w:sz w:val="13"/>
                <w:szCs w:val="13"/>
                <w:highlight w:val="none"/>
                <w:lang w:val="en-US" w:eastAsia="zh-CN"/>
              </w:rPr>
              <w:t>2</w:t>
            </w:r>
            <w:r>
              <w:rPr>
                <w:rFonts w:hint="eastAsia" w:ascii="仿宋_GB2312" w:hAnsi="宋体" w:eastAsia="仿宋_GB2312" w:cs="Times New Roman"/>
                <w:color w:val="auto"/>
                <w:kern w:val="0"/>
                <w:sz w:val="13"/>
                <w:szCs w:val="13"/>
                <w:highlight w:val="none"/>
                <w:lang w:eastAsia="zh-CN"/>
              </w:rPr>
              <w:t>）</w:t>
            </w:r>
            <w:r>
              <w:rPr>
                <w:rFonts w:hint="eastAsia" w:ascii="仿宋_GB2312" w:hAnsi="宋体" w:eastAsia="仿宋_GB2312" w:cs="Times New Roman"/>
                <w:color w:val="auto"/>
                <w:kern w:val="0"/>
                <w:sz w:val="13"/>
                <w:szCs w:val="13"/>
                <w:highlight w:val="none"/>
              </w:rPr>
              <w:t>经责令停止违法行为后，继续实施违法行为的</w:t>
            </w:r>
            <w:r>
              <w:rPr>
                <w:rFonts w:hint="eastAsia" w:ascii="仿宋_GB2312" w:hAnsi="宋体" w:eastAsia="仿宋_GB2312" w:cs="Times New Roman"/>
                <w:color w:val="auto"/>
                <w:kern w:val="0"/>
                <w:sz w:val="13"/>
                <w:szCs w:val="13"/>
                <w:highlight w:val="none"/>
                <w:lang w:eastAsia="zh-CN"/>
              </w:rPr>
              <w:t>，</w:t>
            </w:r>
            <w:r>
              <w:rPr>
                <w:rFonts w:hint="eastAsia" w:ascii="仿宋_GB2312" w:hAnsi="宋体" w:eastAsia="仿宋_GB2312" w:cs="Times New Roman"/>
                <w:color w:val="auto"/>
                <w:kern w:val="0"/>
                <w:sz w:val="13"/>
                <w:szCs w:val="13"/>
                <w:highlight w:val="none"/>
                <w:lang w:val="en-US" w:eastAsia="zh-CN"/>
              </w:rPr>
              <w:t>或</w:t>
            </w:r>
            <w:r>
              <w:rPr>
                <w:rFonts w:hint="eastAsia" w:ascii="仿宋_GB2312" w:hAnsi="宋体" w:eastAsia="仿宋_GB2312" w:cs="Times New Roman"/>
                <w:color w:val="auto"/>
                <w:kern w:val="0"/>
                <w:sz w:val="13"/>
                <w:szCs w:val="13"/>
                <w:highlight w:val="none"/>
              </w:rPr>
              <w:t>2年内2次及以上同类型违法。（3）</w:t>
            </w:r>
            <w:r>
              <w:rPr>
                <w:rFonts w:hint="eastAsia" w:ascii="仿宋_GB2312" w:hAnsi="宋体" w:eastAsia="仿宋_GB2312" w:cs="Times New Roman"/>
                <w:color w:val="auto"/>
                <w:kern w:val="0"/>
                <w:sz w:val="13"/>
                <w:szCs w:val="13"/>
                <w:highlight w:val="none"/>
                <w:lang w:val="en-US" w:eastAsia="zh-CN"/>
              </w:rPr>
              <w:t>其他</w:t>
            </w:r>
            <w:r>
              <w:rPr>
                <w:rFonts w:hint="eastAsia" w:ascii="仿宋_GB2312" w:hAnsi="宋体" w:eastAsia="仿宋_GB2312" w:cs="Times New Roman"/>
                <w:color w:val="auto"/>
                <w:kern w:val="0"/>
                <w:sz w:val="13"/>
                <w:szCs w:val="13"/>
                <w:highlight w:val="none"/>
              </w:rPr>
              <w:t>足以影响房地产市场秩序和社会稳定</w:t>
            </w:r>
            <w:r>
              <w:rPr>
                <w:rFonts w:hint="eastAsia" w:ascii="仿宋_GB2312" w:hAnsi="宋体" w:eastAsia="仿宋_GB2312" w:cs="Times New Roman"/>
                <w:color w:val="auto"/>
                <w:kern w:val="0"/>
                <w:sz w:val="13"/>
                <w:szCs w:val="13"/>
                <w:highlight w:val="none"/>
                <w:lang w:val="en-US" w:eastAsia="zh-CN"/>
              </w:rPr>
              <w:t>情形</w:t>
            </w:r>
            <w:r>
              <w:rPr>
                <w:rFonts w:hint="eastAsia" w:ascii="仿宋_GB2312" w:hAnsi="宋体" w:eastAsia="仿宋_GB2312" w:cs="Times New Roman"/>
                <w:color w:val="auto"/>
                <w:kern w:val="0"/>
                <w:sz w:val="13"/>
                <w:szCs w:val="13"/>
                <w:highlight w:val="none"/>
              </w:rPr>
              <w:t>。</w:t>
            </w:r>
          </w:p>
        </w:tc>
        <w:tc>
          <w:tcPr>
            <w:tcW w:w="3058" w:type="dxa"/>
            <w:tcBorders>
              <w:tl2br w:val="nil"/>
              <w:tr2bl w:val="nil"/>
            </w:tcBorders>
            <w:tcMar>
              <w:top w:w="15" w:type="dxa"/>
              <w:left w:w="15" w:type="dxa"/>
              <w:bottom w:w="15" w:type="dxa"/>
              <w:right w:w="15" w:type="dxa"/>
            </w:tcMar>
            <w:vAlign w:val="center"/>
          </w:tcPr>
          <w:p w14:paraId="00889D4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给予警告，可处1.5万元以上2万元以下的罚款。</w:t>
            </w:r>
          </w:p>
        </w:tc>
      </w:tr>
      <w:tr w14:paraId="203D43E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9" w:hRule="atLeast"/>
          <w:jc w:val="center"/>
        </w:trPr>
        <w:tc>
          <w:tcPr>
            <w:tcW w:w="443" w:type="dxa"/>
            <w:gridSpan w:val="2"/>
            <w:vMerge w:val="restart"/>
            <w:tcBorders>
              <w:tl2br w:val="nil"/>
              <w:tr2bl w:val="nil"/>
            </w:tcBorders>
            <w:vAlign w:val="center"/>
          </w:tcPr>
          <w:p w14:paraId="4305EDDB">
            <w:pPr>
              <w:keepNext w:val="0"/>
              <w:keepLines w:val="0"/>
              <w:pageBreakBefore w:val="0"/>
              <w:widowControl/>
              <w:numPr>
                <w:ilvl w:val="0"/>
                <w:numId w:val="6"/>
              </w:numPr>
              <w:suppressLineNumbers w:val="0"/>
              <w:tabs>
                <w:tab w:val="clear" w:pos="397"/>
              </w:tabs>
              <w:kinsoku/>
              <w:overflowPunct/>
              <w:topLinePunct w:val="0"/>
              <w:autoSpaceDE/>
              <w:autoSpaceDN/>
              <w:bidi w:val="0"/>
              <w:adjustRightInd/>
              <w:snapToGrid/>
              <w:spacing w:beforeAutospacing="0" w:afterAutospacing="0" w:line="260" w:lineRule="exact"/>
              <w:ind w:left="638" w:leftChars="88" w:right="0" w:rightChars="0" w:hanging="453" w:hangingChars="349"/>
              <w:jc w:val="center"/>
              <w:textAlignment w:val="center"/>
              <w:rPr>
                <w:rFonts w:hint="default" w:ascii="仿宋_GB2312" w:hAnsi="宋体" w:eastAsia="仿宋_GB2312"/>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260</w:t>
            </w:r>
          </w:p>
        </w:tc>
        <w:tc>
          <w:tcPr>
            <w:tcW w:w="1550" w:type="dxa"/>
            <w:vMerge w:val="restart"/>
            <w:tcBorders>
              <w:tl2br w:val="nil"/>
              <w:tr2bl w:val="nil"/>
            </w:tcBorders>
            <w:vAlign w:val="center"/>
          </w:tcPr>
          <w:p w14:paraId="2C1928B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房地产估价报告不以房地产估价机构出具，或不加盖房地产估价机构公章，或没有至少2名专职注册房地产估价师签字的，逾期未改正的</w:t>
            </w:r>
          </w:p>
        </w:tc>
        <w:tc>
          <w:tcPr>
            <w:tcW w:w="4820" w:type="dxa"/>
            <w:vMerge w:val="restart"/>
            <w:tcBorders>
              <w:tl2br w:val="nil"/>
              <w:tr2bl w:val="nil"/>
            </w:tcBorders>
            <w:vAlign w:val="center"/>
          </w:tcPr>
          <w:p w14:paraId="4339359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Times New Roman"/>
                <w:b/>
                <w:bCs/>
                <w:color w:val="auto"/>
                <w:kern w:val="0"/>
                <w:sz w:val="13"/>
                <w:szCs w:val="13"/>
                <w:highlight w:val="none"/>
              </w:rPr>
            </w:pPr>
            <w:r>
              <w:rPr>
                <w:rFonts w:hint="eastAsia" w:ascii="仿宋_GB2312" w:hAnsi="宋体" w:eastAsia="仿宋_GB2312" w:cs="Times New Roman"/>
                <w:color w:val="auto"/>
                <w:kern w:val="0"/>
                <w:sz w:val="13"/>
                <w:szCs w:val="13"/>
                <w:highlight w:val="none"/>
              </w:rPr>
              <w:t>《房地产估价机构管理办法》</w:t>
            </w:r>
            <w:r>
              <w:rPr>
                <w:rFonts w:hint="eastAsia" w:ascii="仿宋_GB2312" w:hAnsi="宋体" w:eastAsia="仿宋_GB2312" w:cs="Times New Roman"/>
                <w:b/>
                <w:bCs/>
                <w:color w:val="auto"/>
                <w:kern w:val="0"/>
                <w:sz w:val="13"/>
                <w:szCs w:val="13"/>
                <w:highlight w:val="none"/>
              </w:rPr>
              <w:t>第五十条</w:t>
            </w:r>
            <w:r>
              <w:rPr>
                <w:rFonts w:hint="eastAsia" w:ascii="仿宋_GB2312" w:hAnsi="宋体" w:eastAsia="仿宋_GB2312" w:cs="Times New Roman"/>
                <w:b/>
                <w:bCs/>
                <w:color w:val="auto"/>
                <w:kern w:val="0"/>
                <w:sz w:val="13"/>
                <w:szCs w:val="13"/>
                <w:highlight w:val="none"/>
                <w:lang w:eastAsia="zh-CN"/>
              </w:rPr>
              <w:t>（三）项</w:t>
            </w:r>
            <w:r>
              <w:rPr>
                <w:rFonts w:hint="eastAsia" w:ascii="仿宋_GB2312" w:hAnsi="宋体" w:eastAsia="仿宋_GB2312" w:cs="Times New Roman"/>
                <w:b/>
                <w:bCs/>
                <w:color w:val="auto"/>
                <w:kern w:val="0"/>
                <w:sz w:val="13"/>
                <w:szCs w:val="13"/>
                <w:highlight w:val="none"/>
              </w:rPr>
              <w:t>：</w:t>
            </w:r>
          </w:p>
          <w:p w14:paraId="11ADB0A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有下列行为之一的，由县级以上地方人民政府房地产主管部门给予警告，责令限期改正；逾期未改正的，可处5千元以上2万元以下的罚款；给当事人造成损失的，依法承担赔偿责任：</w:t>
            </w:r>
          </w:p>
          <w:p w14:paraId="069887F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0" w:firstLineChars="200"/>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（三）违反本办法第二十条第二款、第二十九条第二款、第三十二条规定出具估价报告的。</w:t>
            </w:r>
          </w:p>
          <w:p w14:paraId="681DB05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1" w:firstLineChars="200"/>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b/>
                <w:bCs/>
                <w:color w:val="auto"/>
                <w:kern w:val="0"/>
                <w:sz w:val="13"/>
                <w:szCs w:val="13"/>
                <w:highlight w:val="none"/>
              </w:rPr>
              <w:t>第三十二条</w:t>
            </w:r>
            <w:r>
              <w:rPr>
                <w:rFonts w:hint="eastAsia" w:ascii="仿宋_GB2312" w:hAnsi="宋体" w:eastAsia="仿宋_GB2312" w:cs="Times New Roman"/>
                <w:b/>
                <w:bCs/>
                <w:color w:val="auto"/>
                <w:kern w:val="0"/>
                <w:sz w:val="13"/>
                <w:szCs w:val="13"/>
                <w:highlight w:val="none"/>
                <w:lang w:eastAsia="zh-CN"/>
              </w:rPr>
              <w:t>：</w:t>
            </w:r>
            <w:r>
              <w:rPr>
                <w:rFonts w:hint="eastAsia" w:ascii="仿宋_GB2312" w:hAnsi="宋体" w:eastAsia="仿宋_GB2312" w:cs="Times New Roman"/>
                <w:color w:val="auto"/>
                <w:kern w:val="0"/>
                <w:sz w:val="13"/>
                <w:szCs w:val="13"/>
                <w:highlight w:val="none"/>
              </w:rPr>
              <w:t>房地产估价报告应当由房地产估价机构出具，加盖房地产估价机构公章，并有至少2名专职注册房地产估价师签字。</w:t>
            </w:r>
          </w:p>
        </w:tc>
        <w:tc>
          <w:tcPr>
            <w:tcW w:w="823" w:type="dxa"/>
            <w:tcBorders>
              <w:tl2br w:val="nil"/>
              <w:tr2bl w:val="nil"/>
            </w:tcBorders>
            <w:tcMar>
              <w:top w:w="15" w:type="dxa"/>
              <w:left w:w="15" w:type="dxa"/>
              <w:bottom w:w="15" w:type="dxa"/>
              <w:right w:w="15" w:type="dxa"/>
            </w:tcMar>
            <w:vAlign w:val="center"/>
          </w:tcPr>
          <w:p w14:paraId="133247D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s="Times New Roman"/>
                <w:color w:val="auto"/>
                <w:kern w:val="0"/>
                <w:sz w:val="13"/>
                <w:szCs w:val="13"/>
                <w:highlight w:val="none"/>
                <w:lang w:eastAsia="zh-CN"/>
              </w:rPr>
              <w:t>从轻情节</w:t>
            </w:r>
          </w:p>
        </w:tc>
        <w:tc>
          <w:tcPr>
            <w:tcW w:w="3437" w:type="dxa"/>
            <w:gridSpan w:val="2"/>
            <w:tcBorders>
              <w:tl2br w:val="nil"/>
              <w:tr2bl w:val="nil"/>
            </w:tcBorders>
            <w:tcMar>
              <w:top w:w="15" w:type="dxa"/>
              <w:left w:w="15" w:type="dxa"/>
              <w:bottom w:w="15" w:type="dxa"/>
              <w:right w:w="15" w:type="dxa"/>
            </w:tcMar>
            <w:vAlign w:val="center"/>
          </w:tcPr>
          <w:p w14:paraId="3E8FBDE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3" w:firstLineChars="203"/>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初次违法，</w:t>
            </w:r>
            <w:r>
              <w:rPr>
                <w:rFonts w:hint="eastAsia" w:ascii="仿宋_GB2312" w:hAnsi="宋体" w:eastAsia="仿宋_GB2312" w:cs="Times New Roman"/>
                <w:color w:val="auto"/>
                <w:kern w:val="0"/>
                <w:sz w:val="13"/>
                <w:szCs w:val="13"/>
                <w:highlight w:val="none"/>
                <w:lang w:val="en-US" w:eastAsia="zh-CN"/>
              </w:rPr>
              <w:t>并在责令期限内</w:t>
            </w:r>
            <w:r>
              <w:rPr>
                <w:rFonts w:hint="eastAsia" w:ascii="仿宋_GB2312" w:hAnsi="宋体" w:eastAsia="仿宋_GB2312" w:cs="Times New Roman"/>
                <w:color w:val="auto"/>
                <w:kern w:val="0"/>
                <w:sz w:val="13"/>
                <w:szCs w:val="13"/>
                <w:highlight w:val="none"/>
              </w:rPr>
              <w:t>主动采取措施</w:t>
            </w:r>
            <w:r>
              <w:rPr>
                <w:rFonts w:hint="eastAsia" w:ascii="仿宋_GB2312" w:hAnsi="宋体" w:eastAsia="仿宋_GB2312" w:cs="Times New Roman"/>
                <w:color w:val="auto"/>
                <w:kern w:val="0"/>
                <w:sz w:val="13"/>
                <w:szCs w:val="13"/>
                <w:highlight w:val="none"/>
                <w:lang w:val="en-US" w:eastAsia="zh-CN"/>
              </w:rPr>
              <w:t>改正违法行为，</w:t>
            </w:r>
            <w:r>
              <w:rPr>
                <w:rFonts w:hint="eastAsia" w:ascii="仿宋_GB2312" w:hAnsi="宋体" w:eastAsia="仿宋_GB2312" w:cs="Times New Roman"/>
                <w:color w:val="auto"/>
                <w:kern w:val="0"/>
                <w:sz w:val="13"/>
                <w:szCs w:val="13"/>
                <w:highlight w:val="none"/>
              </w:rPr>
              <w:t>危害后果轻微。</w:t>
            </w:r>
          </w:p>
        </w:tc>
        <w:tc>
          <w:tcPr>
            <w:tcW w:w="3058" w:type="dxa"/>
            <w:tcBorders>
              <w:tl2br w:val="nil"/>
              <w:tr2bl w:val="nil"/>
            </w:tcBorders>
            <w:tcMar>
              <w:top w:w="15" w:type="dxa"/>
              <w:left w:w="15" w:type="dxa"/>
              <w:bottom w:w="15" w:type="dxa"/>
              <w:right w:w="15" w:type="dxa"/>
            </w:tcMar>
            <w:vAlign w:val="center"/>
          </w:tcPr>
          <w:p w14:paraId="6D2BB8B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lang w:val="en-US" w:eastAsia="zh-CN"/>
              </w:rPr>
              <w:t>给予警告。</w:t>
            </w:r>
          </w:p>
        </w:tc>
      </w:tr>
      <w:tr w14:paraId="22CE53F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89" w:hRule="atLeast"/>
          <w:jc w:val="center"/>
        </w:trPr>
        <w:tc>
          <w:tcPr>
            <w:tcW w:w="443" w:type="dxa"/>
            <w:gridSpan w:val="2"/>
            <w:vMerge w:val="continue"/>
            <w:tcBorders>
              <w:tl2br w:val="nil"/>
              <w:tr2bl w:val="nil"/>
            </w:tcBorders>
            <w:vAlign w:val="center"/>
          </w:tcPr>
          <w:p w14:paraId="1DB49C3F">
            <w:pPr>
              <w:pStyle w:val="37"/>
              <w:keepNext w:val="0"/>
              <w:keepLines w:val="0"/>
              <w:pageBreakBefore w:val="0"/>
              <w:widowControl/>
              <w:numPr>
                <w:ilvl w:val="0"/>
                <w:numId w:val="4"/>
              </w:numPr>
              <w:kinsoku/>
              <w:overflowPunct/>
              <w:topLinePunct w:val="0"/>
              <w:autoSpaceDE/>
              <w:autoSpaceDN/>
              <w:bidi w:val="0"/>
              <w:adjustRightInd/>
              <w:snapToGrid/>
              <w:spacing w:beforeAutospacing="0" w:afterAutospacing="0" w:line="260" w:lineRule="exact"/>
              <w:ind w:left="638" w:leftChars="88" w:right="0" w:rightChars="0" w:hanging="453" w:hangingChars="349"/>
              <w:jc w:val="center"/>
              <w:rPr>
                <w:rFonts w:ascii="仿宋_GB2312" w:hAnsi="宋体" w:eastAsia="仿宋_GB2312"/>
                <w:color w:val="auto"/>
                <w:sz w:val="13"/>
                <w:szCs w:val="13"/>
                <w:highlight w:val="none"/>
              </w:rPr>
            </w:pPr>
          </w:p>
        </w:tc>
        <w:tc>
          <w:tcPr>
            <w:tcW w:w="1550" w:type="dxa"/>
            <w:vMerge w:val="continue"/>
            <w:tcBorders>
              <w:tl2br w:val="nil"/>
              <w:tr2bl w:val="nil"/>
            </w:tcBorders>
            <w:vAlign w:val="center"/>
          </w:tcPr>
          <w:p w14:paraId="642E7FC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55949C9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olor w:val="auto"/>
                <w:kern w:val="0"/>
                <w:sz w:val="13"/>
                <w:szCs w:val="13"/>
                <w:highlight w:val="none"/>
              </w:rPr>
            </w:pPr>
          </w:p>
        </w:tc>
        <w:tc>
          <w:tcPr>
            <w:tcW w:w="823" w:type="dxa"/>
            <w:vMerge w:val="restart"/>
            <w:tcBorders>
              <w:tl2br w:val="nil"/>
              <w:tr2bl w:val="nil"/>
            </w:tcBorders>
            <w:tcMar>
              <w:top w:w="15" w:type="dxa"/>
              <w:left w:w="15" w:type="dxa"/>
              <w:bottom w:w="15" w:type="dxa"/>
              <w:right w:w="15" w:type="dxa"/>
            </w:tcMar>
            <w:vAlign w:val="center"/>
          </w:tcPr>
          <w:p w14:paraId="17B959E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s="Times New Roman"/>
                <w:color w:val="auto"/>
                <w:kern w:val="0"/>
                <w:sz w:val="13"/>
                <w:szCs w:val="13"/>
                <w:highlight w:val="none"/>
                <w:lang w:eastAsia="zh-CN"/>
              </w:rPr>
              <w:t>一般情节</w:t>
            </w:r>
          </w:p>
        </w:tc>
        <w:tc>
          <w:tcPr>
            <w:tcW w:w="3437" w:type="dxa"/>
            <w:gridSpan w:val="2"/>
            <w:tcBorders>
              <w:tl2br w:val="nil"/>
              <w:tr2bl w:val="nil"/>
            </w:tcBorders>
            <w:tcMar>
              <w:top w:w="15" w:type="dxa"/>
              <w:left w:w="15" w:type="dxa"/>
              <w:bottom w:w="15" w:type="dxa"/>
              <w:right w:w="15" w:type="dxa"/>
            </w:tcMar>
            <w:vAlign w:val="center"/>
          </w:tcPr>
          <w:p w14:paraId="323EA26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经责令限期改正，逾期不改正，从事违法行为，逾期1个月以下的。</w:t>
            </w:r>
          </w:p>
        </w:tc>
        <w:tc>
          <w:tcPr>
            <w:tcW w:w="3058" w:type="dxa"/>
            <w:tcBorders>
              <w:tl2br w:val="nil"/>
              <w:tr2bl w:val="nil"/>
            </w:tcBorders>
            <w:tcMar>
              <w:top w:w="15" w:type="dxa"/>
              <w:left w:w="15" w:type="dxa"/>
              <w:bottom w:w="15" w:type="dxa"/>
              <w:right w:w="15" w:type="dxa"/>
            </w:tcMar>
            <w:vAlign w:val="center"/>
          </w:tcPr>
          <w:p w14:paraId="3F840A1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给予警告，可处5千元以上1万元以下的罚款。</w:t>
            </w:r>
          </w:p>
        </w:tc>
      </w:tr>
      <w:tr w14:paraId="573DEC8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71" w:hRule="atLeast"/>
          <w:jc w:val="center"/>
        </w:trPr>
        <w:tc>
          <w:tcPr>
            <w:tcW w:w="443" w:type="dxa"/>
            <w:gridSpan w:val="2"/>
            <w:vMerge w:val="continue"/>
            <w:tcBorders>
              <w:tl2br w:val="nil"/>
              <w:tr2bl w:val="nil"/>
            </w:tcBorders>
            <w:vAlign w:val="center"/>
          </w:tcPr>
          <w:p w14:paraId="7ABCD09B">
            <w:pPr>
              <w:pStyle w:val="37"/>
              <w:keepNext w:val="0"/>
              <w:keepLines w:val="0"/>
              <w:pageBreakBefore w:val="0"/>
              <w:widowControl/>
              <w:numPr>
                <w:ilvl w:val="0"/>
                <w:numId w:val="4"/>
              </w:numPr>
              <w:kinsoku/>
              <w:overflowPunct/>
              <w:topLinePunct w:val="0"/>
              <w:autoSpaceDE/>
              <w:autoSpaceDN/>
              <w:bidi w:val="0"/>
              <w:adjustRightInd/>
              <w:snapToGrid/>
              <w:spacing w:beforeAutospacing="0" w:afterAutospacing="0" w:line="260" w:lineRule="exact"/>
              <w:ind w:left="638" w:leftChars="88" w:right="0" w:rightChars="0" w:hanging="453" w:hangingChars="349"/>
              <w:jc w:val="center"/>
              <w:rPr>
                <w:rFonts w:ascii="仿宋_GB2312" w:hAnsi="宋体" w:eastAsia="仿宋_GB2312"/>
                <w:color w:val="auto"/>
                <w:sz w:val="13"/>
                <w:szCs w:val="13"/>
                <w:highlight w:val="none"/>
              </w:rPr>
            </w:pPr>
          </w:p>
        </w:tc>
        <w:tc>
          <w:tcPr>
            <w:tcW w:w="1550" w:type="dxa"/>
            <w:vMerge w:val="continue"/>
            <w:tcBorders>
              <w:tl2br w:val="nil"/>
              <w:tr2bl w:val="nil"/>
            </w:tcBorders>
            <w:vAlign w:val="center"/>
          </w:tcPr>
          <w:p w14:paraId="76EEF38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1CCD5A7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olor w:val="auto"/>
                <w:kern w:val="0"/>
                <w:sz w:val="13"/>
                <w:szCs w:val="13"/>
                <w:highlight w:val="none"/>
              </w:rPr>
            </w:pPr>
          </w:p>
        </w:tc>
        <w:tc>
          <w:tcPr>
            <w:tcW w:w="823" w:type="dxa"/>
            <w:vMerge w:val="continue"/>
            <w:tcBorders>
              <w:tl2br w:val="nil"/>
              <w:tr2bl w:val="nil"/>
            </w:tcBorders>
            <w:tcMar>
              <w:top w:w="15" w:type="dxa"/>
              <w:left w:w="15" w:type="dxa"/>
              <w:bottom w:w="15" w:type="dxa"/>
              <w:right w:w="15" w:type="dxa"/>
            </w:tcMar>
            <w:vAlign w:val="center"/>
          </w:tcPr>
          <w:p w14:paraId="5249215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Times New Roman"/>
                <w:color w:val="auto"/>
                <w:kern w:val="0"/>
                <w:sz w:val="13"/>
                <w:szCs w:val="13"/>
                <w:highlight w:val="none"/>
                <w:lang w:eastAsia="zh-CN"/>
              </w:rPr>
            </w:pPr>
          </w:p>
        </w:tc>
        <w:tc>
          <w:tcPr>
            <w:tcW w:w="3437" w:type="dxa"/>
            <w:gridSpan w:val="2"/>
            <w:tcBorders>
              <w:tl2br w:val="nil"/>
              <w:tr2bl w:val="nil"/>
            </w:tcBorders>
            <w:tcMar>
              <w:top w:w="15" w:type="dxa"/>
              <w:left w:w="15" w:type="dxa"/>
              <w:bottom w:w="15" w:type="dxa"/>
              <w:right w:w="15" w:type="dxa"/>
            </w:tcMar>
            <w:vAlign w:val="center"/>
          </w:tcPr>
          <w:p w14:paraId="38E0B62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hint="eastAsia"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经责令限期改正，逾期不改正，从事违法行为，逾期1个月以上2个月以下的。</w:t>
            </w:r>
          </w:p>
        </w:tc>
        <w:tc>
          <w:tcPr>
            <w:tcW w:w="3058" w:type="dxa"/>
            <w:tcBorders>
              <w:tl2br w:val="nil"/>
              <w:tr2bl w:val="nil"/>
            </w:tcBorders>
            <w:tcMar>
              <w:top w:w="15" w:type="dxa"/>
              <w:left w:w="15" w:type="dxa"/>
              <w:bottom w:w="15" w:type="dxa"/>
              <w:right w:w="15" w:type="dxa"/>
            </w:tcMar>
            <w:vAlign w:val="center"/>
          </w:tcPr>
          <w:p w14:paraId="64E08E7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hint="eastAsia"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给予警告，可处1万元以上1.5万元以下的罚款。</w:t>
            </w:r>
          </w:p>
        </w:tc>
      </w:tr>
      <w:tr w14:paraId="088A947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01" w:hRule="atLeast"/>
          <w:jc w:val="center"/>
        </w:trPr>
        <w:tc>
          <w:tcPr>
            <w:tcW w:w="443" w:type="dxa"/>
            <w:gridSpan w:val="2"/>
            <w:vMerge w:val="continue"/>
            <w:tcBorders>
              <w:tl2br w:val="nil"/>
              <w:tr2bl w:val="nil"/>
            </w:tcBorders>
            <w:vAlign w:val="center"/>
          </w:tcPr>
          <w:p w14:paraId="17AD228D">
            <w:pPr>
              <w:pStyle w:val="37"/>
              <w:keepNext w:val="0"/>
              <w:keepLines w:val="0"/>
              <w:pageBreakBefore w:val="0"/>
              <w:widowControl/>
              <w:numPr>
                <w:ilvl w:val="0"/>
                <w:numId w:val="4"/>
              </w:numPr>
              <w:kinsoku/>
              <w:overflowPunct/>
              <w:topLinePunct w:val="0"/>
              <w:autoSpaceDE/>
              <w:autoSpaceDN/>
              <w:bidi w:val="0"/>
              <w:adjustRightInd/>
              <w:snapToGrid/>
              <w:spacing w:beforeAutospacing="0" w:afterAutospacing="0" w:line="260" w:lineRule="exact"/>
              <w:ind w:left="638" w:leftChars="88" w:right="0" w:rightChars="0" w:hanging="453" w:hangingChars="349"/>
              <w:jc w:val="center"/>
              <w:rPr>
                <w:rFonts w:ascii="仿宋_GB2312" w:hAnsi="宋体" w:eastAsia="仿宋_GB2312"/>
                <w:color w:val="auto"/>
                <w:sz w:val="13"/>
                <w:szCs w:val="13"/>
                <w:highlight w:val="none"/>
              </w:rPr>
            </w:pPr>
          </w:p>
        </w:tc>
        <w:tc>
          <w:tcPr>
            <w:tcW w:w="1550" w:type="dxa"/>
            <w:vMerge w:val="continue"/>
            <w:tcBorders>
              <w:tl2br w:val="nil"/>
              <w:tr2bl w:val="nil"/>
            </w:tcBorders>
            <w:vAlign w:val="center"/>
          </w:tcPr>
          <w:p w14:paraId="65BE94F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4E2F35F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olor w:val="auto"/>
                <w:kern w:val="0"/>
                <w:sz w:val="13"/>
                <w:szCs w:val="13"/>
                <w:highlight w:val="none"/>
              </w:rPr>
            </w:pPr>
          </w:p>
        </w:tc>
        <w:tc>
          <w:tcPr>
            <w:tcW w:w="823" w:type="dxa"/>
            <w:tcBorders>
              <w:tl2br w:val="nil"/>
              <w:tr2bl w:val="nil"/>
            </w:tcBorders>
            <w:tcMar>
              <w:top w:w="15" w:type="dxa"/>
              <w:left w:w="15" w:type="dxa"/>
              <w:bottom w:w="15" w:type="dxa"/>
              <w:right w:w="15" w:type="dxa"/>
            </w:tcMar>
            <w:vAlign w:val="center"/>
          </w:tcPr>
          <w:p w14:paraId="23B5049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s="Times New Roman"/>
                <w:color w:val="auto"/>
                <w:kern w:val="0"/>
                <w:sz w:val="13"/>
                <w:szCs w:val="13"/>
                <w:highlight w:val="none"/>
                <w:lang w:eastAsia="zh-CN"/>
              </w:rPr>
              <w:t>从重情节</w:t>
            </w:r>
          </w:p>
        </w:tc>
        <w:tc>
          <w:tcPr>
            <w:tcW w:w="3437" w:type="dxa"/>
            <w:gridSpan w:val="2"/>
            <w:tcBorders>
              <w:tl2br w:val="nil"/>
              <w:tr2bl w:val="nil"/>
            </w:tcBorders>
            <w:tcMar>
              <w:top w:w="15" w:type="dxa"/>
              <w:left w:w="15" w:type="dxa"/>
              <w:bottom w:w="15" w:type="dxa"/>
              <w:right w:w="15" w:type="dxa"/>
            </w:tcMar>
            <w:vAlign w:val="center"/>
          </w:tcPr>
          <w:p w14:paraId="7C4AA5C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lang w:eastAsia="zh-CN"/>
              </w:rPr>
              <w:t>（</w:t>
            </w:r>
            <w:r>
              <w:rPr>
                <w:rFonts w:hint="eastAsia" w:ascii="仿宋_GB2312" w:hAnsi="宋体" w:eastAsia="仿宋_GB2312" w:cs="Times New Roman"/>
                <w:color w:val="auto"/>
                <w:kern w:val="0"/>
                <w:sz w:val="13"/>
                <w:szCs w:val="13"/>
                <w:highlight w:val="none"/>
                <w:lang w:val="en-US" w:eastAsia="zh-CN"/>
              </w:rPr>
              <w:t>1</w:t>
            </w:r>
            <w:r>
              <w:rPr>
                <w:rFonts w:hint="eastAsia" w:ascii="仿宋_GB2312" w:hAnsi="宋体" w:eastAsia="仿宋_GB2312" w:cs="Times New Roman"/>
                <w:color w:val="auto"/>
                <w:kern w:val="0"/>
                <w:sz w:val="13"/>
                <w:szCs w:val="13"/>
                <w:highlight w:val="none"/>
                <w:lang w:eastAsia="zh-CN"/>
              </w:rPr>
              <w:t>）</w:t>
            </w:r>
            <w:r>
              <w:rPr>
                <w:rFonts w:hint="eastAsia" w:ascii="仿宋_GB2312" w:hAnsi="宋体" w:eastAsia="仿宋_GB2312" w:cs="Times New Roman"/>
                <w:color w:val="auto"/>
                <w:kern w:val="0"/>
                <w:sz w:val="13"/>
                <w:szCs w:val="13"/>
                <w:highlight w:val="none"/>
              </w:rPr>
              <w:t>经责令限期改正，逾期不改正，从事违法行为，逾期2个月以上的。</w:t>
            </w:r>
            <w:r>
              <w:rPr>
                <w:rFonts w:hint="eastAsia" w:ascii="仿宋_GB2312" w:hAnsi="宋体" w:eastAsia="仿宋_GB2312" w:cs="Times New Roman"/>
                <w:color w:val="auto"/>
                <w:kern w:val="0"/>
                <w:sz w:val="13"/>
                <w:szCs w:val="13"/>
                <w:highlight w:val="none"/>
                <w:lang w:eastAsia="zh-CN"/>
              </w:rPr>
              <w:t>（</w:t>
            </w:r>
            <w:r>
              <w:rPr>
                <w:rFonts w:hint="eastAsia" w:ascii="仿宋_GB2312" w:hAnsi="宋体" w:eastAsia="仿宋_GB2312" w:cs="Times New Roman"/>
                <w:color w:val="auto"/>
                <w:kern w:val="0"/>
                <w:sz w:val="13"/>
                <w:szCs w:val="13"/>
                <w:highlight w:val="none"/>
                <w:lang w:val="en-US" w:eastAsia="zh-CN"/>
              </w:rPr>
              <w:t>2</w:t>
            </w:r>
            <w:r>
              <w:rPr>
                <w:rFonts w:hint="eastAsia" w:ascii="仿宋_GB2312" w:hAnsi="宋体" w:eastAsia="仿宋_GB2312" w:cs="Times New Roman"/>
                <w:color w:val="auto"/>
                <w:kern w:val="0"/>
                <w:sz w:val="13"/>
                <w:szCs w:val="13"/>
                <w:highlight w:val="none"/>
                <w:lang w:eastAsia="zh-CN"/>
              </w:rPr>
              <w:t>）</w:t>
            </w:r>
            <w:r>
              <w:rPr>
                <w:rFonts w:hint="eastAsia" w:ascii="仿宋_GB2312" w:hAnsi="宋体" w:eastAsia="仿宋_GB2312" w:cs="Times New Roman"/>
                <w:color w:val="auto"/>
                <w:kern w:val="0"/>
                <w:sz w:val="13"/>
                <w:szCs w:val="13"/>
                <w:highlight w:val="none"/>
              </w:rPr>
              <w:t>经责令停止违法行为后，继续实施违法行为的</w:t>
            </w:r>
            <w:r>
              <w:rPr>
                <w:rFonts w:hint="eastAsia" w:ascii="仿宋_GB2312" w:hAnsi="宋体" w:eastAsia="仿宋_GB2312" w:cs="Times New Roman"/>
                <w:color w:val="auto"/>
                <w:kern w:val="0"/>
                <w:sz w:val="13"/>
                <w:szCs w:val="13"/>
                <w:highlight w:val="none"/>
                <w:lang w:eastAsia="zh-CN"/>
              </w:rPr>
              <w:t>，</w:t>
            </w:r>
            <w:r>
              <w:rPr>
                <w:rFonts w:hint="eastAsia" w:ascii="仿宋_GB2312" w:hAnsi="宋体" w:eastAsia="仿宋_GB2312" w:cs="Times New Roman"/>
                <w:color w:val="auto"/>
                <w:kern w:val="0"/>
                <w:sz w:val="13"/>
                <w:szCs w:val="13"/>
                <w:highlight w:val="none"/>
                <w:lang w:val="en-US" w:eastAsia="zh-CN"/>
              </w:rPr>
              <w:t>或</w:t>
            </w:r>
            <w:r>
              <w:rPr>
                <w:rFonts w:hint="eastAsia" w:ascii="仿宋_GB2312" w:hAnsi="宋体" w:eastAsia="仿宋_GB2312" w:cs="Times New Roman"/>
                <w:color w:val="auto"/>
                <w:kern w:val="0"/>
                <w:sz w:val="13"/>
                <w:szCs w:val="13"/>
                <w:highlight w:val="none"/>
              </w:rPr>
              <w:t>2年内2次及以上同类型违法。（3）</w:t>
            </w:r>
            <w:r>
              <w:rPr>
                <w:rFonts w:hint="eastAsia" w:ascii="仿宋_GB2312" w:hAnsi="宋体" w:eastAsia="仿宋_GB2312" w:cs="Times New Roman"/>
                <w:color w:val="auto"/>
                <w:kern w:val="0"/>
                <w:sz w:val="13"/>
                <w:szCs w:val="13"/>
                <w:highlight w:val="none"/>
                <w:lang w:val="en-US" w:eastAsia="zh-CN"/>
              </w:rPr>
              <w:t>其他</w:t>
            </w:r>
            <w:r>
              <w:rPr>
                <w:rFonts w:hint="eastAsia" w:ascii="仿宋_GB2312" w:hAnsi="宋体" w:eastAsia="仿宋_GB2312" w:cs="Times New Roman"/>
                <w:color w:val="auto"/>
                <w:kern w:val="0"/>
                <w:sz w:val="13"/>
                <w:szCs w:val="13"/>
                <w:highlight w:val="none"/>
              </w:rPr>
              <w:t>足以影响房地产市场秩序和社会稳定</w:t>
            </w:r>
            <w:r>
              <w:rPr>
                <w:rFonts w:hint="eastAsia" w:ascii="仿宋_GB2312" w:hAnsi="宋体" w:eastAsia="仿宋_GB2312" w:cs="Times New Roman"/>
                <w:color w:val="auto"/>
                <w:kern w:val="0"/>
                <w:sz w:val="13"/>
                <w:szCs w:val="13"/>
                <w:highlight w:val="none"/>
                <w:lang w:val="en-US" w:eastAsia="zh-CN"/>
              </w:rPr>
              <w:t>情形</w:t>
            </w:r>
            <w:r>
              <w:rPr>
                <w:rFonts w:hint="eastAsia" w:ascii="仿宋_GB2312" w:hAnsi="宋体" w:eastAsia="仿宋_GB2312" w:cs="Times New Roman"/>
                <w:color w:val="auto"/>
                <w:kern w:val="0"/>
                <w:sz w:val="13"/>
                <w:szCs w:val="13"/>
                <w:highlight w:val="none"/>
              </w:rPr>
              <w:t>。</w:t>
            </w:r>
          </w:p>
        </w:tc>
        <w:tc>
          <w:tcPr>
            <w:tcW w:w="3058" w:type="dxa"/>
            <w:tcBorders>
              <w:tl2br w:val="nil"/>
              <w:tr2bl w:val="nil"/>
            </w:tcBorders>
            <w:tcMar>
              <w:top w:w="15" w:type="dxa"/>
              <w:left w:w="15" w:type="dxa"/>
              <w:bottom w:w="15" w:type="dxa"/>
              <w:right w:w="15" w:type="dxa"/>
            </w:tcMar>
            <w:vAlign w:val="center"/>
          </w:tcPr>
          <w:p w14:paraId="15BD948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给予警告，可处1.5万元以上2万元以下的罚款。</w:t>
            </w:r>
          </w:p>
        </w:tc>
      </w:tr>
      <w:tr w14:paraId="55CBF37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9" w:hRule="atLeast"/>
          <w:jc w:val="center"/>
        </w:trPr>
        <w:tc>
          <w:tcPr>
            <w:tcW w:w="443" w:type="dxa"/>
            <w:gridSpan w:val="2"/>
            <w:vMerge w:val="restart"/>
            <w:tcBorders>
              <w:tl2br w:val="nil"/>
              <w:tr2bl w:val="nil"/>
            </w:tcBorders>
            <w:vAlign w:val="center"/>
          </w:tcPr>
          <w:p w14:paraId="356464E8">
            <w:pPr>
              <w:keepNext w:val="0"/>
              <w:keepLines w:val="0"/>
              <w:pageBreakBefore w:val="0"/>
              <w:widowControl/>
              <w:numPr>
                <w:ilvl w:val="0"/>
                <w:numId w:val="6"/>
              </w:numPr>
              <w:suppressLineNumbers w:val="0"/>
              <w:tabs>
                <w:tab w:val="clear" w:pos="397"/>
              </w:tabs>
              <w:kinsoku/>
              <w:overflowPunct/>
              <w:topLinePunct w:val="0"/>
              <w:autoSpaceDE/>
              <w:autoSpaceDN/>
              <w:bidi w:val="0"/>
              <w:adjustRightInd/>
              <w:snapToGrid/>
              <w:spacing w:beforeAutospacing="0" w:afterAutospacing="0" w:line="260" w:lineRule="exact"/>
              <w:ind w:left="638" w:leftChars="88" w:right="0" w:rightChars="0" w:hanging="453" w:hangingChars="349"/>
              <w:jc w:val="center"/>
              <w:textAlignment w:val="center"/>
              <w:rPr>
                <w:rFonts w:hint="default" w:ascii="仿宋_GB2312" w:hAnsi="宋体" w:eastAsia="仿宋_GB2312"/>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261</w:t>
            </w:r>
          </w:p>
        </w:tc>
        <w:tc>
          <w:tcPr>
            <w:tcW w:w="1550" w:type="dxa"/>
            <w:vMerge w:val="restart"/>
            <w:tcBorders>
              <w:tl2br w:val="nil"/>
              <w:tr2bl w:val="nil"/>
            </w:tcBorders>
            <w:vAlign w:val="center"/>
          </w:tcPr>
          <w:p w14:paraId="6AFDB3C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房地产估价机构及执行房地产估价业务的估价人员与委托人或者估价业务相对人有利害关系的，应当回避未回避的</w:t>
            </w:r>
          </w:p>
        </w:tc>
        <w:tc>
          <w:tcPr>
            <w:tcW w:w="4820" w:type="dxa"/>
            <w:vMerge w:val="restart"/>
            <w:tcBorders>
              <w:tl2br w:val="nil"/>
              <w:tr2bl w:val="nil"/>
            </w:tcBorders>
            <w:vAlign w:val="center"/>
          </w:tcPr>
          <w:p w14:paraId="03F362C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《房地产估价机构管理办法》</w:t>
            </w:r>
            <w:r>
              <w:rPr>
                <w:rFonts w:hint="eastAsia" w:ascii="仿宋_GB2312" w:hAnsi="宋体" w:eastAsia="仿宋_GB2312" w:cs="Times New Roman"/>
                <w:b/>
                <w:bCs/>
                <w:color w:val="auto"/>
                <w:kern w:val="0"/>
                <w:sz w:val="13"/>
                <w:szCs w:val="13"/>
                <w:highlight w:val="none"/>
              </w:rPr>
              <w:t>第五十一条：</w:t>
            </w:r>
            <w:r>
              <w:rPr>
                <w:rFonts w:hint="eastAsia" w:ascii="仿宋_GB2312" w:hAnsi="宋体" w:eastAsia="仿宋_GB2312" w:cs="Times New Roman"/>
                <w:color w:val="auto"/>
                <w:kern w:val="0"/>
                <w:sz w:val="13"/>
                <w:szCs w:val="13"/>
                <w:highlight w:val="none"/>
              </w:rPr>
              <w:t>违反本办法第二十七条规定，房地产估价机构及其估价人员应当回避未回避的，由县级以上地方人民政府房地产主管部门给予警告，责令限期改正，并可处1万元以下的罚款；给当事人造成损失的，依法承担赔偿责任。</w:t>
            </w:r>
          </w:p>
          <w:p w14:paraId="6DF1362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1" w:firstLineChars="200"/>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b/>
                <w:bCs/>
                <w:color w:val="auto"/>
                <w:kern w:val="0"/>
                <w:sz w:val="13"/>
                <w:szCs w:val="13"/>
                <w:highlight w:val="none"/>
              </w:rPr>
              <w:t>第二十七条</w:t>
            </w:r>
            <w:r>
              <w:rPr>
                <w:rFonts w:hint="eastAsia" w:ascii="仿宋_GB2312" w:hAnsi="宋体" w:eastAsia="仿宋_GB2312" w:cs="Times New Roman"/>
                <w:b/>
                <w:bCs/>
                <w:color w:val="auto"/>
                <w:kern w:val="0"/>
                <w:sz w:val="13"/>
                <w:szCs w:val="13"/>
                <w:highlight w:val="none"/>
                <w:lang w:eastAsia="zh-CN"/>
              </w:rPr>
              <w:t>：</w:t>
            </w:r>
            <w:r>
              <w:rPr>
                <w:rFonts w:hint="eastAsia" w:ascii="仿宋_GB2312" w:hAnsi="宋体" w:eastAsia="仿宋_GB2312" w:cs="Times New Roman"/>
                <w:color w:val="auto"/>
                <w:kern w:val="0"/>
                <w:sz w:val="13"/>
                <w:szCs w:val="13"/>
                <w:highlight w:val="none"/>
              </w:rPr>
              <w:t>房地产估价机构及执行房地产估价业务的估价人员与委托人或者估价业务相对人有利害关系的，应当回避。</w:t>
            </w:r>
          </w:p>
        </w:tc>
        <w:tc>
          <w:tcPr>
            <w:tcW w:w="823" w:type="dxa"/>
            <w:tcBorders>
              <w:tl2br w:val="nil"/>
              <w:tr2bl w:val="nil"/>
            </w:tcBorders>
            <w:tcMar>
              <w:top w:w="15" w:type="dxa"/>
              <w:left w:w="15" w:type="dxa"/>
              <w:bottom w:w="15" w:type="dxa"/>
              <w:right w:w="15" w:type="dxa"/>
            </w:tcMar>
            <w:vAlign w:val="center"/>
          </w:tcPr>
          <w:p w14:paraId="2C8453D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s="Times New Roman"/>
                <w:color w:val="auto"/>
                <w:kern w:val="0"/>
                <w:sz w:val="13"/>
                <w:szCs w:val="13"/>
                <w:highlight w:val="none"/>
                <w:lang w:eastAsia="zh-CN"/>
              </w:rPr>
              <w:t>从轻情节</w:t>
            </w:r>
          </w:p>
        </w:tc>
        <w:tc>
          <w:tcPr>
            <w:tcW w:w="3437" w:type="dxa"/>
            <w:gridSpan w:val="2"/>
            <w:tcBorders>
              <w:tl2br w:val="nil"/>
              <w:tr2bl w:val="nil"/>
            </w:tcBorders>
            <w:tcMar>
              <w:top w:w="15" w:type="dxa"/>
              <w:left w:w="15" w:type="dxa"/>
              <w:bottom w:w="15" w:type="dxa"/>
              <w:right w:w="15" w:type="dxa"/>
            </w:tcMar>
            <w:vAlign w:val="center"/>
          </w:tcPr>
          <w:p w14:paraId="57746C1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初次违法，危害后果轻微，主动采取措施消除或减轻违法行为危害后果。</w:t>
            </w:r>
          </w:p>
        </w:tc>
        <w:tc>
          <w:tcPr>
            <w:tcW w:w="3058" w:type="dxa"/>
            <w:tcBorders>
              <w:tl2br w:val="nil"/>
              <w:tr2bl w:val="nil"/>
            </w:tcBorders>
            <w:tcMar>
              <w:top w:w="15" w:type="dxa"/>
              <w:left w:w="15" w:type="dxa"/>
              <w:bottom w:w="15" w:type="dxa"/>
              <w:right w:w="15" w:type="dxa"/>
            </w:tcMar>
            <w:vAlign w:val="center"/>
          </w:tcPr>
          <w:p w14:paraId="1FD5AA8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给予警告，责令限期改正，并可处0.3万元以下的罚款。</w:t>
            </w:r>
          </w:p>
        </w:tc>
      </w:tr>
      <w:tr w14:paraId="72023CD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9" w:hRule="atLeast"/>
          <w:jc w:val="center"/>
        </w:trPr>
        <w:tc>
          <w:tcPr>
            <w:tcW w:w="443" w:type="dxa"/>
            <w:gridSpan w:val="2"/>
            <w:vMerge w:val="continue"/>
            <w:tcBorders>
              <w:tl2br w:val="nil"/>
              <w:tr2bl w:val="nil"/>
            </w:tcBorders>
            <w:vAlign w:val="center"/>
          </w:tcPr>
          <w:p w14:paraId="6881A750">
            <w:pPr>
              <w:pStyle w:val="37"/>
              <w:keepNext w:val="0"/>
              <w:keepLines w:val="0"/>
              <w:pageBreakBefore w:val="0"/>
              <w:widowControl/>
              <w:numPr>
                <w:ilvl w:val="0"/>
                <w:numId w:val="4"/>
              </w:numPr>
              <w:kinsoku/>
              <w:overflowPunct/>
              <w:topLinePunct w:val="0"/>
              <w:autoSpaceDE/>
              <w:autoSpaceDN/>
              <w:bidi w:val="0"/>
              <w:adjustRightInd/>
              <w:snapToGrid/>
              <w:spacing w:beforeAutospacing="0" w:afterAutospacing="0" w:line="260" w:lineRule="exact"/>
              <w:ind w:left="638" w:leftChars="88" w:right="0" w:rightChars="0" w:hanging="453" w:hangingChars="349"/>
              <w:jc w:val="center"/>
              <w:rPr>
                <w:rFonts w:ascii="仿宋_GB2312" w:hAnsi="宋体" w:eastAsia="仿宋_GB2312"/>
                <w:color w:val="auto"/>
                <w:sz w:val="13"/>
                <w:szCs w:val="13"/>
                <w:highlight w:val="none"/>
              </w:rPr>
            </w:pPr>
          </w:p>
        </w:tc>
        <w:tc>
          <w:tcPr>
            <w:tcW w:w="1550" w:type="dxa"/>
            <w:vMerge w:val="continue"/>
            <w:tcBorders>
              <w:tl2br w:val="nil"/>
              <w:tr2bl w:val="nil"/>
            </w:tcBorders>
            <w:vAlign w:val="center"/>
          </w:tcPr>
          <w:p w14:paraId="020366E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5142481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strike/>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37D1C57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s="Times New Roman"/>
                <w:color w:val="auto"/>
                <w:kern w:val="0"/>
                <w:sz w:val="13"/>
                <w:szCs w:val="13"/>
                <w:highlight w:val="none"/>
                <w:lang w:eastAsia="zh-CN"/>
              </w:rPr>
              <w:t>一般情节</w:t>
            </w:r>
          </w:p>
        </w:tc>
        <w:tc>
          <w:tcPr>
            <w:tcW w:w="3437" w:type="dxa"/>
            <w:gridSpan w:val="2"/>
            <w:tcBorders>
              <w:tl2br w:val="nil"/>
              <w:tr2bl w:val="nil"/>
            </w:tcBorders>
            <w:tcMar>
              <w:top w:w="15" w:type="dxa"/>
              <w:left w:w="15" w:type="dxa"/>
              <w:bottom w:w="15" w:type="dxa"/>
              <w:right w:w="15" w:type="dxa"/>
            </w:tcMar>
            <w:vAlign w:val="center"/>
          </w:tcPr>
          <w:p w14:paraId="7175D83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实施违法行为，造成不良社会影响，不具有从轻、</w:t>
            </w:r>
            <w:r>
              <w:rPr>
                <w:rFonts w:hint="eastAsia" w:ascii="仿宋_GB2312" w:hAnsi="宋体" w:eastAsia="仿宋_GB2312" w:cs="Times New Roman"/>
                <w:color w:val="auto"/>
                <w:kern w:val="0"/>
                <w:sz w:val="13"/>
                <w:szCs w:val="13"/>
                <w:highlight w:val="none"/>
                <w:lang w:eastAsia="zh-CN"/>
              </w:rPr>
              <w:t>从重情节</w:t>
            </w:r>
            <w:r>
              <w:rPr>
                <w:rFonts w:hint="eastAsia" w:ascii="仿宋_GB2312" w:hAnsi="宋体" w:eastAsia="仿宋_GB2312" w:cs="Times New Roman"/>
                <w:color w:val="auto"/>
                <w:kern w:val="0"/>
                <w:sz w:val="13"/>
                <w:szCs w:val="13"/>
                <w:highlight w:val="none"/>
              </w:rPr>
              <w:t>的。</w:t>
            </w:r>
          </w:p>
        </w:tc>
        <w:tc>
          <w:tcPr>
            <w:tcW w:w="3058" w:type="dxa"/>
            <w:tcBorders>
              <w:tl2br w:val="nil"/>
              <w:tr2bl w:val="nil"/>
            </w:tcBorders>
            <w:tcMar>
              <w:top w:w="15" w:type="dxa"/>
              <w:left w:w="15" w:type="dxa"/>
              <w:bottom w:w="15" w:type="dxa"/>
              <w:right w:w="15" w:type="dxa"/>
            </w:tcMar>
            <w:vAlign w:val="center"/>
          </w:tcPr>
          <w:p w14:paraId="64DFDD9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给予警告，责令限期改正，并可处0.3万元以上0.7万元以下的罚款。</w:t>
            </w:r>
          </w:p>
        </w:tc>
      </w:tr>
      <w:tr w14:paraId="10255DD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9" w:hRule="atLeast"/>
          <w:jc w:val="center"/>
        </w:trPr>
        <w:tc>
          <w:tcPr>
            <w:tcW w:w="443" w:type="dxa"/>
            <w:gridSpan w:val="2"/>
            <w:vMerge w:val="continue"/>
            <w:tcBorders>
              <w:tl2br w:val="nil"/>
              <w:tr2bl w:val="nil"/>
            </w:tcBorders>
            <w:vAlign w:val="center"/>
          </w:tcPr>
          <w:p w14:paraId="131927C6">
            <w:pPr>
              <w:pStyle w:val="37"/>
              <w:keepNext w:val="0"/>
              <w:keepLines w:val="0"/>
              <w:pageBreakBefore w:val="0"/>
              <w:widowControl/>
              <w:numPr>
                <w:ilvl w:val="0"/>
                <w:numId w:val="4"/>
              </w:numPr>
              <w:kinsoku/>
              <w:overflowPunct/>
              <w:topLinePunct w:val="0"/>
              <w:autoSpaceDE/>
              <w:autoSpaceDN/>
              <w:bidi w:val="0"/>
              <w:adjustRightInd/>
              <w:snapToGrid/>
              <w:spacing w:beforeAutospacing="0" w:afterAutospacing="0" w:line="260" w:lineRule="exact"/>
              <w:ind w:left="638" w:leftChars="88" w:right="0" w:rightChars="0" w:hanging="453" w:hangingChars="349"/>
              <w:jc w:val="center"/>
              <w:rPr>
                <w:rFonts w:ascii="仿宋_GB2312" w:hAnsi="宋体" w:eastAsia="仿宋_GB2312"/>
                <w:color w:val="auto"/>
                <w:sz w:val="13"/>
                <w:szCs w:val="13"/>
                <w:highlight w:val="none"/>
              </w:rPr>
            </w:pPr>
          </w:p>
        </w:tc>
        <w:tc>
          <w:tcPr>
            <w:tcW w:w="1550" w:type="dxa"/>
            <w:vMerge w:val="continue"/>
            <w:tcBorders>
              <w:tl2br w:val="nil"/>
              <w:tr2bl w:val="nil"/>
            </w:tcBorders>
            <w:vAlign w:val="center"/>
          </w:tcPr>
          <w:p w14:paraId="25EAC4D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0BF736A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strike/>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4E7D4AE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s="Times New Roman"/>
                <w:color w:val="auto"/>
                <w:kern w:val="0"/>
                <w:sz w:val="13"/>
                <w:szCs w:val="13"/>
                <w:highlight w:val="none"/>
                <w:lang w:eastAsia="zh-CN"/>
              </w:rPr>
              <w:t>从重情节</w:t>
            </w:r>
          </w:p>
        </w:tc>
        <w:tc>
          <w:tcPr>
            <w:tcW w:w="3437" w:type="dxa"/>
            <w:gridSpan w:val="2"/>
            <w:tcBorders>
              <w:tl2br w:val="nil"/>
              <w:tr2bl w:val="nil"/>
            </w:tcBorders>
            <w:tcMar>
              <w:top w:w="15" w:type="dxa"/>
              <w:left w:w="15" w:type="dxa"/>
              <w:bottom w:w="15" w:type="dxa"/>
              <w:right w:w="15" w:type="dxa"/>
            </w:tcMar>
            <w:vAlign w:val="center"/>
          </w:tcPr>
          <w:p w14:paraId="102CB9C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经责令停止违法行为后，继续实施违法行为的</w:t>
            </w:r>
            <w:r>
              <w:rPr>
                <w:rFonts w:hint="eastAsia" w:ascii="仿宋_GB2312" w:hAnsi="宋体" w:eastAsia="仿宋_GB2312" w:cs="Times New Roman"/>
                <w:color w:val="auto"/>
                <w:kern w:val="0"/>
                <w:sz w:val="13"/>
                <w:szCs w:val="13"/>
                <w:highlight w:val="none"/>
                <w:lang w:eastAsia="zh-CN"/>
              </w:rPr>
              <w:t>，</w:t>
            </w:r>
            <w:r>
              <w:rPr>
                <w:rFonts w:hint="eastAsia" w:ascii="仿宋_GB2312" w:hAnsi="宋体" w:eastAsia="仿宋_GB2312" w:cs="Times New Roman"/>
                <w:color w:val="auto"/>
                <w:kern w:val="0"/>
                <w:sz w:val="13"/>
                <w:szCs w:val="13"/>
                <w:highlight w:val="none"/>
                <w:lang w:val="en-US" w:eastAsia="zh-CN"/>
              </w:rPr>
              <w:t>或</w:t>
            </w:r>
            <w:r>
              <w:rPr>
                <w:rFonts w:hint="eastAsia" w:ascii="仿宋_GB2312" w:hAnsi="宋体" w:eastAsia="仿宋_GB2312" w:cs="Times New Roman"/>
                <w:color w:val="auto"/>
                <w:kern w:val="0"/>
                <w:sz w:val="13"/>
                <w:szCs w:val="13"/>
                <w:highlight w:val="none"/>
              </w:rPr>
              <w:t>2年内2次及以上同类型违法。</w:t>
            </w:r>
          </w:p>
        </w:tc>
        <w:tc>
          <w:tcPr>
            <w:tcW w:w="3058" w:type="dxa"/>
            <w:tcBorders>
              <w:tl2br w:val="nil"/>
              <w:tr2bl w:val="nil"/>
            </w:tcBorders>
            <w:tcMar>
              <w:top w:w="15" w:type="dxa"/>
              <w:left w:w="15" w:type="dxa"/>
              <w:bottom w:w="15" w:type="dxa"/>
              <w:right w:w="15" w:type="dxa"/>
            </w:tcMar>
            <w:vAlign w:val="center"/>
          </w:tcPr>
          <w:p w14:paraId="6D6CF96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给予警告，责令限期改正，并可处0.7万元以上1万元以下的罚款。</w:t>
            </w:r>
          </w:p>
        </w:tc>
      </w:tr>
      <w:tr w14:paraId="7E4D27A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9" w:hRule="atLeast"/>
          <w:jc w:val="center"/>
        </w:trPr>
        <w:tc>
          <w:tcPr>
            <w:tcW w:w="443" w:type="dxa"/>
            <w:gridSpan w:val="2"/>
            <w:vMerge w:val="restart"/>
            <w:tcBorders>
              <w:tl2br w:val="nil"/>
              <w:tr2bl w:val="nil"/>
            </w:tcBorders>
            <w:vAlign w:val="center"/>
          </w:tcPr>
          <w:p w14:paraId="585ACFDE">
            <w:pPr>
              <w:keepNext w:val="0"/>
              <w:keepLines w:val="0"/>
              <w:pageBreakBefore w:val="0"/>
              <w:widowControl/>
              <w:numPr>
                <w:ilvl w:val="0"/>
                <w:numId w:val="6"/>
              </w:numPr>
              <w:suppressLineNumbers w:val="0"/>
              <w:tabs>
                <w:tab w:val="clear" w:pos="397"/>
              </w:tabs>
              <w:kinsoku/>
              <w:overflowPunct/>
              <w:topLinePunct w:val="0"/>
              <w:autoSpaceDE/>
              <w:autoSpaceDN/>
              <w:bidi w:val="0"/>
              <w:adjustRightInd/>
              <w:snapToGrid/>
              <w:spacing w:beforeAutospacing="0" w:afterAutospacing="0" w:line="260" w:lineRule="exact"/>
              <w:ind w:left="638" w:leftChars="88" w:right="0" w:rightChars="0" w:hanging="453" w:hangingChars="349"/>
              <w:jc w:val="center"/>
              <w:textAlignment w:val="center"/>
              <w:rPr>
                <w:rFonts w:hint="default" w:ascii="仿宋_GB2312" w:hAnsi="宋体" w:eastAsia="仿宋_GB2312"/>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262</w:t>
            </w:r>
          </w:p>
        </w:tc>
        <w:tc>
          <w:tcPr>
            <w:tcW w:w="1550" w:type="dxa"/>
            <w:vMerge w:val="restart"/>
            <w:tcBorders>
              <w:tl2br w:val="nil"/>
              <w:tr2bl w:val="nil"/>
            </w:tcBorders>
            <w:vAlign w:val="center"/>
          </w:tcPr>
          <w:p w14:paraId="1B39D84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0" w:firstLineChars="200"/>
              <w:textAlignment w:val="center"/>
              <w:rPr>
                <w:rFonts w:ascii="仿宋_GB2312" w:hAnsi="宋体" w:eastAsia="仿宋_GB2312" w:cs="Times New Roman"/>
                <w:color w:val="auto"/>
                <w:kern w:val="0"/>
                <w:sz w:val="13"/>
                <w:szCs w:val="13"/>
                <w:highlight w:val="none"/>
              </w:rPr>
            </w:pPr>
            <w:r>
              <w:rPr>
                <w:rFonts w:ascii="仿宋_GB2312" w:hAnsi="宋体" w:eastAsia="仿宋_GB2312" w:cs="Times New Roman"/>
                <w:color w:val="auto"/>
                <w:kern w:val="0"/>
                <w:sz w:val="13"/>
                <w:szCs w:val="13"/>
                <w:highlight w:val="none"/>
              </w:rPr>
              <w:t>房地产估价机构有下列行为：</w:t>
            </w:r>
          </w:p>
          <w:p w14:paraId="74F9F10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Times New Roman"/>
                <w:color w:val="auto"/>
                <w:kern w:val="0"/>
                <w:sz w:val="13"/>
                <w:szCs w:val="13"/>
                <w:highlight w:val="none"/>
              </w:rPr>
            </w:pPr>
            <w:r>
              <w:rPr>
                <w:rFonts w:ascii="仿宋_GB2312" w:hAnsi="宋体" w:eastAsia="仿宋_GB2312" w:cs="Times New Roman"/>
                <w:color w:val="auto"/>
                <w:kern w:val="0"/>
                <w:sz w:val="13"/>
                <w:szCs w:val="13"/>
                <w:highlight w:val="none"/>
              </w:rPr>
              <w:t>（一）涂改、倒卖、出租、出借或者以其他形式非法转让资质证书；</w:t>
            </w:r>
          </w:p>
          <w:p w14:paraId="58E89C5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hint="eastAsia"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(二)超越资质等级业务范围承接房地产估价业务;</w:t>
            </w:r>
          </w:p>
          <w:p w14:paraId="45AE476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hint="eastAsia"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(三)以迎合高估或者低估要求、给予回扣、恶意压低收费等方式进行不正当竞争;</w:t>
            </w:r>
          </w:p>
          <w:p w14:paraId="799507D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hint="eastAsia"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(四)违反房地产估价规范和标准;</w:t>
            </w:r>
          </w:p>
          <w:p w14:paraId="185F383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hint="eastAsia"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(五)出具有虚假记载、误导性陈述或者重大遗漏的估价报告;</w:t>
            </w:r>
          </w:p>
          <w:p w14:paraId="508BFA7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hint="eastAsia"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(七)未经委托人书面同意，擅自转让受托的估价业务;</w:t>
            </w:r>
          </w:p>
          <w:p w14:paraId="6444376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(八)法律、法规禁止的其他行为。</w:t>
            </w:r>
          </w:p>
        </w:tc>
        <w:tc>
          <w:tcPr>
            <w:tcW w:w="4820" w:type="dxa"/>
            <w:vMerge w:val="restart"/>
            <w:tcBorders>
              <w:tl2br w:val="nil"/>
              <w:tr2bl w:val="nil"/>
            </w:tcBorders>
            <w:vAlign w:val="center"/>
          </w:tcPr>
          <w:p w14:paraId="39F9926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《房地产估价机构管理办法》</w:t>
            </w:r>
            <w:r>
              <w:rPr>
                <w:rFonts w:hint="eastAsia" w:ascii="仿宋_GB2312" w:hAnsi="宋体" w:eastAsia="仿宋_GB2312" w:cs="Times New Roman"/>
                <w:b/>
                <w:bCs/>
                <w:color w:val="auto"/>
                <w:kern w:val="0"/>
                <w:sz w:val="13"/>
                <w:szCs w:val="13"/>
                <w:highlight w:val="none"/>
              </w:rPr>
              <w:t>第五十三条：</w:t>
            </w:r>
            <w:r>
              <w:rPr>
                <w:rFonts w:hint="eastAsia" w:ascii="仿宋_GB2312" w:hAnsi="宋体" w:eastAsia="仿宋_GB2312" w:cs="Times New Roman"/>
                <w:color w:val="auto"/>
                <w:kern w:val="0"/>
                <w:sz w:val="13"/>
                <w:szCs w:val="13"/>
                <w:highlight w:val="none"/>
              </w:rPr>
              <w:t>房地产估价机构有本办法第三十三条行为之一的，由县级以上地方人民政府房地产主管部门给予警告，责令限期改正，并处1万元以上3万元以下的罚款；给当事人造成损失的，依法承担赔偿责任；构成犯罪的，依法追究刑事责任。</w:t>
            </w:r>
          </w:p>
          <w:p w14:paraId="1937B30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1" w:firstLineChars="200"/>
              <w:textAlignment w:val="center"/>
              <w:rPr>
                <w:rFonts w:ascii="仿宋_GB2312" w:hAnsi="宋体" w:eastAsia="仿宋_GB2312" w:cs="Times New Roman"/>
                <w:color w:val="auto"/>
                <w:kern w:val="0"/>
                <w:sz w:val="13"/>
                <w:szCs w:val="13"/>
                <w:highlight w:val="none"/>
              </w:rPr>
            </w:pPr>
            <w:r>
              <w:rPr>
                <w:rFonts w:ascii="仿宋_GB2312" w:hAnsi="宋体" w:eastAsia="仿宋_GB2312" w:cs="Times New Roman"/>
                <w:b/>
                <w:bCs/>
                <w:color w:val="auto"/>
                <w:kern w:val="0"/>
                <w:sz w:val="13"/>
                <w:szCs w:val="13"/>
                <w:highlight w:val="none"/>
              </w:rPr>
              <w:t>第三十三条</w:t>
            </w:r>
            <w:r>
              <w:rPr>
                <w:rFonts w:hint="eastAsia" w:ascii="仿宋_GB2312" w:hAnsi="宋体" w:eastAsia="仿宋_GB2312" w:cs="Times New Roman"/>
                <w:b/>
                <w:bCs/>
                <w:color w:val="auto"/>
                <w:kern w:val="0"/>
                <w:sz w:val="13"/>
                <w:szCs w:val="13"/>
                <w:highlight w:val="none"/>
                <w:lang w:eastAsia="zh-CN"/>
              </w:rPr>
              <w:t>：</w:t>
            </w:r>
            <w:r>
              <w:rPr>
                <w:rFonts w:ascii="仿宋_GB2312" w:hAnsi="宋体" w:eastAsia="仿宋_GB2312" w:cs="Times New Roman"/>
                <w:color w:val="auto"/>
                <w:kern w:val="0"/>
                <w:sz w:val="13"/>
                <w:szCs w:val="13"/>
                <w:highlight w:val="none"/>
              </w:rPr>
              <w:t>房地产估价机构不得有下列行为：</w:t>
            </w:r>
          </w:p>
          <w:p w14:paraId="60C629F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390" w:firstLineChars="300"/>
              <w:textAlignment w:val="center"/>
              <w:rPr>
                <w:rFonts w:ascii="仿宋_GB2312" w:hAnsi="宋体" w:eastAsia="仿宋_GB2312" w:cs="Times New Roman"/>
                <w:color w:val="auto"/>
                <w:kern w:val="0"/>
                <w:sz w:val="13"/>
                <w:szCs w:val="13"/>
                <w:highlight w:val="none"/>
              </w:rPr>
            </w:pPr>
            <w:r>
              <w:rPr>
                <w:rFonts w:ascii="仿宋_GB2312" w:hAnsi="宋体" w:eastAsia="仿宋_GB2312" w:cs="Times New Roman"/>
                <w:color w:val="auto"/>
                <w:kern w:val="0"/>
                <w:sz w:val="13"/>
                <w:szCs w:val="13"/>
                <w:highlight w:val="none"/>
              </w:rPr>
              <w:t>（一）涂改、倒卖、出租、出借或者以其他形式非法转让资质证书；</w:t>
            </w:r>
          </w:p>
          <w:p w14:paraId="6F6C603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520" w:firstLineChars="400"/>
              <w:textAlignment w:val="center"/>
              <w:rPr>
                <w:rFonts w:hint="eastAsia"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(二)超越资质等级业务范围承接房地产估价业务;</w:t>
            </w:r>
          </w:p>
          <w:p w14:paraId="3D443DD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0" w:firstLineChars="200"/>
              <w:textAlignment w:val="center"/>
              <w:rPr>
                <w:rFonts w:hint="eastAsia"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　　(三)以迎合高估或者低估要求、给予回扣、恶意压低收费等方式进行不正当竞争;</w:t>
            </w:r>
          </w:p>
          <w:p w14:paraId="786E3D0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0" w:firstLineChars="200"/>
              <w:textAlignment w:val="center"/>
              <w:rPr>
                <w:rFonts w:hint="eastAsia"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　　(四)违反房地产估价规范和标准;</w:t>
            </w:r>
          </w:p>
          <w:p w14:paraId="0016785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0" w:firstLineChars="200"/>
              <w:textAlignment w:val="center"/>
              <w:rPr>
                <w:rFonts w:hint="eastAsia"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　　(五)出具有虚假记载、误导性陈述或者重大遗漏的估价报告;</w:t>
            </w:r>
          </w:p>
          <w:p w14:paraId="79B344F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520" w:firstLineChars="400"/>
              <w:textAlignment w:val="center"/>
              <w:rPr>
                <w:rFonts w:hint="eastAsia"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(七)未经委托人书面同意，擅自转让受托的估价业务;</w:t>
            </w:r>
          </w:p>
          <w:p w14:paraId="5A90F1E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0" w:firstLineChars="200"/>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　　(八)法律、法规禁止的其他行为。</w:t>
            </w:r>
          </w:p>
        </w:tc>
        <w:tc>
          <w:tcPr>
            <w:tcW w:w="823" w:type="dxa"/>
            <w:tcBorders>
              <w:tl2br w:val="nil"/>
              <w:tr2bl w:val="nil"/>
            </w:tcBorders>
            <w:tcMar>
              <w:top w:w="15" w:type="dxa"/>
              <w:left w:w="15" w:type="dxa"/>
              <w:bottom w:w="15" w:type="dxa"/>
              <w:right w:w="15" w:type="dxa"/>
            </w:tcMar>
            <w:vAlign w:val="center"/>
          </w:tcPr>
          <w:p w14:paraId="58C8852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s="Times New Roman"/>
                <w:color w:val="auto"/>
                <w:kern w:val="0"/>
                <w:sz w:val="13"/>
                <w:szCs w:val="13"/>
                <w:highlight w:val="none"/>
                <w:lang w:eastAsia="zh-CN"/>
              </w:rPr>
              <w:t>从轻情节</w:t>
            </w:r>
          </w:p>
        </w:tc>
        <w:tc>
          <w:tcPr>
            <w:tcW w:w="3437" w:type="dxa"/>
            <w:gridSpan w:val="2"/>
            <w:tcBorders>
              <w:tl2br w:val="nil"/>
              <w:tr2bl w:val="nil"/>
            </w:tcBorders>
            <w:tcMar>
              <w:top w:w="15" w:type="dxa"/>
              <w:left w:w="15" w:type="dxa"/>
              <w:bottom w:w="15" w:type="dxa"/>
              <w:right w:w="15" w:type="dxa"/>
            </w:tcMar>
            <w:vAlign w:val="center"/>
          </w:tcPr>
          <w:p w14:paraId="235989F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初次违法，危害后果轻微，主动采取措施消除或减轻违法行为危害后果。</w:t>
            </w:r>
          </w:p>
        </w:tc>
        <w:tc>
          <w:tcPr>
            <w:tcW w:w="3058" w:type="dxa"/>
            <w:tcBorders>
              <w:tl2br w:val="nil"/>
              <w:tr2bl w:val="nil"/>
            </w:tcBorders>
            <w:tcMar>
              <w:top w:w="15" w:type="dxa"/>
              <w:left w:w="15" w:type="dxa"/>
              <w:bottom w:w="15" w:type="dxa"/>
              <w:right w:w="15" w:type="dxa"/>
            </w:tcMar>
            <w:vAlign w:val="center"/>
          </w:tcPr>
          <w:p w14:paraId="616685A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给予警告，责令限期改正，并处1万元以上1.5万元以下的罚款。</w:t>
            </w:r>
          </w:p>
        </w:tc>
      </w:tr>
      <w:tr w14:paraId="3DBE18C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9" w:hRule="atLeast"/>
          <w:jc w:val="center"/>
        </w:trPr>
        <w:tc>
          <w:tcPr>
            <w:tcW w:w="443" w:type="dxa"/>
            <w:gridSpan w:val="2"/>
            <w:vMerge w:val="continue"/>
            <w:tcBorders>
              <w:tl2br w:val="nil"/>
              <w:tr2bl w:val="nil"/>
            </w:tcBorders>
            <w:vAlign w:val="center"/>
          </w:tcPr>
          <w:p w14:paraId="2E5FADC8">
            <w:pPr>
              <w:pStyle w:val="37"/>
              <w:keepNext w:val="0"/>
              <w:keepLines w:val="0"/>
              <w:pageBreakBefore w:val="0"/>
              <w:widowControl/>
              <w:numPr>
                <w:ilvl w:val="0"/>
                <w:numId w:val="4"/>
              </w:numPr>
              <w:kinsoku/>
              <w:overflowPunct/>
              <w:topLinePunct w:val="0"/>
              <w:autoSpaceDE/>
              <w:autoSpaceDN/>
              <w:bidi w:val="0"/>
              <w:adjustRightInd/>
              <w:snapToGrid/>
              <w:spacing w:beforeAutospacing="0" w:afterAutospacing="0" w:line="260" w:lineRule="exact"/>
              <w:ind w:left="638" w:leftChars="88" w:right="0" w:rightChars="0" w:hanging="453" w:hangingChars="349"/>
              <w:jc w:val="center"/>
              <w:rPr>
                <w:rFonts w:ascii="仿宋_GB2312" w:hAnsi="宋体" w:eastAsia="仿宋_GB2312"/>
                <w:color w:val="auto"/>
                <w:sz w:val="13"/>
                <w:szCs w:val="13"/>
                <w:highlight w:val="none"/>
              </w:rPr>
            </w:pPr>
          </w:p>
        </w:tc>
        <w:tc>
          <w:tcPr>
            <w:tcW w:w="1550" w:type="dxa"/>
            <w:vMerge w:val="continue"/>
            <w:tcBorders>
              <w:tl2br w:val="nil"/>
              <w:tr2bl w:val="nil"/>
            </w:tcBorders>
            <w:vAlign w:val="center"/>
          </w:tcPr>
          <w:p w14:paraId="4DEBF1A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1746F77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olor w:val="auto"/>
                <w:kern w:val="0"/>
                <w:sz w:val="13"/>
                <w:szCs w:val="13"/>
                <w:highlight w:val="none"/>
              </w:rPr>
            </w:pPr>
          </w:p>
        </w:tc>
        <w:tc>
          <w:tcPr>
            <w:tcW w:w="823" w:type="dxa"/>
            <w:tcBorders>
              <w:tl2br w:val="nil"/>
              <w:tr2bl w:val="nil"/>
            </w:tcBorders>
            <w:tcMar>
              <w:top w:w="15" w:type="dxa"/>
              <w:left w:w="15" w:type="dxa"/>
              <w:bottom w:w="15" w:type="dxa"/>
              <w:right w:w="15" w:type="dxa"/>
            </w:tcMar>
            <w:vAlign w:val="center"/>
          </w:tcPr>
          <w:p w14:paraId="6E3F696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s="Times New Roman"/>
                <w:color w:val="auto"/>
                <w:kern w:val="0"/>
                <w:sz w:val="13"/>
                <w:szCs w:val="13"/>
                <w:highlight w:val="none"/>
                <w:lang w:eastAsia="zh-CN"/>
              </w:rPr>
              <w:t>一般情节</w:t>
            </w:r>
          </w:p>
        </w:tc>
        <w:tc>
          <w:tcPr>
            <w:tcW w:w="3437" w:type="dxa"/>
            <w:gridSpan w:val="2"/>
            <w:tcBorders>
              <w:tl2br w:val="nil"/>
              <w:tr2bl w:val="nil"/>
            </w:tcBorders>
            <w:tcMar>
              <w:top w:w="15" w:type="dxa"/>
              <w:left w:w="15" w:type="dxa"/>
              <w:bottom w:w="15" w:type="dxa"/>
              <w:right w:w="15" w:type="dxa"/>
            </w:tcMar>
            <w:vAlign w:val="center"/>
          </w:tcPr>
          <w:p w14:paraId="7C39B16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实施违法行为，造成不良社会影响，不具有从轻、</w:t>
            </w:r>
            <w:r>
              <w:rPr>
                <w:rFonts w:hint="eastAsia" w:ascii="仿宋_GB2312" w:hAnsi="宋体" w:eastAsia="仿宋_GB2312" w:cs="Times New Roman"/>
                <w:color w:val="auto"/>
                <w:kern w:val="0"/>
                <w:sz w:val="13"/>
                <w:szCs w:val="13"/>
                <w:highlight w:val="none"/>
                <w:lang w:eastAsia="zh-CN"/>
              </w:rPr>
              <w:t>从重情节</w:t>
            </w:r>
            <w:r>
              <w:rPr>
                <w:rFonts w:hint="eastAsia" w:ascii="仿宋_GB2312" w:hAnsi="宋体" w:eastAsia="仿宋_GB2312" w:cs="Times New Roman"/>
                <w:color w:val="auto"/>
                <w:kern w:val="0"/>
                <w:sz w:val="13"/>
                <w:szCs w:val="13"/>
                <w:highlight w:val="none"/>
              </w:rPr>
              <w:t>的。</w:t>
            </w:r>
          </w:p>
        </w:tc>
        <w:tc>
          <w:tcPr>
            <w:tcW w:w="3058" w:type="dxa"/>
            <w:tcBorders>
              <w:tl2br w:val="nil"/>
              <w:tr2bl w:val="nil"/>
            </w:tcBorders>
            <w:tcMar>
              <w:top w:w="15" w:type="dxa"/>
              <w:left w:w="15" w:type="dxa"/>
              <w:bottom w:w="15" w:type="dxa"/>
              <w:right w:w="15" w:type="dxa"/>
            </w:tcMar>
            <w:vAlign w:val="center"/>
          </w:tcPr>
          <w:p w14:paraId="16A1B60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给予警告，责令限期改正，并处1.5万元以上2.5万元以下的罚款。</w:t>
            </w:r>
          </w:p>
        </w:tc>
      </w:tr>
      <w:tr w14:paraId="1A95FF9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9" w:hRule="atLeast"/>
          <w:jc w:val="center"/>
        </w:trPr>
        <w:tc>
          <w:tcPr>
            <w:tcW w:w="443" w:type="dxa"/>
            <w:gridSpan w:val="2"/>
            <w:vMerge w:val="continue"/>
            <w:tcBorders>
              <w:tl2br w:val="nil"/>
              <w:tr2bl w:val="nil"/>
            </w:tcBorders>
            <w:vAlign w:val="center"/>
          </w:tcPr>
          <w:p w14:paraId="2A428B59">
            <w:pPr>
              <w:pStyle w:val="37"/>
              <w:keepNext w:val="0"/>
              <w:keepLines w:val="0"/>
              <w:pageBreakBefore w:val="0"/>
              <w:widowControl/>
              <w:numPr>
                <w:ilvl w:val="0"/>
                <w:numId w:val="4"/>
              </w:numPr>
              <w:kinsoku/>
              <w:overflowPunct/>
              <w:topLinePunct w:val="0"/>
              <w:autoSpaceDE/>
              <w:autoSpaceDN/>
              <w:bidi w:val="0"/>
              <w:adjustRightInd/>
              <w:snapToGrid/>
              <w:spacing w:beforeAutospacing="0" w:afterAutospacing="0" w:line="260" w:lineRule="exact"/>
              <w:ind w:left="638" w:leftChars="88" w:right="0" w:rightChars="0" w:hanging="453" w:hangingChars="349"/>
              <w:jc w:val="center"/>
              <w:rPr>
                <w:rFonts w:ascii="仿宋_GB2312" w:hAnsi="宋体" w:eastAsia="仿宋_GB2312"/>
                <w:color w:val="auto"/>
                <w:sz w:val="13"/>
                <w:szCs w:val="13"/>
                <w:highlight w:val="none"/>
              </w:rPr>
            </w:pPr>
          </w:p>
        </w:tc>
        <w:tc>
          <w:tcPr>
            <w:tcW w:w="1550" w:type="dxa"/>
            <w:vMerge w:val="continue"/>
            <w:tcBorders>
              <w:tl2br w:val="nil"/>
              <w:tr2bl w:val="nil"/>
            </w:tcBorders>
            <w:vAlign w:val="center"/>
          </w:tcPr>
          <w:p w14:paraId="2FFA77F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0EE83D8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olor w:val="auto"/>
                <w:kern w:val="0"/>
                <w:sz w:val="13"/>
                <w:szCs w:val="13"/>
                <w:highlight w:val="none"/>
              </w:rPr>
            </w:pPr>
          </w:p>
        </w:tc>
        <w:tc>
          <w:tcPr>
            <w:tcW w:w="823" w:type="dxa"/>
            <w:tcBorders>
              <w:tl2br w:val="nil"/>
              <w:tr2bl w:val="nil"/>
            </w:tcBorders>
            <w:tcMar>
              <w:top w:w="15" w:type="dxa"/>
              <w:left w:w="15" w:type="dxa"/>
              <w:bottom w:w="15" w:type="dxa"/>
              <w:right w:w="15" w:type="dxa"/>
            </w:tcMar>
            <w:vAlign w:val="center"/>
          </w:tcPr>
          <w:p w14:paraId="20E2566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s="Times New Roman"/>
                <w:color w:val="auto"/>
                <w:kern w:val="0"/>
                <w:sz w:val="13"/>
                <w:szCs w:val="13"/>
                <w:highlight w:val="none"/>
                <w:lang w:eastAsia="zh-CN"/>
              </w:rPr>
              <w:t>从重情节</w:t>
            </w:r>
          </w:p>
        </w:tc>
        <w:tc>
          <w:tcPr>
            <w:tcW w:w="3437" w:type="dxa"/>
            <w:gridSpan w:val="2"/>
            <w:tcBorders>
              <w:tl2br w:val="nil"/>
              <w:tr2bl w:val="nil"/>
            </w:tcBorders>
            <w:tcMar>
              <w:top w:w="15" w:type="dxa"/>
              <w:left w:w="15" w:type="dxa"/>
              <w:bottom w:w="15" w:type="dxa"/>
              <w:right w:w="15" w:type="dxa"/>
            </w:tcMar>
            <w:vAlign w:val="center"/>
          </w:tcPr>
          <w:p w14:paraId="52EEE43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经责令停止违法行为后，继续实施违法行为的</w:t>
            </w:r>
            <w:r>
              <w:rPr>
                <w:rFonts w:hint="eastAsia" w:ascii="仿宋_GB2312" w:hAnsi="宋体" w:eastAsia="仿宋_GB2312" w:cs="Times New Roman"/>
                <w:color w:val="auto"/>
                <w:kern w:val="0"/>
                <w:sz w:val="13"/>
                <w:szCs w:val="13"/>
                <w:highlight w:val="none"/>
                <w:lang w:eastAsia="zh-CN"/>
              </w:rPr>
              <w:t>，</w:t>
            </w:r>
            <w:r>
              <w:rPr>
                <w:rFonts w:hint="eastAsia" w:ascii="仿宋_GB2312" w:hAnsi="宋体" w:eastAsia="仿宋_GB2312" w:cs="Times New Roman"/>
                <w:color w:val="auto"/>
                <w:kern w:val="0"/>
                <w:sz w:val="13"/>
                <w:szCs w:val="13"/>
                <w:highlight w:val="none"/>
                <w:lang w:val="en-US" w:eastAsia="zh-CN"/>
              </w:rPr>
              <w:t>或</w:t>
            </w:r>
            <w:r>
              <w:rPr>
                <w:rFonts w:hint="eastAsia" w:ascii="仿宋_GB2312" w:hAnsi="宋体" w:eastAsia="仿宋_GB2312" w:cs="Times New Roman"/>
                <w:color w:val="auto"/>
                <w:kern w:val="0"/>
                <w:sz w:val="13"/>
                <w:szCs w:val="13"/>
                <w:highlight w:val="none"/>
              </w:rPr>
              <w:t>2年内2次及以上同类型违法。</w:t>
            </w:r>
          </w:p>
        </w:tc>
        <w:tc>
          <w:tcPr>
            <w:tcW w:w="3058" w:type="dxa"/>
            <w:tcBorders>
              <w:tl2br w:val="nil"/>
              <w:tr2bl w:val="nil"/>
            </w:tcBorders>
            <w:tcMar>
              <w:top w:w="15" w:type="dxa"/>
              <w:left w:w="15" w:type="dxa"/>
              <w:bottom w:w="15" w:type="dxa"/>
              <w:right w:w="15" w:type="dxa"/>
            </w:tcMar>
            <w:vAlign w:val="center"/>
          </w:tcPr>
          <w:p w14:paraId="7F20237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给予警告，责令限期改正，并处2.5万元以上3万元以下的罚款。</w:t>
            </w:r>
          </w:p>
        </w:tc>
      </w:tr>
      <w:tr w14:paraId="06195F9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9" w:hRule="atLeast"/>
          <w:jc w:val="center"/>
        </w:trPr>
        <w:tc>
          <w:tcPr>
            <w:tcW w:w="443" w:type="dxa"/>
            <w:gridSpan w:val="2"/>
            <w:vMerge w:val="restart"/>
            <w:tcBorders>
              <w:tl2br w:val="nil"/>
              <w:tr2bl w:val="nil"/>
            </w:tcBorders>
            <w:vAlign w:val="center"/>
          </w:tcPr>
          <w:p w14:paraId="64205288">
            <w:pPr>
              <w:keepNext w:val="0"/>
              <w:keepLines w:val="0"/>
              <w:pageBreakBefore w:val="0"/>
              <w:widowControl/>
              <w:numPr>
                <w:ilvl w:val="0"/>
                <w:numId w:val="6"/>
              </w:numPr>
              <w:suppressLineNumbers w:val="0"/>
              <w:tabs>
                <w:tab w:val="clear" w:pos="397"/>
              </w:tabs>
              <w:kinsoku/>
              <w:overflowPunct/>
              <w:topLinePunct w:val="0"/>
              <w:autoSpaceDE/>
              <w:autoSpaceDN/>
              <w:bidi w:val="0"/>
              <w:adjustRightInd/>
              <w:snapToGrid/>
              <w:spacing w:beforeAutospacing="0" w:afterAutospacing="0" w:line="260" w:lineRule="exact"/>
              <w:ind w:left="638" w:leftChars="88" w:right="0" w:rightChars="0" w:hanging="453" w:hangingChars="349"/>
              <w:jc w:val="center"/>
              <w:textAlignment w:val="center"/>
              <w:rPr>
                <w:rFonts w:hint="default" w:ascii="仿宋_GB2312" w:hAnsi="宋体" w:eastAsia="仿宋_GB2312"/>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263</w:t>
            </w:r>
          </w:p>
        </w:tc>
        <w:tc>
          <w:tcPr>
            <w:tcW w:w="1550" w:type="dxa"/>
            <w:vMerge w:val="restart"/>
            <w:tcBorders>
              <w:tl2br w:val="nil"/>
              <w:tr2bl w:val="nil"/>
            </w:tcBorders>
            <w:vAlign w:val="center"/>
          </w:tcPr>
          <w:p w14:paraId="3330DC4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olor w:val="auto"/>
                <w:kern w:val="0"/>
                <w:sz w:val="13"/>
                <w:szCs w:val="13"/>
                <w:highlight w:val="none"/>
              </w:rPr>
            </w:pPr>
            <w:r>
              <w:rPr>
                <w:rFonts w:ascii="仿宋_GB2312" w:hAnsi="宋体" w:eastAsia="仿宋_GB2312" w:cs="Times New Roman"/>
                <w:color w:val="auto"/>
                <w:kern w:val="0"/>
                <w:sz w:val="13"/>
                <w:szCs w:val="13"/>
                <w:highlight w:val="none"/>
              </w:rPr>
              <w:t>房地产估价机构</w:t>
            </w:r>
            <w:r>
              <w:rPr>
                <w:rFonts w:hint="eastAsia" w:ascii="仿宋_GB2312" w:hAnsi="宋体" w:eastAsia="仿宋_GB2312" w:cs="Times New Roman"/>
                <w:color w:val="auto"/>
                <w:kern w:val="0"/>
                <w:sz w:val="13"/>
                <w:szCs w:val="13"/>
                <w:highlight w:val="none"/>
              </w:rPr>
              <w:t>擅自设立分支机构</w:t>
            </w:r>
          </w:p>
        </w:tc>
        <w:tc>
          <w:tcPr>
            <w:tcW w:w="4820" w:type="dxa"/>
            <w:vMerge w:val="restart"/>
            <w:tcBorders>
              <w:tl2br w:val="nil"/>
              <w:tr2bl w:val="nil"/>
            </w:tcBorders>
            <w:vAlign w:val="center"/>
          </w:tcPr>
          <w:p w14:paraId="3E8C5DE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《房地产估价机构管理办法》</w:t>
            </w:r>
            <w:r>
              <w:rPr>
                <w:rFonts w:hint="eastAsia" w:ascii="仿宋_GB2312" w:hAnsi="宋体" w:eastAsia="仿宋_GB2312" w:cs="Times New Roman"/>
                <w:b/>
                <w:bCs/>
                <w:color w:val="auto"/>
                <w:kern w:val="0"/>
                <w:sz w:val="13"/>
                <w:szCs w:val="13"/>
                <w:highlight w:val="none"/>
              </w:rPr>
              <w:t>第五十三条：</w:t>
            </w:r>
            <w:r>
              <w:rPr>
                <w:rFonts w:hint="eastAsia" w:ascii="仿宋_GB2312" w:hAnsi="宋体" w:eastAsia="仿宋_GB2312" w:cs="Times New Roman"/>
                <w:color w:val="auto"/>
                <w:kern w:val="0"/>
                <w:sz w:val="13"/>
                <w:szCs w:val="13"/>
                <w:highlight w:val="none"/>
              </w:rPr>
              <w:t>房地产估价机构有本办法第三十三条行为之一的，由县级以上地方人民政府房地产主管部门给予警告，责令限期改正，并处1万元以上3万元以下的罚款；给当事人造成损失的，依法承担赔偿责任；构成犯罪的，依法追究刑事责任。</w:t>
            </w:r>
          </w:p>
          <w:p w14:paraId="3732209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1" w:firstLineChars="200"/>
              <w:textAlignment w:val="center"/>
              <w:rPr>
                <w:rFonts w:ascii="仿宋_GB2312" w:hAnsi="宋体" w:eastAsia="仿宋_GB2312" w:cs="Times New Roman"/>
                <w:color w:val="auto"/>
                <w:kern w:val="0"/>
                <w:sz w:val="13"/>
                <w:szCs w:val="13"/>
                <w:highlight w:val="none"/>
              </w:rPr>
            </w:pPr>
            <w:r>
              <w:rPr>
                <w:rFonts w:ascii="仿宋_GB2312" w:hAnsi="宋体" w:eastAsia="仿宋_GB2312" w:cs="Times New Roman"/>
                <w:b/>
                <w:bCs/>
                <w:color w:val="auto"/>
                <w:kern w:val="0"/>
                <w:sz w:val="13"/>
                <w:szCs w:val="13"/>
                <w:highlight w:val="none"/>
              </w:rPr>
              <w:t>第三十三条</w:t>
            </w:r>
            <w:r>
              <w:rPr>
                <w:rFonts w:hint="eastAsia" w:ascii="仿宋_GB2312" w:hAnsi="宋体" w:eastAsia="仿宋_GB2312" w:cs="Times New Roman"/>
                <w:b/>
                <w:bCs/>
                <w:color w:val="auto"/>
                <w:kern w:val="0"/>
                <w:sz w:val="13"/>
                <w:szCs w:val="13"/>
                <w:highlight w:val="none"/>
                <w:lang w:eastAsia="zh-CN"/>
              </w:rPr>
              <w:t>（六）项：</w:t>
            </w:r>
            <w:r>
              <w:rPr>
                <w:rFonts w:ascii="仿宋_GB2312" w:hAnsi="宋体" w:eastAsia="仿宋_GB2312" w:cs="Times New Roman"/>
                <w:color w:val="auto"/>
                <w:kern w:val="0"/>
                <w:sz w:val="13"/>
                <w:szCs w:val="13"/>
                <w:highlight w:val="none"/>
              </w:rPr>
              <w:t>房地产估价机构不得有下列行为：</w:t>
            </w:r>
          </w:p>
          <w:p w14:paraId="32FE0AF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0" w:firstLineChars="200"/>
              <w:textAlignment w:val="center"/>
              <w:rPr>
                <w:rFonts w:ascii="仿宋_GB2312" w:hAnsi="宋体" w:eastAsia="仿宋_GB2312" w:cs="Times New Roman"/>
                <w:color w:val="auto"/>
                <w:kern w:val="0"/>
                <w:sz w:val="13"/>
                <w:szCs w:val="13"/>
                <w:highlight w:val="none"/>
              </w:rPr>
            </w:pPr>
            <w:r>
              <w:rPr>
                <w:rFonts w:ascii="仿宋_GB2312" w:hAnsi="宋体" w:eastAsia="仿宋_GB2312" w:cs="Times New Roman"/>
                <w:color w:val="auto"/>
                <w:kern w:val="0"/>
                <w:sz w:val="13"/>
                <w:szCs w:val="13"/>
                <w:highlight w:val="none"/>
              </w:rPr>
              <w:t>（六）擅自设立分支机构；</w:t>
            </w:r>
          </w:p>
        </w:tc>
        <w:tc>
          <w:tcPr>
            <w:tcW w:w="823" w:type="dxa"/>
            <w:tcBorders>
              <w:tl2br w:val="nil"/>
              <w:tr2bl w:val="nil"/>
            </w:tcBorders>
            <w:tcMar>
              <w:top w:w="15" w:type="dxa"/>
              <w:left w:w="15" w:type="dxa"/>
              <w:bottom w:w="15" w:type="dxa"/>
              <w:right w:w="15" w:type="dxa"/>
            </w:tcMar>
            <w:vAlign w:val="center"/>
          </w:tcPr>
          <w:p w14:paraId="7493B45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s="Times New Roman"/>
                <w:color w:val="auto"/>
                <w:kern w:val="0"/>
                <w:sz w:val="13"/>
                <w:szCs w:val="13"/>
                <w:highlight w:val="none"/>
                <w:lang w:eastAsia="zh-CN"/>
              </w:rPr>
              <w:t>从轻情节</w:t>
            </w:r>
          </w:p>
        </w:tc>
        <w:tc>
          <w:tcPr>
            <w:tcW w:w="3437" w:type="dxa"/>
            <w:gridSpan w:val="2"/>
            <w:tcBorders>
              <w:tl2br w:val="nil"/>
              <w:tr2bl w:val="nil"/>
            </w:tcBorders>
            <w:tcMar>
              <w:top w:w="15" w:type="dxa"/>
              <w:left w:w="15" w:type="dxa"/>
              <w:bottom w:w="15" w:type="dxa"/>
              <w:right w:w="15" w:type="dxa"/>
            </w:tcMar>
            <w:vAlign w:val="center"/>
          </w:tcPr>
          <w:p w14:paraId="52D6DBD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擅自设立1个分支机构的。</w:t>
            </w:r>
          </w:p>
        </w:tc>
        <w:tc>
          <w:tcPr>
            <w:tcW w:w="3058" w:type="dxa"/>
            <w:tcBorders>
              <w:tl2br w:val="nil"/>
              <w:tr2bl w:val="nil"/>
            </w:tcBorders>
            <w:tcMar>
              <w:top w:w="15" w:type="dxa"/>
              <w:left w:w="15" w:type="dxa"/>
              <w:bottom w:w="15" w:type="dxa"/>
              <w:right w:w="15" w:type="dxa"/>
            </w:tcMar>
            <w:vAlign w:val="center"/>
          </w:tcPr>
          <w:p w14:paraId="275E29A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给予警告，责令限期改正，并处1万元以上1.5万元以下的罚款。</w:t>
            </w:r>
          </w:p>
        </w:tc>
      </w:tr>
      <w:tr w14:paraId="1E61670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9" w:hRule="atLeast"/>
          <w:jc w:val="center"/>
        </w:trPr>
        <w:tc>
          <w:tcPr>
            <w:tcW w:w="443" w:type="dxa"/>
            <w:gridSpan w:val="2"/>
            <w:vMerge w:val="continue"/>
            <w:tcBorders>
              <w:tl2br w:val="nil"/>
              <w:tr2bl w:val="nil"/>
            </w:tcBorders>
            <w:vAlign w:val="center"/>
          </w:tcPr>
          <w:p w14:paraId="1B7A7B39">
            <w:pPr>
              <w:pStyle w:val="37"/>
              <w:keepNext w:val="0"/>
              <w:keepLines w:val="0"/>
              <w:pageBreakBefore w:val="0"/>
              <w:widowControl/>
              <w:numPr>
                <w:ilvl w:val="0"/>
                <w:numId w:val="4"/>
              </w:numPr>
              <w:kinsoku/>
              <w:overflowPunct/>
              <w:topLinePunct w:val="0"/>
              <w:autoSpaceDE/>
              <w:autoSpaceDN/>
              <w:bidi w:val="0"/>
              <w:adjustRightInd/>
              <w:snapToGrid/>
              <w:spacing w:beforeAutospacing="0" w:afterAutospacing="0" w:line="260" w:lineRule="exact"/>
              <w:ind w:left="638" w:leftChars="88" w:right="0" w:rightChars="0" w:hanging="453" w:hangingChars="349"/>
              <w:jc w:val="center"/>
              <w:rPr>
                <w:rFonts w:ascii="仿宋_GB2312" w:hAnsi="宋体" w:eastAsia="仿宋_GB2312"/>
                <w:color w:val="auto"/>
                <w:sz w:val="13"/>
                <w:szCs w:val="13"/>
                <w:highlight w:val="none"/>
              </w:rPr>
            </w:pPr>
          </w:p>
        </w:tc>
        <w:tc>
          <w:tcPr>
            <w:tcW w:w="1550" w:type="dxa"/>
            <w:vMerge w:val="continue"/>
            <w:tcBorders>
              <w:tl2br w:val="nil"/>
              <w:tr2bl w:val="nil"/>
            </w:tcBorders>
            <w:vAlign w:val="center"/>
          </w:tcPr>
          <w:p w14:paraId="1380043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352DA65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olor w:val="auto"/>
                <w:kern w:val="0"/>
                <w:sz w:val="13"/>
                <w:szCs w:val="13"/>
                <w:highlight w:val="none"/>
              </w:rPr>
            </w:pPr>
          </w:p>
        </w:tc>
        <w:tc>
          <w:tcPr>
            <w:tcW w:w="823" w:type="dxa"/>
            <w:tcBorders>
              <w:tl2br w:val="nil"/>
              <w:tr2bl w:val="nil"/>
            </w:tcBorders>
            <w:tcMar>
              <w:top w:w="15" w:type="dxa"/>
              <w:left w:w="15" w:type="dxa"/>
              <w:bottom w:w="15" w:type="dxa"/>
              <w:right w:w="15" w:type="dxa"/>
            </w:tcMar>
            <w:vAlign w:val="center"/>
          </w:tcPr>
          <w:p w14:paraId="7CF531E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s="Times New Roman"/>
                <w:color w:val="auto"/>
                <w:kern w:val="0"/>
                <w:sz w:val="13"/>
                <w:szCs w:val="13"/>
                <w:highlight w:val="none"/>
                <w:lang w:eastAsia="zh-CN"/>
              </w:rPr>
              <w:t>一般情节</w:t>
            </w:r>
          </w:p>
        </w:tc>
        <w:tc>
          <w:tcPr>
            <w:tcW w:w="3437" w:type="dxa"/>
            <w:gridSpan w:val="2"/>
            <w:tcBorders>
              <w:tl2br w:val="nil"/>
              <w:tr2bl w:val="nil"/>
            </w:tcBorders>
            <w:tcMar>
              <w:top w:w="15" w:type="dxa"/>
              <w:left w:w="15" w:type="dxa"/>
              <w:bottom w:w="15" w:type="dxa"/>
              <w:right w:w="15" w:type="dxa"/>
            </w:tcMar>
            <w:vAlign w:val="center"/>
          </w:tcPr>
          <w:p w14:paraId="7E9BD78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擅自设立2个分支机构的。</w:t>
            </w:r>
          </w:p>
        </w:tc>
        <w:tc>
          <w:tcPr>
            <w:tcW w:w="3058" w:type="dxa"/>
            <w:tcBorders>
              <w:tl2br w:val="nil"/>
              <w:tr2bl w:val="nil"/>
            </w:tcBorders>
            <w:tcMar>
              <w:top w:w="15" w:type="dxa"/>
              <w:left w:w="15" w:type="dxa"/>
              <w:bottom w:w="15" w:type="dxa"/>
              <w:right w:w="15" w:type="dxa"/>
            </w:tcMar>
            <w:vAlign w:val="center"/>
          </w:tcPr>
          <w:p w14:paraId="3475F58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给予警告，责令限期改正，并处1.5万元以上2.5万元以下的罚款。</w:t>
            </w:r>
          </w:p>
        </w:tc>
      </w:tr>
      <w:tr w14:paraId="75B1B8D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455" w:hRule="atLeast"/>
          <w:jc w:val="center"/>
        </w:trPr>
        <w:tc>
          <w:tcPr>
            <w:tcW w:w="443" w:type="dxa"/>
            <w:gridSpan w:val="2"/>
            <w:vMerge w:val="continue"/>
            <w:tcBorders>
              <w:tl2br w:val="nil"/>
              <w:tr2bl w:val="nil"/>
            </w:tcBorders>
            <w:vAlign w:val="center"/>
          </w:tcPr>
          <w:p w14:paraId="2BE9DDFF">
            <w:pPr>
              <w:pStyle w:val="37"/>
              <w:keepNext w:val="0"/>
              <w:keepLines w:val="0"/>
              <w:pageBreakBefore w:val="0"/>
              <w:widowControl/>
              <w:numPr>
                <w:ilvl w:val="0"/>
                <w:numId w:val="4"/>
              </w:numPr>
              <w:kinsoku/>
              <w:overflowPunct/>
              <w:topLinePunct w:val="0"/>
              <w:autoSpaceDE/>
              <w:autoSpaceDN/>
              <w:bidi w:val="0"/>
              <w:adjustRightInd/>
              <w:snapToGrid/>
              <w:spacing w:beforeAutospacing="0" w:afterAutospacing="0" w:line="260" w:lineRule="exact"/>
              <w:ind w:left="638" w:leftChars="88" w:right="0" w:rightChars="0" w:hanging="453" w:hangingChars="349"/>
              <w:jc w:val="center"/>
              <w:rPr>
                <w:rFonts w:ascii="仿宋_GB2312" w:hAnsi="宋体" w:eastAsia="仿宋_GB2312"/>
                <w:color w:val="auto"/>
                <w:sz w:val="13"/>
                <w:szCs w:val="13"/>
                <w:highlight w:val="none"/>
              </w:rPr>
            </w:pPr>
          </w:p>
        </w:tc>
        <w:tc>
          <w:tcPr>
            <w:tcW w:w="1550" w:type="dxa"/>
            <w:vMerge w:val="continue"/>
            <w:tcBorders>
              <w:tl2br w:val="nil"/>
              <w:tr2bl w:val="nil"/>
            </w:tcBorders>
            <w:vAlign w:val="center"/>
          </w:tcPr>
          <w:p w14:paraId="10FDCDE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3065098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olor w:val="auto"/>
                <w:kern w:val="0"/>
                <w:sz w:val="13"/>
                <w:szCs w:val="13"/>
                <w:highlight w:val="none"/>
              </w:rPr>
            </w:pPr>
          </w:p>
        </w:tc>
        <w:tc>
          <w:tcPr>
            <w:tcW w:w="823" w:type="dxa"/>
            <w:tcBorders>
              <w:tl2br w:val="nil"/>
              <w:tr2bl w:val="nil"/>
            </w:tcBorders>
            <w:tcMar>
              <w:top w:w="15" w:type="dxa"/>
              <w:left w:w="15" w:type="dxa"/>
              <w:bottom w:w="15" w:type="dxa"/>
              <w:right w:w="15" w:type="dxa"/>
            </w:tcMar>
            <w:vAlign w:val="center"/>
          </w:tcPr>
          <w:p w14:paraId="37E5E87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s="Times New Roman"/>
                <w:color w:val="auto"/>
                <w:kern w:val="0"/>
                <w:sz w:val="13"/>
                <w:szCs w:val="13"/>
                <w:highlight w:val="none"/>
                <w:lang w:eastAsia="zh-CN"/>
              </w:rPr>
              <w:t>从重情节</w:t>
            </w:r>
          </w:p>
        </w:tc>
        <w:tc>
          <w:tcPr>
            <w:tcW w:w="3437" w:type="dxa"/>
            <w:gridSpan w:val="2"/>
            <w:tcBorders>
              <w:tl2br w:val="nil"/>
              <w:tr2bl w:val="nil"/>
            </w:tcBorders>
            <w:tcMar>
              <w:top w:w="15" w:type="dxa"/>
              <w:left w:w="15" w:type="dxa"/>
              <w:bottom w:w="15" w:type="dxa"/>
              <w:right w:w="15" w:type="dxa"/>
            </w:tcMar>
            <w:vAlign w:val="center"/>
          </w:tcPr>
          <w:p w14:paraId="4DE571C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擅自设立3个分支机构的。</w:t>
            </w:r>
          </w:p>
        </w:tc>
        <w:tc>
          <w:tcPr>
            <w:tcW w:w="3058" w:type="dxa"/>
            <w:tcBorders>
              <w:tl2br w:val="nil"/>
              <w:tr2bl w:val="nil"/>
            </w:tcBorders>
            <w:tcMar>
              <w:top w:w="15" w:type="dxa"/>
              <w:left w:w="15" w:type="dxa"/>
              <w:bottom w:w="15" w:type="dxa"/>
              <w:right w:w="15" w:type="dxa"/>
            </w:tcMar>
            <w:vAlign w:val="center"/>
          </w:tcPr>
          <w:p w14:paraId="0B02EB6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给予警告，责令限期改正，并处2.5万元以上3万元以下的罚款。</w:t>
            </w:r>
          </w:p>
        </w:tc>
      </w:tr>
      <w:tr w14:paraId="510FA72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9" w:hRule="atLeast"/>
          <w:jc w:val="center"/>
        </w:trPr>
        <w:tc>
          <w:tcPr>
            <w:tcW w:w="443" w:type="dxa"/>
            <w:gridSpan w:val="2"/>
            <w:vMerge w:val="restart"/>
            <w:tcBorders>
              <w:tl2br w:val="nil"/>
              <w:tr2bl w:val="nil"/>
            </w:tcBorders>
            <w:tcMar>
              <w:top w:w="15" w:type="dxa"/>
              <w:left w:w="15" w:type="dxa"/>
              <w:bottom w:w="15" w:type="dxa"/>
              <w:right w:w="15" w:type="dxa"/>
            </w:tcMar>
            <w:vAlign w:val="center"/>
          </w:tcPr>
          <w:p w14:paraId="5F8080B0">
            <w:pPr>
              <w:keepNext w:val="0"/>
              <w:keepLines w:val="0"/>
              <w:pageBreakBefore w:val="0"/>
              <w:widowControl/>
              <w:numPr>
                <w:ilvl w:val="0"/>
                <w:numId w:val="6"/>
              </w:numPr>
              <w:suppressLineNumbers w:val="0"/>
              <w:tabs>
                <w:tab w:val="clear" w:pos="397"/>
              </w:tabs>
              <w:kinsoku/>
              <w:overflowPunct/>
              <w:topLinePunct w:val="0"/>
              <w:autoSpaceDE/>
              <w:autoSpaceDN/>
              <w:bidi w:val="0"/>
              <w:adjustRightInd/>
              <w:snapToGrid/>
              <w:spacing w:beforeAutospacing="0" w:afterAutospacing="0" w:line="260" w:lineRule="exact"/>
              <w:ind w:left="638" w:leftChars="88" w:right="0" w:rightChars="0" w:hanging="453" w:hangingChars="349"/>
              <w:jc w:val="center"/>
              <w:textAlignment w:val="center"/>
              <w:rPr>
                <w:rFonts w:hint="default" w:ascii="仿宋_GB2312" w:hAnsi="宋体" w:eastAsia="仿宋_GB2312"/>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264</w:t>
            </w:r>
          </w:p>
        </w:tc>
        <w:tc>
          <w:tcPr>
            <w:tcW w:w="1550" w:type="dxa"/>
            <w:vMerge w:val="restart"/>
            <w:tcBorders>
              <w:tl2br w:val="nil"/>
              <w:tr2bl w:val="nil"/>
            </w:tcBorders>
            <w:tcMar>
              <w:top w:w="15" w:type="dxa"/>
              <w:left w:w="15" w:type="dxa"/>
              <w:bottom w:w="15" w:type="dxa"/>
              <w:right w:w="15" w:type="dxa"/>
            </w:tcMar>
            <w:vAlign w:val="center"/>
          </w:tcPr>
          <w:p w14:paraId="1DE9BB2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骗取、涂改、出租、出借、转让、出卖房地产开发资质证书的</w:t>
            </w:r>
          </w:p>
        </w:tc>
        <w:tc>
          <w:tcPr>
            <w:tcW w:w="4820" w:type="dxa"/>
            <w:vMerge w:val="restart"/>
            <w:tcBorders>
              <w:tl2br w:val="nil"/>
              <w:tr2bl w:val="nil"/>
            </w:tcBorders>
            <w:tcMar>
              <w:top w:w="15" w:type="dxa"/>
              <w:left w:w="15" w:type="dxa"/>
              <w:bottom w:w="15" w:type="dxa"/>
              <w:right w:w="15" w:type="dxa"/>
            </w:tcMar>
            <w:vAlign w:val="center"/>
          </w:tcPr>
          <w:p w14:paraId="657E5D8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hint="eastAsia"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《房地产开发企业资质管理规定》</w:t>
            </w:r>
            <w:r>
              <w:rPr>
                <w:rFonts w:hint="eastAsia" w:ascii="仿宋_GB2312" w:hAnsi="宋体" w:eastAsia="仿宋_GB2312" w:cs="Times New Roman"/>
                <w:b/>
                <w:bCs/>
                <w:color w:val="auto"/>
                <w:kern w:val="0"/>
                <w:sz w:val="13"/>
                <w:szCs w:val="13"/>
                <w:highlight w:val="none"/>
              </w:rPr>
              <w:t>第十八条</w:t>
            </w:r>
            <w:r>
              <w:rPr>
                <w:rFonts w:hint="eastAsia" w:ascii="仿宋_GB2312" w:hAnsi="宋体" w:eastAsia="仿宋_GB2312" w:cs="Times New Roman"/>
                <w:b/>
                <w:bCs/>
                <w:color w:val="auto"/>
                <w:kern w:val="0"/>
                <w:sz w:val="13"/>
                <w:szCs w:val="13"/>
                <w:highlight w:val="none"/>
                <w:lang w:eastAsia="zh-CN"/>
              </w:rPr>
              <w:t>：</w:t>
            </w:r>
            <w:r>
              <w:rPr>
                <w:rFonts w:hint="eastAsia" w:ascii="仿宋_GB2312" w:hAnsi="宋体" w:eastAsia="仿宋_GB2312" w:cs="Times New Roman"/>
                <w:color w:val="auto"/>
                <w:kern w:val="0"/>
                <w:sz w:val="13"/>
                <w:szCs w:val="13"/>
                <w:highlight w:val="none"/>
              </w:rPr>
              <w:t>企业有下列行为之一的，，由原资质审批部门按照《中华人民共和国行政许可法》等法律法规规定予以处理，并可处以1万元以上3万元以下的罚款：</w:t>
            </w:r>
          </w:p>
          <w:p w14:paraId="426ED766">
            <w:pPr>
              <w:keepNext w:val="0"/>
              <w:keepLines w:val="0"/>
              <w:pageBreakBefore w:val="0"/>
              <w:widowControl/>
              <w:numPr>
                <w:ilvl w:val="0"/>
                <w:numId w:val="8"/>
              </w:numPr>
              <w:kinsoku/>
              <w:overflowPunct/>
              <w:topLinePunct w:val="0"/>
              <w:autoSpaceDE/>
              <w:autoSpaceDN/>
              <w:bidi w:val="0"/>
              <w:adjustRightInd/>
              <w:snapToGrid/>
              <w:spacing w:beforeAutospacing="0" w:afterAutospacing="0" w:line="260" w:lineRule="exact"/>
              <w:ind w:left="0" w:leftChars="0" w:right="0" w:rightChars="0" w:firstLine="260" w:firstLineChars="200"/>
              <w:textAlignment w:val="center"/>
              <w:rPr>
                <w:rFonts w:hint="eastAsia"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隐瞒真实情况、弄虚作假骗取资质证书的；</w:t>
            </w:r>
          </w:p>
          <w:p w14:paraId="606A4267">
            <w:pPr>
              <w:keepNext w:val="0"/>
              <w:keepLines w:val="0"/>
              <w:pageBreakBefore w:val="0"/>
              <w:widowControl/>
              <w:numPr>
                <w:ilvl w:val="0"/>
                <w:numId w:val="0"/>
              </w:numPr>
              <w:kinsoku/>
              <w:overflowPunct/>
              <w:topLinePunct w:val="0"/>
              <w:autoSpaceDE/>
              <w:autoSpaceDN/>
              <w:bidi w:val="0"/>
              <w:adjustRightInd/>
              <w:snapToGrid/>
              <w:spacing w:beforeAutospacing="0" w:afterAutospacing="0" w:line="260" w:lineRule="exact"/>
              <w:ind w:left="0" w:leftChars="0" w:right="0" w:rightChars="0" w:firstLine="260" w:firstLineChars="200"/>
              <w:textAlignment w:val="center"/>
              <w:rPr>
                <w:rFonts w:hint="eastAsia" w:ascii="仿宋_GB2312" w:hAnsi="宋体" w:eastAsia="仿宋_GB2312" w:cs="Times New Roman"/>
                <w:color w:val="auto"/>
                <w:kern w:val="0"/>
                <w:sz w:val="13"/>
                <w:szCs w:val="13"/>
                <w:highlight w:val="none"/>
                <w:lang w:eastAsia="zh-CN"/>
              </w:rPr>
            </w:pPr>
            <w:r>
              <w:rPr>
                <w:rFonts w:hint="eastAsia" w:ascii="仿宋_GB2312" w:hAnsi="宋体" w:eastAsia="仿宋_GB2312" w:cs="Times New Roman"/>
                <w:color w:val="auto"/>
                <w:kern w:val="0"/>
                <w:sz w:val="13"/>
                <w:szCs w:val="13"/>
                <w:highlight w:val="none"/>
              </w:rPr>
              <w:t>（二）涂改、出租、出借、转让、出卖资质证书的。</w:t>
            </w:r>
          </w:p>
        </w:tc>
        <w:tc>
          <w:tcPr>
            <w:tcW w:w="823" w:type="dxa"/>
            <w:tcBorders>
              <w:tl2br w:val="nil"/>
              <w:tr2bl w:val="nil"/>
            </w:tcBorders>
            <w:tcMar>
              <w:top w:w="15" w:type="dxa"/>
              <w:left w:w="15" w:type="dxa"/>
              <w:bottom w:w="15" w:type="dxa"/>
              <w:right w:w="15" w:type="dxa"/>
            </w:tcMar>
            <w:vAlign w:val="center"/>
          </w:tcPr>
          <w:p w14:paraId="1DCA856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s="Times New Roman"/>
                <w:color w:val="auto"/>
                <w:kern w:val="0"/>
                <w:sz w:val="13"/>
                <w:szCs w:val="13"/>
                <w:highlight w:val="none"/>
                <w:lang w:eastAsia="zh-CN"/>
              </w:rPr>
              <w:t>从轻情节</w:t>
            </w:r>
          </w:p>
        </w:tc>
        <w:tc>
          <w:tcPr>
            <w:tcW w:w="3437" w:type="dxa"/>
            <w:gridSpan w:val="2"/>
            <w:tcBorders>
              <w:tl2br w:val="nil"/>
              <w:tr2bl w:val="nil"/>
            </w:tcBorders>
            <w:tcMar>
              <w:top w:w="15" w:type="dxa"/>
              <w:left w:w="15" w:type="dxa"/>
              <w:bottom w:w="15" w:type="dxa"/>
              <w:right w:w="15" w:type="dxa"/>
            </w:tcMar>
            <w:vAlign w:val="center"/>
          </w:tcPr>
          <w:p w14:paraId="1870D85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初次违法，危害后果轻微，主动采取措施消除或减轻违法行为危害后果。</w:t>
            </w:r>
          </w:p>
        </w:tc>
        <w:tc>
          <w:tcPr>
            <w:tcW w:w="3058" w:type="dxa"/>
            <w:tcBorders>
              <w:tl2br w:val="nil"/>
              <w:tr2bl w:val="nil"/>
            </w:tcBorders>
            <w:tcMar>
              <w:top w:w="15" w:type="dxa"/>
              <w:left w:w="15" w:type="dxa"/>
              <w:bottom w:w="15" w:type="dxa"/>
              <w:right w:w="15" w:type="dxa"/>
            </w:tcMar>
            <w:vAlign w:val="center"/>
          </w:tcPr>
          <w:p w14:paraId="2E9FFD7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原资质审批部门公告资质证书作废，收回证书，并可处以1万元的罚款。</w:t>
            </w:r>
          </w:p>
        </w:tc>
      </w:tr>
      <w:tr w14:paraId="1B6640F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9" w:hRule="atLeast"/>
          <w:jc w:val="center"/>
        </w:trPr>
        <w:tc>
          <w:tcPr>
            <w:tcW w:w="443" w:type="dxa"/>
            <w:gridSpan w:val="2"/>
            <w:vMerge w:val="continue"/>
            <w:tcBorders>
              <w:tl2br w:val="nil"/>
              <w:tr2bl w:val="nil"/>
            </w:tcBorders>
            <w:vAlign w:val="center"/>
          </w:tcPr>
          <w:p w14:paraId="1A60BB1B">
            <w:pPr>
              <w:pStyle w:val="37"/>
              <w:keepNext w:val="0"/>
              <w:keepLines w:val="0"/>
              <w:pageBreakBefore w:val="0"/>
              <w:widowControl/>
              <w:numPr>
                <w:ilvl w:val="0"/>
                <w:numId w:val="4"/>
              </w:numPr>
              <w:kinsoku/>
              <w:overflowPunct/>
              <w:topLinePunct w:val="0"/>
              <w:autoSpaceDE/>
              <w:autoSpaceDN/>
              <w:bidi w:val="0"/>
              <w:adjustRightInd/>
              <w:snapToGrid/>
              <w:spacing w:beforeAutospacing="0" w:afterAutospacing="0" w:line="260" w:lineRule="exact"/>
              <w:ind w:left="638" w:leftChars="88" w:right="0" w:rightChars="0" w:hanging="453" w:hangingChars="349"/>
              <w:jc w:val="center"/>
              <w:rPr>
                <w:rFonts w:ascii="仿宋_GB2312" w:hAnsi="宋体" w:eastAsia="仿宋_GB2312"/>
                <w:color w:val="auto"/>
                <w:sz w:val="13"/>
                <w:szCs w:val="13"/>
                <w:highlight w:val="none"/>
              </w:rPr>
            </w:pPr>
          </w:p>
        </w:tc>
        <w:tc>
          <w:tcPr>
            <w:tcW w:w="1550" w:type="dxa"/>
            <w:vMerge w:val="continue"/>
            <w:tcBorders>
              <w:tl2br w:val="nil"/>
              <w:tr2bl w:val="nil"/>
            </w:tcBorders>
            <w:vAlign w:val="center"/>
          </w:tcPr>
          <w:p w14:paraId="5D4F64D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0211319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565379C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s="Times New Roman"/>
                <w:color w:val="auto"/>
                <w:kern w:val="0"/>
                <w:sz w:val="13"/>
                <w:szCs w:val="13"/>
                <w:highlight w:val="none"/>
                <w:lang w:eastAsia="zh-CN"/>
              </w:rPr>
              <w:t>一般情节</w:t>
            </w:r>
          </w:p>
        </w:tc>
        <w:tc>
          <w:tcPr>
            <w:tcW w:w="3437" w:type="dxa"/>
            <w:gridSpan w:val="2"/>
            <w:tcBorders>
              <w:tl2br w:val="nil"/>
              <w:tr2bl w:val="nil"/>
            </w:tcBorders>
            <w:tcMar>
              <w:top w:w="15" w:type="dxa"/>
              <w:left w:w="15" w:type="dxa"/>
              <w:bottom w:w="15" w:type="dxa"/>
              <w:right w:w="15" w:type="dxa"/>
            </w:tcMar>
            <w:vAlign w:val="center"/>
          </w:tcPr>
          <w:p w14:paraId="07BD13F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实施违法行为，造成不良社会影响，不具有从轻、</w:t>
            </w:r>
            <w:r>
              <w:rPr>
                <w:rFonts w:hint="eastAsia" w:ascii="仿宋_GB2312" w:hAnsi="宋体" w:eastAsia="仿宋_GB2312" w:cs="Times New Roman"/>
                <w:color w:val="auto"/>
                <w:kern w:val="0"/>
                <w:sz w:val="13"/>
                <w:szCs w:val="13"/>
                <w:highlight w:val="none"/>
                <w:lang w:eastAsia="zh-CN"/>
              </w:rPr>
              <w:t>从重情节</w:t>
            </w:r>
            <w:r>
              <w:rPr>
                <w:rFonts w:hint="eastAsia" w:ascii="仿宋_GB2312" w:hAnsi="宋体" w:eastAsia="仿宋_GB2312" w:cs="Times New Roman"/>
                <w:color w:val="auto"/>
                <w:kern w:val="0"/>
                <w:sz w:val="13"/>
                <w:szCs w:val="13"/>
                <w:highlight w:val="none"/>
              </w:rPr>
              <w:t>的。</w:t>
            </w:r>
          </w:p>
        </w:tc>
        <w:tc>
          <w:tcPr>
            <w:tcW w:w="3058" w:type="dxa"/>
            <w:tcBorders>
              <w:tl2br w:val="nil"/>
              <w:tr2bl w:val="nil"/>
            </w:tcBorders>
            <w:tcMar>
              <w:top w:w="15" w:type="dxa"/>
              <w:left w:w="15" w:type="dxa"/>
              <w:bottom w:w="15" w:type="dxa"/>
              <w:right w:w="15" w:type="dxa"/>
            </w:tcMar>
            <w:vAlign w:val="center"/>
          </w:tcPr>
          <w:p w14:paraId="6820489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原资质审批部门公告资质证书作废，收回证书，并可处以1万元以上2万元以下的罚款。</w:t>
            </w:r>
          </w:p>
        </w:tc>
      </w:tr>
      <w:tr w14:paraId="0BD1A6F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9" w:hRule="atLeast"/>
          <w:jc w:val="center"/>
        </w:trPr>
        <w:tc>
          <w:tcPr>
            <w:tcW w:w="443" w:type="dxa"/>
            <w:gridSpan w:val="2"/>
            <w:vMerge w:val="continue"/>
            <w:tcBorders>
              <w:tl2br w:val="nil"/>
              <w:tr2bl w:val="nil"/>
            </w:tcBorders>
            <w:vAlign w:val="center"/>
          </w:tcPr>
          <w:p w14:paraId="6E42D0F7">
            <w:pPr>
              <w:pStyle w:val="37"/>
              <w:keepNext w:val="0"/>
              <w:keepLines w:val="0"/>
              <w:pageBreakBefore w:val="0"/>
              <w:widowControl/>
              <w:numPr>
                <w:ilvl w:val="0"/>
                <w:numId w:val="4"/>
              </w:numPr>
              <w:kinsoku/>
              <w:overflowPunct/>
              <w:topLinePunct w:val="0"/>
              <w:autoSpaceDE/>
              <w:autoSpaceDN/>
              <w:bidi w:val="0"/>
              <w:adjustRightInd/>
              <w:snapToGrid/>
              <w:spacing w:beforeAutospacing="0" w:afterAutospacing="0" w:line="260" w:lineRule="exact"/>
              <w:ind w:left="638" w:leftChars="88" w:right="0" w:rightChars="0" w:hanging="453" w:hangingChars="349"/>
              <w:jc w:val="center"/>
              <w:rPr>
                <w:rFonts w:ascii="仿宋_GB2312" w:hAnsi="宋体" w:eastAsia="仿宋_GB2312"/>
                <w:color w:val="auto"/>
                <w:sz w:val="13"/>
                <w:szCs w:val="13"/>
                <w:highlight w:val="none"/>
              </w:rPr>
            </w:pPr>
          </w:p>
        </w:tc>
        <w:tc>
          <w:tcPr>
            <w:tcW w:w="1550" w:type="dxa"/>
            <w:vMerge w:val="continue"/>
            <w:tcBorders>
              <w:tl2br w:val="nil"/>
              <w:tr2bl w:val="nil"/>
            </w:tcBorders>
            <w:vAlign w:val="center"/>
          </w:tcPr>
          <w:p w14:paraId="122A59E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0BF1A80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4102990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s="Times New Roman"/>
                <w:color w:val="auto"/>
                <w:kern w:val="0"/>
                <w:sz w:val="13"/>
                <w:szCs w:val="13"/>
                <w:highlight w:val="none"/>
                <w:lang w:eastAsia="zh-CN"/>
              </w:rPr>
              <w:t>从重情节</w:t>
            </w:r>
          </w:p>
        </w:tc>
        <w:tc>
          <w:tcPr>
            <w:tcW w:w="3437" w:type="dxa"/>
            <w:gridSpan w:val="2"/>
            <w:tcBorders>
              <w:tl2br w:val="nil"/>
              <w:tr2bl w:val="nil"/>
            </w:tcBorders>
            <w:tcMar>
              <w:top w:w="15" w:type="dxa"/>
              <w:left w:w="15" w:type="dxa"/>
              <w:bottom w:w="15" w:type="dxa"/>
              <w:right w:w="15" w:type="dxa"/>
            </w:tcMar>
            <w:vAlign w:val="center"/>
          </w:tcPr>
          <w:p w14:paraId="7D082E4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经责令停止违法行为后，继续实施违法行为的</w:t>
            </w:r>
            <w:r>
              <w:rPr>
                <w:rFonts w:hint="eastAsia" w:ascii="仿宋_GB2312" w:hAnsi="宋体" w:eastAsia="仿宋_GB2312" w:cs="Times New Roman"/>
                <w:color w:val="auto"/>
                <w:kern w:val="0"/>
                <w:sz w:val="13"/>
                <w:szCs w:val="13"/>
                <w:highlight w:val="none"/>
                <w:lang w:eastAsia="zh-CN"/>
              </w:rPr>
              <w:t>，</w:t>
            </w:r>
            <w:r>
              <w:rPr>
                <w:rFonts w:hint="eastAsia" w:ascii="仿宋_GB2312" w:hAnsi="宋体" w:eastAsia="仿宋_GB2312" w:cs="Times New Roman"/>
                <w:color w:val="auto"/>
                <w:kern w:val="0"/>
                <w:sz w:val="13"/>
                <w:szCs w:val="13"/>
                <w:highlight w:val="none"/>
                <w:lang w:val="en-US" w:eastAsia="zh-CN"/>
              </w:rPr>
              <w:t>或</w:t>
            </w:r>
            <w:r>
              <w:rPr>
                <w:rFonts w:hint="eastAsia" w:ascii="仿宋_GB2312" w:hAnsi="宋体" w:eastAsia="仿宋_GB2312" w:cs="Times New Roman"/>
                <w:color w:val="auto"/>
                <w:kern w:val="0"/>
                <w:sz w:val="13"/>
                <w:szCs w:val="13"/>
                <w:highlight w:val="none"/>
              </w:rPr>
              <w:t>2年内2次及以上同类型违法。</w:t>
            </w:r>
          </w:p>
        </w:tc>
        <w:tc>
          <w:tcPr>
            <w:tcW w:w="3058" w:type="dxa"/>
            <w:tcBorders>
              <w:tl2br w:val="nil"/>
              <w:tr2bl w:val="nil"/>
            </w:tcBorders>
            <w:tcMar>
              <w:top w:w="15" w:type="dxa"/>
              <w:left w:w="15" w:type="dxa"/>
              <w:bottom w:w="15" w:type="dxa"/>
              <w:right w:w="15" w:type="dxa"/>
            </w:tcMar>
            <w:vAlign w:val="center"/>
          </w:tcPr>
          <w:p w14:paraId="5FCFFC3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原资质审批部门公告资质证书作废，收回证书，并可处以2万元以上3万元以下的罚款。</w:t>
            </w:r>
          </w:p>
        </w:tc>
      </w:tr>
      <w:tr w14:paraId="1EFFC36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662" w:hRule="atLeast"/>
          <w:jc w:val="center"/>
        </w:trPr>
        <w:tc>
          <w:tcPr>
            <w:tcW w:w="443" w:type="dxa"/>
            <w:gridSpan w:val="2"/>
            <w:vMerge w:val="restart"/>
            <w:tcBorders>
              <w:tl2br w:val="nil"/>
              <w:tr2bl w:val="nil"/>
            </w:tcBorders>
            <w:vAlign w:val="center"/>
          </w:tcPr>
          <w:p w14:paraId="21EBC9D3">
            <w:pPr>
              <w:keepNext w:val="0"/>
              <w:keepLines w:val="0"/>
              <w:pageBreakBefore w:val="0"/>
              <w:widowControl/>
              <w:numPr>
                <w:ilvl w:val="0"/>
                <w:numId w:val="6"/>
              </w:numPr>
              <w:suppressLineNumbers w:val="0"/>
              <w:tabs>
                <w:tab w:val="clear" w:pos="397"/>
              </w:tabs>
              <w:kinsoku/>
              <w:overflowPunct/>
              <w:topLinePunct w:val="0"/>
              <w:autoSpaceDE/>
              <w:autoSpaceDN/>
              <w:bidi w:val="0"/>
              <w:adjustRightInd/>
              <w:snapToGrid/>
              <w:spacing w:beforeAutospacing="0" w:afterAutospacing="0" w:line="260" w:lineRule="exact"/>
              <w:ind w:left="638" w:leftChars="88" w:right="0" w:rightChars="0" w:hanging="453" w:hangingChars="349"/>
              <w:jc w:val="center"/>
              <w:textAlignment w:val="center"/>
              <w:rPr>
                <w:rFonts w:hint="default" w:ascii="仿宋_GB2312" w:hAnsi="宋体" w:eastAsia="仿宋_GB2312"/>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265</w:t>
            </w:r>
          </w:p>
        </w:tc>
        <w:tc>
          <w:tcPr>
            <w:tcW w:w="1550" w:type="dxa"/>
            <w:vMerge w:val="restart"/>
            <w:tcBorders>
              <w:tl2br w:val="nil"/>
              <w:tr2bl w:val="nil"/>
            </w:tcBorders>
            <w:vAlign w:val="center"/>
          </w:tcPr>
          <w:p w14:paraId="5611238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olor w:val="auto"/>
                <w:kern w:val="0"/>
                <w:sz w:val="13"/>
                <w:szCs w:val="13"/>
                <w:highlight w:val="none"/>
              </w:rPr>
            </w:pPr>
            <w:r>
              <w:rPr>
                <w:rFonts w:ascii="仿宋_GB2312" w:hAnsi="宋体" w:eastAsia="仿宋_GB2312" w:cs="Times New Roman"/>
                <w:color w:val="auto"/>
                <w:kern w:val="0"/>
                <w:sz w:val="13"/>
                <w:szCs w:val="13"/>
                <w:highlight w:val="none"/>
              </w:rPr>
              <w:t>未取得资质等级证书或者超越资质等级从事房地产开发经营的</w:t>
            </w:r>
          </w:p>
        </w:tc>
        <w:tc>
          <w:tcPr>
            <w:tcW w:w="4820" w:type="dxa"/>
            <w:vMerge w:val="restart"/>
            <w:tcBorders>
              <w:tl2br w:val="nil"/>
              <w:tr2bl w:val="nil"/>
            </w:tcBorders>
            <w:vAlign w:val="center"/>
          </w:tcPr>
          <w:p w14:paraId="3F77D00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《城市房地产开发经营管理条例》</w:t>
            </w:r>
            <w:r>
              <w:rPr>
                <w:rFonts w:ascii="仿宋_GB2312" w:hAnsi="宋体" w:eastAsia="仿宋_GB2312" w:cs="Times New Roman"/>
                <w:b/>
                <w:bCs/>
                <w:color w:val="auto"/>
                <w:kern w:val="0"/>
                <w:sz w:val="13"/>
                <w:szCs w:val="13"/>
                <w:highlight w:val="none"/>
              </w:rPr>
              <w:t>第三十四条</w:t>
            </w:r>
            <w:r>
              <w:rPr>
                <w:rFonts w:hint="eastAsia" w:ascii="仿宋_GB2312" w:hAnsi="宋体" w:eastAsia="仿宋_GB2312" w:cs="Times New Roman"/>
                <w:b/>
                <w:bCs/>
                <w:color w:val="auto"/>
                <w:kern w:val="0"/>
                <w:sz w:val="13"/>
                <w:szCs w:val="13"/>
                <w:highlight w:val="none"/>
                <w:lang w:eastAsia="zh-CN"/>
              </w:rPr>
              <w:t>：</w:t>
            </w:r>
            <w:r>
              <w:rPr>
                <w:rFonts w:hint="eastAsia" w:ascii="仿宋_GB2312" w:hAnsi="宋体" w:eastAsia="仿宋_GB2312" w:cs="Times New Roman"/>
                <w:b w:val="0"/>
                <w:bCs w:val="0"/>
                <w:color w:val="auto"/>
                <w:kern w:val="0"/>
                <w:sz w:val="13"/>
                <w:szCs w:val="13"/>
                <w:highlight w:val="none"/>
                <w:lang w:eastAsia="zh-CN"/>
              </w:rPr>
              <w:t>违反本条例规定，</w:t>
            </w:r>
            <w:r>
              <w:rPr>
                <w:rFonts w:ascii="仿宋_GB2312" w:hAnsi="宋体" w:eastAsia="仿宋_GB2312" w:cs="Times New Roman"/>
                <w:color w:val="auto"/>
                <w:kern w:val="0"/>
                <w:sz w:val="13"/>
                <w:szCs w:val="13"/>
                <w:highlight w:val="none"/>
              </w:rPr>
              <w:t>未取得资质等级证书或者超越资质等级从事房地产开发经营的，由县级以上人民政府房地产开发主管部门责令限期改正，处5万元以上10万元以下的罚款；</w:t>
            </w:r>
            <w:r>
              <w:rPr>
                <w:rFonts w:hint="eastAsia" w:ascii="仿宋_GB2312" w:hAnsi="宋体" w:eastAsia="仿宋_GB2312" w:cs="Times New Roman"/>
                <w:color w:val="auto"/>
                <w:kern w:val="0"/>
                <w:sz w:val="13"/>
                <w:szCs w:val="13"/>
                <w:highlight w:val="none"/>
              </w:rPr>
              <w:t>逾期不改正的，由工商行政管理部门</w:t>
            </w:r>
            <w:r>
              <w:rPr>
                <w:color w:val="auto"/>
                <w:sz w:val="13"/>
                <w:szCs w:val="13"/>
                <w:highlight w:val="none"/>
              </w:rPr>
              <w:fldChar w:fldCharType="begin"/>
            </w:r>
            <w:r>
              <w:rPr>
                <w:color w:val="auto"/>
                <w:sz w:val="13"/>
                <w:szCs w:val="13"/>
                <w:highlight w:val="none"/>
              </w:rPr>
              <w:instrText xml:space="preserve"> HYPERLINK "https://baike.baidu.com/item/%E5%90%8A%E9%94%80%E8%90%A5%E4%B8%9A%E6%89%A7%E7%85%A7" \t "https://baike.baidu.com/item/_blank" </w:instrText>
            </w:r>
            <w:r>
              <w:rPr>
                <w:color w:val="auto"/>
                <w:sz w:val="13"/>
                <w:szCs w:val="13"/>
                <w:highlight w:val="none"/>
              </w:rPr>
              <w:fldChar w:fldCharType="separate"/>
            </w:r>
            <w:r>
              <w:rPr>
                <w:rFonts w:ascii="仿宋_GB2312" w:hAnsi="宋体" w:eastAsia="仿宋_GB2312" w:cs="Times New Roman"/>
                <w:color w:val="auto"/>
                <w:kern w:val="0"/>
                <w:sz w:val="13"/>
                <w:szCs w:val="13"/>
                <w:highlight w:val="none"/>
              </w:rPr>
              <w:t>吊销营业执照</w:t>
            </w:r>
            <w:r>
              <w:rPr>
                <w:rFonts w:ascii="仿宋_GB2312" w:hAnsi="宋体" w:eastAsia="仿宋_GB2312" w:cs="Times New Roman"/>
                <w:color w:val="auto"/>
                <w:kern w:val="0"/>
                <w:sz w:val="13"/>
                <w:szCs w:val="13"/>
                <w:highlight w:val="none"/>
              </w:rPr>
              <w:fldChar w:fldCharType="end"/>
            </w:r>
            <w:r>
              <w:rPr>
                <w:rFonts w:ascii="仿宋_GB2312" w:hAnsi="宋体" w:eastAsia="仿宋_GB2312" w:cs="Times New Roman"/>
                <w:color w:val="auto"/>
                <w:kern w:val="0"/>
                <w:sz w:val="13"/>
                <w:szCs w:val="13"/>
                <w:highlight w:val="none"/>
              </w:rPr>
              <w:t>。</w:t>
            </w:r>
          </w:p>
          <w:p w14:paraId="2C4DAEA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w:t>
            </w:r>
            <w:r>
              <w:rPr>
                <w:rFonts w:ascii="仿宋_GB2312" w:hAnsi="宋体" w:eastAsia="仿宋_GB2312" w:cs="Times New Roman"/>
                <w:color w:val="auto"/>
                <w:kern w:val="0"/>
                <w:sz w:val="13"/>
                <w:szCs w:val="13"/>
                <w:highlight w:val="none"/>
              </w:rPr>
              <w:t>房地产开发企业资质管理规定</w:t>
            </w:r>
            <w:r>
              <w:rPr>
                <w:rFonts w:hint="eastAsia" w:ascii="仿宋_GB2312" w:hAnsi="宋体" w:eastAsia="仿宋_GB2312" w:cs="Times New Roman"/>
                <w:color w:val="auto"/>
                <w:kern w:val="0"/>
                <w:sz w:val="13"/>
                <w:szCs w:val="13"/>
                <w:highlight w:val="none"/>
              </w:rPr>
              <w:t>》</w:t>
            </w:r>
            <w:r>
              <w:rPr>
                <w:rFonts w:hint="eastAsia" w:ascii="仿宋_GB2312" w:hAnsi="宋体" w:eastAsia="仿宋_GB2312" w:cs="Times New Roman"/>
                <w:b/>
                <w:bCs/>
                <w:color w:val="auto"/>
                <w:kern w:val="0"/>
                <w:sz w:val="13"/>
                <w:szCs w:val="13"/>
                <w:highlight w:val="none"/>
              </w:rPr>
              <w:t>第</w:t>
            </w:r>
            <w:r>
              <w:rPr>
                <w:rFonts w:hint="eastAsia" w:ascii="仿宋_GB2312" w:hAnsi="宋体" w:eastAsia="仿宋_GB2312" w:cs="Times New Roman"/>
                <w:b/>
                <w:bCs/>
                <w:color w:val="auto"/>
                <w:kern w:val="0"/>
                <w:sz w:val="13"/>
                <w:szCs w:val="13"/>
                <w:highlight w:val="none"/>
                <w:lang w:val="en-US" w:eastAsia="zh-CN"/>
              </w:rPr>
              <w:t>十六</w:t>
            </w:r>
            <w:r>
              <w:rPr>
                <w:rFonts w:hint="eastAsia" w:ascii="仿宋_GB2312" w:hAnsi="宋体" w:eastAsia="仿宋_GB2312" w:cs="Times New Roman"/>
                <w:b/>
                <w:bCs/>
                <w:color w:val="auto"/>
                <w:kern w:val="0"/>
                <w:sz w:val="13"/>
                <w:szCs w:val="13"/>
                <w:highlight w:val="none"/>
              </w:rPr>
              <w:t>条</w:t>
            </w:r>
            <w:r>
              <w:rPr>
                <w:rFonts w:hint="eastAsia" w:ascii="仿宋_GB2312" w:hAnsi="宋体" w:eastAsia="仿宋_GB2312" w:cs="Times New Roman"/>
                <w:b/>
                <w:bCs/>
                <w:color w:val="auto"/>
                <w:kern w:val="0"/>
                <w:sz w:val="13"/>
                <w:szCs w:val="13"/>
                <w:highlight w:val="none"/>
                <w:lang w:eastAsia="zh-CN"/>
              </w:rPr>
              <w:t>：</w:t>
            </w:r>
            <w:r>
              <w:rPr>
                <w:rFonts w:hint="eastAsia" w:ascii="仿宋_GB2312" w:hAnsi="宋体" w:eastAsia="仿宋_GB2312" w:cs="Times New Roman"/>
                <w:color w:val="auto"/>
                <w:kern w:val="0"/>
                <w:sz w:val="13"/>
                <w:szCs w:val="13"/>
                <w:highlight w:val="none"/>
              </w:rPr>
              <w:t>企业未取得资质证书从事房地产开发经营的，由县级以上地方人民政府房地产开发主管部门责令限期改正，处5万元以上10万元以下的罚款；逾期不改正的，由房地产开发主管部门提请工商行政管理部门吊销营业执照。</w:t>
            </w:r>
          </w:p>
          <w:p w14:paraId="78FF64E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w:t>
            </w:r>
            <w:r>
              <w:rPr>
                <w:rFonts w:ascii="仿宋_GB2312" w:hAnsi="宋体" w:eastAsia="仿宋_GB2312" w:cs="Times New Roman"/>
                <w:color w:val="auto"/>
                <w:kern w:val="0"/>
                <w:sz w:val="13"/>
                <w:szCs w:val="13"/>
                <w:highlight w:val="none"/>
              </w:rPr>
              <w:t>房地产开发企业资质管理规定</w:t>
            </w:r>
            <w:r>
              <w:rPr>
                <w:rFonts w:hint="eastAsia" w:ascii="仿宋_GB2312" w:hAnsi="宋体" w:eastAsia="仿宋_GB2312" w:cs="Times New Roman"/>
                <w:color w:val="auto"/>
                <w:kern w:val="0"/>
                <w:sz w:val="13"/>
                <w:szCs w:val="13"/>
                <w:highlight w:val="none"/>
              </w:rPr>
              <w:t>》</w:t>
            </w:r>
            <w:r>
              <w:rPr>
                <w:rFonts w:hint="eastAsia" w:ascii="仿宋_GB2312" w:hAnsi="宋体" w:eastAsia="仿宋_GB2312" w:cs="Times New Roman"/>
                <w:b/>
                <w:bCs/>
                <w:color w:val="auto"/>
                <w:kern w:val="0"/>
                <w:sz w:val="13"/>
                <w:szCs w:val="13"/>
                <w:highlight w:val="none"/>
              </w:rPr>
              <w:t>第</w:t>
            </w:r>
            <w:r>
              <w:rPr>
                <w:rFonts w:hint="eastAsia" w:ascii="仿宋_GB2312" w:hAnsi="宋体" w:eastAsia="仿宋_GB2312" w:cs="Times New Roman"/>
                <w:b/>
                <w:bCs/>
                <w:color w:val="auto"/>
                <w:kern w:val="0"/>
                <w:sz w:val="13"/>
                <w:szCs w:val="13"/>
                <w:highlight w:val="none"/>
                <w:lang w:val="en-US" w:eastAsia="zh-CN"/>
              </w:rPr>
              <w:t>十七</w:t>
            </w:r>
            <w:r>
              <w:rPr>
                <w:rFonts w:hint="eastAsia" w:ascii="仿宋_GB2312" w:hAnsi="宋体" w:eastAsia="仿宋_GB2312" w:cs="Times New Roman"/>
                <w:b/>
                <w:bCs/>
                <w:color w:val="auto"/>
                <w:kern w:val="0"/>
                <w:sz w:val="13"/>
                <w:szCs w:val="13"/>
                <w:highlight w:val="none"/>
              </w:rPr>
              <w:t>条</w:t>
            </w:r>
            <w:r>
              <w:rPr>
                <w:rFonts w:hint="eastAsia" w:ascii="仿宋_GB2312" w:hAnsi="宋体" w:eastAsia="仿宋_GB2312" w:cs="Times New Roman"/>
                <w:b/>
                <w:bCs/>
                <w:color w:val="auto"/>
                <w:kern w:val="0"/>
                <w:sz w:val="13"/>
                <w:szCs w:val="13"/>
                <w:highlight w:val="none"/>
                <w:lang w:eastAsia="zh-CN"/>
              </w:rPr>
              <w:t>：</w:t>
            </w:r>
            <w:r>
              <w:rPr>
                <w:rFonts w:hint="eastAsia" w:ascii="仿宋_GB2312" w:hAnsi="宋体" w:eastAsia="仿宋_GB2312" w:cs="Times New Roman"/>
                <w:color w:val="auto"/>
                <w:kern w:val="0"/>
                <w:sz w:val="13"/>
                <w:szCs w:val="13"/>
                <w:highlight w:val="none"/>
              </w:rPr>
              <w:t>企业超越资质等级从事房地产开发经营的，由县级以上地方人民政府房地产开发主管部门责令限期改正，处5万元以上10万元以下的罚款；逾期不改正的，由原资质审批部门提请市场监督管理部门吊销营业执照，并依法注销资质证书。</w:t>
            </w:r>
          </w:p>
        </w:tc>
        <w:tc>
          <w:tcPr>
            <w:tcW w:w="823" w:type="dxa"/>
            <w:tcBorders>
              <w:tl2br w:val="nil"/>
              <w:tr2bl w:val="nil"/>
            </w:tcBorders>
            <w:tcMar>
              <w:top w:w="15" w:type="dxa"/>
              <w:left w:w="15" w:type="dxa"/>
              <w:bottom w:w="15" w:type="dxa"/>
              <w:right w:w="15" w:type="dxa"/>
            </w:tcMar>
            <w:vAlign w:val="center"/>
          </w:tcPr>
          <w:p w14:paraId="2EF8A4F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s="Times New Roman"/>
                <w:color w:val="auto"/>
                <w:kern w:val="0"/>
                <w:sz w:val="13"/>
                <w:szCs w:val="13"/>
                <w:highlight w:val="none"/>
                <w:lang w:eastAsia="zh-CN"/>
              </w:rPr>
              <w:t>从轻情节</w:t>
            </w:r>
          </w:p>
        </w:tc>
        <w:tc>
          <w:tcPr>
            <w:tcW w:w="3437" w:type="dxa"/>
            <w:gridSpan w:val="2"/>
            <w:tcBorders>
              <w:tl2br w:val="nil"/>
              <w:tr2bl w:val="nil"/>
            </w:tcBorders>
            <w:tcMar>
              <w:top w:w="15" w:type="dxa"/>
              <w:left w:w="15" w:type="dxa"/>
              <w:bottom w:w="15" w:type="dxa"/>
              <w:right w:w="15" w:type="dxa"/>
            </w:tcMar>
            <w:vAlign w:val="center"/>
          </w:tcPr>
          <w:p w14:paraId="04F9376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初次违法，危害后果轻微，主动采取措施消除或减轻违法行为危害后果。</w:t>
            </w:r>
          </w:p>
        </w:tc>
        <w:tc>
          <w:tcPr>
            <w:tcW w:w="3058" w:type="dxa"/>
            <w:tcBorders>
              <w:tl2br w:val="nil"/>
              <w:tr2bl w:val="nil"/>
            </w:tcBorders>
            <w:tcMar>
              <w:top w:w="15" w:type="dxa"/>
              <w:left w:w="15" w:type="dxa"/>
              <w:bottom w:w="15" w:type="dxa"/>
              <w:right w:w="15" w:type="dxa"/>
            </w:tcMar>
            <w:vAlign w:val="center"/>
          </w:tcPr>
          <w:p w14:paraId="38F7A20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责令限期改正，处5万元以上6万元以下的罚款。</w:t>
            </w:r>
          </w:p>
        </w:tc>
      </w:tr>
      <w:tr w14:paraId="2548A93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821" w:hRule="atLeast"/>
          <w:jc w:val="center"/>
        </w:trPr>
        <w:tc>
          <w:tcPr>
            <w:tcW w:w="443" w:type="dxa"/>
            <w:gridSpan w:val="2"/>
            <w:vMerge w:val="continue"/>
            <w:tcBorders>
              <w:tl2br w:val="nil"/>
              <w:tr2bl w:val="nil"/>
            </w:tcBorders>
            <w:vAlign w:val="center"/>
          </w:tcPr>
          <w:p w14:paraId="4D9BAED1">
            <w:pPr>
              <w:pStyle w:val="37"/>
              <w:keepNext w:val="0"/>
              <w:keepLines w:val="0"/>
              <w:pageBreakBefore w:val="0"/>
              <w:widowControl/>
              <w:numPr>
                <w:ilvl w:val="0"/>
                <w:numId w:val="4"/>
              </w:numPr>
              <w:kinsoku/>
              <w:overflowPunct/>
              <w:topLinePunct w:val="0"/>
              <w:autoSpaceDE/>
              <w:autoSpaceDN/>
              <w:bidi w:val="0"/>
              <w:adjustRightInd/>
              <w:snapToGrid/>
              <w:spacing w:beforeAutospacing="0" w:afterAutospacing="0" w:line="260" w:lineRule="exact"/>
              <w:ind w:left="638" w:leftChars="88" w:right="0" w:rightChars="0" w:hanging="453" w:hangingChars="349"/>
              <w:jc w:val="center"/>
              <w:textAlignment w:val="center"/>
              <w:rPr>
                <w:color w:val="auto"/>
                <w:sz w:val="13"/>
                <w:szCs w:val="13"/>
                <w:highlight w:val="none"/>
              </w:rPr>
            </w:pPr>
          </w:p>
        </w:tc>
        <w:tc>
          <w:tcPr>
            <w:tcW w:w="1550" w:type="dxa"/>
            <w:vMerge w:val="continue"/>
            <w:tcBorders>
              <w:tl2br w:val="nil"/>
              <w:tr2bl w:val="nil"/>
            </w:tcBorders>
            <w:vAlign w:val="center"/>
          </w:tcPr>
          <w:p w14:paraId="34F56B2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3BD2A84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33BE496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s="Times New Roman"/>
                <w:color w:val="auto"/>
                <w:kern w:val="0"/>
                <w:sz w:val="13"/>
                <w:szCs w:val="13"/>
                <w:highlight w:val="none"/>
                <w:lang w:eastAsia="zh-CN"/>
              </w:rPr>
              <w:t>一般情节</w:t>
            </w:r>
          </w:p>
        </w:tc>
        <w:tc>
          <w:tcPr>
            <w:tcW w:w="3437" w:type="dxa"/>
            <w:gridSpan w:val="2"/>
            <w:tcBorders>
              <w:tl2br w:val="nil"/>
              <w:tr2bl w:val="nil"/>
            </w:tcBorders>
            <w:tcMar>
              <w:top w:w="15" w:type="dxa"/>
              <w:left w:w="15" w:type="dxa"/>
              <w:bottom w:w="15" w:type="dxa"/>
              <w:right w:w="15" w:type="dxa"/>
            </w:tcMar>
            <w:vAlign w:val="center"/>
          </w:tcPr>
          <w:p w14:paraId="0D299AC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实施违法行为，造成不良社会影响，不具有从轻、</w:t>
            </w:r>
            <w:r>
              <w:rPr>
                <w:rFonts w:hint="eastAsia" w:ascii="仿宋_GB2312" w:hAnsi="宋体" w:eastAsia="仿宋_GB2312" w:cs="Times New Roman"/>
                <w:color w:val="auto"/>
                <w:kern w:val="0"/>
                <w:sz w:val="13"/>
                <w:szCs w:val="13"/>
                <w:highlight w:val="none"/>
                <w:lang w:eastAsia="zh-CN"/>
              </w:rPr>
              <w:t>从重情节</w:t>
            </w:r>
            <w:r>
              <w:rPr>
                <w:rFonts w:hint="eastAsia" w:ascii="仿宋_GB2312" w:hAnsi="宋体" w:eastAsia="仿宋_GB2312" w:cs="Times New Roman"/>
                <w:color w:val="auto"/>
                <w:kern w:val="0"/>
                <w:sz w:val="13"/>
                <w:szCs w:val="13"/>
                <w:highlight w:val="none"/>
              </w:rPr>
              <w:t>的。</w:t>
            </w:r>
          </w:p>
        </w:tc>
        <w:tc>
          <w:tcPr>
            <w:tcW w:w="3058" w:type="dxa"/>
            <w:tcBorders>
              <w:tl2br w:val="nil"/>
              <w:tr2bl w:val="nil"/>
            </w:tcBorders>
            <w:tcMar>
              <w:top w:w="15" w:type="dxa"/>
              <w:left w:w="15" w:type="dxa"/>
              <w:bottom w:w="15" w:type="dxa"/>
              <w:right w:w="15" w:type="dxa"/>
            </w:tcMar>
            <w:vAlign w:val="center"/>
          </w:tcPr>
          <w:p w14:paraId="23F0868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责令限期改正，处6万元以上7万元以下的罚款。</w:t>
            </w:r>
          </w:p>
        </w:tc>
      </w:tr>
      <w:tr w14:paraId="12E7D51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822" w:hRule="atLeast"/>
          <w:jc w:val="center"/>
        </w:trPr>
        <w:tc>
          <w:tcPr>
            <w:tcW w:w="443" w:type="dxa"/>
            <w:gridSpan w:val="2"/>
            <w:vMerge w:val="continue"/>
            <w:tcBorders>
              <w:tl2br w:val="nil"/>
              <w:tr2bl w:val="nil"/>
            </w:tcBorders>
            <w:vAlign w:val="center"/>
          </w:tcPr>
          <w:p w14:paraId="4349458E">
            <w:pPr>
              <w:pStyle w:val="37"/>
              <w:keepNext w:val="0"/>
              <w:keepLines w:val="0"/>
              <w:pageBreakBefore w:val="0"/>
              <w:widowControl/>
              <w:numPr>
                <w:ilvl w:val="0"/>
                <w:numId w:val="4"/>
              </w:numPr>
              <w:kinsoku/>
              <w:overflowPunct/>
              <w:topLinePunct w:val="0"/>
              <w:autoSpaceDE/>
              <w:autoSpaceDN/>
              <w:bidi w:val="0"/>
              <w:adjustRightInd/>
              <w:snapToGrid/>
              <w:spacing w:beforeAutospacing="0" w:afterAutospacing="0" w:line="260" w:lineRule="exact"/>
              <w:ind w:left="638" w:leftChars="88" w:right="0" w:rightChars="0" w:hanging="453" w:hangingChars="349"/>
              <w:jc w:val="center"/>
              <w:textAlignment w:val="center"/>
              <w:rPr>
                <w:rFonts w:ascii="仿宋_GB2312" w:hAnsi="宋体" w:eastAsia="仿宋_GB2312"/>
                <w:color w:val="auto"/>
                <w:kern w:val="0"/>
                <w:sz w:val="13"/>
                <w:szCs w:val="13"/>
                <w:highlight w:val="none"/>
              </w:rPr>
            </w:pPr>
          </w:p>
        </w:tc>
        <w:tc>
          <w:tcPr>
            <w:tcW w:w="1550" w:type="dxa"/>
            <w:vMerge w:val="continue"/>
            <w:tcBorders>
              <w:tl2br w:val="nil"/>
              <w:tr2bl w:val="nil"/>
            </w:tcBorders>
            <w:vAlign w:val="center"/>
          </w:tcPr>
          <w:p w14:paraId="08905AF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7B06CA7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olor w:val="auto"/>
                <w:kern w:val="0"/>
                <w:sz w:val="13"/>
                <w:szCs w:val="13"/>
                <w:highlight w:val="none"/>
              </w:rPr>
            </w:pPr>
          </w:p>
        </w:tc>
        <w:tc>
          <w:tcPr>
            <w:tcW w:w="823" w:type="dxa"/>
            <w:tcBorders>
              <w:tl2br w:val="nil"/>
              <w:tr2bl w:val="nil"/>
            </w:tcBorders>
            <w:tcMar>
              <w:top w:w="15" w:type="dxa"/>
              <w:left w:w="15" w:type="dxa"/>
              <w:bottom w:w="15" w:type="dxa"/>
              <w:right w:w="15" w:type="dxa"/>
            </w:tcMar>
            <w:vAlign w:val="center"/>
          </w:tcPr>
          <w:p w14:paraId="1E78ED7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s="Times New Roman"/>
                <w:color w:val="auto"/>
                <w:kern w:val="0"/>
                <w:sz w:val="13"/>
                <w:szCs w:val="13"/>
                <w:highlight w:val="none"/>
                <w:lang w:eastAsia="zh-CN"/>
              </w:rPr>
              <w:t>从重情节</w:t>
            </w:r>
          </w:p>
        </w:tc>
        <w:tc>
          <w:tcPr>
            <w:tcW w:w="3437" w:type="dxa"/>
            <w:gridSpan w:val="2"/>
            <w:tcBorders>
              <w:tl2br w:val="nil"/>
              <w:tr2bl w:val="nil"/>
            </w:tcBorders>
            <w:tcMar>
              <w:top w:w="15" w:type="dxa"/>
              <w:left w:w="15" w:type="dxa"/>
              <w:bottom w:w="15" w:type="dxa"/>
              <w:right w:w="15" w:type="dxa"/>
            </w:tcMar>
            <w:vAlign w:val="center"/>
          </w:tcPr>
          <w:p w14:paraId="0C725D6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经责令停止违法行为后，继续实施违法行为的</w:t>
            </w:r>
            <w:r>
              <w:rPr>
                <w:rFonts w:hint="eastAsia" w:ascii="仿宋_GB2312" w:hAnsi="宋体" w:eastAsia="仿宋_GB2312" w:cs="Times New Roman"/>
                <w:color w:val="auto"/>
                <w:kern w:val="0"/>
                <w:sz w:val="13"/>
                <w:szCs w:val="13"/>
                <w:highlight w:val="none"/>
                <w:lang w:eastAsia="zh-CN"/>
              </w:rPr>
              <w:t>，</w:t>
            </w:r>
            <w:r>
              <w:rPr>
                <w:rFonts w:hint="eastAsia" w:ascii="仿宋_GB2312" w:hAnsi="宋体" w:eastAsia="仿宋_GB2312" w:cs="Times New Roman"/>
                <w:color w:val="auto"/>
                <w:kern w:val="0"/>
                <w:sz w:val="13"/>
                <w:szCs w:val="13"/>
                <w:highlight w:val="none"/>
                <w:lang w:val="en-US" w:eastAsia="zh-CN"/>
              </w:rPr>
              <w:t>或</w:t>
            </w:r>
            <w:r>
              <w:rPr>
                <w:rFonts w:hint="eastAsia" w:ascii="仿宋_GB2312" w:hAnsi="宋体" w:eastAsia="仿宋_GB2312" w:cs="Times New Roman"/>
                <w:color w:val="auto"/>
                <w:kern w:val="0"/>
                <w:sz w:val="13"/>
                <w:szCs w:val="13"/>
                <w:highlight w:val="none"/>
              </w:rPr>
              <w:t>2年内2次及以上同类型违法。</w:t>
            </w:r>
          </w:p>
        </w:tc>
        <w:tc>
          <w:tcPr>
            <w:tcW w:w="3058" w:type="dxa"/>
            <w:tcBorders>
              <w:tl2br w:val="nil"/>
              <w:tr2bl w:val="nil"/>
            </w:tcBorders>
            <w:tcMar>
              <w:top w:w="15" w:type="dxa"/>
              <w:left w:w="15" w:type="dxa"/>
              <w:bottom w:w="15" w:type="dxa"/>
              <w:right w:w="15" w:type="dxa"/>
            </w:tcMar>
            <w:vAlign w:val="center"/>
          </w:tcPr>
          <w:p w14:paraId="365A5B4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责令限期改正，处7万元以上10万元以下的罚款。</w:t>
            </w:r>
          </w:p>
          <w:p w14:paraId="1B3414B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p>
        </w:tc>
      </w:tr>
      <w:tr w14:paraId="1CD39EC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9" w:hRule="atLeast"/>
          <w:jc w:val="center"/>
        </w:trPr>
        <w:tc>
          <w:tcPr>
            <w:tcW w:w="443" w:type="dxa"/>
            <w:gridSpan w:val="2"/>
            <w:vMerge w:val="restart"/>
            <w:tcBorders>
              <w:tl2br w:val="nil"/>
              <w:tr2bl w:val="nil"/>
            </w:tcBorders>
            <w:vAlign w:val="center"/>
          </w:tcPr>
          <w:p w14:paraId="036E8EC6">
            <w:pPr>
              <w:keepNext w:val="0"/>
              <w:keepLines w:val="0"/>
              <w:pageBreakBefore w:val="0"/>
              <w:widowControl/>
              <w:numPr>
                <w:ilvl w:val="0"/>
                <w:numId w:val="6"/>
              </w:numPr>
              <w:suppressLineNumbers w:val="0"/>
              <w:tabs>
                <w:tab w:val="clear" w:pos="397"/>
              </w:tabs>
              <w:kinsoku/>
              <w:overflowPunct/>
              <w:topLinePunct w:val="0"/>
              <w:autoSpaceDE/>
              <w:autoSpaceDN/>
              <w:bidi w:val="0"/>
              <w:adjustRightInd/>
              <w:snapToGrid/>
              <w:spacing w:beforeAutospacing="0" w:afterAutospacing="0" w:line="260" w:lineRule="exact"/>
              <w:ind w:left="638" w:leftChars="88" w:right="0" w:rightChars="0" w:hanging="453" w:hangingChars="349"/>
              <w:jc w:val="center"/>
              <w:textAlignment w:val="center"/>
              <w:rPr>
                <w:rFonts w:hint="default" w:ascii="仿宋_GB2312" w:hAnsi="宋体" w:eastAsia="仿宋_GB2312"/>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266</w:t>
            </w:r>
          </w:p>
        </w:tc>
        <w:tc>
          <w:tcPr>
            <w:tcW w:w="1550" w:type="dxa"/>
            <w:vMerge w:val="restart"/>
            <w:tcBorders>
              <w:tl2br w:val="nil"/>
              <w:tr2bl w:val="nil"/>
            </w:tcBorders>
            <w:vAlign w:val="center"/>
          </w:tcPr>
          <w:p w14:paraId="35EEA71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擅自预售商品房的</w:t>
            </w:r>
          </w:p>
        </w:tc>
        <w:tc>
          <w:tcPr>
            <w:tcW w:w="4820" w:type="dxa"/>
            <w:vMerge w:val="restart"/>
            <w:tcBorders>
              <w:tl2br w:val="nil"/>
              <w:tr2bl w:val="nil"/>
            </w:tcBorders>
            <w:vAlign w:val="center"/>
          </w:tcPr>
          <w:p w14:paraId="1F1345B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Times New Roman"/>
                <w:b/>
                <w:bCs/>
                <w:color w:val="auto"/>
                <w:kern w:val="0"/>
                <w:sz w:val="13"/>
                <w:szCs w:val="13"/>
                <w:highlight w:val="none"/>
              </w:rPr>
            </w:pPr>
            <w:r>
              <w:rPr>
                <w:rFonts w:hint="eastAsia" w:ascii="仿宋_GB2312" w:hAnsi="宋体" w:eastAsia="仿宋_GB2312" w:cs="Times New Roman"/>
                <w:color w:val="auto"/>
                <w:kern w:val="0"/>
                <w:sz w:val="13"/>
                <w:szCs w:val="13"/>
                <w:highlight w:val="none"/>
              </w:rPr>
              <w:t>《城市房地产开发经营管理条例》</w:t>
            </w:r>
            <w:r>
              <w:rPr>
                <w:rFonts w:ascii="仿宋_GB2312" w:hAnsi="宋体" w:eastAsia="仿宋_GB2312" w:cs="Times New Roman"/>
                <w:b/>
                <w:bCs/>
                <w:color w:val="auto"/>
                <w:kern w:val="0"/>
                <w:sz w:val="13"/>
                <w:szCs w:val="13"/>
                <w:highlight w:val="none"/>
              </w:rPr>
              <w:t>第三十六条</w:t>
            </w:r>
            <w:r>
              <w:rPr>
                <w:rFonts w:hint="eastAsia" w:ascii="仿宋_GB2312" w:hAnsi="宋体" w:eastAsia="仿宋_GB2312" w:cs="Times New Roman"/>
                <w:b/>
                <w:bCs/>
                <w:color w:val="auto"/>
                <w:kern w:val="0"/>
                <w:sz w:val="13"/>
                <w:szCs w:val="13"/>
                <w:highlight w:val="none"/>
                <w:lang w:eastAsia="zh-CN"/>
              </w:rPr>
              <w:t>：</w:t>
            </w:r>
            <w:r>
              <w:rPr>
                <w:rFonts w:ascii="仿宋_GB2312" w:hAnsi="宋体" w:eastAsia="仿宋_GB2312" w:cs="Times New Roman"/>
                <w:color w:val="auto"/>
                <w:kern w:val="0"/>
                <w:sz w:val="13"/>
                <w:szCs w:val="13"/>
                <w:highlight w:val="none"/>
              </w:rPr>
              <w:t>违反本条例规定，擅自预售商品房的，由县级以上人民政府房地产开发主管部门责令停止违法行为，没收违法所得，可以并处已收取的预付款1%以下的罚款</w:t>
            </w:r>
            <w:r>
              <w:rPr>
                <w:rFonts w:ascii="仿宋_GB2312" w:hAnsi="宋体" w:eastAsia="仿宋_GB2312" w:cs="Times New Roman"/>
                <w:b/>
                <w:bCs/>
                <w:color w:val="auto"/>
                <w:kern w:val="0"/>
                <w:sz w:val="13"/>
                <w:szCs w:val="13"/>
                <w:highlight w:val="none"/>
              </w:rPr>
              <w:t>。</w:t>
            </w:r>
          </w:p>
          <w:p w14:paraId="5A48056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《商品房销售管理办法》</w:t>
            </w:r>
            <w:r>
              <w:rPr>
                <w:rFonts w:hint="eastAsia" w:ascii="仿宋_GB2312" w:hAnsi="宋体" w:eastAsia="仿宋_GB2312" w:cs="Times New Roman"/>
                <w:b/>
                <w:bCs/>
                <w:i w:val="0"/>
                <w:iCs w:val="0"/>
                <w:color w:val="auto"/>
                <w:kern w:val="0"/>
                <w:sz w:val="13"/>
                <w:szCs w:val="13"/>
                <w:highlight w:val="none"/>
              </w:rPr>
              <w:t>第三十八条</w:t>
            </w:r>
            <w:r>
              <w:rPr>
                <w:rFonts w:hint="eastAsia" w:ascii="仿宋_GB2312" w:hAnsi="宋体" w:eastAsia="仿宋_GB2312" w:cs="Times New Roman"/>
                <w:b/>
                <w:bCs/>
                <w:i w:val="0"/>
                <w:iCs w:val="0"/>
                <w:color w:val="auto"/>
                <w:kern w:val="0"/>
                <w:sz w:val="13"/>
                <w:szCs w:val="13"/>
                <w:highlight w:val="none"/>
                <w:lang w:eastAsia="zh-CN"/>
              </w:rPr>
              <w:t>：</w:t>
            </w:r>
            <w:r>
              <w:rPr>
                <w:rFonts w:hint="eastAsia" w:ascii="仿宋_GB2312" w:hAnsi="宋体" w:eastAsia="仿宋_GB2312" w:cs="Times New Roman"/>
                <w:color w:val="auto"/>
                <w:kern w:val="0"/>
                <w:sz w:val="13"/>
                <w:szCs w:val="13"/>
                <w:highlight w:val="none"/>
                <w:lang w:eastAsia="zh-CN"/>
              </w:rPr>
              <w:t>违反法律</w:t>
            </w:r>
            <w:r>
              <w:rPr>
                <w:rFonts w:hint="eastAsia" w:ascii="仿宋_GB2312" w:hAnsi="宋体" w:eastAsia="仿宋_GB2312" w:cs="Times New Roman"/>
                <w:color w:val="auto"/>
                <w:kern w:val="0"/>
                <w:sz w:val="13"/>
                <w:szCs w:val="13"/>
                <w:highlight w:val="none"/>
              </w:rPr>
              <w:t>、法规规定，擅自预售商品房的，责令停止违法行为，没收违法所得；收取预付款的，可以并处已收取的预付款1%以下的罚款；</w:t>
            </w:r>
          </w:p>
          <w:p w14:paraId="5760988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hint="eastAsia" w:ascii="仿宋_GB2312" w:hAnsi="宋体" w:eastAsia="仿宋_GB2312" w:cs="Times New Roman"/>
                <w:color w:val="auto"/>
                <w:kern w:val="0"/>
                <w:sz w:val="13"/>
                <w:szCs w:val="13"/>
                <w:highlight w:val="none"/>
                <w:lang w:val="en-US" w:eastAsia="zh-CN"/>
              </w:rPr>
            </w:pPr>
            <w:r>
              <w:rPr>
                <w:rFonts w:hint="eastAsia" w:ascii="仿宋_GB2312" w:hAnsi="宋体" w:eastAsia="仿宋_GB2312" w:cs="Times New Roman"/>
                <w:color w:val="auto"/>
                <w:kern w:val="0"/>
                <w:sz w:val="13"/>
                <w:szCs w:val="13"/>
                <w:highlight w:val="none"/>
                <w:lang w:val="en-US" w:eastAsia="zh-CN"/>
              </w:rPr>
              <w:t>《城市商品房预售管理办法》</w:t>
            </w:r>
            <w:r>
              <w:rPr>
                <w:rFonts w:hint="eastAsia" w:ascii="仿宋_GB2312" w:hAnsi="宋体" w:eastAsia="仿宋_GB2312" w:cs="Times New Roman"/>
                <w:b/>
                <w:bCs/>
                <w:color w:val="auto"/>
                <w:kern w:val="0"/>
                <w:sz w:val="13"/>
                <w:szCs w:val="13"/>
                <w:highlight w:val="none"/>
                <w:lang w:val="en-US" w:eastAsia="zh-CN"/>
              </w:rPr>
              <w:t>第十三条：</w:t>
            </w:r>
            <w:r>
              <w:rPr>
                <w:rFonts w:ascii="仿宋_GB2312" w:hAnsi="宋体" w:eastAsia="仿宋_GB2312" w:cs="Times New Roman"/>
                <w:color w:val="auto"/>
                <w:kern w:val="0"/>
                <w:sz w:val="13"/>
                <w:szCs w:val="13"/>
                <w:highlight w:val="none"/>
                <w:lang w:val="en-US" w:eastAsia="zh-CN"/>
              </w:rPr>
              <w:t>开发企业未取得《商品房预售许可证》预售商品房的，依照《城市房地产开发经营管理条例》第三十九条的规定处罚。</w:t>
            </w:r>
          </w:p>
          <w:p w14:paraId="261DB11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《商品房销售管理办法》</w:t>
            </w:r>
            <w:r>
              <w:rPr>
                <w:rFonts w:hint="eastAsia" w:ascii="仿宋_GB2312" w:hAnsi="宋体" w:eastAsia="仿宋_GB2312" w:cs="Times New Roman"/>
                <w:b/>
                <w:bCs/>
                <w:color w:val="auto"/>
                <w:kern w:val="0"/>
                <w:sz w:val="13"/>
                <w:szCs w:val="13"/>
                <w:highlight w:val="none"/>
              </w:rPr>
              <w:t>第六条第一款</w:t>
            </w:r>
            <w:r>
              <w:rPr>
                <w:rFonts w:hint="eastAsia" w:ascii="仿宋_GB2312" w:hAnsi="宋体" w:eastAsia="仿宋_GB2312" w:cs="Times New Roman"/>
                <w:b/>
                <w:bCs/>
                <w:color w:val="auto"/>
                <w:kern w:val="0"/>
                <w:sz w:val="13"/>
                <w:szCs w:val="13"/>
                <w:highlight w:val="none"/>
                <w:lang w:eastAsia="zh-CN"/>
              </w:rPr>
              <w:t>：</w:t>
            </w:r>
            <w:r>
              <w:rPr>
                <w:rFonts w:ascii="仿宋_GB2312" w:hAnsi="宋体" w:eastAsia="仿宋_GB2312" w:cs="Times New Roman"/>
                <w:color w:val="auto"/>
                <w:kern w:val="0"/>
                <w:sz w:val="13"/>
                <w:szCs w:val="13"/>
                <w:highlight w:val="none"/>
              </w:rPr>
              <w:t>商品房预售实行预售许可制度。</w:t>
            </w:r>
          </w:p>
        </w:tc>
        <w:tc>
          <w:tcPr>
            <w:tcW w:w="823" w:type="dxa"/>
            <w:tcBorders>
              <w:tl2br w:val="nil"/>
              <w:tr2bl w:val="nil"/>
            </w:tcBorders>
            <w:tcMar>
              <w:top w:w="15" w:type="dxa"/>
              <w:left w:w="15" w:type="dxa"/>
              <w:bottom w:w="15" w:type="dxa"/>
              <w:right w:w="15" w:type="dxa"/>
            </w:tcMar>
            <w:vAlign w:val="center"/>
          </w:tcPr>
          <w:p w14:paraId="749DFA0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Times New Roman"/>
                <w:color w:val="auto"/>
                <w:kern w:val="0"/>
                <w:sz w:val="13"/>
                <w:szCs w:val="13"/>
                <w:highlight w:val="none"/>
                <w:lang w:eastAsia="zh-CN"/>
              </w:rPr>
            </w:pPr>
            <w:r>
              <w:rPr>
                <w:rFonts w:hint="eastAsia" w:ascii="仿宋_GB2312" w:hAnsi="宋体" w:eastAsia="仿宋_GB2312" w:cs="Times New Roman"/>
                <w:color w:val="auto"/>
                <w:kern w:val="0"/>
                <w:sz w:val="13"/>
                <w:szCs w:val="13"/>
                <w:highlight w:val="none"/>
                <w:lang w:eastAsia="zh-CN"/>
              </w:rPr>
              <w:t>从轻情节</w:t>
            </w:r>
          </w:p>
        </w:tc>
        <w:tc>
          <w:tcPr>
            <w:tcW w:w="3437" w:type="dxa"/>
            <w:gridSpan w:val="2"/>
            <w:tcBorders>
              <w:tl2br w:val="nil"/>
              <w:tr2bl w:val="nil"/>
            </w:tcBorders>
            <w:tcMar>
              <w:top w:w="15" w:type="dxa"/>
              <w:left w:w="15" w:type="dxa"/>
              <w:bottom w:w="15" w:type="dxa"/>
              <w:right w:w="15" w:type="dxa"/>
            </w:tcMar>
            <w:vAlign w:val="center"/>
          </w:tcPr>
          <w:p w14:paraId="1D7838C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擅自预售商品房的5套以下的或收取预付款10万元以下的。</w:t>
            </w:r>
          </w:p>
        </w:tc>
        <w:tc>
          <w:tcPr>
            <w:tcW w:w="3058" w:type="dxa"/>
            <w:tcBorders>
              <w:tl2br w:val="nil"/>
              <w:tr2bl w:val="nil"/>
            </w:tcBorders>
            <w:tcMar>
              <w:top w:w="15" w:type="dxa"/>
              <w:left w:w="15" w:type="dxa"/>
              <w:bottom w:w="15" w:type="dxa"/>
              <w:right w:w="15" w:type="dxa"/>
            </w:tcMar>
            <w:vAlign w:val="center"/>
          </w:tcPr>
          <w:p w14:paraId="3083A63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责令停止违法行为，没收违法所得；收取预付款的，可以并处已收取的预付款千分之三以下的罚款。</w:t>
            </w:r>
          </w:p>
        </w:tc>
      </w:tr>
      <w:tr w14:paraId="0029ED6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9" w:hRule="atLeast"/>
          <w:jc w:val="center"/>
        </w:trPr>
        <w:tc>
          <w:tcPr>
            <w:tcW w:w="443" w:type="dxa"/>
            <w:gridSpan w:val="2"/>
            <w:vMerge w:val="continue"/>
            <w:tcBorders>
              <w:tl2br w:val="nil"/>
              <w:tr2bl w:val="nil"/>
            </w:tcBorders>
            <w:vAlign w:val="center"/>
          </w:tcPr>
          <w:p w14:paraId="746718BA">
            <w:pPr>
              <w:keepNext w:val="0"/>
              <w:keepLines w:val="0"/>
              <w:pageBreakBefore w:val="0"/>
              <w:widowControl/>
              <w:kinsoku/>
              <w:overflowPunct/>
              <w:topLinePunct w:val="0"/>
              <w:autoSpaceDE/>
              <w:autoSpaceDN/>
              <w:bidi w:val="0"/>
              <w:adjustRightInd/>
              <w:snapToGrid/>
              <w:spacing w:beforeAutospacing="0" w:afterAutospacing="0" w:line="260" w:lineRule="exact"/>
              <w:ind w:left="638" w:leftChars="88" w:right="0" w:rightChars="0" w:hanging="453" w:hangingChars="349"/>
              <w:jc w:val="center"/>
              <w:rPr>
                <w:rFonts w:ascii="仿宋_GB2312" w:hAnsi="宋体" w:eastAsia="仿宋_GB2312"/>
                <w:color w:val="auto"/>
                <w:sz w:val="13"/>
                <w:szCs w:val="13"/>
                <w:highlight w:val="none"/>
              </w:rPr>
            </w:pPr>
          </w:p>
        </w:tc>
        <w:tc>
          <w:tcPr>
            <w:tcW w:w="1550" w:type="dxa"/>
            <w:vMerge w:val="continue"/>
            <w:tcBorders>
              <w:tl2br w:val="nil"/>
              <w:tr2bl w:val="nil"/>
            </w:tcBorders>
            <w:vAlign w:val="center"/>
          </w:tcPr>
          <w:p w14:paraId="039692D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24495AA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68E92DB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Times New Roman"/>
                <w:color w:val="auto"/>
                <w:kern w:val="0"/>
                <w:sz w:val="13"/>
                <w:szCs w:val="13"/>
                <w:highlight w:val="none"/>
                <w:lang w:eastAsia="zh-CN"/>
              </w:rPr>
            </w:pPr>
            <w:r>
              <w:rPr>
                <w:rFonts w:hint="eastAsia" w:ascii="仿宋_GB2312" w:hAnsi="宋体" w:eastAsia="仿宋_GB2312" w:cs="Times New Roman"/>
                <w:color w:val="auto"/>
                <w:kern w:val="0"/>
                <w:sz w:val="13"/>
                <w:szCs w:val="13"/>
                <w:highlight w:val="none"/>
                <w:lang w:eastAsia="zh-CN"/>
              </w:rPr>
              <w:t>一般情节</w:t>
            </w:r>
          </w:p>
        </w:tc>
        <w:tc>
          <w:tcPr>
            <w:tcW w:w="3437" w:type="dxa"/>
            <w:gridSpan w:val="2"/>
            <w:tcBorders>
              <w:tl2br w:val="nil"/>
              <w:tr2bl w:val="nil"/>
            </w:tcBorders>
            <w:tcMar>
              <w:top w:w="15" w:type="dxa"/>
              <w:left w:w="15" w:type="dxa"/>
              <w:bottom w:w="15" w:type="dxa"/>
              <w:right w:w="15" w:type="dxa"/>
            </w:tcMar>
            <w:vAlign w:val="center"/>
          </w:tcPr>
          <w:p w14:paraId="2F38AF9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擅自预售商品房的5套以上10套以下的或收取预付款10万元以上50万元以下的。</w:t>
            </w:r>
          </w:p>
        </w:tc>
        <w:tc>
          <w:tcPr>
            <w:tcW w:w="3058" w:type="dxa"/>
            <w:tcBorders>
              <w:tl2br w:val="nil"/>
              <w:tr2bl w:val="nil"/>
            </w:tcBorders>
            <w:tcMar>
              <w:top w:w="15" w:type="dxa"/>
              <w:left w:w="15" w:type="dxa"/>
              <w:bottom w:w="15" w:type="dxa"/>
              <w:right w:w="15" w:type="dxa"/>
            </w:tcMar>
            <w:vAlign w:val="center"/>
          </w:tcPr>
          <w:p w14:paraId="778DFA4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责令停止违法行为，没收违法所得；收取预付款的，可以并处已收取的预付款千分之三以上千分之六以下的罚款。</w:t>
            </w:r>
          </w:p>
        </w:tc>
      </w:tr>
      <w:tr w14:paraId="2CE0D8B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457" w:hRule="atLeast"/>
          <w:jc w:val="center"/>
        </w:trPr>
        <w:tc>
          <w:tcPr>
            <w:tcW w:w="443" w:type="dxa"/>
            <w:gridSpan w:val="2"/>
            <w:vMerge w:val="continue"/>
            <w:tcBorders>
              <w:tl2br w:val="nil"/>
              <w:tr2bl w:val="nil"/>
            </w:tcBorders>
            <w:vAlign w:val="center"/>
          </w:tcPr>
          <w:p w14:paraId="2AFC8B08">
            <w:pPr>
              <w:keepNext w:val="0"/>
              <w:keepLines w:val="0"/>
              <w:pageBreakBefore w:val="0"/>
              <w:widowControl/>
              <w:kinsoku/>
              <w:overflowPunct/>
              <w:topLinePunct w:val="0"/>
              <w:autoSpaceDE/>
              <w:autoSpaceDN/>
              <w:bidi w:val="0"/>
              <w:adjustRightInd/>
              <w:snapToGrid/>
              <w:spacing w:beforeAutospacing="0" w:afterAutospacing="0" w:line="260" w:lineRule="exact"/>
              <w:ind w:left="638" w:leftChars="88" w:right="0" w:rightChars="0" w:hanging="453" w:hangingChars="349"/>
              <w:jc w:val="center"/>
              <w:rPr>
                <w:rFonts w:ascii="仿宋_GB2312" w:hAnsi="宋体" w:eastAsia="仿宋_GB2312"/>
                <w:color w:val="auto"/>
                <w:sz w:val="13"/>
                <w:szCs w:val="13"/>
                <w:highlight w:val="none"/>
              </w:rPr>
            </w:pPr>
          </w:p>
        </w:tc>
        <w:tc>
          <w:tcPr>
            <w:tcW w:w="1550" w:type="dxa"/>
            <w:vMerge w:val="continue"/>
            <w:tcBorders>
              <w:tl2br w:val="nil"/>
              <w:tr2bl w:val="nil"/>
            </w:tcBorders>
            <w:vAlign w:val="center"/>
          </w:tcPr>
          <w:p w14:paraId="4256F64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47EED4A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3F66970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Times New Roman"/>
                <w:color w:val="auto"/>
                <w:kern w:val="0"/>
                <w:sz w:val="13"/>
                <w:szCs w:val="13"/>
                <w:highlight w:val="none"/>
                <w:lang w:eastAsia="zh-CN"/>
              </w:rPr>
            </w:pPr>
            <w:r>
              <w:rPr>
                <w:rFonts w:hint="eastAsia" w:ascii="仿宋_GB2312" w:hAnsi="宋体" w:eastAsia="仿宋_GB2312" w:cs="Times New Roman"/>
                <w:color w:val="auto"/>
                <w:kern w:val="0"/>
                <w:sz w:val="13"/>
                <w:szCs w:val="13"/>
                <w:highlight w:val="none"/>
                <w:lang w:eastAsia="zh-CN"/>
              </w:rPr>
              <w:t>从重情节</w:t>
            </w:r>
          </w:p>
        </w:tc>
        <w:tc>
          <w:tcPr>
            <w:tcW w:w="3437" w:type="dxa"/>
            <w:gridSpan w:val="2"/>
            <w:tcBorders>
              <w:tl2br w:val="nil"/>
              <w:tr2bl w:val="nil"/>
            </w:tcBorders>
            <w:tcMar>
              <w:top w:w="15" w:type="dxa"/>
              <w:left w:w="15" w:type="dxa"/>
              <w:bottom w:w="15" w:type="dxa"/>
              <w:right w:w="15" w:type="dxa"/>
            </w:tcMar>
            <w:vAlign w:val="center"/>
          </w:tcPr>
          <w:p w14:paraId="1B6323C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擅自预售商品房的10套以上的或收取预付款50万元以上的。</w:t>
            </w:r>
          </w:p>
        </w:tc>
        <w:tc>
          <w:tcPr>
            <w:tcW w:w="3058" w:type="dxa"/>
            <w:tcBorders>
              <w:tl2br w:val="nil"/>
              <w:tr2bl w:val="nil"/>
            </w:tcBorders>
            <w:tcMar>
              <w:top w:w="15" w:type="dxa"/>
              <w:left w:w="15" w:type="dxa"/>
              <w:bottom w:w="15" w:type="dxa"/>
              <w:right w:w="15" w:type="dxa"/>
            </w:tcMar>
            <w:vAlign w:val="center"/>
          </w:tcPr>
          <w:p w14:paraId="746B2E7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责令停止违法行为，没收违法所得；收取预付款的，可以并处已收取的预付款千分之六以上百分之一以下的罚款。</w:t>
            </w:r>
          </w:p>
        </w:tc>
      </w:tr>
      <w:tr w14:paraId="0B71527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9" w:hRule="atLeast"/>
          <w:jc w:val="center"/>
        </w:trPr>
        <w:tc>
          <w:tcPr>
            <w:tcW w:w="443" w:type="dxa"/>
            <w:gridSpan w:val="2"/>
            <w:vMerge w:val="restart"/>
            <w:tcBorders>
              <w:tl2br w:val="nil"/>
              <w:tr2bl w:val="nil"/>
            </w:tcBorders>
            <w:vAlign w:val="center"/>
          </w:tcPr>
          <w:p w14:paraId="20A4BED7">
            <w:pPr>
              <w:keepNext w:val="0"/>
              <w:keepLines w:val="0"/>
              <w:pageBreakBefore w:val="0"/>
              <w:widowControl/>
              <w:numPr>
                <w:ilvl w:val="0"/>
                <w:numId w:val="6"/>
              </w:numPr>
              <w:suppressLineNumbers w:val="0"/>
              <w:tabs>
                <w:tab w:val="clear" w:pos="397"/>
              </w:tabs>
              <w:kinsoku/>
              <w:overflowPunct/>
              <w:topLinePunct w:val="0"/>
              <w:autoSpaceDE/>
              <w:autoSpaceDN/>
              <w:bidi w:val="0"/>
              <w:adjustRightInd/>
              <w:snapToGrid/>
              <w:spacing w:beforeAutospacing="0" w:afterAutospacing="0" w:line="260" w:lineRule="exact"/>
              <w:ind w:left="638" w:leftChars="88" w:right="0" w:rightChars="0" w:hanging="453" w:hangingChars="349"/>
              <w:jc w:val="center"/>
              <w:textAlignment w:val="center"/>
              <w:rPr>
                <w:rFonts w:hint="default" w:ascii="仿宋_GB2312" w:hAnsi="宋体" w:eastAsia="仿宋_GB2312"/>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267</w:t>
            </w:r>
          </w:p>
        </w:tc>
        <w:tc>
          <w:tcPr>
            <w:tcW w:w="1550" w:type="dxa"/>
            <w:vMerge w:val="restart"/>
            <w:tcBorders>
              <w:tl2br w:val="nil"/>
              <w:tr2bl w:val="nil"/>
            </w:tcBorders>
            <w:vAlign w:val="center"/>
          </w:tcPr>
          <w:p w14:paraId="296F3FF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不按规定使用商品房预售款项的</w:t>
            </w:r>
          </w:p>
        </w:tc>
        <w:tc>
          <w:tcPr>
            <w:tcW w:w="4820" w:type="dxa"/>
            <w:vMerge w:val="restart"/>
            <w:tcBorders>
              <w:tl2br w:val="nil"/>
              <w:tr2bl w:val="nil"/>
            </w:tcBorders>
            <w:vAlign w:val="center"/>
          </w:tcPr>
          <w:p w14:paraId="5B49847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olor w:val="auto"/>
                <w:sz w:val="13"/>
                <w:szCs w:val="13"/>
                <w:highlight w:val="none"/>
              </w:rPr>
            </w:pPr>
            <w:r>
              <w:rPr>
                <w:rFonts w:hint="eastAsia" w:ascii="仿宋_GB2312" w:hAnsi="宋体" w:eastAsia="仿宋_GB2312" w:cs="Times New Roman"/>
                <w:color w:val="auto"/>
                <w:kern w:val="0"/>
                <w:sz w:val="13"/>
                <w:szCs w:val="13"/>
                <w:highlight w:val="none"/>
              </w:rPr>
              <w:t>《城市商品房预售管理办法》</w:t>
            </w:r>
            <w:r>
              <w:rPr>
                <w:rFonts w:hint="eastAsia" w:ascii="仿宋_GB2312" w:hAnsi="宋体" w:eastAsia="仿宋_GB2312" w:cs="Times New Roman"/>
                <w:b/>
                <w:bCs/>
                <w:color w:val="auto"/>
                <w:kern w:val="0"/>
                <w:sz w:val="13"/>
                <w:szCs w:val="13"/>
                <w:highlight w:val="none"/>
              </w:rPr>
              <w:t>第十四条</w:t>
            </w:r>
            <w:r>
              <w:rPr>
                <w:rFonts w:hint="eastAsia" w:ascii="仿宋_GB2312" w:hAnsi="宋体" w:eastAsia="仿宋_GB2312" w:cs="Times New Roman"/>
                <w:b/>
                <w:bCs/>
                <w:color w:val="auto"/>
                <w:kern w:val="0"/>
                <w:sz w:val="13"/>
                <w:szCs w:val="13"/>
                <w:highlight w:val="none"/>
                <w:lang w:eastAsia="zh-CN"/>
              </w:rPr>
              <w:t>：</w:t>
            </w:r>
            <w:r>
              <w:rPr>
                <w:rFonts w:hint="eastAsia" w:ascii="仿宋_GB2312" w:hAnsi="宋体" w:eastAsia="仿宋_GB2312" w:cs="Times New Roman"/>
                <w:color w:val="auto"/>
                <w:kern w:val="0"/>
                <w:sz w:val="13"/>
                <w:szCs w:val="13"/>
                <w:highlight w:val="none"/>
              </w:rPr>
              <w:t>开发企业不按规定使用商品房预售款项的，由房地产管理部门责令限期纠正，并可处以违法所得三倍以下但不超过3万元的罚款。</w:t>
            </w:r>
          </w:p>
        </w:tc>
        <w:tc>
          <w:tcPr>
            <w:tcW w:w="823" w:type="dxa"/>
            <w:tcBorders>
              <w:tl2br w:val="nil"/>
              <w:tr2bl w:val="nil"/>
            </w:tcBorders>
            <w:tcMar>
              <w:top w:w="15" w:type="dxa"/>
              <w:left w:w="15" w:type="dxa"/>
              <w:bottom w:w="15" w:type="dxa"/>
              <w:right w:w="15" w:type="dxa"/>
            </w:tcMar>
            <w:vAlign w:val="center"/>
          </w:tcPr>
          <w:p w14:paraId="70F9E38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Times New Roman"/>
                <w:color w:val="auto"/>
                <w:kern w:val="0"/>
                <w:sz w:val="13"/>
                <w:szCs w:val="13"/>
                <w:highlight w:val="none"/>
                <w:lang w:eastAsia="zh-CN"/>
              </w:rPr>
            </w:pPr>
            <w:r>
              <w:rPr>
                <w:rFonts w:hint="eastAsia" w:ascii="仿宋_GB2312" w:hAnsi="宋体" w:eastAsia="仿宋_GB2312" w:cs="Times New Roman"/>
                <w:color w:val="auto"/>
                <w:kern w:val="0"/>
                <w:sz w:val="13"/>
                <w:szCs w:val="13"/>
                <w:highlight w:val="none"/>
                <w:lang w:eastAsia="zh-CN"/>
              </w:rPr>
              <w:t>从轻情节</w:t>
            </w:r>
          </w:p>
        </w:tc>
        <w:tc>
          <w:tcPr>
            <w:tcW w:w="3437" w:type="dxa"/>
            <w:gridSpan w:val="2"/>
            <w:tcBorders>
              <w:tl2br w:val="nil"/>
              <w:tr2bl w:val="nil"/>
            </w:tcBorders>
            <w:tcMar>
              <w:top w:w="15" w:type="dxa"/>
              <w:left w:w="15" w:type="dxa"/>
              <w:bottom w:w="15" w:type="dxa"/>
              <w:right w:w="15" w:type="dxa"/>
            </w:tcMar>
            <w:vAlign w:val="center"/>
          </w:tcPr>
          <w:p w14:paraId="59B265D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不按规定使用商品房预售款项50万以下的。</w:t>
            </w:r>
          </w:p>
        </w:tc>
        <w:tc>
          <w:tcPr>
            <w:tcW w:w="3058" w:type="dxa"/>
            <w:tcBorders>
              <w:tl2br w:val="nil"/>
              <w:tr2bl w:val="nil"/>
            </w:tcBorders>
            <w:tcMar>
              <w:top w:w="15" w:type="dxa"/>
              <w:left w:w="15" w:type="dxa"/>
              <w:bottom w:w="15" w:type="dxa"/>
              <w:right w:w="15" w:type="dxa"/>
            </w:tcMar>
            <w:vAlign w:val="center"/>
          </w:tcPr>
          <w:p w14:paraId="1AC98DC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责令限期纠正，并可处以违法所得1倍以下但不超过3万元的罚款。</w:t>
            </w:r>
          </w:p>
        </w:tc>
      </w:tr>
      <w:tr w14:paraId="3DAB49F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9" w:hRule="atLeast"/>
          <w:jc w:val="center"/>
        </w:trPr>
        <w:tc>
          <w:tcPr>
            <w:tcW w:w="443" w:type="dxa"/>
            <w:gridSpan w:val="2"/>
            <w:vMerge w:val="continue"/>
            <w:tcBorders>
              <w:tl2br w:val="nil"/>
              <w:tr2bl w:val="nil"/>
            </w:tcBorders>
            <w:vAlign w:val="center"/>
          </w:tcPr>
          <w:p w14:paraId="6CC15F27">
            <w:pPr>
              <w:keepNext w:val="0"/>
              <w:keepLines w:val="0"/>
              <w:pageBreakBefore w:val="0"/>
              <w:widowControl/>
              <w:kinsoku/>
              <w:overflowPunct/>
              <w:topLinePunct w:val="0"/>
              <w:autoSpaceDE/>
              <w:autoSpaceDN/>
              <w:bidi w:val="0"/>
              <w:adjustRightInd/>
              <w:snapToGrid/>
              <w:spacing w:beforeAutospacing="0" w:afterAutospacing="0" w:line="260" w:lineRule="exact"/>
              <w:ind w:left="638" w:leftChars="88" w:right="0" w:rightChars="0" w:hanging="453" w:hangingChars="349"/>
              <w:jc w:val="center"/>
              <w:rPr>
                <w:rFonts w:ascii="仿宋_GB2312" w:hAnsi="宋体" w:eastAsia="仿宋_GB2312"/>
                <w:color w:val="auto"/>
                <w:sz w:val="13"/>
                <w:szCs w:val="13"/>
                <w:highlight w:val="none"/>
              </w:rPr>
            </w:pPr>
          </w:p>
        </w:tc>
        <w:tc>
          <w:tcPr>
            <w:tcW w:w="1550" w:type="dxa"/>
            <w:vMerge w:val="continue"/>
            <w:tcBorders>
              <w:tl2br w:val="nil"/>
              <w:tr2bl w:val="nil"/>
            </w:tcBorders>
            <w:vAlign w:val="center"/>
          </w:tcPr>
          <w:p w14:paraId="022E012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4ED746F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05089C0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Times New Roman"/>
                <w:color w:val="auto"/>
                <w:kern w:val="0"/>
                <w:sz w:val="13"/>
                <w:szCs w:val="13"/>
                <w:highlight w:val="none"/>
                <w:lang w:eastAsia="zh-CN"/>
              </w:rPr>
            </w:pPr>
            <w:r>
              <w:rPr>
                <w:rFonts w:hint="eastAsia" w:ascii="仿宋_GB2312" w:hAnsi="宋体" w:eastAsia="仿宋_GB2312" w:cs="Times New Roman"/>
                <w:color w:val="auto"/>
                <w:kern w:val="0"/>
                <w:sz w:val="13"/>
                <w:szCs w:val="13"/>
                <w:highlight w:val="none"/>
                <w:lang w:eastAsia="zh-CN"/>
              </w:rPr>
              <w:t>一般情节</w:t>
            </w:r>
          </w:p>
        </w:tc>
        <w:tc>
          <w:tcPr>
            <w:tcW w:w="3437" w:type="dxa"/>
            <w:gridSpan w:val="2"/>
            <w:tcBorders>
              <w:tl2br w:val="nil"/>
              <w:tr2bl w:val="nil"/>
            </w:tcBorders>
            <w:tcMar>
              <w:top w:w="15" w:type="dxa"/>
              <w:left w:w="15" w:type="dxa"/>
              <w:bottom w:w="15" w:type="dxa"/>
              <w:right w:w="15" w:type="dxa"/>
            </w:tcMar>
            <w:vAlign w:val="center"/>
          </w:tcPr>
          <w:p w14:paraId="31BE3BF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不按规定使用商品房预售款项50万以上200万以下的。</w:t>
            </w:r>
          </w:p>
        </w:tc>
        <w:tc>
          <w:tcPr>
            <w:tcW w:w="3058" w:type="dxa"/>
            <w:tcBorders>
              <w:tl2br w:val="nil"/>
              <w:tr2bl w:val="nil"/>
            </w:tcBorders>
            <w:tcMar>
              <w:top w:w="15" w:type="dxa"/>
              <w:left w:w="15" w:type="dxa"/>
              <w:bottom w:w="15" w:type="dxa"/>
              <w:right w:w="15" w:type="dxa"/>
            </w:tcMar>
            <w:vAlign w:val="center"/>
          </w:tcPr>
          <w:p w14:paraId="4B27F79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责令限期纠正，并处以违法所得1倍以上2倍以下但不超过3万元的罚款。</w:t>
            </w:r>
          </w:p>
        </w:tc>
      </w:tr>
      <w:tr w14:paraId="0152930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9" w:hRule="atLeast"/>
          <w:jc w:val="center"/>
        </w:trPr>
        <w:tc>
          <w:tcPr>
            <w:tcW w:w="443" w:type="dxa"/>
            <w:gridSpan w:val="2"/>
            <w:vMerge w:val="continue"/>
            <w:tcBorders>
              <w:tl2br w:val="nil"/>
              <w:tr2bl w:val="nil"/>
            </w:tcBorders>
            <w:vAlign w:val="center"/>
          </w:tcPr>
          <w:p w14:paraId="4C7247EF">
            <w:pPr>
              <w:keepNext w:val="0"/>
              <w:keepLines w:val="0"/>
              <w:pageBreakBefore w:val="0"/>
              <w:widowControl/>
              <w:kinsoku/>
              <w:overflowPunct/>
              <w:topLinePunct w:val="0"/>
              <w:autoSpaceDE/>
              <w:autoSpaceDN/>
              <w:bidi w:val="0"/>
              <w:adjustRightInd/>
              <w:snapToGrid/>
              <w:spacing w:beforeAutospacing="0" w:afterAutospacing="0" w:line="260" w:lineRule="exact"/>
              <w:ind w:left="638" w:leftChars="88" w:right="0" w:rightChars="0" w:hanging="453" w:hangingChars="349"/>
              <w:jc w:val="center"/>
              <w:rPr>
                <w:rFonts w:ascii="仿宋_GB2312" w:hAnsi="宋体" w:eastAsia="仿宋_GB2312"/>
                <w:color w:val="auto"/>
                <w:sz w:val="13"/>
                <w:szCs w:val="13"/>
                <w:highlight w:val="none"/>
              </w:rPr>
            </w:pPr>
          </w:p>
        </w:tc>
        <w:tc>
          <w:tcPr>
            <w:tcW w:w="1550" w:type="dxa"/>
            <w:vMerge w:val="continue"/>
            <w:tcBorders>
              <w:tl2br w:val="nil"/>
              <w:tr2bl w:val="nil"/>
            </w:tcBorders>
            <w:vAlign w:val="center"/>
          </w:tcPr>
          <w:p w14:paraId="671C6DC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7CB634E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58788EF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Times New Roman"/>
                <w:color w:val="auto"/>
                <w:kern w:val="0"/>
                <w:sz w:val="13"/>
                <w:szCs w:val="13"/>
                <w:highlight w:val="none"/>
                <w:lang w:eastAsia="zh-CN"/>
              </w:rPr>
            </w:pPr>
            <w:r>
              <w:rPr>
                <w:rFonts w:hint="eastAsia" w:ascii="仿宋_GB2312" w:hAnsi="宋体" w:eastAsia="仿宋_GB2312" w:cs="Times New Roman"/>
                <w:color w:val="auto"/>
                <w:kern w:val="0"/>
                <w:sz w:val="13"/>
                <w:szCs w:val="13"/>
                <w:highlight w:val="none"/>
                <w:lang w:eastAsia="zh-CN"/>
              </w:rPr>
              <w:t>从重情节</w:t>
            </w:r>
          </w:p>
        </w:tc>
        <w:tc>
          <w:tcPr>
            <w:tcW w:w="3437" w:type="dxa"/>
            <w:gridSpan w:val="2"/>
            <w:tcBorders>
              <w:tl2br w:val="nil"/>
              <w:tr2bl w:val="nil"/>
            </w:tcBorders>
            <w:tcMar>
              <w:top w:w="15" w:type="dxa"/>
              <w:left w:w="15" w:type="dxa"/>
              <w:bottom w:w="15" w:type="dxa"/>
              <w:right w:w="15" w:type="dxa"/>
            </w:tcMar>
            <w:vAlign w:val="center"/>
          </w:tcPr>
          <w:p w14:paraId="3A4B8D6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不按规定使用商品房预售款项200万以上的。</w:t>
            </w:r>
          </w:p>
        </w:tc>
        <w:tc>
          <w:tcPr>
            <w:tcW w:w="3058" w:type="dxa"/>
            <w:tcBorders>
              <w:tl2br w:val="nil"/>
              <w:tr2bl w:val="nil"/>
            </w:tcBorders>
            <w:tcMar>
              <w:top w:w="15" w:type="dxa"/>
              <w:left w:w="15" w:type="dxa"/>
              <w:bottom w:w="15" w:type="dxa"/>
              <w:right w:w="15" w:type="dxa"/>
            </w:tcMar>
            <w:vAlign w:val="center"/>
          </w:tcPr>
          <w:p w14:paraId="6E988C8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责令限期纠正，并可处以违法所得2倍以上3倍以下但不超过3万元的罚款。</w:t>
            </w:r>
          </w:p>
        </w:tc>
      </w:tr>
      <w:tr w14:paraId="2C0D56A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9" w:hRule="atLeast"/>
          <w:jc w:val="center"/>
        </w:trPr>
        <w:tc>
          <w:tcPr>
            <w:tcW w:w="443" w:type="dxa"/>
            <w:gridSpan w:val="2"/>
            <w:vMerge w:val="restart"/>
            <w:tcBorders>
              <w:tl2br w:val="nil"/>
              <w:tr2bl w:val="nil"/>
            </w:tcBorders>
            <w:vAlign w:val="center"/>
          </w:tcPr>
          <w:p w14:paraId="0849E24A">
            <w:pPr>
              <w:keepNext w:val="0"/>
              <w:keepLines w:val="0"/>
              <w:pageBreakBefore w:val="0"/>
              <w:widowControl/>
              <w:numPr>
                <w:ilvl w:val="0"/>
                <w:numId w:val="6"/>
              </w:numPr>
              <w:suppressLineNumbers w:val="0"/>
              <w:tabs>
                <w:tab w:val="clear" w:pos="397"/>
              </w:tabs>
              <w:kinsoku/>
              <w:overflowPunct/>
              <w:topLinePunct w:val="0"/>
              <w:autoSpaceDE/>
              <w:autoSpaceDN/>
              <w:bidi w:val="0"/>
              <w:adjustRightInd/>
              <w:snapToGrid/>
              <w:spacing w:beforeAutospacing="0" w:afterAutospacing="0" w:line="260" w:lineRule="exact"/>
              <w:ind w:left="638" w:leftChars="88" w:right="0" w:rightChars="0" w:hanging="453" w:hangingChars="349"/>
              <w:jc w:val="center"/>
              <w:textAlignment w:val="center"/>
              <w:rPr>
                <w:rFonts w:hint="default" w:ascii="仿宋_GB2312" w:hAnsi="宋体" w:eastAsia="仿宋_GB2312"/>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268</w:t>
            </w:r>
          </w:p>
        </w:tc>
        <w:tc>
          <w:tcPr>
            <w:tcW w:w="1550" w:type="dxa"/>
            <w:vMerge w:val="restart"/>
            <w:tcBorders>
              <w:tl2br w:val="nil"/>
              <w:tr2bl w:val="nil"/>
            </w:tcBorders>
            <w:vAlign w:val="center"/>
          </w:tcPr>
          <w:p w14:paraId="31C85B2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住宅物业的建设单位未通过招投标的方式选聘物业服务企业或者未经批准，擅自采用协议方式选聘物业服务企业的</w:t>
            </w:r>
          </w:p>
        </w:tc>
        <w:tc>
          <w:tcPr>
            <w:tcW w:w="4820" w:type="dxa"/>
            <w:vMerge w:val="restart"/>
            <w:tcBorders>
              <w:tl2br w:val="nil"/>
              <w:tr2bl w:val="nil"/>
            </w:tcBorders>
            <w:vAlign w:val="center"/>
          </w:tcPr>
          <w:p w14:paraId="283B058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Times New Roman"/>
                <w:color w:val="auto"/>
                <w:sz w:val="13"/>
                <w:szCs w:val="13"/>
                <w:highlight w:val="none"/>
              </w:rPr>
            </w:pPr>
            <w:r>
              <w:rPr>
                <w:rFonts w:hint="eastAsia" w:ascii="仿宋_GB2312" w:hAnsi="宋体" w:eastAsia="仿宋_GB2312" w:cs="Times New Roman"/>
                <w:color w:val="auto"/>
                <w:kern w:val="0"/>
                <w:sz w:val="13"/>
                <w:szCs w:val="13"/>
                <w:highlight w:val="none"/>
              </w:rPr>
              <w:t>《</w:t>
            </w:r>
            <w:r>
              <w:rPr>
                <w:rFonts w:hint="eastAsia" w:ascii="仿宋_GB2312" w:hAnsi="宋体" w:eastAsia="仿宋_GB2312" w:cs="Times New Roman"/>
                <w:color w:val="auto"/>
                <w:sz w:val="13"/>
                <w:szCs w:val="13"/>
                <w:highlight w:val="none"/>
              </w:rPr>
              <w:t>物业管理条例》</w:t>
            </w:r>
            <w:r>
              <w:rPr>
                <w:rFonts w:hint="eastAsia" w:ascii="仿宋_GB2312" w:hAnsi="宋体" w:eastAsia="仿宋_GB2312" w:cs="Times New Roman"/>
                <w:b/>
                <w:bCs/>
                <w:color w:val="auto"/>
                <w:sz w:val="13"/>
                <w:szCs w:val="13"/>
                <w:highlight w:val="none"/>
              </w:rPr>
              <w:t>第五十六条</w:t>
            </w:r>
            <w:r>
              <w:rPr>
                <w:rFonts w:hint="eastAsia" w:ascii="仿宋_GB2312" w:hAnsi="宋体" w:eastAsia="仿宋_GB2312" w:cs="Times New Roman"/>
                <w:b/>
                <w:bCs/>
                <w:color w:val="auto"/>
                <w:sz w:val="13"/>
                <w:szCs w:val="13"/>
                <w:highlight w:val="none"/>
                <w:lang w:eastAsia="zh-CN"/>
              </w:rPr>
              <w:t>：</w:t>
            </w:r>
            <w:r>
              <w:rPr>
                <w:rFonts w:hint="eastAsia" w:ascii="仿宋_GB2312" w:hAnsi="宋体" w:eastAsia="仿宋_GB2312" w:cs="Times New Roman"/>
                <w:color w:val="auto"/>
                <w:sz w:val="13"/>
                <w:szCs w:val="13"/>
                <w:highlight w:val="none"/>
              </w:rPr>
              <w:t>违反本条例的规定，住宅物业的建设单位未通过招投标的方式选聘物业服务企业或者未经批准，擅自采用协议方式选聘物业服务企业的，县级以上地方人民政府房地产行政主管部门责令限期改正，给予警告，可以并处10万元以下的罚款。</w:t>
            </w:r>
          </w:p>
          <w:p w14:paraId="374F26E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olor w:val="auto"/>
                <w:sz w:val="13"/>
                <w:szCs w:val="13"/>
                <w:highlight w:val="none"/>
              </w:rPr>
            </w:pPr>
            <w:r>
              <w:rPr>
                <w:rFonts w:hint="eastAsia" w:ascii="仿宋_GB2312" w:hAnsi="宋体" w:eastAsia="仿宋_GB2312" w:cs="Times New Roman"/>
                <w:color w:val="auto"/>
                <w:sz w:val="13"/>
                <w:szCs w:val="13"/>
                <w:highlight w:val="none"/>
              </w:rPr>
              <w:t>《物业管理条例》</w:t>
            </w:r>
            <w:r>
              <w:rPr>
                <w:rFonts w:hint="eastAsia" w:ascii="仿宋_GB2312" w:hAnsi="宋体" w:eastAsia="仿宋_GB2312" w:cs="Times New Roman"/>
                <w:b/>
                <w:bCs/>
                <w:color w:val="auto"/>
                <w:sz w:val="13"/>
                <w:szCs w:val="13"/>
                <w:highlight w:val="none"/>
              </w:rPr>
              <w:t>第二十四条第二款</w:t>
            </w:r>
            <w:r>
              <w:rPr>
                <w:rFonts w:hint="eastAsia" w:ascii="仿宋_GB2312" w:hAnsi="宋体" w:eastAsia="仿宋_GB2312" w:cs="Times New Roman"/>
                <w:b/>
                <w:bCs/>
                <w:color w:val="auto"/>
                <w:sz w:val="13"/>
                <w:szCs w:val="13"/>
                <w:highlight w:val="none"/>
                <w:lang w:eastAsia="zh-CN"/>
              </w:rPr>
              <w:t>：</w:t>
            </w:r>
            <w:r>
              <w:rPr>
                <w:rFonts w:hint="eastAsia" w:ascii="仿宋_GB2312" w:hAnsi="宋体" w:eastAsia="仿宋_GB2312" w:cs="Times New Roman"/>
                <w:color w:val="auto"/>
                <w:sz w:val="13"/>
                <w:szCs w:val="13"/>
                <w:highlight w:val="none"/>
              </w:rPr>
              <w:t>住宅物业的建设单位，应当通过招投标的方式选聘物业服务企业；投标人少于3个或者住宅规模较小的，经物业所在地的区、县人民政府房地产行政主管部门批准，可以采用协议方式选聘物业服务企业。</w:t>
            </w:r>
          </w:p>
        </w:tc>
        <w:tc>
          <w:tcPr>
            <w:tcW w:w="823" w:type="dxa"/>
            <w:tcBorders>
              <w:tl2br w:val="nil"/>
              <w:tr2bl w:val="nil"/>
            </w:tcBorders>
            <w:tcMar>
              <w:top w:w="15" w:type="dxa"/>
              <w:left w:w="15" w:type="dxa"/>
              <w:bottom w:w="15" w:type="dxa"/>
              <w:right w:w="15" w:type="dxa"/>
            </w:tcMar>
            <w:vAlign w:val="center"/>
          </w:tcPr>
          <w:p w14:paraId="5D8F9D9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Times New Roman"/>
                <w:color w:val="auto"/>
                <w:kern w:val="0"/>
                <w:sz w:val="13"/>
                <w:szCs w:val="13"/>
                <w:highlight w:val="none"/>
                <w:lang w:eastAsia="zh-CN"/>
              </w:rPr>
            </w:pPr>
            <w:r>
              <w:rPr>
                <w:rFonts w:hint="eastAsia" w:ascii="仿宋_GB2312" w:hAnsi="宋体" w:eastAsia="仿宋_GB2312" w:cs="Times New Roman"/>
                <w:color w:val="auto"/>
                <w:kern w:val="0"/>
                <w:sz w:val="13"/>
                <w:szCs w:val="13"/>
                <w:highlight w:val="none"/>
                <w:lang w:eastAsia="zh-CN"/>
              </w:rPr>
              <w:t>从轻情节</w:t>
            </w:r>
          </w:p>
        </w:tc>
        <w:tc>
          <w:tcPr>
            <w:tcW w:w="3437" w:type="dxa"/>
            <w:gridSpan w:val="2"/>
            <w:tcBorders>
              <w:tl2br w:val="nil"/>
              <w:tr2bl w:val="nil"/>
            </w:tcBorders>
            <w:tcMar>
              <w:top w:w="15" w:type="dxa"/>
              <w:left w:w="15" w:type="dxa"/>
              <w:bottom w:w="15" w:type="dxa"/>
              <w:right w:w="15" w:type="dxa"/>
            </w:tcMar>
            <w:vAlign w:val="center"/>
          </w:tcPr>
          <w:p w14:paraId="383E8BE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初次违法，危害后果轻微，主动采取措施消除或减轻违法行为危害后果。</w:t>
            </w:r>
          </w:p>
        </w:tc>
        <w:tc>
          <w:tcPr>
            <w:tcW w:w="3058" w:type="dxa"/>
            <w:tcBorders>
              <w:tl2br w:val="nil"/>
              <w:tr2bl w:val="nil"/>
            </w:tcBorders>
            <w:tcMar>
              <w:top w:w="15" w:type="dxa"/>
              <w:left w:w="15" w:type="dxa"/>
              <w:bottom w:w="15" w:type="dxa"/>
              <w:right w:w="15" w:type="dxa"/>
            </w:tcMar>
            <w:vAlign w:val="center"/>
          </w:tcPr>
          <w:p w14:paraId="2F0CA62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责令限期改正，给予警告，可以并处3万元以下罚款。</w:t>
            </w:r>
          </w:p>
        </w:tc>
      </w:tr>
      <w:tr w14:paraId="3DAAC93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9" w:hRule="atLeast"/>
          <w:jc w:val="center"/>
        </w:trPr>
        <w:tc>
          <w:tcPr>
            <w:tcW w:w="443" w:type="dxa"/>
            <w:gridSpan w:val="2"/>
            <w:vMerge w:val="continue"/>
            <w:tcBorders>
              <w:tl2br w:val="nil"/>
              <w:tr2bl w:val="nil"/>
            </w:tcBorders>
            <w:vAlign w:val="center"/>
          </w:tcPr>
          <w:p w14:paraId="04FAA44B">
            <w:pPr>
              <w:pStyle w:val="37"/>
              <w:keepNext w:val="0"/>
              <w:keepLines w:val="0"/>
              <w:pageBreakBefore w:val="0"/>
              <w:widowControl/>
              <w:numPr>
                <w:ilvl w:val="0"/>
                <w:numId w:val="4"/>
              </w:numPr>
              <w:kinsoku/>
              <w:overflowPunct/>
              <w:topLinePunct w:val="0"/>
              <w:autoSpaceDE/>
              <w:autoSpaceDN/>
              <w:bidi w:val="0"/>
              <w:adjustRightInd/>
              <w:snapToGrid/>
              <w:spacing w:beforeAutospacing="0" w:afterAutospacing="0" w:line="260" w:lineRule="exact"/>
              <w:ind w:left="638" w:leftChars="88" w:right="0" w:rightChars="0" w:hanging="453" w:hangingChars="349"/>
              <w:jc w:val="center"/>
              <w:rPr>
                <w:rFonts w:ascii="仿宋_GB2312" w:hAnsi="宋体" w:eastAsia="仿宋_GB2312"/>
                <w:color w:val="auto"/>
                <w:sz w:val="13"/>
                <w:szCs w:val="13"/>
                <w:highlight w:val="none"/>
              </w:rPr>
            </w:pPr>
          </w:p>
        </w:tc>
        <w:tc>
          <w:tcPr>
            <w:tcW w:w="1550" w:type="dxa"/>
            <w:vMerge w:val="continue"/>
            <w:tcBorders>
              <w:tl2br w:val="nil"/>
              <w:tr2bl w:val="nil"/>
            </w:tcBorders>
            <w:vAlign w:val="center"/>
          </w:tcPr>
          <w:p w14:paraId="6598097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5DC65C9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30D5E1B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Times New Roman"/>
                <w:color w:val="auto"/>
                <w:kern w:val="0"/>
                <w:sz w:val="13"/>
                <w:szCs w:val="13"/>
                <w:highlight w:val="none"/>
                <w:lang w:eastAsia="zh-CN"/>
              </w:rPr>
            </w:pPr>
            <w:r>
              <w:rPr>
                <w:rFonts w:hint="eastAsia" w:ascii="仿宋_GB2312" w:hAnsi="宋体" w:eastAsia="仿宋_GB2312" w:cs="Times New Roman"/>
                <w:color w:val="auto"/>
                <w:kern w:val="0"/>
                <w:sz w:val="13"/>
                <w:szCs w:val="13"/>
                <w:highlight w:val="none"/>
                <w:lang w:eastAsia="zh-CN"/>
              </w:rPr>
              <w:t>一般情节</w:t>
            </w:r>
          </w:p>
        </w:tc>
        <w:tc>
          <w:tcPr>
            <w:tcW w:w="3437" w:type="dxa"/>
            <w:gridSpan w:val="2"/>
            <w:tcBorders>
              <w:tl2br w:val="nil"/>
              <w:tr2bl w:val="nil"/>
            </w:tcBorders>
            <w:tcMar>
              <w:top w:w="15" w:type="dxa"/>
              <w:left w:w="15" w:type="dxa"/>
              <w:bottom w:w="15" w:type="dxa"/>
              <w:right w:w="15" w:type="dxa"/>
            </w:tcMar>
            <w:vAlign w:val="center"/>
          </w:tcPr>
          <w:p w14:paraId="792F17E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实施违法行为，造成不良社会影响，不具有从轻、</w:t>
            </w:r>
            <w:r>
              <w:rPr>
                <w:rFonts w:hint="eastAsia" w:ascii="仿宋_GB2312" w:hAnsi="宋体" w:eastAsia="仿宋_GB2312" w:cs="Times New Roman"/>
                <w:color w:val="auto"/>
                <w:kern w:val="0"/>
                <w:sz w:val="13"/>
                <w:szCs w:val="13"/>
                <w:highlight w:val="none"/>
                <w:lang w:eastAsia="zh-CN"/>
              </w:rPr>
              <w:t>从重情节</w:t>
            </w:r>
            <w:r>
              <w:rPr>
                <w:rFonts w:hint="eastAsia" w:ascii="仿宋_GB2312" w:hAnsi="宋体" w:eastAsia="仿宋_GB2312" w:cs="Times New Roman"/>
                <w:color w:val="auto"/>
                <w:kern w:val="0"/>
                <w:sz w:val="13"/>
                <w:szCs w:val="13"/>
                <w:highlight w:val="none"/>
              </w:rPr>
              <w:t>的。</w:t>
            </w:r>
          </w:p>
        </w:tc>
        <w:tc>
          <w:tcPr>
            <w:tcW w:w="3058" w:type="dxa"/>
            <w:tcBorders>
              <w:tl2br w:val="nil"/>
              <w:tr2bl w:val="nil"/>
            </w:tcBorders>
            <w:tcMar>
              <w:top w:w="15" w:type="dxa"/>
              <w:left w:w="15" w:type="dxa"/>
              <w:bottom w:w="15" w:type="dxa"/>
              <w:right w:w="15" w:type="dxa"/>
            </w:tcMar>
            <w:vAlign w:val="center"/>
          </w:tcPr>
          <w:p w14:paraId="22E53B6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责令限期改正，给予警告，可以并处3万元以上6万元以下罚款。</w:t>
            </w:r>
          </w:p>
        </w:tc>
      </w:tr>
      <w:tr w14:paraId="0293229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403" w:hRule="atLeast"/>
          <w:jc w:val="center"/>
        </w:trPr>
        <w:tc>
          <w:tcPr>
            <w:tcW w:w="443" w:type="dxa"/>
            <w:gridSpan w:val="2"/>
            <w:vMerge w:val="continue"/>
            <w:tcBorders>
              <w:tl2br w:val="nil"/>
              <w:tr2bl w:val="nil"/>
            </w:tcBorders>
            <w:vAlign w:val="center"/>
          </w:tcPr>
          <w:p w14:paraId="34F35C85">
            <w:pPr>
              <w:pStyle w:val="37"/>
              <w:keepNext w:val="0"/>
              <w:keepLines w:val="0"/>
              <w:pageBreakBefore w:val="0"/>
              <w:widowControl/>
              <w:numPr>
                <w:ilvl w:val="0"/>
                <w:numId w:val="4"/>
              </w:numPr>
              <w:kinsoku/>
              <w:overflowPunct/>
              <w:topLinePunct w:val="0"/>
              <w:autoSpaceDE/>
              <w:autoSpaceDN/>
              <w:bidi w:val="0"/>
              <w:adjustRightInd/>
              <w:snapToGrid/>
              <w:spacing w:beforeAutospacing="0" w:afterAutospacing="0" w:line="260" w:lineRule="exact"/>
              <w:ind w:left="638" w:leftChars="88" w:right="0" w:rightChars="0" w:hanging="453" w:hangingChars="349"/>
              <w:jc w:val="center"/>
              <w:rPr>
                <w:rFonts w:ascii="仿宋_GB2312" w:hAnsi="宋体" w:eastAsia="仿宋_GB2312"/>
                <w:color w:val="auto"/>
                <w:sz w:val="13"/>
                <w:szCs w:val="13"/>
                <w:highlight w:val="none"/>
              </w:rPr>
            </w:pPr>
          </w:p>
        </w:tc>
        <w:tc>
          <w:tcPr>
            <w:tcW w:w="1550" w:type="dxa"/>
            <w:vMerge w:val="continue"/>
            <w:tcBorders>
              <w:tl2br w:val="nil"/>
              <w:tr2bl w:val="nil"/>
            </w:tcBorders>
            <w:vAlign w:val="center"/>
          </w:tcPr>
          <w:p w14:paraId="173E52F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7147BEE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19C5DBE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Times New Roman"/>
                <w:color w:val="auto"/>
                <w:kern w:val="0"/>
                <w:sz w:val="13"/>
                <w:szCs w:val="13"/>
                <w:highlight w:val="none"/>
                <w:lang w:eastAsia="zh-CN"/>
              </w:rPr>
            </w:pPr>
            <w:r>
              <w:rPr>
                <w:rFonts w:hint="eastAsia" w:ascii="仿宋_GB2312" w:hAnsi="宋体" w:eastAsia="仿宋_GB2312" w:cs="Times New Roman"/>
                <w:color w:val="auto"/>
                <w:kern w:val="0"/>
                <w:sz w:val="13"/>
                <w:szCs w:val="13"/>
                <w:highlight w:val="none"/>
                <w:lang w:eastAsia="zh-CN"/>
              </w:rPr>
              <w:t>从重情节</w:t>
            </w:r>
          </w:p>
        </w:tc>
        <w:tc>
          <w:tcPr>
            <w:tcW w:w="3437" w:type="dxa"/>
            <w:gridSpan w:val="2"/>
            <w:tcBorders>
              <w:tl2br w:val="nil"/>
              <w:tr2bl w:val="nil"/>
            </w:tcBorders>
            <w:tcMar>
              <w:top w:w="15" w:type="dxa"/>
              <w:left w:w="15" w:type="dxa"/>
              <w:bottom w:w="15" w:type="dxa"/>
              <w:right w:w="15" w:type="dxa"/>
            </w:tcMar>
            <w:vAlign w:val="center"/>
          </w:tcPr>
          <w:p w14:paraId="6A3B412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经责令停止违法行为后，继续实施违法行为的</w:t>
            </w:r>
            <w:r>
              <w:rPr>
                <w:rFonts w:hint="eastAsia" w:ascii="仿宋_GB2312" w:hAnsi="宋体" w:eastAsia="仿宋_GB2312" w:cs="Times New Roman"/>
                <w:color w:val="auto"/>
                <w:kern w:val="0"/>
                <w:sz w:val="13"/>
                <w:szCs w:val="13"/>
                <w:highlight w:val="none"/>
                <w:lang w:eastAsia="zh-CN"/>
              </w:rPr>
              <w:t>，</w:t>
            </w:r>
            <w:r>
              <w:rPr>
                <w:rFonts w:hint="eastAsia" w:ascii="仿宋_GB2312" w:hAnsi="宋体" w:eastAsia="仿宋_GB2312" w:cs="Times New Roman"/>
                <w:color w:val="auto"/>
                <w:kern w:val="0"/>
                <w:sz w:val="13"/>
                <w:szCs w:val="13"/>
                <w:highlight w:val="none"/>
                <w:lang w:val="en-US" w:eastAsia="zh-CN"/>
              </w:rPr>
              <w:t>或</w:t>
            </w:r>
            <w:r>
              <w:rPr>
                <w:rFonts w:hint="eastAsia" w:ascii="仿宋_GB2312" w:hAnsi="宋体" w:eastAsia="仿宋_GB2312" w:cs="Times New Roman"/>
                <w:color w:val="auto"/>
                <w:kern w:val="0"/>
                <w:sz w:val="13"/>
                <w:szCs w:val="13"/>
                <w:highlight w:val="none"/>
              </w:rPr>
              <w:t>2年内2次及以上同类型违法</w:t>
            </w:r>
            <w:r>
              <w:rPr>
                <w:rFonts w:hint="eastAsia" w:ascii="仿宋_GB2312" w:hAnsi="宋体" w:eastAsia="仿宋_GB2312" w:cs="Times New Roman"/>
                <w:color w:val="auto"/>
                <w:kern w:val="0"/>
                <w:sz w:val="13"/>
                <w:szCs w:val="13"/>
                <w:highlight w:val="none"/>
                <w:lang w:eastAsia="zh-CN"/>
              </w:rPr>
              <w:t>，</w:t>
            </w:r>
            <w:r>
              <w:rPr>
                <w:rFonts w:hint="eastAsia" w:ascii="仿宋_GB2312" w:hAnsi="宋体" w:eastAsia="仿宋_GB2312" w:cs="Times New Roman"/>
                <w:color w:val="auto"/>
                <w:kern w:val="0"/>
                <w:sz w:val="13"/>
                <w:szCs w:val="13"/>
                <w:highlight w:val="none"/>
                <w:lang w:val="en-US" w:eastAsia="zh-CN"/>
              </w:rPr>
              <w:t>或</w:t>
            </w:r>
            <w:r>
              <w:rPr>
                <w:rFonts w:hint="eastAsia" w:ascii="仿宋_GB2312" w:hAnsi="宋体" w:eastAsia="仿宋_GB2312" w:cs="Times New Roman"/>
                <w:color w:val="auto"/>
                <w:kern w:val="0"/>
                <w:sz w:val="13"/>
                <w:szCs w:val="13"/>
                <w:highlight w:val="none"/>
              </w:rPr>
              <w:t>引发网络舆情事件、群体性事件等影响社会稳定的。</w:t>
            </w:r>
          </w:p>
          <w:p w14:paraId="33D57FB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s="Times New Roman"/>
                <w:color w:val="auto"/>
                <w:kern w:val="0"/>
                <w:sz w:val="13"/>
                <w:szCs w:val="13"/>
                <w:highlight w:val="none"/>
              </w:rPr>
            </w:pPr>
          </w:p>
        </w:tc>
        <w:tc>
          <w:tcPr>
            <w:tcW w:w="3058" w:type="dxa"/>
            <w:tcBorders>
              <w:tl2br w:val="nil"/>
              <w:tr2bl w:val="nil"/>
            </w:tcBorders>
            <w:tcMar>
              <w:top w:w="15" w:type="dxa"/>
              <w:left w:w="15" w:type="dxa"/>
              <w:bottom w:w="15" w:type="dxa"/>
              <w:right w:w="15" w:type="dxa"/>
            </w:tcMar>
            <w:vAlign w:val="center"/>
          </w:tcPr>
          <w:p w14:paraId="003E95E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责令限期改正，给予警告，可以并处6万元以上10万元以下罚款。</w:t>
            </w:r>
          </w:p>
        </w:tc>
      </w:tr>
      <w:tr w14:paraId="337778B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9" w:hRule="atLeast"/>
          <w:jc w:val="center"/>
        </w:trPr>
        <w:tc>
          <w:tcPr>
            <w:tcW w:w="443" w:type="dxa"/>
            <w:gridSpan w:val="2"/>
            <w:vMerge w:val="restart"/>
            <w:tcBorders>
              <w:tl2br w:val="nil"/>
              <w:tr2bl w:val="nil"/>
            </w:tcBorders>
            <w:vAlign w:val="center"/>
          </w:tcPr>
          <w:p w14:paraId="66709514">
            <w:pPr>
              <w:keepNext w:val="0"/>
              <w:keepLines w:val="0"/>
              <w:pageBreakBefore w:val="0"/>
              <w:widowControl/>
              <w:numPr>
                <w:ilvl w:val="0"/>
                <w:numId w:val="6"/>
              </w:numPr>
              <w:suppressLineNumbers w:val="0"/>
              <w:tabs>
                <w:tab w:val="clear" w:pos="397"/>
              </w:tabs>
              <w:kinsoku/>
              <w:overflowPunct/>
              <w:topLinePunct w:val="0"/>
              <w:autoSpaceDE/>
              <w:autoSpaceDN/>
              <w:bidi w:val="0"/>
              <w:adjustRightInd/>
              <w:snapToGrid/>
              <w:spacing w:beforeAutospacing="0" w:afterAutospacing="0" w:line="260" w:lineRule="exact"/>
              <w:ind w:left="638" w:leftChars="88" w:right="0" w:rightChars="0" w:hanging="453" w:hangingChars="349"/>
              <w:jc w:val="center"/>
              <w:textAlignment w:val="center"/>
              <w:rPr>
                <w:rFonts w:hint="default" w:ascii="仿宋_GB2312" w:hAnsi="宋体" w:eastAsia="仿宋_GB2312"/>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269</w:t>
            </w:r>
          </w:p>
        </w:tc>
        <w:tc>
          <w:tcPr>
            <w:tcW w:w="1550" w:type="dxa"/>
            <w:vMerge w:val="restart"/>
            <w:tcBorders>
              <w:tl2br w:val="nil"/>
              <w:tr2bl w:val="nil"/>
            </w:tcBorders>
            <w:vAlign w:val="center"/>
          </w:tcPr>
          <w:p w14:paraId="50EA182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hint="eastAsia"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建设单位擅自处分属于业主的物业共用部位、共用设施设备的所有权或者使用权的。</w:t>
            </w:r>
          </w:p>
          <w:p w14:paraId="1539158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olor w:val="auto"/>
                <w:kern w:val="0"/>
                <w:sz w:val="13"/>
                <w:szCs w:val="13"/>
                <w:highlight w:val="none"/>
              </w:rPr>
            </w:pPr>
          </w:p>
        </w:tc>
        <w:tc>
          <w:tcPr>
            <w:tcW w:w="4820" w:type="dxa"/>
            <w:vMerge w:val="restart"/>
            <w:tcBorders>
              <w:tl2br w:val="nil"/>
              <w:tr2bl w:val="nil"/>
            </w:tcBorders>
            <w:vAlign w:val="center"/>
          </w:tcPr>
          <w:p w14:paraId="3904316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《物业管理条例》</w:t>
            </w:r>
            <w:r>
              <w:rPr>
                <w:rFonts w:hint="eastAsia" w:ascii="仿宋_GB2312" w:hAnsi="宋体" w:eastAsia="仿宋_GB2312" w:cs="Times New Roman"/>
                <w:b/>
                <w:bCs/>
                <w:color w:val="auto"/>
                <w:kern w:val="0"/>
                <w:sz w:val="13"/>
                <w:szCs w:val="13"/>
                <w:highlight w:val="none"/>
              </w:rPr>
              <w:t>第五十七条</w:t>
            </w:r>
            <w:r>
              <w:rPr>
                <w:rFonts w:hint="eastAsia" w:ascii="仿宋_GB2312" w:hAnsi="宋体" w:eastAsia="仿宋_GB2312" w:cs="Times New Roman"/>
                <w:b/>
                <w:bCs/>
                <w:color w:val="auto"/>
                <w:kern w:val="0"/>
                <w:sz w:val="13"/>
                <w:szCs w:val="13"/>
                <w:highlight w:val="none"/>
                <w:lang w:eastAsia="zh-CN"/>
              </w:rPr>
              <w:t>：</w:t>
            </w:r>
            <w:r>
              <w:rPr>
                <w:rFonts w:ascii="仿宋_GB2312" w:hAnsi="宋体" w:eastAsia="仿宋_GB2312" w:cs="Times New Roman"/>
                <w:color w:val="auto"/>
                <w:kern w:val="0"/>
                <w:sz w:val="13"/>
                <w:szCs w:val="13"/>
                <w:highlight w:val="none"/>
              </w:rPr>
              <w:t>违反本条例的规定，建设单位擅自处分属于业主的物业共用部位、共用设施设备的所有权或者使用权的，由县级以上地方人民政府房地产行政主管部门处5万元以上20万元以下的罚款；给业主造成损失的，依法承担赔偿责任。</w:t>
            </w:r>
          </w:p>
          <w:p w14:paraId="118A445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olor w:val="auto"/>
                <w:sz w:val="13"/>
                <w:szCs w:val="13"/>
                <w:highlight w:val="none"/>
              </w:rPr>
            </w:pPr>
            <w:r>
              <w:rPr>
                <w:rFonts w:hint="eastAsia" w:ascii="仿宋_GB2312" w:hAnsi="宋体" w:eastAsia="仿宋_GB2312" w:cs="Times New Roman"/>
                <w:color w:val="auto"/>
                <w:kern w:val="0"/>
                <w:sz w:val="13"/>
                <w:szCs w:val="13"/>
                <w:highlight w:val="none"/>
              </w:rPr>
              <w:t>《物业管理条例》</w:t>
            </w:r>
            <w:r>
              <w:rPr>
                <w:rFonts w:hint="eastAsia" w:ascii="仿宋_GB2312" w:hAnsi="宋体" w:eastAsia="仿宋_GB2312" w:cs="Times New Roman"/>
                <w:b/>
                <w:bCs/>
                <w:color w:val="auto"/>
                <w:kern w:val="0"/>
                <w:sz w:val="13"/>
                <w:szCs w:val="13"/>
                <w:highlight w:val="none"/>
              </w:rPr>
              <w:t>第二十七条</w:t>
            </w:r>
            <w:r>
              <w:rPr>
                <w:rFonts w:hint="eastAsia" w:ascii="仿宋_GB2312" w:hAnsi="宋体" w:eastAsia="仿宋_GB2312" w:cs="Times New Roman"/>
                <w:b/>
                <w:bCs/>
                <w:color w:val="auto"/>
                <w:kern w:val="0"/>
                <w:sz w:val="13"/>
                <w:szCs w:val="13"/>
                <w:highlight w:val="none"/>
                <w:lang w:eastAsia="zh-CN"/>
              </w:rPr>
              <w:t>：</w:t>
            </w:r>
            <w:r>
              <w:rPr>
                <w:rFonts w:ascii="仿宋_GB2312" w:hAnsi="宋体" w:eastAsia="仿宋_GB2312" w:cs="Times New Roman"/>
                <w:color w:val="auto"/>
                <w:kern w:val="0"/>
                <w:sz w:val="13"/>
                <w:szCs w:val="13"/>
                <w:highlight w:val="none"/>
              </w:rPr>
              <w:t>业主依法享有的物业共用部位、共用设施设备的所有权或者使用权，建设单位不得擅自处分。</w:t>
            </w:r>
          </w:p>
        </w:tc>
        <w:tc>
          <w:tcPr>
            <w:tcW w:w="823" w:type="dxa"/>
            <w:tcBorders>
              <w:tl2br w:val="nil"/>
              <w:tr2bl w:val="nil"/>
            </w:tcBorders>
            <w:tcMar>
              <w:top w:w="15" w:type="dxa"/>
              <w:left w:w="15" w:type="dxa"/>
              <w:bottom w:w="15" w:type="dxa"/>
              <w:right w:w="15" w:type="dxa"/>
            </w:tcMar>
            <w:vAlign w:val="center"/>
          </w:tcPr>
          <w:p w14:paraId="0E6E880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Times New Roman"/>
                <w:color w:val="auto"/>
                <w:kern w:val="0"/>
                <w:sz w:val="13"/>
                <w:szCs w:val="13"/>
                <w:highlight w:val="none"/>
                <w:lang w:eastAsia="zh-CN"/>
              </w:rPr>
            </w:pPr>
            <w:r>
              <w:rPr>
                <w:rFonts w:hint="eastAsia" w:ascii="仿宋_GB2312" w:hAnsi="宋体" w:eastAsia="仿宋_GB2312" w:cs="Times New Roman"/>
                <w:color w:val="auto"/>
                <w:kern w:val="0"/>
                <w:sz w:val="13"/>
                <w:szCs w:val="13"/>
                <w:highlight w:val="none"/>
                <w:lang w:eastAsia="zh-CN"/>
              </w:rPr>
              <w:t>从轻情节</w:t>
            </w:r>
          </w:p>
        </w:tc>
        <w:tc>
          <w:tcPr>
            <w:tcW w:w="3437" w:type="dxa"/>
            <w:gridSpan w:val="2"/>
            <w:tcBorders>
              <w:tl2br w:val="nil"/>
              <w:tr2bl w:val="nil"/>
            </w:tcBorders>
            <w:tcMar>
              <w:top w:w="15" w:type="dxa"/>
              <w:left w:w="15" w:type="dxa"/>
              <w:bottom w:w="15" w:type="dxa"/>
              <w:right w:w="15" w:type="dxa"/>
            </w:tcMar>
            <w:vAlign w:val="center"/>
          </w:tcPr>
          <w:p w14:paraId="1A0FEF6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初次违法，危害后果轻微，主动采取措施消除或减轻违法行为危害后果。</w:t>
            </w:r>
          </w:p>
        </w:tc>
        <w:tc>
          <w:tcPr>
            <w:tcW w:w="3058" w:type="dxa"/>
            <w:tcBorders>
              <w:tl2br w:val="nil"/>
              <w:tr2bl w:val="nil"/>
            </w:tcBorders>
            <w:tcMar>
              <w:top w:w="15" w:type="dxa"/>
              <w:left w:w="15" w:type="dxa"/>
              <w:bottom w:w="15" w:type="dxa"/>
              <w:right w:w="15" w:type="dxa"/>
            </w:tcMar>
            <w:vAlign w:val="center"/>
          </w:tcPr>
          <w:p w14:paraId="590A9CC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处5万元罚款。</w:t>
            </w:r>
          </w:p>
        </w:tc>
      </w:tr>
      <w:tr w14:paraId="204EF78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9" w:hRule="atLeast"/>
          <w:jc w:val="center"/>
        </w:trPr>
        <w:tc>
          <w:tcPr>
            <w:tcW w:w="443" w:type="dxa"/>
            <w:gridSpan w:val="2"/>
            <w:vMerge w:val="continue"/>
            <w:tcBorders>
              <w:tl2br w:val="nil"/>
              <w:tr2bl w:val="nil"/>
            </w:tcBorders>
            <w:vAlign w:val="center"/>
          </w:tcPr>
          <w:p w14:paraId="67E68692">
            <w:pPr>
              <w:keepNext w:val="0"/>
              <w:keepLines w:val="0"/>
              <w:pageBreakBefore w:val="0"/>
              <w:widowControl/>
              <w:kinsoku/>
              <w:overflowPunct/>
              <w:topLinePunct w:val="0"/>
              <w:autoSpaceDE/>
              <w:autoSpaceDN/>
              <w:bidi w:val="0"/>
              <w:adjustRightInd/>
              <w:snapToGrid/>
              <w:spacing w:beforeAutospacing="0" w:afterAutospacing="0" w:line="260" w:lineRule="exact"/>
              <w:ind w:left="638" w:leftChars="88" w:right="0" w:rightChars="0" w:hanging="453" w:hangingChars="349"/>
              <w:jc w:val="center"/>
              <w:rPr>
                <w:rFonts w:ascii="仿宋_GB2312" w:hAnsi="宋体" w:eastAsia="仿宋_GB2312"/>
                <w:color w:val="auto"/>
                <w:sz w:val="13"/>
                <w:szCs w:val="13"/>
                <w:highlight w:val="none"/>
              </w:rPr>
            </w:pPr>
          </w:p>
        </w:tc>
        <w:tc>
          <w:tcPr>
            <w:tcW w:w="1550" w:type="dxa"/>
            <w:vMerge w:val="continue"/>
            <w:tcBorders>
              <w:tl2br w:val="nil"/>
              <w:tr2bl w:val="nil"/>
            </w:tcBorders>
            <w:vAlign w:val="center"/>
          </w:tcPr>
          <w:p w14:paraId="4F9B54C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0F9822C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5715A06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Times New Roman"/>
                <w:color w:val="auto"/>
                <w:kern w:val="0"/>
                <w:sz w:val="13"/>
                <w:szCs w:val="13"/>
                <w:highlight w:val="none"/>
                <w:lang w:eastAsia="zh-CN"/>
              </w:rPr>
            </w:pPr>
            <w:r>
              <w:rPr>
                <w:rFonts w:hint="eastAsia" w:ascii="仿宋_GB2312" w:hAnsi="宋体" w:eastAsia="仿宋_GB2312" w:cs="Times New Roman"/>
                <w:color w:val="auto"/>
                <w:kern w:val="0"/>
                <w:sz w:val="13"/>
                <w:szCs w:val="13"/>
                <w:highlight w:val="none"/>
                <w:lang w:eastAsia="zh-CN"/>
              </w:rPr>
              <w:t>一般情节</w:t>
            </w:r>
          </w:p>
        </w:tc>
        <w:tc>
          <w:tcPr>
            <w:tcW w:w="3437" w:type="dxa"/>
            <w:gridSpan w:val="2"/>
            <w:tcBorders>
              <w:tl2br w:val="nil"/>
              <w:tr2bl w:val="nil"/>
            </w:tcBorders>
            <w:tcMar>
              <w:top w:w="15" w:type="dxa"/>
              <w:left w:w="15" w:type="dxa"/>
              <w:bottom w:w="15" w:type="dxa"/>
              <w:right w:w="15" w:type="dxa"/>
            </w:tcMar>
            <w:vAlign w:val="center"/>
          </w:tcPr>
          <w:p w14:paraId="5ED493F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实施违法行为，造成不良社会影响，不具有从轻、</w:t>
            </w:r>
            <w:r>
              <w:rPr>
                <w:rFonts w:hint="eastAsia" w:ascii="仿宋_GB2312" w:hAnsi="宋体" w:eastAsia="仿宋_GB2312" w:cs="Times New Roman"/>
                <w:color w:val="auto"/>
                <w:kern w:val="0"/>
                <w:sz w:val="13"/>
                <w:szCs w:val="13"/>
                <w:highlight w:val="none"/>
                <w:lang w:eastAsia="zh-CN"/>
              </w:rPr>
              <w:t>从重情节</w:t>
            </w:r>
            <w:r>
              <w:rPr>
                <w:rFonts w:hint="eastAsia" w:ascii="仿宋_GB2312" w:hAnsi="宋体" w:eastAsia="仿宋_GB2312" w:cs="Times New Roman"/>
                <w:color w:val="auto"/>
                <w:kern w:val="0"/>
                <w:sz w:val="13"/>
                <w:szCs w:val="13"/>
                <w:highlight w:val="none"/>
              </w:rPr>
              <w:t>的。</w:t>
            </w:r>
          </w:p>
        </w:tc>
        <w:tc>
          <w:tcPr>
            <w:tcW w:w="3058" w:type="dxa"/>
            <w:tcBorders>
              <w:tl2br w:val="nil"/>
              <w:tr2bl w:val="nil"/>
            </w:tcBorders>
            <w:tcMar>
              <w:top w:w="15" w:type="dxa"/>
              <w:left w:w="15" w:type="dxa"/>
              <w:bottom w:w="15" w:type="dxa"/>
              <w:right w:w="15" w:type="dxa"/>
            </w:tcMar>
            <w:vAlign w:val="center"/>
          </w:tcPr>
          <w:p w14:paraId="4500676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处5万元以上15万元以下罚款。</w:t>
            </w:r>
          </w:p>
          <w:p w14:paraId="7323AA1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s="Times New Roman"/>
                <w:color w:val="auto"/>
                <w:kern w:val="0"/>
                <w:sz w:val="13"/>
                <w:szCs w:val="13"/>
                <w:highlight w:val="none"/>
              </w:rPr>
            </w:pPr>
          </w:p>
        </w:tc>
      </w:tr>
      <w:tr w14:paraId="6A13DC7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25" w:hRule="atLeast"/>
          <w:jc w:val="center"/>
        </w:trPr>
        <w:tc>
          <w:tcPr>
            <w:tcW w:w="443" w:type="dxa"/>
            <w:gridSpan w:val="2"/>
            <w:vMerge w:val="continue"/>
            <w:tcBorders>
              <w:tl2br w:val="nil"/>
              <w:tr2bl w:val="nil"/>
            </w:tcBorders>
            <w:vAlign w:val="center"/>
          </w:tcPr>
          <w:p w14:paraId="3F284993">
            <w:pPr>
              <w:keepNext w:val="0"/>
              <w:keepLines w:val="0"/>
              <w:pageBreakBefore w:val="0"/>
              <w:widowControl/>
              <w:kinsoku/>
              <w:overflowPunct/>
              <w:topLinePunct w:val="0"/>
              <w:autoSpaceDE/>
              <w:autoSpaceDN/>
              <w:bidi w:val="0"/>
              <w:adjustRightInd/>
              <w:snapToGrid/>
              <w:spacing w:beforeAutospacing="0" w:afterAutospacing="0" w:line="260" w:lineRule="exact"/>
              <w:ind w:left="638" w:leftChars="88" w:right="0" w:rightChars="0" w:hanging="453" w:hangingChars="349"/>
              <w:jc w:val="center"/>
              <w:rPr>
                <w:rFonts w:ascii="仿宋_GB2312" w:hAnsi="宋体" w:eastAsia="仿宋_GB2312"/>
                <w:color w:val="auto"/>
                <w:sz w:val="13"/>
                <w:szCs w:val="13"/>
                <w:highlight w:val="none"/>
              </w:rPr>
            </w:pPr>
          </w:p>
        </w:tc>
        <w:tc>
          <w:tcPr>
            <w:tcW w:w="1550" w:type="dxa"/>
            <w:vMerge w:val="continue"/>
            <w:tcBorders>
              <w:tl2br w:val="nil"/>
              <w:tr2bl w:val="nil"/>
            </w:tcBorders>
            <w:vAlign w:val="center"/>
          </w:tcPr>
          <w:p w14:paraId="6EEEE20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35A3184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602FBD8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Times New Roman"/>
                <w:color w:val="auto"/>
                <w:kern w:val="0"/>
                <w:sz w:val="13"/>
                <w:szCs w:val="13"/>
                <w:highlight w:val="none"/>
                <w:lang w:eastAsia="zh-CN"/>
              </w:rPr>
            </w:pPr>
            <w:r>
              <w:rPr>
                <w:rFonts w:hint="eastAsia" w:ascii="仿宋_GB2312" w:hAnsi="宋体" w:eastAsia="仿宋_GB2312" w:cs="Times New Roman"/>
                <w:color w:val="auto"/>
                <w:kern w:val="0"/>
                <w:sz w:val="13"/>
                <w:szCs w:val="13"/>
                <w:highlight w:val="none"/>
                <w:lang w:eastAsia="zh-CN"/>
              </w:rPr>
              <w:t>从重情节</w:t>
            </w:r>
          </w:p>
        </w:tc>
        <w:tc>
          <w:tcPr>
            <w:tcW w:w="3437" w:type="dxa"/>
            <w:gridSpan w:val="2"/>
            <w:tcBorders>
              <w:tl2br w:val="nil"/>
              <w:tr2bl w:val="nil"/>
            </w:tcBorders>
            <w:tcMar>
              <w:top w:w="15" w:type="dxa"/>
              <w:left w:w="15" w:type="dxa"/>
              <w:bottom w:w="15" w:type="dxa"/>
              <w:right w:w="15" w:type="dxa"/>
            </w:tcMar>
            <w:vAlign w:val="center"/>
          </w:tcPr>
          <w:p w14:paraId="046D707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经责令停止违法行为后，继续实施违法行为的</w:t>
            </w:r>
            <w:r>
              <w:rPr>
                <w:rFonts w:hint="eastAsia" w:ascii="仿宋_GB2312" w:hAnsi="宋体" w:eastAsia="仿宋_GB2312" w:cs="Times New Roman"/>
                <w:color w:val="auto"/>
                <w:kern w:val="0"/>
                <w:sz w:val="13"/>
                <w:szCs w:val="13"/>
                <w:highlight w:val="none"/>
                <w:lang w:eastAsia="zh-CN"/>
              </w:rPr>
              <w:t>，</w:t>
            </w:r>
            <w:r>
              <w:rPr>
                <w:rFonts w:hint="eastAsia" w:ascii="仿宋_GB2312" w:hAnsi="宋体" w:eastAsia="仿宋_GB2312" w:cs="Times New Roman"/>
                <w:color w:val="auto"/>
                <w:kern w:val="0"/>
                <w:sz w:val="13"/>
                <w:szCs w:val="13"/>
                <w:highlight w:val="none"/>
                <w:lang w:val="en-US" w:eastAsia="zh-CN"/>
              </w:rPr>
              <w:t>或</w:t>
            </w:r>
            <w:r>
              <w:rPr>
                <w:rFonts w:hint="eastAsia" w:ascii="仿宋_GB2312" w:hAnsi="宋体" w:eastAsia="仿宋_GB2312" w:cs="Times New Roman"/>
                <w:color w:val="auto"/>
                <w:kern w:val="0"/>
                <w:sz w:val="13"/>
                <w:szCs w:val="13"/>
                <w:highlight w:val="none"/>
              </w:rPr>
              <w:t>2年内2次及以上同类型违法</w:t>
            </w:r>
            <w:r>
              <w:rPr>
                <w:rFonts w:hint="eastAsia" w:ascii="仿宋_GB2312" w:hAnsi="宋体" w:eastAsia="仿宋_GB2312" w:cs="Times New Roman"/>
                <w:color w:val="auto"/>
                <w:kern w:val="0"/>
                <w:sz w:val="13"/>
                <w:szCs w:val="13"/>
                <w:highlight w:val="none"/>
                <w:lang w:eastAsia="zh-CN"/>
              </w:rPr>
              <w:t>，</w:t>
            </w:r>
            <w:r>
              <w:rPr>
                <w:rFonts w:hint="eastAsia" w:ascii="仿宋_GB2312" w:hAnsi="宋体" w:eastAsia="仿宋_GB2312" w:cs="Times New Roman"/>
                <w:color w:val="auto"/>
                <w:kern w:val="0"/>
                <w:sz w:val="13"/>
                <w:szCs w:val="13"/>
                <w:highlight w:val="none"/>
                <w:lang w:val="en-US" w:eastAsia="zh-CN"/>
              </w:rPr>
              <w:t>或</w:t>
            </w:r>
            <w:r>
              <w:rPr>
                <w:rFonts w:hint="eastAsia" w:ascii="仿宋_GB2312" w:hAnsi="宋体" w:eastAsia="仿宋_GB2312" w:cs="Times New Roman"/>
                <w:color w:val="auto"/>
                <w:kern w:val="0"/>
                <w:sz w:val="13"/>
                <w:szCs w:val="13"/>
                <w:highlight w:val="none"/>
              </w:rPr>
              <w:t>引发网络舆情事件、群体性事件等影响社会稳定的。</w:t>
            </w:r>
          </w:p>
        </w:tc>
        <w:tc>
          <w:tcPr>
            <w:tcW w:w="3058" w:type="dxa"/>
            <w:tcBorders>
              <w:tl2br w:val="nil"/>
              <w:tr2bl w:val="nil"/>
            </w:tcBorders>
            <w:tcMar>
              <w:top w:w="15" w:type="dxa"/>
              <w:left w:w="15" w:type="dxa"/>
              <w:bottom w:w="15" w:type="dxa"/>
              <w:right w:w="15" w:type="dxa"/>
            </w:tcMar>
            <w:vAlign w:val="center"/>
          </w:tcPr>
          <w:p w14:paraId="752504B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处15万元以上20万元以下罚款。</w:t>
            </w:r>
          </w:p>
        </w:tc>
      </w:tr>
      <w:tr w14:paraId="5690E5A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48" w:hRule="atLeast"/>
          <w:jc w:val="center"/>
        </w:trPr>
        <w:tc>
          <w:tcPr>
            <w:tcW w:w="443" w:type="dxa"/>
            <w:gridSpan w:val="2"/>
            <w:vMerge w:val="restart"/>
            <w:tcBorders>
              <w:tl2br w:val="nil"/>
              <w:tr2bl w:val="nil"/>
            </w:tcBorders>
            <w:vAlign w:val="center"/>
          </w:tcPr>
          <w:p w14:paraId="42CDFD1A">
            <w:pPr>
              <w:keepNext w:val="0"/>
              <w:keepLines w:val="0"/>
              <w:pageBreakBefore w:val="0"/>
              <w:widowControl/>
              <w:numPr>
                <w:ilvl w:val="0"/>
                <w:numId w:val="6"/>
              </w:numPr>
              <w:suppressLineNumbers w:val="0"/>
              <w:tabs>
                <w:tab w:val="clear" w:pos="397"/>
              </w:tabs>
              <w:kinsoku/>
              <w:overflowPunct/>
              <w:topLinePunct w:val="0"/>
              <w:autoSpaceDE/>
              <w:autoSpaceDN/>
              <w:bidi w:val="0"/>
              <w:adjustRightInd/>
              <w:snapToGrid/>
              <w:spacing w:beforeAutospacing="0" w:afterAutospacing="0" w:line="260" w:lineRule="exact"/>
              <w:ind w:left="638" w:leftChars="88" w:right="0" w:rightChars="0" w:hanging="453" w:hangingChars="349"/>
              <w:jc w:val="center"/>
              <w:textAlignment w:val="center"/>
              <w:rPr>
                <w:rFonts w:hint="default" w:ascii="仿宋_GB2312" w:hAnsi="宋体" w:eastAsia="仿宋_GB2312"/>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270</w:t>
            </w:r>
          </w:p>
        </w:tc>
        <w:tc>
          <w:tcPr>
            <w:tcW w:w="1550" w:type="dxa"/>
            <w:vMerge w:val="restart"/>
            <w:tcBorders>
              <w:tl2br w:val="nil"/>
              <w:tr2bl w:val="nil"/>
            </w:tcBorders>
            <w:vAlign w:val="center"/>
          </w:tcPr>
          <w:p w14:paraId="1F86B7E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hint="eastAsia" w:ascii="仿宋_GB2312" w:hAnsi="宋体" w:eastAsia="仿宋_GB2312"/>
                <w:color w:val="auto"/>
                <w:kern w:val="0"/>
                <w:sz w:val="13"/>
                <w:szCs w:val="13"/>
                <w:highlight w:val="none"/>
                <w:lang w:eastAsia="zh-CN"/>
              </w:rPr>
            </w:pPr>
            <w:r>
              <w:rPr>
                <w:rFonts w:ascii="仿宋_GB2312" w:hAnsi="宋体" w:eastAsia="仿宋_GB2312" w:cs="Times New Roman"/>
                <w:color w:val="auto"/>
                <w:kern w:val="0"/>
                <w:sz w:val="13"/>
                <w:szCs w:val="13"/>
                <w:highlight w:val="none"/>
              </w:rPr>
              <w:t>在办理物业承接验收手续时，建设单位</w:t>
            </w:r>
            <w:r>
              <w:rPr>
                <w:rFonts w:hint="eastAsia" w:ascii="仿宋_GB2312" w:hAnsi="宋体" w:eastAsia="仿宋_GB2312" w:cs="Times New Roman"/>
                <w:color w:val="auto"/>
                <w:kern w:val="0"/>
                <w:sz w:val="13"/>
                <w:szCs w:val="13"/>
                <w:highlight w:val="none"/>
              </w:rPr>
              <w:t>未</w:t>
            </w:r>
            <w:r>
              <w:rPr>
                <w:rFonts w:ascii="仿宋_GB2312" w:hAnsi="宋体" w:eastAsia="仿宋_GB2312" w:cs="Times New Roman"/>
                <w:color w:val="auto"/>
                <w:kern w:val="0"/>
                <w:sz w:val="13"/>
                <w:szCs w:val="13"/>
                <w:highlight w:val="none"/>
              </w:rPr>
              <w:t>向物业服务企业移交</w:t>
            </w:r>
            <w:r>
              <w:rPr>
                <w:rFonts w:hint="eastAsia" w:ascii="仿宋_GB2312" w:hAnsi="宋体" w:eastAsia="仿宋_GB2312" w:cs="Times New Roman"/>
                <w:color w:val="auto"/>
                <w:kern w:val="0"/>
                <w:sz w:val="13"/>
                <w:szCs w:val="13"/>
                <w:highlight w:val="none"/>
              </w:rPr>
              <w:t>有关</w:t>
            </w:r>
            <w:r>
              <w:rPr>
                <w:rFonts w:ascii="仿宋_GB2312" w:hAnsi="宋体" w:eastAsia="仿宋_GB2312" w:cs="Times New Roman"/>
                <w:color w:val="auto"/>
                <w:kern w:val="0"/>
                <w:sz w:val="13"/>
                <w:szCs w:val="13"/>
                <w:highlight w:val="none"/>
              </w:rPr>
              <w:t>资料</w:t>
            </w:r>
            <w:r>
              <w:rPr>
                <w:rFonts w:hint="eastAsia" w:ascii="仿宋_GB2312" w:hAnsi="宋体" w:eastAsia="仿宋_GB2312" w:cs="Times New Roman"/>
                <w:color w:val="auto"/>
                <w:kern w:val="0"/>
                <w:sz w:val="13"/>
                <w:szCs w:val="13"/>
                <w:highlight w:val="none"/>
              </w:rPr>
              <w:t>的</w:t>
            </w:r>
            <w:r>
              <w:rPr>
                <w:rFonts w:hint="eastAsia" w:ascii="仿宋_GB2312" w:hAnsi="宋体" w:eastAsia="仿宋_GB2312" w:cs="Times New Roman"/>
                <w:color w:val="auto"/>
                <w:kern w:val="0"/>
                <w:sz w:val="13"/>
                <w:szCs w:val="13"/>
                <w:highlight w:val="none"/>
                <w:lang w:eastAsia="zh-CN"/>
              </w:rPr>
              <w:t>；</w:t>
            </w:r>
            <w:r>
              <w:rPr>
                <w:rFonts w:hint="eastAsia" w:ascii="仿宋_GB2312" w:hAnsi="宋体" w:eastAsia="仿宋_GB2312" w:cs="Times New Roman"/>
                <w:color w:val="auto"/>
                <w:kern w:val="0"/>
                <w:sz w:val="13"/>
                <w:szCs w:val="13"/>
                <w:highlight w:val="none"/>
              </w:rPr>
              <w:t>前期物业服务合同终止时，物业服务企业未将有关资料移交给业主委员会的。</w:t>
            </w:r>
          </w:p>
        </w:tc>
        <w:tc>
          <w:tcPr>
            <w:tcW w:w="4820" w:type="dxa"/>
            <w:vMerge w:val="restart"/>
            <w:tcBorders>
              <w:tl2br w:val="nil"/>
              <w:tr2bl w:val="nil"/>
            </w:tcBorders>
            <w:vAlign w:val="center"/>
          </w:tcPr>
          <w:p w14:paraId="02B6501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Times New Roman"/>
                <w:color w:val="auto"/>
                <w:sz w:val="13"/>
                <w:szCs w:val="13"/>
                <w:highlight w:val="none"/>
              </w:rPr>
            </w:pPr>
            <w:r>
              <w:rPr>
                <w:rFonts w:hint="eastAsia" w:ascii="仿宋_GB2312" w:hAnsi="宋体" w:eastAsia="仿宋_GB2312" w:cs="Times New Roman"/>
                <w:color w:val="auto"/>
                <w:kern w:val="0"/>
                <w:sz w:val="13"/>
                <w:szCs w:val="13"/>
                <w:highlight w:val="none"/>
              </w:rPr>
              <w:t>《</w:t>
            </w:r>
            <w:r>
              <w:rPr>
                <w:rFonts w:hint="eastAsia" w:ascii="仿宋_GB2312" w:hAnsi="宋体" w:eastAsia="仿宋_GB2312" w:cs="Times New Roman"/>
                <w:color w:val="auto"/>
                <w:sz w:val="13"/>
                <w:szCs w:val="13"/>
                <w:highlight w:val="none"/>
              </w:rPr>
              <w:t>物业管理条例》</w:t>
            </w:r>
            <w:r>
              <w:rPr>
                <w:rFonts w:hint="eastAsia" w:ascii="仿宋_GB2312" w:hAnsi="宋体" w:eastAsia="仿宋_GB2312" w:cs="Times New Roman"/>
                <w:b/>
                <w:bCs/>
                <w:color w:val="auto"/>
                <w:sz w:val="13"/>
                <w:szCs w:val="13"/>
                <w:highlight w:val="none"/>
              </w:rPr>
              <w:t>第五十八条</w:t>
            </w:r>
            <w:r>
              <w:rPr>
                <w:rFonts w:hint="eastAsia" w:ascii="仿宋_GB2312" w:hAnsi="宋体" w:eastAsia="仿宋_GB2312" w:cs="Times New Roman"/>
                <w:b/>
                <w:bCs/>
                <w:color w:val="auto"/>
                <w:sz w:val="13"/>
                <w:szCs w:val="13"/>
                <w:highlight w:val="none"/>
                <w:lang w:eastAsia="zh-CN"/>
              </w:rPr>
              <w:t>：</w:t>
            </w:r>
            <w:r>
              <w:rPr>
                <w:rFonts w:hint="eastAsia" w:ascii="仿宋_GB2312" w:hAnsi="宋体" w:eastAsia="仿宋_GB2312" w:cs="Times New Roman"/>
                <w:b w:val="0"/>
                <w:bCs w:val="0"/>
                <w:color w:val="auto"/>
                <w:kern w:val="0"/>
                <w:sz w:val="13"/>
                <w:szCs w:val="13"/>
                <w:highlight w:val="none"/>
                <w:lang w:eastAsia="zh-CN"/>
              </w:rPr>
              <w:t>违反本条例规定，</w:t>
            </w:r>
            <w:r>
              <w:rPr>
                <w:rFonts w:hint="eastAsia" w:ascii="仿宋_GB2312" w:hAnsi="宋体" w:eastAsia="仿宋_GB2312" w:cs="Times New Roman"/>
                <w:color w:val="auto"/>
                <w:sz w:val="13"/>
                <w:szCs w:val="13"/>
                <w:highlight w:val="none"/>
              </w:rPr>
              <w:t>不移交有关资料的，由县级以上地方人民政府房地产行政主管部门责令限期改正；逾期仍不移交有关资料的，对建设单位、物业服务企业予以通报，处1万元以上10万元以下的罚款。</w:t>
            </w:r>
          </w:p>
          <w:p w14:paraId="76FA3CD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《物业管理条例》</w:t>
            </w:r>
            <w:r>
              <w:rPr>
                <w:rFonts w:hint="eastAsia" w:ascii="仿宋_GB2312" w:hAnsi="宋体" w:eastAsia="仿宋_GB2312" w:cs="Times New Roman"/>
                <w:b/>
                <w:bCs/>
                <w:color w:val="auto"/>
                <w:kern w:val="0"/>
                <w:sz w:val="13"/>
                <w:szCs w:val="13"/>
                <w:highlight w:val="none"/>
              </w:rPr>
              <w:t>第二十九条</w:t>
            </w:r>
            <w:r>
              <w:rPr>
                <w:rFonts w:hint="eastAsia" w:ascii="仿宋_GB2312" w:hAnsi="宋体" w:eastAsia="仿宋_GB2312" w:cs="Times New Roman"/>
                <w:b/>
                <w:bCs/>
                <w:color w:val="auto"/>
                <w:kern w:val="0"/>
                <w:sz w:val="13"/>
                <w:szCs w:val="13"/>
                <w:highlight w:val="none"/>
                <w:lang w:eastAsia="zh-CN"/>
              </w:rPr>
              <w:t>：</w:t>
            </w:r>
            <w:r>
              <w:rPr>
                <w:rFonts w:ascii="仿宋_GB2312" w:hAnsi="宋体" w:eastAsia="仿宋_GB2312" w:cs="Times New Roman"/>
                <w:color w:val="auto"/>
                <w:kern w:val="0"/>
                <w:sz w:val="13"/>
                <w:szCs w:val="13"/>
                <w:highlight w:val="none"/>
              </w:rPr>
              <w:t>在办理物业承接验收手续时，建设单位应当向物业服务企业移交下列资料：（一）竣工总平面图，单体建筑、结构、设备竣工图，配套设施、地下管网工程竣工图等竣工验收资料；（二）设施设备的安装、使用和维护保养等技术资料；（三）物业质量保修文件和物业使用说明文件；（四）物业管理所必需的其他资料。物业服企业应当在前期物业服务合同终止时将上述资料移交给业主委员会。</w:t>
            </w:r>
          </w:p>
        </w:tc>
        <w:tc>
          <w:tcPr>
            <w:tcW w:w="823" w:type="dxa"/>
            <w:tcBorders>
              <w:tl2br w:val="nil"/>
              <w:tr2bl w:val="nil"/>
            </w:tcBorders>
            <w:tcMar>
              <w:top w:w="15" w:type="dxa"/>
              <w:left w:w="15" w:type="dxa"/>
              <w:bottom w:w="15" w:type="dxa"/>
              <w:right w:w="15" w:type="dxa"/>
            </w:tcMar>
            <w:vAlign w:val="center"/>
          </w:tcPr>
          <w:p w14:paraId="4CE243B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Times New Roman"/>
                <w:color w:val="auto"/>
                <w:kern w:val="0"/>
                <w:sz w:val="13"/>
                <w:szCs w:val="13"/>
                <w:highlight w:val="none"/>
                <w:lang w:eastAsia="zh-CN"/>
              </w:rPr>
            </w:pPr>
            <w:r>
              <w:rPr>
                <w:rFonts w:hint="eastAsia" w:ascii="仿宋_GB2312" w:hAnsi="宋体" w:eastAsia="仿宋_GB2312" w:cs="Times New Roman"/>
                <w:color w:val="auto"/>
                <w:kern w:val="0"/>
                <w:sz w:val="13"/>
                <w:szCs w:val="13"/>
                <w:highlight w:val="none"/>
                <w:lang w:eastAsia="zh-CN"/>
              </w:rPr>
              <w:t>从轻情节</w:t>
            </w:r>
          </w:p>
        </w:tc>
        <w:tc>
          <w:tcPr>
            <w:tcW w:w="3437" w:type="dxa"/>
            <w:gridSpan w:val="2"/>
            <w:tcBorders>
              <w:tl2br w:val="nil"/>
              <w:tr2bl w:val="nil"/>
            </w:tcBorders>
            <w:tcMar>
              <w:top w:w="15" w:type="dxa"/>
              <w:left w:w="15" w:type="dxa"/>
              <w:bottom w:w="15" w:type="dxa"/>
              <w:right w:w="15" w:type="dxa"/>
            </w:tcMar>
            <w:vAlign w:val="center"/>
          </w:tcPr>
          <w:p w14:paraId="77EF44D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初次违法，责令限期改正，逾期1个月以下，不移交有关资料的。</w:t>
            </w:r>
          </w:p>
        </w:tc>
        <w:tc>
          <w:tcPr>
            <w:tcW w:w="3058" w:type="dxa"/>
            <w:tcBorders>
              <w:tl2br w:val="nil"/>
              <w:tr2bl w:val="nil"/>
            </w:tcBorders>
            <w:tcMar>
              <w:top w:w="15" w:type="dxa"/>
              <w:left w:w="15" w:type="dxa"/>
              <w:bottom w:w="15" w:type="dxa"/>
              <w:right w:w="15" w:type="dxa"/>
            </w:tcMar>
            <w:vAlign w:val="center"/>
          </w:tcPr>
          <w:p w14:paraId="624A362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予以通报，处1万元罚款。</w:t>
            </w:r>
          </w:p>
        </w:tc>
      </w:tr>
      <w:tr w14:paraId="247B2E4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83" w:hRule="atLeast"/>
          <w:jc w:val="center"/>
        </w:trPr>
        <w:tc>
          <w:tcPr>
            <w:tcW w:w="443" w:type="dxa"/>
            <w:gridSpan w:val="2"/>
            <w:vMerge w:val="continue"/>
            <w:tcBorders>
              <w:tl2br w:val="nil"/>
              <w:tr2bl w:val="nil"/>
            </w:tcBorders>
            <w:vAlign w:val="center"/>
          </w:tcPr>
          <w:p w14:paraId="7F0A5021">
            <w:pPr>
              <w:keepNext w:val="0"/>
              <w:keepLines w:val="0"/>
              <w:pageBreakBefore w:val="0"/>
              <w:widowControl/>
              <w:kinsoku/>
              <w:overflowPunct/>
              <w:topLinePunct w:val="0"/>
              <w:autoSpaceDE/>
              <w:autoSpaceDN/>
              <w:bidi w:val="0"/>
              <w:adjustRightInd/>
              <w:snapToGrid/>
              <w:spacing w:beforeAutospacing="0" w:afterAutospacing="0" w:line="260" w:lineRule="exact"/>
              <w:ind w:left="638" w:leftChars="88" w:right="0" w:rightChars="0" w:hanging="453" w:hangingChars="349"/>
              <w:jc w:val="center"/>
              <w:rPr>
                <w:rFonts w:ascii="仿宋_GB2312" w:hAnsi="宋体" w:eastAsia="仿宋_GB2312"/>
                <w:color w:val="auto"/>
                <w:sz w:val="13"/>
                <w:szCs w:val="13"/>
                <w:highlight w:val="none"/>
              </w:rPr>
            </w:pPr>
          </w:p>
        </w:tc>
        <w:tc>
          <w:tcPr>
            <w:tcW w:w="1550" w:type="dxa"/>
            <w:vMerge w:val="continue"/>
            <w:tcBorders>
              <w:tl2br w:val="nil"/>
              <w:tr2bl w:val="nil"/>
            </w:tcBorders>
            <w:vAlign w:val="center"/>
          </w:tcPr>
          <w:p w14:paraId="1FF99A2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4CE7BAC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3E62579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Times New Roman"/>
                <w:color w:val="auto"/>
                <w:kern w:val="0"/>
                <w:sz w:val="13"/>
                <w:szCs w:val="13"/>
                <w:highlight w:val="none"/>
                <w:lang w:eastAsia="zh-CN"/>
              </w:rPr>
            </w:pPr>
            <w:r>
              <w:rPr>
                <w:rFonts w:hint="eastAsia" w:ascii="仿宋_GB2312" w:hAnsi="宋体" w:eastAsia="仿宋_GB2312" w:cs="Times New Roman"/>
                <w:color w:val="auto"/>
                <w:kern w:val="0"/>
                <w:sz w:val="13"/>
                <w:szCs w:val="13"/>
                <w:highlight w:val="none"/>
                <w:lang w:eastAsia="zh-CN"/>
              </w:rPr>
              <w:t>一般情节</w:t>
            </w:r>
          </w:p>
        </w:tc>
        <w:tc>
          <w:tcPr>
            <w:tcW w:w="3437" w:type="dxa"/>
            <w:gridSpan w:val="2"/>
            <w:tcBorders>
              <w:tl2br w:val="nil"/>
              <w:tr2bl w:val="nil"/>
            </w:tcBorders>
            <w:tcMar>
              <w:top w:w="15" w:type="dxa"/>
              <w:left w:w="15" w:type="dxa"/>
              <w:bottom w:w="15" w:type="dxa"/>
              <w:right w:w="15" w:type="dxa"/>
            </w:tcMar>
            <w:vAlign w:val="center"/>
          </w:tcPr>
          <w:p w14:paraId="3BBD387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责令限期改正，逾期1个月以上3个月以下，仍不移交有关资料的。</w:t>
            </w:r>
          </w:p>
        </w:tc>
        <w:tc>
          <w:tcPr>
            <w:tcW w:w="3058" w:type="dxa"/>
            <w:tcBorders>
              <w:tl2br w:val="nil"/>
              <w:tr2bl w:val="nil"/>
            </w:tcBorders>
            <w:tcMar>
              <w:top w:w="15" w:type="dxa"/>
              <w:left w:w="15" w:type="dxa"/>
              <w:bottom w:w="15" w:type="dxa"/>
              <w:right w:w="15" w:type="dxa"/>
            </w:tcMar>
            <w:vAlign w:val="center"/>
          </w:tcPr>
          <w:p w14:paraId="06C82C4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予以通报，处1万元以上5万元以下罚款。</w:t>
            </w:r>
          </w:p>
        </w:tc>
      </w:tr>
      <w:tr w14:paraId="3CA9C35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9" w:hRule="atLeast"/>
          <w:jc w:val="center"/>
        </w:trPr>
        <w:tc>
          <w:tcPr>
            <w:tcW w:w="443" w:type="dxa"/>
            <w:gridSpan w:val="2"/>
            <w:vMerge w:val="continue"/>
            <w:tcBorders>
              <w:tl2br w:val="nil"/>
              <w:tr2bl w:val="nil"/>
            </w:tcBorders>
            <w:vAlign w:val="center"/>
          </w:tcPr>
          <w:p w14:paraId="4791AC1F">
            <w:pPr>
              <w:keepNext w:val="0"/>
              <w:keepLines w:val="0"/>
              <w:pageBreakBefore w:val="0"/>
              <w:widowControl/>
              <w:kinsoku/>
              <w:overflowPunct/>
              <w:topLinePunct w:val="0"/>
              <w:autoSpaceDE/>
              <w:autoSpaceDN/>
              <w:bidi w:val="0"/>
              <w:adjustRightInd/>
              <w:snapToGrid/>
              <w:spacing w:beforeAutospacing="0" w:afterAutospacing="0" w:line="260" w:lineRule="exact"/>
              <w:ind w:left="638" w:leftChars="88" w:right="0" w:rightChars="0" w:hanging="453" w:hangingChars="349"/>
              <w:jc w:val="center"/>
              <w:rPr>
                <w:rFonts w:ascii="仿宋_GB2312" w:hAnsi="宋体" w:eastAsia="仿宋_GB2312"/>
                <w:color w:val="auto"/>
                <w:sz w:val="13"/>
                <w:szCs w:val="13"/>
                <w:highlight w:val="none"/>
              </w:rPr>
            </w:pPr>
          </w:p>
        </w:tc>
        <w:tc>
          <w:tcPr>
            <w:tcW w:w="1550" w:type="dxa"/>
            <w:vMerge w:val="continue"/>
            <w:tcBorders>
              <w:tl2br w:val="nil"/>
              <w:tr2bl w:val="nil"/>
            </w:tcBorders>
            <w:vAlign w:val="center"/>
          </w:tcPr>
          <w:p w14:paraId="01B675B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7579B11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10198EC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Times New Roman"/>
                <w:color w:val="auto"/>
                <w:kern w:val="0"/>
                <w:sz w:val="13"/>
                <w:szCs w:val="13"/>
                <w:highlight w:val="none"/>
                <w:lang w:eastAsia="zh-CN"/>
              </w:rPr>
            </w:pPr>
            <w:r>
              <w:rPr>
                <w:rFonts w:hint="eastAsia" w:ascii="仿宋_GB2312" w:hAnsi="宋体" w:eastAsia="仿宋_GB2312" w:cs="Times New Roman"/>
                <w:color w:val="auto"/>
                <w:kern w:val="0"/>
                <w:sz w:val="13"/>
                <w:szCs w:val="13"/>
                <w:highlight w:val="none"/>
                <w:lang w:eastAsia="zh-CN"/>
              </w:rPr>
              <w:t>从重情节</w:t>
            </w:r>
          </w:p>
        </w:tc>
        <w:tc>
          <w:tcPr>
            <w:tcW w:w="3437" w:type="dxa"/>
            <w:gridSpan w:val="2"/>
            <w:tcBorders>
              <w:tl2br w:val="nil"/>
              <w:tr2bl w:val="nil"/>
            </w:tcBorders>
            <w:tcMar>
              <w:top w:w="15" w:type="dxa"/>
              <w:left w:w="15" w:type="dxa"/>
              <w:bottom w:w="15" w:type="dxa"/>
              <w:right w:w="15" w:type="dxa"/>
            </w:tcMar>
            <w:vAlign w:val="center"/>
          </w:tcPr>
          <w:p w14:paraId="2AD0FB3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责令限期改正，逾期3个月以上，仍不移交有关资料的。</w:t>
            </w:r>
          </w:p>
        </w:tc>
        <w:tc>
          <w:tcPr>
            <w:tcW w:w="3058" w:type="dxa"/>
            <w:tcBorders>
              <w:tl2br w:val="nil"/>
              <w:tr2bl w:val="nil"/>
            </w:tcBorders>
            <w:tcMar>
              <w:top w:w="15" w:type="dxa"/>
              <w:left w:w="15" w:type="dxa"/>
              <w:bottom w:w="15" w:type="dxa"/>
              <w:right w:w="15" w:type="dxa"/>
            </w:tcMar>
            <w:vAlign w:val="center"/>
          </w:tcPr>
          <w:p w14:paraId="2C0F3E0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予以通报，处5万元以上10万元以下罚款。</w:t>
            </w:r>
          </w:p>
          <w:p w14:paraId="6130508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s="Times New Roman"/>
                <w:color w:val="auto"/>
                <w:kern w:val="0"/>
                <w:sz w:val="13"/>
                <w:szCs w:val="13"/>
                <w:highlight w:val="none"/>
              </w:rPr>
            </w:pPr>
          </w:p>
        </w:tc>
      </w:tr>
      <w:tr w14:paraId="7391A74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9" w:hRule="atLeast"/>
          <w:jc w:val="center"/>
        </w:trPr>
        <w:tc>
          <w:tcPr>
            <w:tcW w:w="443" w:type="dxa"/>
            <w:gridSpan w:val="2"/>
            <w:vMerge w:val="restart"/>
            <w:tcBorders>
              <w:tl2br w:val="nil"/>
              <w:tr2bl w:val="nil"/>
            </w:tcBorders>
            <w:vAlign w:val="center"/>
          </w:tcPr>
          <w:p w14:paraId="0B7CBE0E">
            <w:pPr>
              <w:keepNext w:val="0"/>
              <w:keepLines w:val="0"/>
              <w:pageBreakBefore w:val="0"/>
              <w:widowControl/>
              <w:numPr>
                <w:ilvl w:val="0"/>
                <w:numId w:val="6"/>
              </w:numPr>
              <w:suppressLineNumbers w:val="0"/>
              <w:tabs>
                <w:tab w:val="clear" w:pos="397"/>
              </w:tabs>
              <w:kinsoku/>
              <w:overflowPunct/>
              <w:topLinePunct w:val="0"/>
              <w:autoSpaceDE/>
              <w:autoSpaceDN/>
              <w:bidi w:val="0"/>
              <w:adjustRightInd/>
              <w:snapToGrid/>
              <w:spacing w:beforeAutospacing="0" w:afterAutospacing="0" w:line="260" w:lineRule="exact"/>
              <w:ind w:left="638" w:leftChars="88" w:right="0" w:rightChars="0" w:hanging="453" w:hangingChars="349"/>
              <w:jc w:val="center"/>
              <w:textAlignment w:val="center"/>
              <w:rPr>
                <w:rFonts w:hint="default" w:ascii="仿宋_GB2312" w:hAnsi="宋体" w:eastAsia="仿宋_GB2312"/>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271</w:t>
            </w:r>
          </w:p>
        </w:tc>
        <w:tc>
          <w:tcPr>
            <w:tcW w:w="1550" w:type="dxa"/>
            <w:vMerge w:val="restart"/>
            <w:tcBorders>
              <w:tl2br w:val="nil"/>
              <w:tr2bl w:val="nil"/>
            </w:tcBorders>
            <w:vAlign w:val="center"/>
          </w:tcPr>
          <w:p w14:paraId="1144B7B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物业服务企业将一个物业管理区域内的全部物业管理一并委托给他人的</w:t>
            </w:r>
          </w:p>
        </w:tc>
        <w:tc>
          <w:tcPr>
            <w:tcW w:w="4820" w:type="dxa"/>
            <w:vMerge w:val="restart"/>
            <w:tcBorders>
              <w:tl2br w:val="nil"/>
              <w:tr2bl w:val="nil"/>
            </w:tcBorders>
            <w:vAlign w:val="center"/>
          </w:tcPr>
          <w:p w14:paraId="195E235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Times New Roman"/>
                <w:color w:val="auto"/>
                <w:sz w:val="13"/>
                <w:szCs w:val="13"/>
                <w:highlight w:val="none"/>
              </w:rPr>
            </w:pPr>
            <w:r>
              <w:rPr>
                <w:rFonts w:hint="eastAsia" w:ascii="仿宋_GB2312" w:hAnsi="宋体" w:eastAsia="仿宋_GB2312" w:cs="Times New Roman"/>
                <w:color w:val="auto"/>
                <w:kern w:val="0"/>
                <w:sz w:val="13"/>
                <w:szCs w:val="13"/>
                <w:highlight w:val="none"/>
              </w:rPr>
              <w:t>《</w:t>
            </w:r>
            <w:r>
              <w:rPr>
                <w:rFonts w:hint="eastAsia" w:ascii="仿宋_GB2312" w:hAnsi="宋体" w:eastAsia="仿宋_GB2312" w:cs="Times New Roman"/>
                <w:color w:val="auto"/>
                <w:sz w:val="13"/>
                <w:szCs w:val="13"/>
                <w:highlight w:val="none"/>
              </w:rPr>
              <w:t>物业管理条例》</w:t>
            </w:r>
            <w:r>
              <w:rPr>
                <w:rFonts w:hint="eastAsia" w:ascii="仿宋_GB2312" w:hAnsi="宋体" w:eastAsia="仿宋_GB2312" w:cs="Times New Roman"/>
                <w:b/>
                <w:bCs/>
                <w:color w:val="auto"/>
                <w:sz w:val="13"/>
                <w:szCs w:val="13"/>
                <w:highlight w:val="none"/>
              </w:rPr>
              <w:t>第五十九条</w:t>
            </w:r>
            <w:r>
              <w:rPr>
                <w:rFonts w:hint="eastAsia" w:ascii="仿宋_GB2312" w:hAnsi="宋体" w:eastAsia="仿宋_GB2312" w:cs="Times New Roman"/>
                <w:b/>
                <w:bCs/>
                <w:color w:val="auto"/>
                <w:sz w:val="13"/>
                <w:szCs w:val="13"/>
                <w:highlight w:val="none"/>
                <w:lang w:eastAsia="zh-CN"/>
              </w:rPr>
              <w:t>：</w:t>
            </w:r>
            <w:r>
              <w:rPr>
                <w:rFonts w:hint="eastAsia" w:ascii="仿宋_GB2312" w:hAnsi="宋体" w:eastAsia="仿宋_GB2312" w:cs="Times New Roman"/>
                <w:color w:val="auto"/>
                <w:sz w:val="13"/>
                <w:szCs w:val="13"/>
                <w:highlight w:val="none"/>
              </w:rPr>
              <w:t>违反本条例的规定，物业服务企业将一个物业管理区域内的全部物业管理一并委托给他人的，由县级以上地方人民政府房地产行政主管部门责令限期改正，处委托合同价款30%以上50%以下的罚款。委托所得收益，用于物业管理区域内物业共用部位、共用设施设备的维修、养护，剩余部分按照业主大会的决定使用；给业主造成损失的，依法承担赔偿责任。</w:t>
            </w:r>
          </w:p>
          <w:p w14:paraId="54BA912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olor w:val="auto"/>
                <w:sz w:val="13"/>
                <w:szCs w:val="13"/>
                <w:highlight w:val="none"/>
              </w:rPr>
            </w:pPr>
            <w:r>
              <w:rPr>
                <w:rFonts w:hint="eastAsia" w:ascii="仿宋_GB2312" w:hAnsi="宋体" w:eastAsia="仿宋_GB2312" w:cs="Times New Roman"/>
                <w:color w:val="auto"/>
                <w:sz w:val="13"/>
                <w:szCs w:val="13"/>
                <w:highlight w:val="none"/>
              </w:rPr>
              <w:t>《物业管理条例》</w:t>
            </w:r>
            <w:r>
              <w:rPr>
                <w:rFonts w:hint="eastAsia" w:ascii="仿宋_GB2312" w:hAnsi="宋体" w:eastAsia="仿宋_GB2312" w:cs="Times New Roman"/>
                <w:b/>
                <w:bCs/>
                <w:color w:val="auto"/>
                <w:sz w:val="13"/>
                <w:szCs w:val="13"/>
                <w:highlight w:val="none"/>
              </w:rPr>
              <w:t>第三十九条</w:t>
            </w:r>
            <w:r>
              <w:rPr>
                <w:rFonts w:hint="eastAsia" w:ascii="仿宋_GB2312" w:hAnsi="宋体" w:eastAsia="仿宋_GB2312" w:cs="Times New Roman"/>
                <w:b/>
                <w:bCs/>
                <w:color w:val="auto"/>
                <w:sz w:val="13"/>
                <w:szCs w:val="13"/>
                <w:highlight w:val="none"/>
                <w:lang w:eastAsia="zh-CN"/>
              </w:rPr>
              <w:t>：</w:t>
            </w:r>
            <w:r>
              <w:rPr>
                <w:rFonts w:hint="eastAsia" w:ascii="仿宋_GB2312" w:hAnsi="宋体" w:eastAsia="仿宋_GB2312" w:cs="Times New Roman"/>
                <w:color w:val="auto"/>
                <w:sz w:val="13"/>
                <w:szCs w:val="13"/>
                <w:highlight w:val="none"/>
              </w:rPr>
              <w:t>物业服务企业可以将物业管理区域内的专项服务业务委托给专业性服务企业，但不得将该区域内的全部物业管理一并委托给他人。</w:t>
            </w:r>
          </w:p>
        </w:tc>
        <w:tc>
          <w:tcPr>
            <w:tcW w:w="823" w:type="dxa"/>
            <w:tcBorders>
              <w:tl2br w:val="nil"/>
              <w:tr2bl w:val="nil"/>
            </w:tcBorders>
            <w:tcMar>
              <w:top w:w="15" w:type="dxa"/>
              <w:left w:w="15" w:type="dxa"/>
              <w:bottom w:w="15" w:type="dxa"/>
              <w:right w:w="15" w:type="dxa"/>
            </w:tcMar>
            <w:vAlign w:val="center"/>
          </w:tcPr>
          <w:p w14:paraId="0566A7E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Times New Roman"/>
                <w:color w:val="auto"/>
                <w:kern w:val="0"/>
                <w:sz w:val="13"/>
                <w:szCs w:val="13"/>
                <w:highlight w:val="none"/>
                <w:lang w:eastAsia="zh-CN"/>
              </w:rPr>
            </w:pPr>
            <w:r>
              <w:rPr>
                <w:rFonts w:hint="eastAsia" w:ascii="仿宋_GB2312" w:hAnsi="宋体" w:eastAsia="仿宋_GB2312" w:cs="Times New Roman"/>
                <w:color w:val="auto"/>
                <w:kern w:val="0"/>
                <w:sz w:val="13"/>
                <w:szCs w:val="13"/>
                <w:highlight w:val="none"/>
                <w:lang w:eastAsia="zh-CN"/>
              </w:rPr>
              <w:t>从轻情节</w:t>
            </w:r>
          </w:p>
        </w:tc>
        <w:tc>
          <w:tcPr>
            <w:tcW w:w="3437" w:type="dxa"/>
            <w:gridSpan w:val="2"/>
            <w:tcBorders>
              <w:tl2br w:val="nil"/>
              <w:tr2bl w:val="nil"/>
            </w:tcBorders>
            <w:tcMar>
              <w:top w:w="15" w:type="dxa"/>
              <w:left w:w="15" w:type="dxa"/>
              <w:bottom w:w="15" w:type="dxa"/>
              <w:right w:w="15" w:type="dxa"/>
            </w:tcMar>
            <w:vAlign w:val="center"/>
          </w:tcPr>
          <w:p w14:paraId="762FBE3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初次违法，危害后果轻微，主动采取措施消除或减轻违法行为危害后果。</w:t>
            </w:r>
          </w:p>
        </w:tc>
        <w:tc>
          <w:tcPr>
            <w:tcW w:w="3058" w:type="dxa"/>
            <w:tcBorders>
              <w:tl2br w:val="nil"/>
              <w:tr2bl w:val="nil"/>
            </w:tcBorders>
            <w:tcMar>
              <w:top w:w="15" w:type="dxa"/>
              <w:left w:w="15" w:type="dxa"/>
              <w:bottom w:w="15" w:type="dxa"/>
              <w:right w:w="15" w:type="dxa"/>
            </w:tcMar>
            <w:vAlign w:val="center"/>
          </w:tcPr>
          <w:p w14:paraId="0BDD955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责令限期改正，处委托合同价款30%的罚款。</w:t>
            </w:r>
          </w:p>
        </w:tc>
      </w:tr>
      <w:tr w14:paraId="6643715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9" w:hRule="atLeast"/>
          <w:jc w:val="center"/>
        </w:trPr>
        <w:tc>
          <w:tcPr>
            <w:tcW w:w="443" w:type="dxa"/>
            <w:gridSpan w:val="2"/>
            <w:vMerge w:val="continue"/>
            <w:tcBorders>
              <w:tl2br w:val="nil"/>
              <w:tr2bl w:val="nil"/>
            </w:tcBorders>
            <w:vAlign w:val="center"/>
          </w:tcPr>
          <w:p w14:paraId="7B56E117">
            <w:pPr>
              <w:keepNext w:val="0"/>
              <w:keepLines w:val="0"/>
              <w:pageBreakBefore w:val="0"/>
              <w:widowControl/>
              <w:kinsoku/>
              <w:overflowPunct/>
              <w:topLinePunct w:val="0"/>
              <w:autoSpaceDE/>
              <w:autoSpaceDN/>
              <w:bidi w:val="0"/>
              <w:adjustRightInd/>
              <w:snapToGrid/>
              <w:spacing w:beforeAutospacing="0" w:afterAutospacing="0" w:line="260" w:lineRule="exact"/>
              <w:ind w:left="638" w:leftChars="88" w:right="0" w:rightChars="0" w:hanging="453" w:hangingChars="349"/>
              <w:jc w:val="center"/>
              <w:rPr>
                <w:rFonts w:ascii="仿宋_GB2312" w:hAnsi="宋体" w:eastAsia="仿宋_GB2312"/>
                <w:color w:val="auto"/>
                <w:sz w:val="13"/>
                <w:szCs w:val="13"/>
                <w:highlight w:val="none"/>
              </w:rPr>
            </w:pPr>
          </w:p>
        </w:tc>
        <w:tc>
          <w:tcPr>
            <w:tcW w:w="1550" w:type="dxa"/>
            <w:vMerge w:val="continue"/>
            <w:tcBorders>
              <w:tl2br w:val="nil"/>
              <w:tr2bl w:val="nil"/>
            </w:tcBorders>
            <w:vAlign w:val="center"/>
          </w:tcPr>
          <w:p w14:paraId="4E1D618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3020DFF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00D4426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Times New Roman"/>
                <w:color w:val="auto"/>
                <w:kern w:val="0"/>
                <w:sz w:val="13"/>
                <w:szCs w:val="13"/>
                <w:highlight w:val="none"/>
                <w:lang w:eastAsia="zh-CN"/>
              </w:rPr>
            </w:pPr>
            <w:r>
              <w:rPr>
                <w:rFonts w:hint="eastAsia" w:ascii="仿宋_GB2312" w:hAnsi="宋体" w:eastAsia="仿宋_GB2312" w:cs="Times New Roman"/>
                <w:color w:val="auto"/>
                <w:kern w:val="0"/>
                <w:sz w:val="13"/>
                <w:szCs w:val="13"/>
                <w:highlight w:val="none"/>
                <w:lang w:eastAsia="zh-CN"/>
              </w:rPr>
              <w:t>一般情节</w:t>
            </w:r>
          </w:p>
        </w:tc>
        <w:tc>
          <w:tcPr>
            <w:tcW w:w="3437" w:type="dxa"/>
            <w:gridSpan w:val="2"/>
            <w:tcBorders>
              <w:tl2br w:val="nil"/>
              <w:tr2bl w:val="nil"/>
            </w:tcBorders>
            <w:tcMar>
              <w:top w:w="15" w:type="dxa"/>
              <w:left w:w="15" w:type="dxa"/>
              <w:bottom w:w="15" w:type="dxa"/>
              <w:right w:w="15" w:type="dxa"/>
            </w:tcMar>
            <w:vAlign w:val="center"/>
          </w:tcPr>
          <w:p w14:paraId="2E8CA3E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实施违法行为，造成不良社会影响，不具有从轻、</w:t>
            </w:r>
            <w:r>
              <w:rPr>
                <w:rFonts w:hint="eastAsia" w:ascii="仿宋_GB2312" w:hAnsi="宋体" w:eastAsia="仿宋_GB2312" w:cs="Times New Roman"/>
                <w:color w:val="auto"/>
                <w:kern w:val="0"/>
                <w:sz w:val="13"/>
                <w:szCs w:val="13"/>
                <w:highlight w:val="none"/>
                <w:lang w:eastAsia="zh-CN"/>
              </w:rPr>
              <w:t>从重情节</w:t>
            </w:r>
            <w:r>
              <w:rPr>
                <w:rFonts w:hint="eastAsia" w:ascii="仿宋_GB2312" w:hAnsi="宋体" w:eastAsia="仿宋_GB2312" w:cs="Times New Roman"/>
                <w:color w:val="auto"/>
                <w:kern w:val="0"/>
                <w:sz w:val="13"/>
                <w:szCs w:val="13"/>
                <w:highlight w:val="none"/>
              </w:rPr>
              <w:t>的。</w:t>
            </w:r>
          </w:p>
        </w:tc>
        <w:tc>
          <w:tcPr>
            <w:tcW w:w="3058" w:type="dxa"/>
            <w:tcBorders>
              <w:tl2br w:val="nil"/>
              <w:tr2bl w:val="nil"/>
            </w:tcBorders>
            <w:tcMar>
              <w:top w:w="15" w:type="dxa"/>
              <w:left w:w="15" w:type="dxa"/>
              <w:bottom w:w="15" w:type="dxa"/>
              <w:right w:w="15" w:type="dxa"/>
            </w:tcMar>
            <w:vAlign w:val="center"/>
          </w:tcPr>
          <w:p w14:paraId="05C917F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责令限期改正，处委托合同价款30%以上40%以下的罚款。</w:t>
            </w:r>
          </w:p>
        </w:tc>
      </w:tr>
      <w:tr w14:paraId="65D7249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79" w:hRule="atLeast"/>
          <w:jc w:val="center"/>
        </w:trPr>
        <w:tc>
          <w:tcPr>
            <w:tcW w:w="443" w:type="dxa"/>
            <w:gridSpan w:val="2"/>
            <w:vMerge w:val="continue"/>
            <w:tcBorders>
              <w:tl2br w:val="nil"/>
              <w:tr2bl w:val="nil"/>
            </w:tcBorders>
            <w:vAlign w:val="center"/>
          </w:tcPr>
          <w:p w14:paraId="2C7334CB">
            <w:pPr>
              <w:keepNext w:val="0"/>
              <w:keepLines w:val="0"/>
              <w:pageBreakBefore w:val="0"/>
              <w:widowControl/>
              <w:kinsoku/>
              <w:overflowPunct/>
              <w:topLinePunct w:val="0"/>
              <w:autoSpaceDE/>
              <w:autoSpaceDN/>
              <w:bidi w:val="0"/>
              <w:adjustRightInd/>
              <w:snapToGrid/>
              <w:spacing w:beforeAutospacing="0" w:afterAutospacing="0" w:line="260" w:lineRule="exact"/>
              <w:ind w:left="638" w:leftChars="88" w:right="0" w:rightChars="0" w:hanging="453" w:hangingChars="349"/>
              <w:jc w:val="center"/>
              <w:rPr>
                <w:rFonts w:ascii="仿宋_GB2312" w:hAnsi="宋体" w:eastAsia="仿宋_GB2312"/>
                <w:color w:val="auto"/>
                <w:sz w:val="13"/>
                <w:szCs w:val="13"/>
                <w:highlight w:val="none"/>
              </w:rPr>
            </w:pPr>
          </w:p>
        </w:tc>
        <w:tc>
          <w:tcPr>
            <w:tcW w:w="1550" w:type="dxa"/>
            <w:vMerge w:val="continue"/>
            <w:tcBorders>
              <w:tl2br w:val="nil"/>
              <w:tr2bl w:val="nil"/>
            </w:tcBorders>
            <w:vAlign w:val="center"/>
          </w:tcPr>
          <w:p w14:paraId="5528D39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25DF445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44DF34A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Times New Roman"/>
                <w:color w:val="auto"/>
                <w:kern w:val="0"/>
                <w:sz w:val="13"/>
                <w:szCs w:val="13"/>
                <w:highlight w:val="none"/>
                <w:lang w:eastAsia="zh-CN"/>
              </w:rPr>
            </w:pPr>
            <w:r>
              <w:rPr>
                <w:rFonts w:hint="eastAsia" w:ascii="仿宋_GB2312" w:hAnsi="宋体" w:eastAsia="仿宋_GB2312" w:cs="Times New Roman"/>
                <w:color w:val="auto"/>
                <w:kern w:val="0"/>
                <w:sz w:val="13"/>
                <w:szCs w:val="13"/>
                <w:highlight w:val="none"/>
                <w:lang w:eastAsia="zh-CN"/>
              </w:rPr>
              <w:t>从重情节</w:t>
            </w:r>
          </w:p>
        </w:tc>
        <w:tc>
          <w:tcPr>
            <w:tcW w:w="3437" w:type="dxa"/>
            <w:gridSpan w:val="2"/>
            <w:tcBorders>
              <w:tl2br w:val="nil"/>
              <w:tr2bl w:val="nil"/>
            </w:tcBorders>
            <w:tcMar>
              <w:top w:w="15" w:type="dxa"/>
              <w:left w:w="15" w:type="dxa"/>
              <w:bottom w:w="15" w:type="dxa"/>
              <w:right w:w="15" w:type="dxa"/>
            </w:tcMar>
            <w:vAlign w:val="center"/>
          </w:tcPr>
          <w:p w14:paraId="70E9FC2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经责令停止违法行为后，继续实施违法行为的</w:t>
            </w:r>
            <w:r>
              <w:rPr>
                <w:rFonts w:hint="eastAsia" w:ascii="仿宋_GB2312" w:hAnsi="宋体" w:eastAsia="仿宋_GB2312" w:cs="Times New Roman"/>
                <w:color w:val="auto"/>
                <w:kern w:val="0"/>
                <w:sz w:val="13"/>
                <w:szCs w:val="13"/>
                <w:highlight w:val="none"/>
                <w:lang w:eastAsia="zh-CN"/>
              </w:rPr>
              <w:t>，</w:t>
            </w:r>
            <w:r>
              <w:rPr>
                <w:rFonts w:hint="eastAsia" w:ascii="仿宋_GB2312" w:hAnsi="宋体" w:eastAsia="仿宋_GB2312" w:cs="Times New Roman"/>
                <w:color w:val="auto"/>
                <w:kern w:val="0"/>
                <w:sz w:val="13"/>
                <w:szCs w:val="13"/>
                <w:highlight w:val="none"/>
                <w:lang w:val="en-US" w:eastAsia="zh-CN"/>
              </w:rPr>
              <w:t>或</w:t>
            </w:r>
            <w:r>
              <w:rPr>
                <w:rFonts w:hint="eastAsia" w:ascii="仿宋_GB2312" w:hAnsi="宋体" w:eastAsia="仿宋_GB2312" w:cs="Times New Roman"/>
                <w:color w:val="auto"/>
                <w:kern w:val="0"/>
                <w:sz w:val="13"/>
                <w:szCs w:val="13"/>
                <w:highlight w:val="none"/>
              </w:rPr>
              <w:t>2年内2次及以上同类型违法</w:t>
            </w:r>
            <w:r>
              <w:rPr>
                <w:rFonts w:hint="eastAsia" w:ascii="仿宋_GB2312" w:hAnsi="宋体" w:eastAsia="仿宋_GB2312" w:cs="Times New Roman"/>
                <w:color w:val="auto"/>
                <w:kern w:val="0"/>
                <w:sz w:val="13"/>
                <w:szCs w:val="13"/>
                <w:highlight w:val="none"/>
                <w:lang w:eastAsia="zh-CN"/>
              </w:rPr>
              <w:t>，</w:t>
            </w:r>
            <w:r>
              <w:rPr>
                <w:rFonts w:hint="eastAsia" w:ascii="仿宋_GB2312" w:hAnsi="宋体" w:eastAsia="仿宋_GB2312" w:cs="Times New Roman"/>
                <w:color w:val="auto"/>
                <w:kern w:val="0"/>
                <w:sz w:val="13"/>
                <w:szCs w:val="13"/>
                <w:highlight w:val="none"/>
                <w:lang w:val="en-US" w:eastAsia="zh-CN"/>
              </w:rPr>
              <w:t>或</w:t>
            </w:r>
            <w:r>
              <w:rPr>
                <w:rFonts w:hint="eastAsia" w:ascii="仿宋_GB2312" w:hAnsi="宋体" w:eastAsia="仿宋_GB2312" w:cs="Times New Roman"/>
                <w:color w:val="auto"/>
                <w:kern w:val="0"/>
                <w:sz w:val="13"/>
                <w:szCs w:val="13"/>
                <w:highlight w:val="none"/>
              </w:rPr>
              <w:t>引发网络舆情事件、群体性事件等影响社会稳定的。</w:t>
            </w:r>
          </w:p>
        </w:tc>
        <w:tc>
          <w:tcPr>
            <w:tcW w:w="3058" w:type="dxa"/>
            <w:tcBorders>
              <w:tl2br w:val="nil"/>
              <w:tr2bl w:val="nil"/>
            </w:tcBorders>
            <w:tcMar>
              <w:top w:w="15" w:type="dxa"/>
              <w:left w:w="15" w:type="dxa"/>
              <w:bottom w:w="15" w:type="dxa"/>
              <w:right w:w="15" w:type="dxa"/>
            </w:tcMar>
            <w:vAlign w:val="center"/>
          </w:tcPr>
          <w:p w14:paraId="131D1F7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责令限期改正，处委托合同价款40%以上50%以下的罚款。</w:t>
            </w:r>
          </w:p>
        </w:tc>
      </w:tr>
      <w:tr w14:paraId="12BE90A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9" w:hRule="atLeast"/>
          <w:jc w:val="center"/>
        </w:trPr>
        <w:tc>
          <w:tcPr>
            <w:tcW w:w="443" w:type="dxa"/>
            <w:gridSpan w:val="2"/>
            <w:vMerge w:val="restart"/>
            <w:tcBorders>
              <w:tl2br w:val="nil"/>
              <w:tr2bl w:val="nil"/>
            </w:tcBorders>
            <w:vAlign w:val="center"/>
          </w:tcPr>
          <w:p w14:paraId="688D6F0B">
            <w:pPr>
              <w:keepNext w:val="0"/>
              <w:keepLines w:val="0"/>
              <w:pageBreakBefore w:val="0"/>
              <w:widowControl/>
              <w:numPr>
                <w:ilvl w:val="0"/>
                <w:numId w:val="6"/>
              </w:numPr>
              <w:suppressLineNumbers w:val="0"/>
              <w:tabs>
                <w:tab w:val="clear" w:pos="397"/>
              </w:tabs>
              <w:kinsoku/>
              <w:overflowPunct/>
              <w:topLinePunct w:val="0"/>
              <w:autoSpaceDE/>
              <w:autoSpaceDN/>
              <w:bidi w:val="0"/>
              <w:adjustRightInd/>
              <w:snapToGrid/>
              <w:spacing w:beforeAutospacing="0" w:afterAutospacing="0" w:line="260" w:lineRule="exact"/>
              <w:ind w:left="638" w:leftChars="88" w:right="0" w:rightChars="0" w:hanging="453" w:hangingChars="349"/>
              <w:jc w:val="center"/>
              <w:textAlignment w:val="center"/>
              <w:rPr>
                <w:rFonts w:hint="default" w:ascii="仿宋_GB2312" w:hAnsi="宋体" w:eastAsia="仿宋_GB2312"/>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272</w:t>
            </w:r>
          </w:p>
        </w:tc>
        <w:tc>
          <w:tcPr>
            <w:tcW w:w="1550" w:type="dxa"/>
            <w:vMerge w:val="restart"/>
            <w:tcBorders>
              <w:tl2br w:val="nil"/>
              <w:tr2bl w:val="nil"/>
            </w:tcBorders>
            <w:vAlign w:val="center"/>
          </w:tcPr>
          <w:p w14:paraId="3DD2E04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挪用专项维修资金的</w:t>
            </w:r>
          </w:p>
        </w:tc>
        <w:tc>
          <w:tcPr>
            <w:tcW w:w="4820" w:type="dxa"/>
            <w:vMerge w:val="restart"/>
            <w:tcBorders>
              <w:tl2br w:val="nil"/>
              <w:tr2bl w:val="nil"/>
            </w:tcBorders>
            <w:vAlign w:val="center"/>
          </w:tcPr>
          <w:p w14:paraId="5F2CA66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Times New Roman"/>
                <w:color w:val="auto"/>
                <w:sz w:val="13"/>
                <w:szCs w:val="13"/>
                <w:highlight w:val="none"/>
              </w:rPr>
            </w:pPr>
            <w:r>
              <w:rPr>
                <w:rFonts w:hint="eastAsia" w:ascii="仿宋_GB2312" w:hAnsi="宋体" w:eastAsia="仿宋_GB2312" w:cs="Times New Roman"/>
                <w:color w:val="auto"/>
                <w:kern w:val="0"/>
                <w:sz w:val="13"/>
                <w:szCs w:val="13"/>
                <w:highlight w:val="none"/>
              </w:rPr>
              <w:t>《</w:t>
            </w:r>
            <w:r>
              <w:rPr>
                <w:rFonts w:hint="eastAsia" w:ascii="仿宋_GB2312" w:hAnsi="宋体" w:eastAsia="仿宋_GB2312" w:cs="Times New Roman"/>
                <w:color w:val="auto"/>
                <w:sz w:val="13"/>
                <w:szCs w:val="13"/>
                <w:highlight w:val="none"/>
              </w:rPr>
              <w:t>物业管理条例》</w:t>
            </w:r>
            <w:r>
              <w:rPr>
                <w:rFonts w:hint="eastAsia" w:ascii="仿宋_GB2312" w:hAnsi="宋体" w:eastAsia="仿宋_GB2312" w:cs="Times New Roman"/>
                <w:b/>
                <w:bCs/>
                <w:color w:val="auto"/>
                <w:sz w:val="13"/>
                <w:szCs w:val="13"/>
                <w:highlight w:val="none"/>
              </w:rPr>
              <w:t>第六十条</w:t>
            </w:r>
            <w:r>
              <w:rPr>
                <w:rFonts w:hint="eastAsia" w:ascii="仿宋_GB2312" w:hAnsi="宋体" w:eastAsia="仿宋_GB2312" w:cs="Times New Roman"/>
                <w:b/>
                <w:bCs/>
                <w:color w:val="auto"/>
                <w:sz w:val="13"/>
                <w:szCs w:val="13"/>
                <w:highlight w:val="none"/>
                <w:lang w:eastAsia="zh-CN"/>
              </w:rPr>
              <w:t>：</w:t>
            </w:r>
            <w:r>
              <w:rPr>
                <w:rFonts w:hint="eastAsia" w:ascii="仿宋_GB2312" w:hAnsi="宋体" w:eastAsia="仿宋_GB2312" w:cs="Times New Roman"/>
                <w:color w:val="auto"/>
                <w:sz w:val="13"/>
                <w:szCs w:val="13"/>
                <w:highlight w:val="none"/>
              </w:rPr>
              <w:t>违反本条例的规定，挪用专项维修资金的，由县级以上地方人民政府房地产行政主管部门追回挪用的专项维修资金，给予警告，没收违法所得，可以并处挪用数额2倍以下的罚款；构成犯罪的，依法追究直接负责的主管人员和其他直接责任人员的刑事责任。</w:t>
            </w:r>
          </w:p>
          <w:p w14:paraId="3591698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《物业管理条例》</w:t>
            </w:r>
            <w:r>
              <w:rPr>
                <w:rFonts w:hint="eastAsia" w:ascii="仿宋_GB2312" w:hAnsi="宋体" w:eastAsia="仿宋_GB2312" w:cs="Times New Roman"/>
                <w:b/>
                <w:bCs/>
                <w:color w:val="auto"/>
                <w:kern w:val="0"/>
                <w:sz w:val="13"/>
                <w:szCs w:val="13"/>
                <w:highlight w:val="none"/>
              </w:rPr>
              <w:t>第五十三条</w:t>
            </w:r>
            <w:r>
              <w:rPr>
                <w:rFonts w:hint="eastAsia" w:ascii="仿宋_GB2312" w:hAnsi="宋体" w:eastAsia="仿宋_GB2312" w:cs="Times New Roman"/>
                <w:b/>
                <w:bCs/>
                <w:color w:val="auto"/>
                <w:kern w:val="0"/>
                <w:sz w:val="13"/>
                <w:szCs w:val="13"/>
                <w:highlight w:val="none"/>
                <w:lang w:eastAsia="zh-CN"/>
              </w:rPr>
              <w:t>：</w:t>
            </w:r>
            <w:r>
              <w:rPr>
                <w:rFonts w:ascii="仿宋_GB2312" w:hAnsi="宋体" w:eastAsia="仿宋_GB2312" w:cs="Times New Roman"/>
                <w:color w:val="auto"/>
                <w:kern w:val="0"/>
                <w:sz w:val="13"/>
                <w:szCs w:val="13"/>
                <w:highlight w:val="none"/>
              </w:rPr>
              <w:t>住宅物业、住宅小区内的非住宅物业或者与单幢住宅楼结构相连的非住宅物业的业主，应当按照国家有关规定交纳专项维修资金。专项维修资金属于业主所有，专项用于物业保修期满后物业共用部位、共用设施设备的维修和更新、改造，不得挪作他用。专项维修资金收取、使用、管理的办法由国务院建设行政主管部门会同国务院财政部门制定。</w:t>
            </w:r>
          </w:p>
        </w:tc>
        <w:tc>
          <w:tcPr>
            <w:tcW w:w="823" w:type="dxa"/>
            <w:tcBorders>
              <w:tl2br w:val="nil"/>
              <w:tr2bl w:val="nil"/>
            </w:tcBorders>
            <w:tcMar>
              <w:top w:w="15" w:type="dxa"/>
              <w:left w:w="15" w:type="dxa"/>
              <w:bottom w:w="15" w:type="dxa"/>
              <w:right w:w="15" w:type="dxa"/>
            </w:tcMar>
            <w:vAlign w:val="center"/>
          </w:tcPr>
          <w:p w14:paraId="7F2B9BC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Times New Roman"/>
                <w:color w:val="auto"/>
                <w:kern w:val="0"/>
                <w:sz w:val="13"/>
                <w:szCs w:val="13"/>
                <w:highlight w:val="none"/>
                <w:lang w:eastAsia="zh-CN"/>
              </w:rPr>
            </w:pPr>
            <w:r>
              <w:rPr>
                <w:rFonts w:hint="eastAsia" w:ascii="仿宋_GB2312" w:hAnsi="宋体" w:eastAsia="仿宋_GB2312" w:cs="Times New Roman"/>
                <w:color w:val="auto"/>
                <w:kern w:val="0"/>
                <w:sz w:val="13"/>
                <w:szCs w:val="13"/>
                <w:highlight w:val="none"/>
                <w:lang w:eastAsia="zh-CN"/>
              </w:rPr>
              <w:t>从轻情节</w:t>
            </w:r>
          </w:p>
        </w:tc>
        <w:tc>
          <w:tcPr>
            <w:tcW w:w="3437" w:type="dxa"/>
            <w:gridSpan w:val="2"/>
            <w:tcBorders>
              <w:tl2br w:val="nil"/>
              <w:tr2bl w:val="nil"/>
            </w:tcBorders>
            <w:tcMar>
              <w:top w:w="15" w:type="dxa"/>
              <w:left w:w="15" w:type="dxa"/>
              <w:bottom w:w="15" w:type="dxa"/>
              <w:right w:w="15" w:type="dxa"/>
            </w:tcMar>
            <w:vAlign w:val="center"/>
          </w:tcPr>
          <w:p w14:paraId="3528305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初次违法，危害后果轻微，主动采取措施消除或减轻违法行为危害后果。</w:t>
            </w:r>
          </w:p>
        </w:tc>
        <w:tc>
          <w:tcPr>
            <w:tcW w:w="3058" w:type="dxa"/>
            <w:tcBorders>
              <w:tl2br w:val="nil"/>
              <w:tr2bl w:val="nil"/>
            </w:tcBorders>
            <w:tcMar>
              <w:top w:w="15" w:type="dxa"/>
              <w:left w:w="15" w:type="dxa"/>
              <w:bottom w:w="15" w:type="dxa"/>
              <w:right w:w="15" w:type="dxa"/>
            </w:tcMar>
            <w:vAlign w:val="center"/>
          </w:tcPr>
          <w:p w14:paraId="0C458D0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追回挪用的专项维修资金，给予警告，没收违法所得，可以并处挪用数额0.5倍以下的罚款。</w:t>
            </w:r>
          </w:p>
        </w:tc>
      </w:tr>
      <w:tr w14:paraId="442A706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9" w:hRule="atLeast"/>
          <w:jc w:val="center"/>
        </w:trPr>
        <w:tc>
          <w:tcPr>
            <w:tcW w:w="443" w:type="dxa"/>
            <w:gridSpan w:val="2"/>
            <w:vMerge w:val="continue"/>
            <w:tcBorders>
              <w:tl2br w:val="nil"/>
              <w:tr2bl w:val="nil"/>
            </w:tcBorders>
            <w:vAlign w:val="center"/>
          </w:tcPr>
          <w:p w14:paraId="3E077711">
            <w:pPr>
              <w:keepNext w:val="0"/>
              <w:keepLines w:val="0"/>
              <w:pageBreakBefore w:val="0"/>
              <w:widowControl/>
              <w:kinsoku/>
              <w:overflowPunct/>
              <w:topLinePunct w:val="0"/>
              <w:autoSpaceDE/>
              <w:autoSpaceDN/>
              <w:bidi w:val="0"/>
              <w:adjustRightInd/>
              <w:snapToGrid/>
              <w:spacing w:beforeAutospacing="0" w:afterAutospacing="0" w:line="260" w:lineRule="exact"/>
              <w:ind w:left="638" w:leftChars="88" w:right="0" w:rightChars="0" w:hanging="453" w:hangingChars="349"/>
              <w:jc w:val="center"/>
              <w:rPr>
                <w:rFonts w:ascii="仿宋_GB2312" w:hAnsi="宋体" w:eastAsia="仿宋_GB2312"/>
                <w:color w:val="auto"/>
                <w:sz w:val="13"/>
                <w:szCs w:val="13"/>
                <w:highlight w:val="none"/>
              </w:rPr>
            </w:pPr>
          </w:p>
        </w:tc>
        <w:tc>
          <w:tcPr>
            <w:tcW w:w="1550" w:type="dxa"/>
            <w:vMerge w:val="continue"/>
            <w:tcBorders>
              <w:tl2br w:val="nil"/>
              <w:tr2bl w:val="nil"/>
            </w:tcBorders>
            <w:vAlign w:val="center"/>
          </w:tcPr>
          <w:p w14:paraId="0DB9347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2A3C1BA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02EE431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Times New Roman"/>
                <w:color w:val="auto"/>
                <w:kern w:val="0"/>
                <w:sz w:val="13"/>
                <w:szCs w:val="13"/>
                <w:highlight w:val="none"/>
                <w:lang w:eastAsia="zh-CN"/>
              </w:rPr>
            </w:pPr>
            <w:r>
              <w:rPr>
                <w:rFonts w:hint="eastAsia" w:ascii="仿宋_GB2312" w:hAnsi="宋体" w:eastAsia="仿宋_GB2312" w:cs="Times New Roman"/>
                <w:color w:val="auto"/>
                <w:kern w:val="0"/>
                <w:sz w:val="13"/>
                <w:szCs w:val="13"/>
                <w:highlight w:val="none"/>
                <w:lang w:eastAsia="zh-CN"/>
              </w:rPr>
              <w:t>一般情节</w:t>
            </w:r>
          </w:p>
        </w:tc>
        <w:tc>
          <w:tcPr>
            <w:tcW w:w="3437" w:type="dxa"/>
            <w:gridSpan w:val="2"/>
            <w:tcBorders>
              <w:tl2br w:val="nil"/>
              <w:tr2bl w:val="nil"/>
            </w:tcBorders>
            <w:tcMar>
              <w:top w:w="15" w:type="dxa"/>
              <w:left w:w="15" w:type="dxa"/>
              <w:bottom w:w="15" w:type="dxa"/>
              <w:right w:w="15" w:type="dxa"/>
            </w:tcMar>
            <w:vAlign w:val="center"/>
          </w:tcPr>
          <w:p w14:paraId="50CD576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实施违法行为，造成不良社会影响，不具有从轻、</w:t>
            </w:r>
            <w:r>
              <w:rPr>
                <w:rFonts w:hint="eastAsia" w:ascii="仿宋_GB2312" w:hAnsi="宋体" w:eastAsia="仿宋_GB2312" w:cs="Times New Roman"/>
                <w:color w:val="auto"/>
                <w:kern w:val="0"/>
                <w:sz w:val="13"/>
                <w:szCs w:val="13"/>
                <w:highlight w:val="none"/>
                <w:lang w:eastAsia="zh-CN"/>
              </w:rPr>
              <w:t>从重情节</w:t>
            </w:r>
            <w:r>
              <w:rPr>
                <w:rFonts w:hint="eastAsia" w:ascii="仿宋_GB2312" w:hAnsi="宋体" w:eastAsia="仿宋_GB2312" w:cs="Times New Roman"/>
                <w:color w:val="auto"/>
                <w:kern w:val="0"/>
                <w:sz w:val="13"/>
                <w:szCs w:val="13"/>
                <w:highlight w:val="none"/>
              </w:rPr>
              <w:t>的。</w:t>
            </w:r>
          </w:p>
        </w:tc>
        <w:tc>
          <w:tcPr>
            <w:tcW w:w="3058" w:type="dxa"/>
            <w:tcBorders>
              <w:tl2br w:val="nil"/>
              <w:tr2bl w:val="nil"/>
            </w:tcBorders>
            <w:tcMar>
              <w:top w:w="15" w:type="dxa"/>
              <w:left w:w="15" w:type="dxa"/>
              <w:bottom w:w="15" w:type="dxa"/>
              <w:right w:w="15" w:type="dxa"/>
            </w:tcMar>
            <w:vAlign w:val="center"/>
          </w:tcPr>
          <w:p w14:paraId="65A89E9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追回挪用的专项维修资金，给予警告，没收违法所得，可以并处挪用数额0.5倍以上1倍以下的罚款。</w:t>
            </w:r>
          </w:p>
        </w:tc>
      </w:tr>
      <w:tr w14:paraId="2E895C3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25" w:hRule="atLeast"/>
          <w:jc w:val="center"/>
        </w:trPr>
        <w:tc>
          <w:tcPr>
            <w:tcW w:w="443" w:type="dxa"/>
            <w:gridSpan w:val="2"/>
            <w:vMerge w:val="continue"/>
            <w:tcBorders>
              <w:tl2br w:val="nil"/>
              <w:tr2bl w:val="nil"/>
            </w:tcBorders>
            <w:vAlign w:val="center"/>
          </w:tcPr>
          <w:p w14:paraId="6A850048">
            <w:pPr>
              <w:keepNext w:val="0"/>
              <w:keepLines w:val="0"/>
              <w:pageBreakBefore w:val="0"/>
              <w:widowControl/>
              <w:kinsoku/>
              <w:overflowPunct/>
              <w:topLinePunct w:val="0"/>
              <w:autoSpaceDE/>
              <w:autoSpaceDN/>
              <w:bidi w:val="0"/>
              <w:adjustRightInd/>
              <w:snapToGrid/>
              <w:spacing w:beforeAutospacing="0" w:afterAutospacing="0" w:line="260" w:lineRule="exact"/>
              <w:ind w:left="638" w:leftChars="88" w:right="0" w:rightChars="0" w:hanging="453" w:hangingChars="349"/>
              <w:jc w:val="center"/>
              <w:rPr>
                <w:rFonts w:ascii="仿宋_GB2312" w:hAnsi="宋体" w:eastAsia="仿宋_GB2312"/>
                <w:color w:val="auto"/>
                <w:sz w:val="13"/>
                <w:szCs w:val="13"/>
                <w:highlight w:val="none"/>
              </w:rPr>
            </w:pPr>
          </w:p>
        </w:tc>
        <w:tc>
          <w:tcPr>
            <w:tcW w:w="1550" w:type="dxa"/>
            <w:vMerge w:val="continue"/>
            <w:tcBorders>
              <w:tl2br w:val="nil"/>
              <w:tr2bl w:val="nil"/>
            </w:tcBorders>
            <w:vAlign w:val="center"/>
          </w:tcPr>
          <w:p w14:paraId="6EA2AB7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4EC49EA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7126D2C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Times New Roman"/>
                <w:color w:val="auto"/>
                <w:kern w:val="0"/>
                <w:sz w:val="13"/>
                <w:szCs w:val="13"/>
                <w:highlight w:val="none"/>
                <w:lang w:eastAsia="zh-CN"/>
              </w:rPr>
            </w:pPr>
            <w:r>
              <w:rPr>
                <w:rFonts w:hint="eastAsia" w:ascii="仿宋_GB2312" w:hAnsi="宋体" w:eastAsia="仿宋_GB2312" w:cs="Times New Roman"/>
                <w:color w:val="auto"/>
                <w:kern w:val="0"/>
                <w:sz w:val="13"/>
                <w:szCs w:val="13"/>
                <w:highlight w:val="none"/>
                <w:lang w:eastAsia="zh-CN"/>
              </w:rPr>
              <w:t>从重情节</w:t>
            </w:r>
          </w:p>
        </w:tc>
        <w:tc>
          <w:tcPr>
            <w:tcW w:w="3437" w:type="dxa"/>
            <w:gridSpan w:val="2"/>
            <w:tcBorders>
              <w:tl2br w:val="nil"/>
              <w:tr2bl w:val="nil"/>
            </w:tcBorders>
            <w:tcMar>
              <w:top w:w="15" w:type="dxa"/>
              <w:left w:w="15" w:type="dxa"/>
              <w:bottom w:w="15" w:type="dxa"/>
              <w:right w:w="15" w:type="dxa"/>
            </w:tcMar>
            <w:vAlign w:val="center"/>
          </w:tcPr>
          <w:p w14:paraId="520C269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经责令停止违法行为后，继续实施违法行为的</w:t>
            </w:r>
            <w:r>
              <w:rPr>
                <w:rFonts w:hint="eastAsia" w:ascii="仿宋_GB2312" w:hAnsi="宋体" w:eastAsia="仿宋_GB2312" w:cs="Times New Roman"/>
                <w:color w:val="auto"/>
                <w:kern w:val="0"/>
                <w:sz w:val="13"/>
                <w:szCs w:val="13"/>
                <w:highlight w:val="none"/>
                <w:lang w:eastAsia="zh-CN"/>
              </w:rPr>
              <w:t>，</w:t>
            </w:r>
            <w:r>
              <w:rPr>
                <w:rFonts w:hint="eastAsia" w:ascii="仿宋_GB2312" w:hAnsi="宋体" w:eastAsia="仿宋_GB2312" w:cs="Times New Roman"/>
                <w:color w:val="auto"/>
                <w:kern w:val="0"/>
                <w:sz w:val="13"/>
                <w:szCs w:val="13"/>
                <w:highlight w:val="none"/>
                <w:lang w:val="en-US" w:eastAsia="zh-CN"/>
              </w:rPr>
              <w:t>或</w:t>
            </w:r>
            <w:r>
              <w:rPr>
                <w:rFonts w:hint="eastAsia" w:ascii="仿宋_GB2312" w:hAnsi="宋体" w:eastAsia="仿宋_GB2312" w:cs="Times New Roman"/>
                <w:color w:val="auto"/>
                <w:kern w:val="0"/>
                <w:sz w:val="13"/>
                <w:szCs w:val="13"/>
                <w:highlight w:val="none"/>
              </w:rPr>
              <w:t>2年内2次及以上同类型违法</w:t>
            </w:r>
            <w:r>
              <w:rPr>
                <w:rFonts w:hint="eastAsia" w:ascii="仿宋_GB2312" w:hAnsi="宋体" w:eastAsia="仿宋_GB2312" w:cs="Times New Roman"/>
                <w:color w:val="auto"/>
                <w:kern w:val="0"/>
                <w:sz w:val="13"/>
                <w:szCs w:val="13"/>
                <w:highlight w:val="none"/>
                <w:lang w:eastAsia="zh-CN"/>
              </w:rPr>
              <w:t>，</w:t>
            </w:r>
            <w:r>
              <w:rPr>
                <w:rFonts w:hint="eastAsia" w:ascii="仿宋_GB2312" w:hAnsi="宋体" w:eastAsia="仿宋_GB2312" w:cs="Times New Roman"/>
                <w:color w:val="auto"/>
                <w:kern w:val="0"/>
                <w:sz w:val="13"/>
                <w:szCs w:val="13"/>
                <w:highlight w:val="none"/>
                <w:lang w:val="en-US" w:eastAsia="zh-CN"/>
              </w:rPr>
              <w:t>或</w:t>
            </w:r>
            <w:r>
              <w:rPr>
                <w:rFonts w:hint="eastAsia" w:ascii="仿宋_GB2312" w:hAnsi="宋体" w:eastAsia="仿宋_GB2312" w:cs="Times New Roman"/>
                <w:color w:val="auto"/>
                <w:kern w:val="0"/>
                <w:sz w:val="13"/>
                <w:szCs w:val="13"/>
                <w:highlight w:val="none"/>
              </w:rPr>
              <w:t>引发网络舆情事件、群体性事件等影响社会稳定的。</w:t>
            </w:r>
          </w:p>
          <w:p w14:paraId="1F7CF41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s="Times New Roman"/>
                <w:color w:val="auto"/>
                <w:kern w:val="0"/>
                <w:sz w:val="13"/>
                <w:szCs w:val="13"/>
                <w:highlight w:val="none"/>
              </w:rPr>
            </w:pPr>
          </w:p>
        </w:tc>
        <w:tc>
          <w:tcPr>
            <w:tcW w:w="3058" w:type="dxa"/>
            <w:tcBorders>
              <w:tl2br w:val="nil"/>
              <w:tr2bl w:val="nil"/>
            </w:tcBorders>
            <w:tcMar>
              <w:top w:w="15" w:type="dxa"/>
              <w:left w:w="15" w:type="dxa"/>
              <w:bottom w:w="15" w:type="dxa"/>
              <w:right w:w="15" w:type="dxa"/>
            </w:tcMar>
            <w:vAlign w:val="center"/>
          </w:tcPr>
          <w:p w14:paraId="09DF527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追回挪用的专项维修资金，给予警告，没收违法所得，可以并处挪用数额1倍以上2倍以下的罚款。</w:t>
            </w:r>
          </w:p>
        </w:tc>
      </w:tr>
      <w:tr w14:paraId="40FD7A7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9" w:hRule="atLeast"/>
          <w:jc w:val="center"/>
        </w:trPr>
        <w:tc>
          <w:tcPr>
            <w:tcW w:w="443" w:type="dxa"/>
            <w:gridSpan w:val="2"/>
            <w:vMerge w:val="restart"/>
            <w:tcBorders>
              <w:tl2br w:val="nil"/>
              <w:tr2bl w:val="nil"/>
            </w:tcBorders>
            <w:vAlign w:val="center"/>
          </w:tcPr>
          <w:p w14:paraId="5CAC8016">
            <w:pPr>
              <w:keepNext w:val="0"/>
              <w:keepLines w:val="0"/>
              <w:pageBreakBefore w:val="0"/>
              <w:widowControl/>
              <w:numPr>
                <w:ilvl w:val="0"/>
                <w:numId w:val="6"/>
              </w:numPr>
              <w:suppressLineNumbers w:val="0"/>
              <w:tabs>
                <w:tab w:val="clear" w:pos="397"/>
              </w:tabs>
              <w:kinsoku/>
              <w:overflowPunct/>
              <w:topLinePunct w:val="0"/>
              <w:autoSpaceDE/>
              <w:autoSpaceDN/>
              <w:bidi w:val="0"/>
              <w:adjustRightInd/>
              <w:snapToGrid/>
              <w:spacing w:beforeAutospacing="0" w:afterAutospacing="0" w:line="260" w:lineRule="exact"/>
              <w:ind w:left="638" w:leftChars="88" w:right="0" w:rightChars="0" w:hanging="453" w:hangingChars="349"/>
              <w:jc w:val="center"/>
              <w:textAlignment w:val="center"/>
              <w:rPr>
                <w:rFonts w:hint="default" w:ascii="仿宋_GB2312" w:hAnsi="宋体" w:eastAsia="仿宋_GB2312"/>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273</w:t>
            </w:r>
          </w:p>
        </w:tc>
        <w:tc>
          <w:tcPr>
            <w:tcW w:w="1550" w:type="dxa"/>
            <w:vMerge w:val="restart"/>
            <w:tcBorders>
              <w:tl2br w:val="nil"/>
              <w:tr2bl w:val="nil"/>
            </w:tcBorders>
            <w:vAlign w:val="center"/>
          </w:tcPr>
          <w:p w14:paraId="5C2CBC5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建设单位在物业管理区域内不按照规定配置必要的物业管理用房的</w:t>
            </w:r>
          </w:p>
        </w:tc>
        <w:tc>
          <w:tcPr>
            <w:tcW w:w="4820" w:type="dxa"/>
            <w:vMerge w:val="restart"/>
            <w:tcBorders>
              <w:tl2br w:val="nil"/>
              <w:tr2bl w:val="nil"/>
            </w:tcBorders>
            <w:vAlign w:val="center"/>
          </w:tcPr>
          <w:p w14:paraId="28B15D6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Times New Roman"/>
                <w:color w:val="auto"/>
                <w:sz w:val="13"/>
                <w:szCs w:val="13"/>
                <w:highlight w:val="none"/>
              </w:rPr>
            </w:pPr>
            <w:r>
              <w:rPr>
                <w:rFonts w:hint="eastAsia" w:ascii="仿宋_GB2312" w:hAnsi="宋体" w:eastAsia="仿宋_GB2312" w:cs="Times New Roman"/>
                <w:color w:val="auto"/>
                <w:kern w:val="0"/>
                <w:sz w:val="13"/>
                <w:szCs w:val="13"/>
                <w:highlight w:val="none"/>
              </w:rPr>
              <w:t>《</w:t>
            </w:r>
            <w:r>
              <w:rPr>
                <w:rFonts w:hint="eastAsia" w:ascii="仿宋_GB2312" w:hAnsi="宋体" w:eastAsia="仿宋_GB2312" w:cs="Times New Roman"/>
                <w:color w:val="auto"/>
                <w:sz w:val="13"/>
                <w:szCs w:val="13"/>
                <w:highlight w:val="none"/>
              </w:rPr>
              <w:t>物业管理条例》</w:t>
            </w:r>
            <w:r>
              <w:rPr>
                <w:rFonts w:hint="eastAsia" w:ascii="仿宋_GB2312" w:hAnsi="宋体" w:eastAsia="仿宋_GB2312" w:cs="Times New Roman"/>
                <w:b/>
                <w:bCs/>
                <w:color w:val="auto"/>
                <w:sz w:val="13"/>
                <w:szCs w:val="13"/>
                <w:highlight w:val="none"/>
              </w:rPr>
              <w:t>第六十一条</w:t>
            </w:r>
            <w:r>
              <w:rPr>
                <w:rFonts w:hint="eastAsia" w:ascii="仿宋_GB2312" w:hAnsi="宋体" w:eastAsia="仿宋_GB2312" w:cs="Times New Roman"/>
                <w:b/>
                <w:bCs/>
                <w:color w:val="auto"/>
                <w:sz w:val="13"/>
                <w:szCs w:val="13"/>
                <w:highlight w:val="none"/>
                <w:lang w:eastAsia="zh-CN"/>
              </w:rPr>
              <w:t>：</w:t>
            </w:r>
            <w:r>
              <w:rPr>
                <w:rFonts w:hint="eastAsia" w:ascii="仿宋_GB2312" w:hAnsi="宋体" w:eastAsia="仿宋_GB2312" w:cs="Times New Roman"/>
                <w:color w:val="auto"/>
                <w:sz w:val="13"/>
                <w:szCs w:val="13"/>
                <w:highlight w:val="none"/>
              </w:rPr>
              <w:t>违反本条例的规定，建设单位在物业管理区域内不按照规定配置必要的物业管理用房的，由县级以上地方人民政府房地产行政主管部门责令限期改正，给予警告，没收违法所得，并处10万元以上50万元以下的罚款。</w:t>
            </w:r>
          </w:p>
          <w:p w14:paraId="5FD6437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Times New Roman"/>
                <w:color w:val="auto"/>
                <w:sz w:val="13"/>
                <w:szCs w:val="13"/>
                <w:highlight w:val="none"/>
              </w:rPr>
            </w:pPr>
            <w:r>
              <w:rPr>
                <w:rFonts w:hint="eastAsia" w:ascii="仿宋_GB2312" w:hAnsi="宋体" w:eastAsia="仿宋_GB2312" w:cs="Times New Roman"/>
                <w:color w:val="auto"/>
                <w:sz w:val="13"/>
                <w:szCs w:val="13"/>
                <w:highlight w:val="none"/>
              </w:rPr>
              <w:t>《物业管理条例》</w:t>
            </w:r>
            <w:r>
              <w:rPr>
                <w:rFonts w:hint="eastAsia" w:ascii="仿宋_GB2312" w:hAnsi="宋体" w:eastAsia="仿宋_GB2312" w:cs="Times New Roman"/>
                <w:b/>
                <w:bCs/>
                <w:color w:val="auto"/>
                <w:sz w:val="13"/>
                <w:szCs w:val="13"/>
                <w:highlight w:val="none"/>
              </w:rPr>
              <w:t>第三十条</w:t>
            </w:r>
            <w:r>
              <w:rPr>
                <w:rFonts w:hint="eastAsia" w:ascii="仿宋_GB2312" w:hAnsi="宋体" w:eastAsia="仿宋_GB2312" w:cs="Times New Roman"/>
                <w:b/>
                <w:bCs/>
                <w:color w:val="auto"/>
                <w:sz w:val="13"/>
                <w:szCs w:val="13"/>
                <w:highlight w:val="none"/>
                <w:lang w:eastAsia="zh-CN"/>
              </w:rPr>
              <w:t>：</w:t>
            </w:r>
            <w:r>
              <w:rPr>
                <w:rFonts w:ascii="仿宋_GB2312" w:hAnsi="宋体" w:eastAsia="仿宋_GB2312" w:cs="Times New Roman"/>
                <w:color w:val="auto"/>
                <w:sz w:val="13"/>
                <w:szCs w:val="13"/>
                <w:highlight w:val="none"/>
              </w:rPr>
              <w:t>建设单位应当按照规定在物业管理区域内配置必要的物业管理用房。</w:t>
            </w:r>
          </w:p>
        </w:tc>
        <w:tc>
          <w:tcPr>
            <w:tcW w:w="823" w:type="dxa"/>
            <w:tcBorders>
              <w:tl2br w:val="nil"/>
              <w:tr2bl w:val="nil"/>
            </w:tcBorders>
            <w:tcMar>
              <w:top w:w="15" w:type="dxa"/>
              <w:left w:w="15" w:type="dxa"/>
              <w:bottom w:w="15" w:type="dxa"/>
              <w:right w:w="15" w:type="dxa"/>
            </w:tcMar>
            <w:vAlign w:val="center"/>
          </w:tcPr>
          <w:p w14:paraId="3BA2F84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Times New Roman"/>
                <w:color w:val="auto"/>
                <w:kern w:val="0"/>
                <w:sz w:val="13"/>
                <w:szCs w:val="13"/>
                <w:highlight w:val="none"/>
                <w:lang w:eastAsia="zh-CN"/>
              </w:rPr>
            </w:pPr>
            <w:r>
              <w:rPr>
                <w:rFonts w:hint="eastAsia" w:ascii="仿宋_GB2312" w:hAnsi="宋体" w:eastAsia="仿宋_GB2312" w:cs="Times New Roman"/>
                <w:color w:val="auto"/>
                <w:kern w:val="0"/>
                <w:sz w:val="13"/>
                <w:szCs w:val="13"/>
                <w:highlight w:val="none"/>
                <w:lang w:eastAsia="zh-CN"/>
              </w:rPr>
              <w:t>从轻情节</w:t>
            </w:r>
          </w:p>
        </w:tc>
        <w:tc>
          <w:tcPr>
            <w:tcW w:w="3437" w:type="dxa"/>
            <w:gridSpan w:val="2"/>
            <w:tcBorders>
              <w:tl2br w:val="nil"/>
              <w:tr2bl w:val="nil"/>
            </w:tcBorders>
            <w:tcMar>
              <w:top w:w="15" w:type="dxa"/>
              <w:left w:w="15" w:type="dxa"/>
              <w:bottom w:w="15" w:type="dxa"/>
              <w:right w:w="15" w:type="dxa"/>
            </w:tcMar>
            <w:vAlign w:val="center"/>
          </w:tcPr>
          <w:p w14:paraId="0B93EAD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初次违法，危害后果轻微，主动采取措施消除或减轻违法行为危害后果。</w:t>
            </w:r>
          </w:p>
        </w:tc>
        <w:tc>
          <w:tcPr>
            <w:tcW w:w="3058" w:type="dxa"/>
            <w:tcBorders>
              <w:tl2br w:val="nil"/>
              <w:tr2bl w:val="nil"/>
            </w:tcBorders>
            <w:tcMar>
              <w:top w:w="15" w:type="dxa"/>
              <w:left w:w="15" w:type="dxa"/>
              <w:bottom w:w="15" w:type="dxa"/>
              <w:right w:w="15" w:type="dxa"/>
            </w:tcMar>
            <w:vAlign w:val="center"/>
          </w:tcPr>
          <w:p w14:paraId="0836810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责令限期改正，给予警告，没收违法所得，并处10万元罚款。</w:t>
            </w:r>
          </w:p>
        </w:tc>
      </w:tr>
      <w:tr w14:paraId="6B8E607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9" w:hRule="atLeast"/>
          <w:jc w:val="center"/>
        </w:trPr>
        <w:tc>
          <w:tcPr>
            <w:tcW w:w="443" w:type="dxa"/>
            <w:gridSpan w:val="2"/>
            <w:vMerge w:val="continue"/>
            <w:tcBorders>
              <w:tl2br w:val="nil"/>
              <w:tr2bl w:val="nil"/>
            </w:tcBorders>
            <w:vAlign w:val="center"/>
          </w:tcPr>
          <w:p w14:paraId="3C4B8EE1">
            <w:pPr>
              <w:keepNext w:val="0"/>
              <w:keepLines w:val="0"/>
              <w:pageBreakBefore w:val="0"/>
              <w:widowControl/>
              <w:kinsoku/>
              <w:overflowPunct/>
              <w:topLinePunct w:val="0"/>
              <w:autoSpaceDE/>
              <w:autoSpaceDN/>
              <w:bidi w:val="0"/>
              <w:adjustRightInd/>
              <w:snapToGrid/>
              <w:spacing w:beforeAutospacing="0" w:afterAutospacing="0" w:line="260" w:lineRule="exact"/>
              <w:ind w:left="638" w:leftChars="88" w:right="0" w:rightChars="0" w:hanging="453" w:hangingChars="349"/>
              <w:jc w:val="center"/>
              <w:rPr>
                <w:rFonts w:ascii="仿宋_GB2312" w:hAnsi="宋体" w:eastAsia="仿宋_GB2312"/>
                <w:color w:val="auto"/>
                <w:sz w:val="13"/>
                <w:szCs w:val="13"/>
                <w:highlight w:val="none"/>
              </w:rPr>
            </w:pPr>
          </w:p>
        </w:tc>
        <w:tc>
          <w:tcPr>
            <w:tcW w:w="1550" w:type="dxa"/>
            <w:vMerge w:val="continue"/>
            <w:tcBorders>
              <w:tl2br w:val="nil"/>
              <w:tr2bl w:val="nil"/>
            </w:tcBorders>
            <w:vAlign w:val="center"/>
          </w:tcPr>
          <w:p w14:paraId="5E47709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193CF65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52F4F02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Times New Roman"/>
                <w:color w:val="auto"/>
                <w:kern w:val="0"/>
                <w:sz w:val="13"/>
                <w:szCs w:val="13"/>
                <w:highlight w:val="none"/>
                <w:lang w:eastAsia="zh-CN"/>
              </w:rPr>
            </w:pPr>
            <w:r>
              <w:rPr>
                <w:rFonts w:hint="eastAsia" w:ascii="仿宋_GB2312" w:hAnsi="宋体" w:eastAsia="仿宋_GB2312" w:cs="Times New Roman"/>
                <w:color w:val="auto"/>
                <w:kern w:val="0"/>
                <w:sz w:val="13"/>
                <w:szCs w:val="13"/>
                <w:highlight w:val="none"/>
                <w:lang w:eastAsia="zh-CN"/>
              </w:rPr>
              <w:t>一般情节</w:t>
            </w:r>
          </w:p>
        </w:tc>
        <w:tc>
          <w:tcPr>
            <w:tcW w:w="3437" w:type="dxa"/>
            <w:gridSpan w:val="2"/>
            <w:tcBorders>
              <w:tl2br w:val="nil"/>
              <w:tr2bl w:val="nil"/>
            </w:tcBorders>
            <w:tcMar>
              <w:top w:w="15" w:type="dxa"/>
              <w:left w:w="15" w:type="dxa"/>
              <w:bottom w:w="15" w:type="dxa"/>
              <w:right w:w="15" w:type="dxa"/>
            </w:tcMar>
            <w:vAlign w:val="center"/>
          </w:tcPr>
          <w:p w14:paraId="7617C6C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实施违法行为，侵害业主利益，不具有从轻、</w:t>
            </w:r>
            <w:r>
              <w:rPr>
                <w:rFonts w:hint="eastAsia" w:ascii="仿宋_GB2312" w:hAnsi="宋体" w:eastAsia="仿宋_GB2312" w:cs="Times New Roman"/>
                <w:color w:val="auto"/>
                <w:kern w:val="0"/>
                <w:sz w:val="13"/>
                <w:szCs w:val="13"/>
                <w:highlight w:val="none"/>
                <w:lang w:eastAsia="zh-CN"/>
              </w:rPr>
              <w:t>从重情节</w:t>
            </w:r>
            <w:r>
              <w:rPr>
                <w:rFonts w:hint="eastAsia" w:ascii="仿宋_GB2312" w:hAnsi="宋体" w:eastAsia="仿宋_GB2312" w:cs="Times New Roman"/>
                <w:color w:val="auto"/>
                <w:kern w:val="0"/>
                <w:sz w:val="13"/>
                <w:szCs w:val="13"/>
                <w:highlight w:val="none"/>
              </w:rPr>
              <w:t>的。</w:t>
            </w:r>
          </w:p>
        </w:tc>
        <w:tc>
          <w:tcPr>
            <w:tcW w:w="3058" w:type="dxa"/>
            <w:tcBorders>
              <w:tl2br w:val="nil"/>
              <w:tr2bl w:val="nil"/>
            </w:tcBorders>
            <w:tcMar>
              <w:top w:w="15" w:type="dxa"/>
              <w:left w:w="15" w:type="dxa"/>
              <w:bottom w:w="15" w:type="dxa"/>
              <w:right w:w="15" w:type="dxa"/>
            </w:tcMar>
            <w:vAlign w:val="center"/>
          </w:tcPr>
          <w:p w14:paraId="5EF6C1F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责令限期改正，给予警告，没收违法所得，并处10万元以上30万元以下罚款。</w:t>
            </w:r>
          </w:p>
        </w:tc>
      </w:tr>
      <w:tr w14:paraId="5BB068A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631" w:hRule="atLeast"/>
          <w:jc w:val="center"/>
        </w:trPr>
        <w:tc>
          <w:tcPr>
            <w:tcW w:w="443" w:type="dxa"/>
            <w:gridSpan w:val="2"/>
            <w:vMerge w:val="continue"/>
            <w:tcBorders>
              <w:tl2br w:val="nil"/>
              <w:tr2bl w:val="nil"/>
            </w:tcBorders>
            <w:vAlign w:val="center"/>
          </w:tcPr>
          <w:p w14:paraId="54323136">
            <w:pPr>
              <w:keepNext w:val="0"/>
              <w:keepLines w:val="0"/>
              <w:pageBreakBefore w:val="0"/>
              <w:widowControl/>
              <w:kinsoku/>
              <w:overflowPunct/>
              <w:topLinePunct w:val="0"/>
              <w:autoSpaceDE/>
              <w:autoSpaceDN/>
              <w:bidi w:val="0"/>
              <w:adjustRightInd/>
              <w:snapToGrid/>
              <w:spacing w:beforeAutospacing="0" w:afterAutospacing="0" w:line="260" w:lineRule="exact"/>
              <w:ind w:left="638" w:leftChars="88" w:right="0" w:rightChars="0" w:hanging="453" w:hangingChars="349"/>
              <w:jc w:val="center"/>
              <w:rPr>
                <w:rFonts w:ascii="仿宋_GB2312" w:hAnsi="宋体" w:eastAsia="仿宋_GB2312"/>
                <w:color w:val="auto"/>
                <w:sz w:val="13"/>
                <w:szCs w:val="13"/>
                <w:highlight w:val="none"/>
              </w:rPr>
            </w:pPr>
          </w:p>
        </w:tc>
        <w:tc>
          <w:tcPr>
            <w:tcW w:w="1550" w:type="dxa"/>
            <w:vMerge w:val="continue"/>
            <w:tcBorders>
              <w:tl2br w:val="nil"/>
              <w:tr2bl w:val="nil"/>
            </w:tcBorders>
            <w:vAlign w:val="center"/>
          </w:tcPr>
          <w:p w14:paraId="6DC7283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4B3CE0B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335BBE5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Times New Roman"/>
                <w:color w:val="auto"/>
                <w:kern w:val="0"/>
                <w:sz w:val="13"/>
                <w:szCs w:val="13"/>
                <w:highlight w:val="none"/>
                <w:lang w:eastAsia="zh-CN"/>
              </w:rPr>
            </w:pPr>
            <w:r>
              <w:rPr>
                <w:rFonts w:hint="eastAsia" w:ascii="仿宋_GB2312" w:hAnsi="宋体" w:eastAsia="仿宋_GB2312" w:cs="Times New Roman"/>
                <w:color w:val="auto"/>
                <w:kern w:val="0"/>
                <w:sz w:val="13"/>
                <w:szCs w:val="13"/>
                <w:highlight w:val="none"/>
                <w:lang w:eastAsia="zh-CN"/>
              </w:rPr>
              <w:t>从重情节</w:t>
            </w:r>
          </w:p>
        </w:tc>
        <w:tc>
          <w:tcPr>
            <w:tcW w:w="3437" w:type="dxa"/>
            <w:gridSpan w:val="2"/>
            <w:tcBorders>
              <w:tl2br w:val="nil"/>
              <w:tr2bl w:val="nil"/>
            </w:tcBorders>
            <w:tcMar>
              <w:top w:w="15" w:type="dxa"/>
              <w:left w:w="15" w:type="dxa"/>
              <w:bottom w:w="15" w:type="dxa"/>
              <w:right w:w="15" w:type="dxa"/>
            </w:tcMar>
            <w:vAlign w:val="center"/>
          </w:tcPr>
          <w:p w14:paraId="0C51BC1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经责令停止违法行为后，继续实施违法行为的</w:t>
            </w:r>
            <w:r>
              <w:rPr>
                <w:rFonts w:hint="eastAsia" w:ascii="仿宋_GB2312" w:hAnsi="宋体" w:eastAsia="仿宋_GB2312" w:cs="Times New Roman"/>
                <w:color w:val="auto"/>
                <w:kern w:val="0"/>
                <w:sz w:val="13"/>
                <w:szCs w:val="13"/>
                <w:highlight w:val="none"/>
                <w:lang w:eastAsia="zh-CN"/>
              </w:rPr>
              <w:t>，</w:t>
            </w:r>
            <w:r>
              <w:rPr>
                <w:rFonts w:hint="eastAsia" w:ascii="仿宋_GB2312" w:hAnsi="宋体" w:eastAsia="仿宋_GB2312" w:cs="Times New Roman"/>
                <w:color w:val="auto"/>
                <w:kern w:val="0"/>
                <w:sz w:val="13"/>
                <w:szCs w:val="13"/>
                <w:highlight w:val="none"/>
                <w:lang w:val="en-US" w:eastAsia="zh-CN"/>
              </w:rPr>
              <w:t>或</w:t>
            </w:r>
            <w:r>
              <w:rPr>
                <w:rFonts w:hint="eastAsia" w:ascii="仿宋_GB2312" w:hAnsi="宋体" w:eastAsia="仿宋_GB2312" w:cs="Times New Roman"/>
                <w:color w:val="auto"/>
                <w:kern w:val="0"/>
                <w:sz w:val="13"/>
                <w:szCs w:val="13"/>
                <w:highlight w:val="none"/>
              </w:rPr>
              <w:t>2年内2次及以上同类型违法</w:t>
            </w:r>
            <w:r>
              <w:rPr>
                <w:rFonts w:hint="eastAsia" w:ascii="仿宋_GB2312" w:hAnsi="宋体" w:eastAsia="仿宋_GB2312" w:cs="Times New Roman"/>
                <w:color w:val="auto"/>
                <w:kern w:val="0"/>
                <w:sz w:val="13"/>
                <w:szCs w:val="13"/>
                <w:highlight w:val="none"/>
                <w:lang w:eastAsia="zh-CN"/>
              </w:rPr>
              <w:t>，</w:t>
            </w:r>
            <w:r>
              <w:rPr>
                <w:rFonts w:hint="eastAsia" w:ascii="仿宋_GB2312" w:hAnsi="宋体" w:eastAsia="仿宋_GB2312" w:cs="Times New Roman"/>
                <w:color w:val="auto"/>
                <w:kern w:val="0"/>
                <w:sz w:val="13"/>
                <w:szCs w:val="13"/>
                <w:highlight w:val="none"/>
                <w:lang w:val="en-US" w:eastAsia="zh-CN"/>
              </w:rPr>
              <w:t>或</w:t>
            </w:r>
            <w:r>
              <w:rPr>
                <w:rFonts w:hint="eastAsia" w:ascii="仿宋_GB2312" w:hAnsi="宋体" w:eastAsia="仿宋_GB2312" w:cs="Times New Roman"/>
                <w:color w:val="auto"/>
                <w:kern w:val="0"/>
                <w:sz w:val="13"/>
                <w:szCs w:val="13"/>
                <w:highlight w:val="none"/>
              </w:rPr>
              <w:t>引发网络舆情事件、群体性事件等影响社会稳定的。</w:t>
            </w:r>
          </w:p>
        </w:tc>
        <w:tc>
          <w:tcPr>
            <w:tcW w:w="3058" w:type="dxa"/>
            <w:tcBorders>
              <w:tl2br w:val="nil"/>
              <w:tr2bl w:val="nil"/>
            </w:tcBorders>
            <w:tcMar>
              <w:top w:w="15" w:type="dxa"/>
              <w:left w:w="15" w:type="dxa"/>
              <w:bottom w:w="15" w:type="dxa"/>
              <w:right w:w="15" w:type="dxa"/>
            </w:tcMar>
            <w:vAlign w:val="center"/>
          </w:tcPr>
          <w:p w14:paraId="3AF90A7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责令限期改正，给予警告，没收违法所得，并处30万元以上50万元以下罚款。</w:t>
            </w:r>
          </w:p>
        </w:tc>
      </w:tr>
      <w:tr w14:paraId="4FDAFED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9" w:hRule="atLeast"/>
          <w:jc w:val="center"/>
        </w:trPr>
        <w:tc>
          <w:tcPr>
            <w:tcW w:w="443" w:type="dxa"/>
            <w:gridSpan w:val="2"/>
            <w:vMerge w:val="restart"/>
            <w:tcBorders>
              <w:tl2br w:val="nil"/>
              <w:tr2bl w:val="nil"/>
            </w:tcBorders>
            <w:vAlign w:val="center"/>
          </w:tcPr>
          <w:p w14:paraId="350E2287">
            <w:pPr>
              <w:keepNext w:val="0"/>
              <w:keepLines w:val="0"/>
              <w:pageBreakBefore w:val="0"/>
              <w:widowControl/>
              <w:numPr>
                <w:ilvl w:val="0"/>
                <w:numId w:val="6"/>
              </w:numPr>
              <w:suppressLineNumbers w:val="0"/>
              <w:tabs>
                <w:tab w:val="clear" w:pos="397"/>
              </w:tabs>
              <w:kinsoku/>
              <w:overflowPunct/>
              <w:topLinePunct w:val="0"/>
              <w:autoSpaceDE/>
              <w:autoSpaceDN/>
              <w:bidi w:val="0"/>
              <w:adjustRightInd/>
              <w:snapToGrid/>
              <w:spacing w:beforeAutospacing="0" w:afterAutospacing="0" w:line="260" w:lineRule="exact"/>
              <w:ind w:left="638" w:leftChars="88" w:right="0" w:rightChars="0" w:hanging="453" w:hangingChars="349"/>
              <w:jc w:val="center"/>
              <w:textAlignment w:val="center"/>
              <w:rPr>
                <w:rFonts w:hint="default" w:ascii="仿宋_GB2312" w:hAnsi="宋体" w:eastAsia="仿宋_GB2312"/>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274</w:t>
            </w:r>
          </w:p>
        </w:tc>
        <w:tc>
          <w:tcPr>
            <w:tcW w:w="1550" w:type="dxa"/>
            <w:vMerge w:val="restart"/>
            <w:tcBorders>
              <w:tl2br w:val="nil"/>
              <w:tr2bl w:val="nil"/>
            </w:tcBorders>
            <w:vAlign w:val="center"/>
          </w:tcPr>
          <w:p w14:paraId="6E77E3D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未经业主大会同意，物业服务企业擅自改变物业管理用房的用途的</w:t>
            </w:r>
          </w:p>
        </w:tc>
        <w:tc>
          <w:tcPr>
            <w:tcW w:w="4820" w:type="dxa"/>
            <w:vMerge w:val="restart"/>
            <w:tcBorders>
              <w:tl2br w:val="nil"/>
              <w:tr2bl w:val="nil"/>
            </w:tcBorders>
            <w:vAlign w:val="center"/>
          </w:tcPr>
          <w:p w14:paraId="396E837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Times New Roman"/>
                <w:color w:val="auto"/>
                <w:sz w:val="13"/>
                <w:szCs w:val="13"/>
                <w:highlight w:val="none"/>
              </w:rPr>
            </w:pPr>
            <w:r>
              <w:rPr>
                <w:rFonts w:hint="eastAsia" w:ascii="仿宋_GB2312" w:hAnsi="宋体" w:eastAsia="仿宋_GB2312" w:cs="Times New Roman"/>
                <w:color w:val="auto"/>
                <w:kern w:val="0"/>
                <w:sz w:val="13"/>
                <w:szCs w:val="13"/>
                <w:highlight w:val="none"/>
              </w:rPr>
              <w:t>《</w:t>
            </w:r>
            <w:r>
              <w:rPr>
                <w:rFonts w:hint="eastAsia" w:ascii="仿宋_GB2312" w:hAnsi="宋体" w:eastAsia="仿宋_GB2312" w:cs="Times New Roman"/>
                <w:color w:val="auto"/>
                <w:sz w:val="13"/>
                <w:szCs w:val="13"/>
                <w:highlight w:val="none"/>
              </w:rPr>
              <w:t>物业管理条例》</w:t>
            </w:r>
            <w:r>
              <w:rPr>
                <w:rFonts w:hint="eastAsia" w:ascii="仿宋_GB2312" w:hAnsi="宋体" w:eastAsia="仿宋_GB2312" w:cs="Times New Roman"/>
                <w:b/>
                <w:bCs/>
                <w:color w:val="auto"/>
                <w:sz w:val="13"/>
                <w:szCs w:val="13"/>
                <w:highlight w:val="none"/>
              </w:rPr>
              <w:t>第六十二条</w:t>
            </w:r>
            <w:r>
              <w:rPr>
                <w:rFonts w:hint="eastAsia" w:ascii="仿宋_GB2312" w:hAnsi="宋体" w:eastAsia="仿宋_GB2312" w:cs="Times New Roman"/>
                <w:b/>
                <w:bCs/>
                <w:color w:val="auto"/>
                <w:sz w:val="13"/>
                <w:szCs w:val="13"/>
                <w:highlight w:val="none"/>
                <w:lang w:eastAsia="zh-CN"/>
              </w:rPr>
              <w:t>：</w:t>
            </w:r>
            <w:r>
              <w:rPr>
                <w:rFonts w:hint="eastAsia" w:ascii="仿宋_GB2312" w:hAnsi="宋体" w:eastAsia="仿宋_GB2312" w:cs="Times New Roman"/>
                <w:color w:val="auto"/>
                <w:sz w:val="13"/>
                <w:szCs w:val="13"/>
                <w:highlight w:val="none"/>
              </w:rPr>
              <w:t>违反本条例的规定，未经业主大会同意，物业服务企业擅自改变物业管理用房的用途的，由县级以上地方人民政府房地产行政主管部门责令限期改正，给予警告，并处1万元以上10万元以下的罚款；有收益的，所得收益用于物业管理区域内物业共用部位、共用设施设备的维修、养护，剩余部分按照业主大会的决定使用。</w:t>
            </w:r>
          </w:p>
          <w:p w14:paraId="45D3427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olor w:val="auto"/>
                <w:sz w:val="13"/>
                <w:szCs w:val="13"/>
                <w:highlight w:val="none"/>
              </w:rPr>
            </w:pPr>
            <w:r>
              <w:rPr>
                <w:rFonts w:hint="eastAsia" w:ascii="仿宋_GB2312" w:hAnsi="宋体" w:eastAsia="仿宋_GB2312" w:cs="Times New Roman"/>
                <w:color w:val="auto"/>
                <w:sz w:val="13"/>
                <w:szCs w:val="13"/>
                <w:highlight w:val="none"/>
              </w:rPr>
              <w:t>《物业管理条例》</w:t>
            </w:r>
            <w:r>
              <w:rPr>
                <w:rFonts w:hint="eastAsia" w:ascii="仿宋_GB2312" w:hAnsi="宋体" w:eastAsia="仿宋_GB2312" w:cs="Times New Roman"/>
                <w:b/>
                <w:bCs/>
                <w:color w:val="auto"/>
                <w:sz w:val="13"/>
                <w:szCs w:val="13"/>
                <w:highlight w:val="none"/>
              </w:rPr>
              <w:t>第三十七条</w:t>
            </w:r>
            <w:r>
              <w:rPr>
                <w:rFonts w:hint="eastAsia" w:ascii="仿宋_GB2312" w:hAnsi="宋体" w:eastAsia="仿宋_GB2312" w:cs="Times New Roman"/>
                <w:b/>
                <w:bCs/>
                <w:color w:val="auto"/>
                <w:sz w:val="13"/>
                <w:szCs w:val="13"/>
                <w:highlight w:val="none"/>
                <w:lang w:eastAsia="zh-CN"/>
              </w:rPr>
              <w:t>：</w:t>
            </w:r>
            <w:r>
              <w:rPr>
                <w:rFonts w:hint="eastAsia" w:ascii="仿宋_GB2312" w:hAnsi="宋体" w:eastAsia="仿宋_GB2312" w:cs="Times New Roman"/>
                <w:color w:val="auto"/>
                <w:sz w:val="13"/>
                <w:szCs w:val="13"/>
                <w:highlight w:val="none"/>
              </w:rPr>
              <w:t>物业管理用房的所有权依法属于业主。未经业主大会同意，物业服务企业不得改变物业管理用房的用途。</w:t>
            </w:r>
          </w:p>
        </w:tc>
        <w:tc>
          <w:tcPr>
            <w:tcW w:w="823" w:type="dxa"/>
            <w:tcBorders>
              <w:tl2br w:val="nil"/>
              <w:tr2bl w:val="nil"/>
            </w:tcBorders>
            <w:tcMar>
              <w:top w:w="15" w:type="dxa"/>
              <w:left w:w="15" w:type="dxa"/>
              <w:bottom w:w="15" w:type="dxa"/>
              <w:right w:w="15" w:type="dxa"/>
            </w:tcMar>
            <w:vAlign w:val="center"/>
          </w:tcPr>
          <w:p w14:paraId="4BF013C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Times New Roman"/>
                <w:color w:val="auto"/>
                <w:kern w:val="0"/>
                <w:sz w:val="13"/>
                <w:szCs w:val="13"/>
                <w:highlight w:val="none"/>
                <w:lang w:eastAsia="zh-CN"/>
              </w:rPr>
            </w:pPr>
            <w:r>
              <w:rPr>
                <w:rFonts w:hint="eastAsia" w:ascii="仿宋_GB2312" w:hAnsi="宋体" w:eastAsia="仿宋_GB2312" w:cs="Times New Roman"/>
                <w:color w:val="auto"/>
                <w:kern w:val="0"/>
                <w:sz w:val="13"/>
                <w:szCs w:val="13"/>
                <w:highlight w:val="none"/>
                <w:lang w:eastAsia="zh-CN"/>
              </w:rPr>
              <w:t>从轻情节</w:t>
            </w:r>
          </w:p>
        </w:tc>
        <w:tc>
          <w:tcPr>
            <w:tcW w:w="3437" w:type="dxa"/>
            <w:gridSpan w:val="2"/>
            <w:tcBorders>
              <w:tl2br w:val="nil"/>
              <w:tr2bl w:val="nil"/>
            </w:tcBorders>
            <w:tcMar>
              <w:top w:w="15" w:type="dxa"/>
              <w:left w:w="15" w:type="dxa"/>
              <w:bottom w:w="15" w:type="dxa"/>
              <w:right w:w="15" w:type="dxa"/>
            </w:tcMar>
            <w:vAlign w:val="center"/>
          </w:tcPr>
          <w:p w14:paraId="0726D7F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初次违法，责令限期改正，擅自改变用途，持续时间在3个月以下的。</w:t>
            </w:r>
          </w:p>
        </w:tc>
        <w:tc>
          <w:tcPr>
            <w:tcW w:w="3058" w:type="dxa"/>
            <w:tcBorders>
              <w:tl2br w:val="nil"/>
              <w:tr2bl w:val="nil"/>
            </w:tcBorders>
            <w:tcMar>
              <w:top w:w="15" w:type="dxa"/>
              <w:left w:w="15" w:type="dxa"/>
              <w:bottom w:w="15" w:type="dxa"/>
              <w:right w:w="15" w:type="dxa"/>
            </w:tcMar>
            <w:vAlign w:val="center"/>
          </w:tcPr>
          <w:p w14:paraId="143B11B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责令限期改正，给予警告，并处</w:t>
            </w:r>
            <w:r>
              <w:rPr>
                <w:rFonts w:hint="eastAsia" w:ascii="仿宋_GB2312" w:hAnsi="宋体" w:eastAsia="仿宋_GB2312" w:cs="Times New Roman"/>
                <w:color w:val="auto"/>
                <w:kern w:val="0"/>
                <w:sz w:val="13"/>
                <w:szCs w:val="13"/>
                <w:highlight w:val="none"/>
                <w:lang w:val="en-US" w:eastAsia="zh-CN"/>
              </w:rPr>
              <w:t>1万元以上</w:t>
            </w:r>
            <w:r>
              <w:rPr>
                <w:rFonts w:hint="eastAsia" w:ascii="仿宋_GB2312" w:hAnsi="宋体" w:eastAsia="仿宋_GB2312" w:cs="Times New Roman"/>
                <w:color w:val="auto"/>
                <w:kern w:val="0"/>
                <w:sz w:val="13"/>
                <w:szCs w:val="13"/>
                <w:highlight w:val="none"/>
              </w:rPr>
              <w:t>3万元</w:t>
            </w:r>
            <w:r>
              <w:rPr>
                <w:rFonts w:hint="eastAsia" w:ascii="仿宋_GB2312" w:hAnsi="宋体" w:eastAsia="仿宋_GB2312" w:cs="Times New Roman"/>
                <w:color w:val="auto"/>
                <w:kern w:val="0"/>
                <w:sz w:val="13"/>
                <w:szCs w:val="13"/>
                <w:highlight w:val="none"/>
                <w:lang w:val="en-US" w:eastAsia="zh-CN"/>
              </w:rPr>
              <w:t>以下</w:t>
            </w:r>
            <w:r>
              <w:rPr>
                <w:rFonts w:hint="eastAsia" w:ascii="仿宋_GB2312" w:hAnsi="宋体" w:eastAsia="仿宋_GB2312" w:cs="Times New Roman"/>
                <w:color w:val="auto"/>
                <w:kern w:val="0"/>
                <w:sz w:val="13"/>
                <w:szCs w:val="13"/>
                <w:highlight w:val="none"/>
              </w:rPr>
              <w:t>罚款。</w:t>
            </w:r>
          </w:p>
        </w:tc>
      </w:tr>
      <w:tr w14:paraId="38FC7E8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47" w:hRule="atLeast"/>
          <w:jc w:val="center"/>
        </w:trPr>
        <w:tc>
          <w:tcPr>
            <w:tcW w:w="443" w:type="dxa"/>
            <w:gridSpan w:val="2"/>
            <w:vMerge w:val="continue"/>
            <w:tcBorders>
              <w:tl2br w:val="nil"/>
              <w:tr2bl w:val="nil"/>
            </w:tcBorders>
            <w:vAlign w:val="center"/>
          </w:tcPr>
          <w:p w14:paraId="036C4F4E">
            <w:pPr>
              <w:keepNext w:val="0"/>
              <w:keepLines w:val="0"/>
              <w:pageBreakBefore w:val="0"/>
              <w:widowControl/>
              <w:kinsoku/>
              <w:overflowPunct/>
              <w:topLinePunct w:val="0"/>
              <w:autoSpaceDE/>
              <w:autoSpaceDN/>
              <w:bidi w:val="0"/>
              <w:adjustRightInd/>
              <w:snapToGrid/>
              <w:spacing w:beforeAutospacing="0" w:afterAutospacing="0" w:line="260" w:lineRule="exact"/>
              <w:ind w:left="638" w:leftChars="88" w:right="0" w:rightChars="0" w:hanging="453" w:hangingChars="349"/>
              <w:jc w:val="center"/>
              <w:rPr>
                <w:rFonts w:ascii="仿宋_GB2312" w:hAnsi="宋体" w:eastAsia="仿宋_GB2312"/>
                <w:color w:val="auto"/>
                <w:sz w:val="13"/>
                <w:szCs w:val="13"/>
                <w:highlight w:val="none"/>
              </w:rPr>
            </w:pPr>
          </w:p>
        </w:tc>
        <w:tc>
          <w:tcPr>
            <w:tcW w:w="1550" w:type="dxa"/>
            <w:vMerge w:val="continue"/>
            <w:tcBorders>
              <w:tl2br w:val="nil"/>
              <w:tr2bl w:val="nil"/>
            </w:tcBorders>
            <w:vAlign w:val="center"/>
          </w:tcPr>
          <w:p w14:paraId="60CB797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30EE01D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4AFF222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Times New Roman"/>
                <w:color w:val="auto"/>
                <w:kern w:val="0"/>
                <w:sz w:val="13"/>
                <w:szCs w:val="13"/>
                <w:highlight w:val="none"/>
                <w:lang w:eastAsia="zh-CN"/>
              </w:rPr>
            </w:pPr>
            <w:r>
              <w:rPr>
                <w:rFonts w:hint="eastAsia" w:ascii="仿宋_GB2312" w:hAnsi="宋体" w:eastAsia="仿宋_GB2312" w:cs="Times New Roman"/>
                <w:color w:val="auto"/>
                <w:kern w:val="0"/>
                <w:sz w:val="13"/>
                <w:szCs w:val="13"/>
                <w:highlight w:val="none"/>
                <w:lang w:eastAsia="zh-CN"/>
              </w:rPr>
              <w:t>一般情节</w:t>
            </w:r>
          </w:p>
        </w:tc>
        <w:tc>
          <w:tcPr>
            <w:tcW w:w="3437" w:type="dxa"/>
            <w:gridSpan w:val="2"/>
            <w:tcBorders>
              <w:tl2br w:val="nil"/>
              <w:tr2bl w:val="nil"/>
            </w:tcBorders>
            <w:tcMar>
              <w:top w:w="15" w:type="dxa"/>
              <w:left w:w="15" w:type="dxa"/>
              <w:bottom w:w="15" w:type="dxa"/>
              <w:right w:w="15" w:type="dxa"/>
            </w:tcMar>
            <w:vAlign w:val="center"/>
          </w:tcPr>
          <w:p w14:paraId="4E3699A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实施违法行为，造成不良社会影响，责令限期改正，擅自改变用途，持续时间在3个月以上6个月以下的。</w:t>
            </w:r>
          </w:p>
        </w:tc>
        <w:tc>
          <w:tcPr>
            <w:tcW w:w="3058" w:type="dxa"/>
            <w:tcBorders>
              <w:tl2br w:val="nil"/>
              <w:tr2bl w:val="nil"/>
            </w:tcBorders>
            <w:tcMar>
              <w:top w:w="15" w:type="dxa"/>
              <w:left w:w="15" w:type="dxa"/>
              <w:bottom w:w="15" w:type="dxa"/>
              <w:right w:w="15" w:type="dxa"/>
            </w:tcMar>
            <w:vAlign w:val="center"/>
          </w:tcPr>
          <w:p w14:paraId="641F8A4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责令限期改正，给予警告，并处3万元以上6万元以下罚款。</w:t>
            </w:r>
          </w:p>
        </w:tc>
      </w:tr>
      <w:tr w14:paraId="7D688D4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47" w:hRule="atLeast"/>
          <w:jc w:val="center"/>
        </w:trPr>
        <w:tc>
          <w:tcPr>
            <w:tcW w:w="443" w:type="dxa"/>
            <w:gridSpan w:val="2"/>
            <w:vMerge w:val="continue"/>
            <w:tcBorders>
              <w:tl2br w:val="nil"/>
              <w:tr2bl w:val="nil"/>
            </w:tcBorders>
            <w:vAlign w:val="center"/>
          </w:tcPr>
          <w:p w14:paraId="5311356C">
            <w:pPr>
              <w:keepNext w:val="0"/>
              <w:keepLines w:val="0"/>
              <w:pageBreakBefore w:val="0"/>
              <w:widowControl/>
              <w:kinsoku/>
              <w:overflowPunct/>
              <w:topLinePunct w:val="0"/>
              <w:autoSpaceDE/>
              <w:autoSpaceDN/>
              <w:bidi w:val="0"/>
              <w:adjustRightInd/>
              <w:snapToGrid/>
              <w:spacing w:beforeAutospacing="0" w:afterAutospacing="0" w:line="260" w:lineRule="exact"/>
              <w:ind w:left="638" w:leftChars="88" w:right="0" w:rightChars="0" w:hanging="453" w:hangingChars="349"/>
              <w:jc w:val="center"/>
              <w:rPr>
                <w:rFonts w:ascii="仿宋_GB2312" w:hAnsi="宋体" w:eastAsia="仿宋_GB2312"/>
                <w:color w:val="auto"/>
                <w:sz w:val="13"/>
                <w:szCs w:val="13"/>
                <w:highlight w:val="none"/>
              </w:rPr>
            </w:pPr>
          </w:p>
        </w:tc>
        <w:tc>
          <w:tcPr>
            <w:tcW w:w="1550" w:type="dxa"/>
            <w:vMerge w:val="continue"/>
            <w:tcBorders>
              <w:tl2br w:val="nil"/>
              <w:tr2bl w:val="nil"/>
            </w:tcBorders>
            <w:vAlign w:val="center"/>
          </w:tcPr>
          <w:p w14:paraId="11E1593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6604C61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42B4713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Times New Roman"/>
                <w:color w:val="auto"/>
                <w:kern w:val="0"/>
                <w:sz w:val="13"/>
                <w:szCs w:val="13"/>
                <w:highlight w:val="none"/>
                <w:lang w:eastAsia="zh-CN"/>
              </w:rPr>
            </w:pPr>
            <w:r>
              <w:rPr>
                <w:rFonts w:hint="eastAsia" w:ascii="仿宋_GB2312" w:hAnsi="宋体" w:eastAsia="仿宋_GB2312" w:cs="Times New Roman"/>
                <w:color w:val="auto"/>
                <w:kern w:val="0"/>
                <w:sz w:val="13"/>
                <w:szCs w:val="13"/>
                <w:highlight w:val="none"/>
                <w:lang w:eastAsia="zh-CN"/>
              </w:rPr>
              <w:t>从重情节</w:t>
            </w:r>
          </w:p>
        </w:tc>
        <w:tc>
          <w:tcPr>
            <w:tcW w:w="3437" w:type="dxa"/>
            <w:gridSpan w:val="2"/>
            <w:tcBorders>
              <w:tl2br w:val="nil"/>
              <w:tr2bl w:val="nil"/>
            </w:tcBorders>
            <w:tcMar>
              <w:top w:w="15" w:type="dxa"/>
              <w:left w:w="15" w:type="dxa"/>
              <w:bottom w:w="15" w:type="dxa"/>
              <w:right w:w="15" w:type="dxa"/>
            </w:tcMar>
            <w:vAlign w:val="center"/>
          </w:tcPr>
          <w:p w14:paraId="137724B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实施违法行为，造成不良社会影响，责令限期改正，擅自改变用途，持续时间在6个月以上1年以下的。</w:t>
            </w:r>
          </w:p>
        </w:tc>
        <w:tc>
          <w:tcPr>
            <w:tcW w:w="3058" w:type="dxa"/>
            <w:tcBorders>
              <w:tl2br w:val="nil"/>
              <w:tr2bl w:val="nil"/>
            </w:tcBorders>
            <w:tcMar>
              <w:top w:w="15" w:type="dxa"/>
              <w:left w:w="15" w:type="dxa"/>
              <w:bottom w:w="15" w:type="dxa"/>
              <w:right w:w="15" w:type="dxa"/>
            </w:tcMar>
            <w:vAlign w:val="center"/>
          </w:tcPr>
          <w:p w14:paraId="65DABA1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责令限期改正，给予警告，并处6万元以上10万元以下罚款。</w:t>
            </w:r>
          </w:p>
          <w:p w14:paraId="3267D77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s="Times New Roman"/>
                <w:color w:val="auto"/>
                <w:kern w:val="0"/>
                <w:sz w:val="13"/>
                <w:szCs w:val="13"/>
                <w:highlight w:val="none"/>
              </w:rPr>
            </w:pPr>
          </w:p>
        </w:tc>
      </w:tr>
      <w:tr w14:paraId="28F99BB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9" w:hRule="atLeast"/>
          <w:jc w:val="center"/>
        </w:trPr>
        <w:tc>
          <w:tcPr>
            <w:tcW w:w="443" w:type="dxa"/>
            <w:gridSpan w:val="2"/>
            <w:vMerge w:val="restart"/>
            <w:tcBorders>
              <w:tl2br w:val="nil"/>
              <w:tr2bl w:val="nil"/>
            </w:tcBorders>
            <w:vAlign w:val="center"/>
          </w:tcPr>
          <w:p w14:paraId="38A169C0">
            <w:pPr>
              <w:keepNext w:val="0"/>
              <w:keepLines w:val="0"/>
              <w:pageBreakBefore w:val="0"/>
              <w:widowControl/>
              <w:numPr>
                <w:ilvl w:val="0"/>
                <w:numId w:val="6"/>
              </w:numPr>
              <w:suppressLineNumbers w:val="0"/>
              <w:tabs>
                <w:tab w:val="clear" w:pos="397"/>
              </w:tabs>
              <w:kinsoku/>
              <w:overflowPunct/>
              <w:topLinePunct w:val="0"/>
              <w:autoSpaceDE/>
              <w:autoSpaceDN/>
              <w:bidi w:val="0"/>
              <w:adjustRightInd/>
              <w:snapToGrid/>
              <w:spacing w:beforeAutospacing="0" w:afterAutospacing="0" w:line="260" w:lineRule="exact"/>
              <w:ind w:left="638" w:leftChars="88" w:right="0" w:rightChars="0" w:hanging="453" w:hangingChars="349"/>
              <w:jc w:val="center"/>
              <w:textAlignment w:val="center"/>
              <w:rPr>
                <w:rFonts w:hint="default" w:ascii="仿宋_GB2312" w:hAnsi="宋体" w:eastAsia="仿宋_GB2312"/>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275</w:t>
            </w:r>
          </w:p>
        </w:tc>
        <w:tc>
          <w:tcPr>
            <w:tcW w:w="1550" w:type="dxa"/>
            <w:vMerge w:val="restart"/>
            <w:tcBorders>
              <w:tl2br w:val="nil"/>
              <w:tr2bl w:val="nil"/>
            </w:tcBorders>
            <w:vAlign w:val="center"/>
          </w:tcPr>
          <w:p w14:paraId="63C4715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0" w:firstLineChars="200"/>
              <w:textAlignment w:val="center"/>
              <w:rPr>
                <w:rFonts w:hint="eastAsia" w:ascii="仿宋_GB2312" w:hAnsi="宋体" w:eastAsia="仿宋_GB2312" w:cs="Times New Roman"/>
                <w:color w:val="auto"/>
                <w:sz w:val="13"/>
                <w:szCs w:val="13"/>
                <w:highlight w:val="none"/>
              </w:rPr>
            </w:pPr>
            <w:r>
              <w:rPr>
                <w:rFonts w:hint="eastAsia" w:ascii="仿宋_GB2312" w:hAnsi="宋体" w:eastAsia="仿宋_GB2312" w:cs="Times New Roman"/>
                <w:color w:val="auto"/>
                <w:sz w:val="13"/>
                <w:szCs w:val="13"/>
                <w:highlight w:val="none"/>
              </w:rPr>
              <w:t>有下列行为之一的（一）擅自改变物业管理区域内按照规划建设的公共建筑和共用设施用途的；</w:t>
            </w:r>
          </w:p>
          <w:p w14:paraId="5B37F81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0" w:firstLineChars="200"/>
              <w:textAlignment w:val="center"/>
              <w:rPr>
                <w:rFonts w:hint="eastAsia"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（二）擅自占用、挖掘物业管理区域内道路、场地，损害业主共同利益的；</w:t>
            </w:r>
          </w:p>
          <w:p w14:paraId="2B405C3E">
            <w:pPr>
              <w:keepNext w:val="0"/>
              <w:keepLines w:val="0"/>
              <w:pageBreakBefore w:val="0"/>
              <w:widowControl/>
              <w:numPr>
                <w:ilvl w:val="0"/>
                <w:numId w:val="0"/>
              </w:numPr>
              <w:kinsoku/>
              <w:overflowPunct/>
              <w:topLinePunct w:val="0"/>
              <w:autoSpaceDE/>
              <w:autoSpaceDN/>
              <w:bidi w:val="0"/>
              <w:adjustRightInd/>
              <w:snapToGrid/>
              <w:spacing w:beforeAutospacing="0" w:afterAutospacing="0" w:line="260" w:lineRule="exact"/>
              <w:ind w:left="0" w:leftChars="0" w:right="0" w:rightChars="0" w:firstLine="260" w:firstLineChars="200"/>
              <w:textAlignment w:val="center"/>
              <w:rPr>
                <w:rFonts w:hint="eastAsia" w:ascii="仿宋_GB2312" w:hAnsi="宋体" w:eastAsia="仿宋_GB2312" w:cs="Times New Roman"/>
                <w:color w:val="auto"/>
                <w:kern w:val="0"/>
                <w:sz w:val="13"/>
                <w:szCs w:val="13"/>
                <w:highlight w:val="none"/>
                <w:lang w:eastAsia="zh-CN"/>
              </w:rPr>
            </w:pPr>
            <w:r>
              <w:rPr>
                <w:rFonts w:hint="eastAsia" w:ascii="仿宋_GB2312" w:hAnsi="宋体" w:eastAsia="仿宋_GB2312" w:cs="Times New Roman"/>
                <w:color w:val="auto"/>
                <w:kern w:val="0"/>
                <w:sz w:val="13"/>
                <w:szCs w:val="13"/>
                <w:highlight w:val="none"/>
                <w:lang w:val="en-US" w:eastAsia="zh-CN" w:bidi="ar-SA"/>
              </w:rPr>
              <w:t>（三）</w:t>
            </w:r>
            <w:r>
              <w:rPr>
                <w:rFonts w:hint="eastAsia" w:ascii="仿宋_GB2312" w:hAnsi="宋体" w:eastAsia="仿宋_GB2312" w:cs="Times New Roman"/>
                <w:color w:val="auto"/>
                <w:kern w:val="0"/>
                <w:sz w:val="13"/>
                <w:szCs w:val="13"/>
                <w:highlight w:val="none"/>
              </w:rPr>
              <w:t>擅自利用物业共用部位、共用设施设备进行经营的。</w:t>
            </w:r>
          </w:p>
          <w:p w14:paraId="7BB1DED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olor w:val="auto"/>
                <w:kern w:val="0"/>
                <w:sz w:val="13"/>
                <w:szCs w:val="13"/>
                <w:highlight w:val="none"/>
              </w:rPr>
            </w:pPr>
          </w:p>
        </w:tc>
        <w:tc>
          <w:tcPr>
            <w:tcW w:w="4820" w:type="dxa"/>
            <w:vMerge w:val="restart"/>
            <w:tcBorders>
              <w:tl2br w:val="nil"/>
              <w:tr2bl w:val="nil"/>
            </w:tcBorders>
            <w:vAlign w:val="center"/>
          </w:tcPr>
          <w:p w14:paraId="177FECE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hint="eastAsia" w:ascii="仿宋_GB2312" w:hAnsi="宋体" w:eastAsia="仿宋_GB2312" w:cs="Times New Roman"/>
                <w:color w:val="auto"/>
                <w:sz w:val="13"/>
                <w:szCs w:val="13"/>
                <w:highlight w:val="none"/>
              </w:rPr>
            </w:pPr>
            <w:r>
              <w:rPr>
                <w:rFonts w:hint="eastAsia" w:ascii="仿宋_GB2312" w:hAnsi="宋体" w:eastAsia="仿宋_GB2312" w:cs="Times New Roman"/>
                <w:color w:val="auto"/>
                <w:kern w:val="0"/>
                <w:sz w:val="13"/>
                <w:szCs w:val="13"/>
                <w:highlight w:val="none"/>
              </w:rPr>
              <w:t>《</w:t>
            </w:r>
            <w:r>
              <w:rPr>
                <w:rFonts w:hint="eastAsia" w:ascii="仿宋_GB2312" w:hAnsi="宋体" w:eastAsia="仿宋_GB2312" w:cs="Times New Roman"/>
                <w:color w:val="auto"/>
                <w:sz w:val="13"/>
                <w:szCs w:val="13"/>
                <w:highlight w:val="none"/>
              </w:rPr>
              <w:t>物业管理条例》</w:t>
            </w:r>
            <w:r>
              <w:rPr>
                <w:rFonts w:hint="eastAsia" w:ascii="仿宋_GB2312" w:hAnsi="宋体" w:eastAsia="仿宋_GB2312" w:cs="Times New Roman"/>
                <w:b/>
                <w:bCs/>
                <w:color w:val="auto"/>
                <w:sz w:val="13"/>
                <w:szCs w:val="13"/>
                <w:highlight w:val="none"/>
              </w:rPr>
              <w:t>第六十三条</w:t>
            </w:r>
            <w:r>
              <w:rPr>
                <w:rFonts w:hint="eastAsia" w:ascii="仿宋_GB2312" w:hAnsi="宋体" w:eastAsia="仿宋_GB2312" w:cs="Times New Roman"/>
                <w:b/>
                <w:bCs/>
                <w:color w:val="auto"/>
                <w:sz w:val="13"/>
                <w:szCs w:val="13"/>
                <w:highlight w:val="none"/>
                <w:lang w:eastAsia="zh-CN"/>
              </w:rPr>
              <w:t>：</w:t>
            </w:r>
            <w:r>
              <w:rPr>
                <w:rFonts w:hint="eastAsia" w:ascii="仿宋_GB2312" w:hAnsi="宋体" w:eastAsia="仿宋_GB2312" w:cs="Times New Roman"/>
                <w:color w:val="auto"/>
                <w:sz w:val="13"/>
                <w:szCs w:val="13"/>
                <w:highlight w:val="none"/>
              </w:rPr>
              <w:t>违反本条例的规定，有下列行为之一的，由县级以上地方人民政府房地产行政主管部门责令限期改正，给予警告，并按照本条第二款的规定处以罚款；所得收益，用于物业管理区域内物业共用部位、共用设施设备的维修、养护，剩余部分按照业主大会的决定使用：</w:t>
            </w:r>
          </w:p>
          <w:p w14:paraId="579E08D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0" w:firstLineChars="200"/>
              <w:textAlignment w:val="center"/>
              <w:rPr>
                <w:rFonts w:hint="eastAsia" w:ascii="仿宋_GB2312" w:hAnsi="宋体" w:eastAsia="仿宋_GB2312" w:cs="Times New Roman"/>
                <w:color w:val="auto"/>
                <w:sz w:val="13"/>
                <w:szCs w:val="13"/>
                <w:highlight w:val="none"/>
              </w:rPr>
            </w:pPr>
            <w:r>
              <w:rPr>
                <w:rFonts w:hint="eastAsia" w:ascii="仿宋_GB2312" w:hAnsi="宋体" w:eastAsia="仿宋_GB2312" w:cs="Times New Roman"/>
                <w:color w:val="auto"/>
                <w:sz w:val="13"/>
                <w:szCs w:val="13"/>
                <w:highlight w:val="none"/>
              </w:rPr>
              <w:t>（一）擅自改变物业管理区域内按照规划建设的公共建筑和共用设施用途的；</w:t>
            </w:r>
          </w:p>
          <w:p w14:paraId="6FF0ADA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0" w:firstLineChars="200"/>
              <w:textAlignment w:val="center"/>
              <w:rPr>
                <w:rFonts w:hint="eastAsia"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（二）擅自占用、挖掘物业管理区域内道路、场地，损害业主共同利益的；</w:t>
            </w:r>
          </w:p>
          <w:p w14:paraId="2C67E359">
            <w:pPr>
              <w:keepNext w:val="0"/>
              <w:keepLines w:val="0"/>
              <w:pageBreakBefore w:val="0"/>
              <w:widowControl/>
              <w:numPr>
                <w:ilvl w:val="0"/>
                <w:numId w:val="0"/>
              </w:numPr>
              <w:kinsoku/>
              <w:overflowPunct/>
              <w:topLinePunct w:val="0"/>
              <w:autoSpaceDE/>
              <w:autoSpaceDN/>
              <w:bidi w:val="0"/>
              <w:adjustRightInd/>
              <w:snapToGrid/>
              <w:spacing w:beforeAutospacing="0" w:afterAutospacing="0" w:line="260" w:lineRule="exact"/>
              <w:ind w:left="0" w:leftChars="0" w:right="0" w:rightChars="0" w:firstLine="260" w:firstLineChars="200"/>
              <w:textAlignment w:val="center"/>
              <w:rPr>
                <w:rFonts w:hint="eastAsia" w:ascii="仿宋_GB2312" w:hAnsi="宋体" w:eastAsia="仿宋_GB2312" w:cs="Times New Roman"/>
                <w:color w:val="auto"/>
                <w:kern w:val="0"/>
                <w:sz w:val="13"/>
                <w:szCs w:val="13"/>
                <w:highlight w:val="none"/>
                <w:lang w:eastAsia="zh-CN"/>
              </w:rPr>
            </w:pPr>
            <w:r>
              <w:rPr>
                <w:rFonts w:hint="eastAsia" w:ascii="仿宋_GB2312" w:hAnsi="宋体" w:eastAsia="仿宋_GB2312" w:cs="Times New Roman"/>
                <w:color w:val="auto"/>
                <w:kern w:val="0"/>
                <w:sz w:val="13"/>
                <w:szCs w:val="13"/>
                <w:highlight w:val="none"/>
                <w:lang w:val="en-US" w:eastAsia="zh-CN" w:bidi="ar-SA"/>
              </w:rPr>
              <w:t>（三）</w:t>
            </w:r>
            <w:r>
              <w:rPr>
                <w:rFonts w:hint="eastAsia" w:ascii="仿宋_GB2312" w:hAnsi="宋体" w:eastAsia="仿宋_GB2312" w:cs="Times New Roman"/>
                <w:color w:val="auto"/>
                <w:kern w:val="0"/>
                <w:sz w:val="13"/>
                <w:szCs w:val="13"/>
                <w:highlight w:val="none"/>
              </w:rPr>
              <w:t>擅自利用物业共用部位、共用设施设备进行经营的。</w:t>
            </w:r>
          </w:p>
          <w:p w14:paraId="4745C92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0" w:firstLineChars="200"/>
              <w:textAlignment w:val="center"/>
              <w:rPr>
                <w:rFonts w:ascii="仿宋_GB2312" w:hAnsi="宋体" w:eastAsia="仿宋_GB2312" w:cs="Times New Roman"/>
                <w:color w:val="auto"/>
                <w:sz w:val="13"/>
                <w:szCs w:val="13"/>
                <w:highlight w:val="none"/>
              </w:rPr>
            </w:pPr>
            <w:r>
              <w:rPr>
                <w:rFonts w:hint="eastAsia" w:ascii="仿宋_GB2312" w:hAnsi="宋体" w:eastAsia="仿宋_GB2312" w:cs="Times New Roman"/>
                <w:color w:val="auto"/>
                <w:sz w:val="13"/>
                <w:szCs w:val="13"/>
                <w:highlight w:val="none"/>
              </w:rPr>
              <w:t>个人有前款规定行为之一的，处1000元以上1万元以下的罚款；单位有前款规定行为之一的，处5万元以上20万元以下的罚款。</w:t>
            </w:r>
          </w:p>
          <w:p w14:paraId="46ADE6C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hint="eastAsia" w:ascii="仿宋_GB2312" w:hAnsi="宋体" w:eastAsia="仿宋_GB2312" w:cs="Times New Roman"/>
                <w:color w:val="auto"/>
                <w:sz w:val="13"/>
                <w:szCs w:val="13"/>
                <w:highlight w:val="none"/>
              </w:rPr>
            </w:pPr>
            <w:r>
              <w:rPr>
                <w:rFonts w:hint="eastAsia" w:ascii="仿宋_GB2312" w:hAnsi="宋体" w:eastAsia="仿宋_GB2312" w:cs="Times New Roman"/>
                <w:color w:val="auto"/>
                <w:sz w:val="13"/>
                <w:szCs w:val="13"/>
                <w:highlight w:val="none"/>
              </w:rPr>
              <w:t>《物业管理条例》</w:t>
            </w:r>
            <w:r>
              <w:rPr>
                <w:rFonts w:hint="eastAsia" w:ascii="仿宋_GB2312" w:hAnsi="宋体" w:eastAsia="仿宋_GB2312" w:cs="Times New Roman"/>
                <w:b/>
                <w:bCs/>
                <w:color w:val="auto"/>
                <w:sz w:val="13"/>
                <w:szCs w:val="13"/>
                <w:highlight w:val="none"/>
              </w:rPr>
              <w:t>第四十九条</w:t>
            </w:r>
            <w:r>
              <w:rPr>
                <w:rFonts w:hint="eastAsia" w:ascii="仿宋_GB2312" w:hAnsi="宋体" w:eastAsia="仿宋_GB2312" w:cs="Times New Roman"/>
                <w:b/>
                <w:bCs/>
                <w:color w:val="auto"/>
                <w:sz w:val="13"/>
                <w:szCs w:val="13"/>
                <w:highlight w:val="none"/>
                <w:lang w:eastAsia="zh-CN"/>
              </w:rPr>
              <w:t>：</w:t>
            </w:r>
            <w:r>
              <w:rPr>
                <w:rFonts w:hint="eastAsia" w:ascii="仿宋_GB2312" w:hAnsi="宋体" w:eastAsia="仿宋_GB2312" w:cs="Times New Roman"/>
                <w:color w:val="auto"/>
                <w:sz w:val="13"/>
                <w:szCs w:val="13"/>
                <w:highlight w:val="none"/>
              </w:rPr>
              <w:t>物业管理区域内按照规划建设的公共建筑和共用设施，不得改变用途。业主依法确需改变公共建筑和共用设施用途的，应当在依法办理有关手续后告知物业服务企业；物业服务企业确需改变公共建筑和共用设施用途的，应当提请业主大会讨论决定同意后，由业主依法办理有关手续。</w:t>
            </w:r>
          </w:p>
          <w:p w14:paraId="0B27837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hint="eastAsia" w:ascii="仿宋_GB2312" w:hAnsi="宋体" w:eastAsia="仿宋_GB2312" w:cs="Times New Roman"/>
                <w:color w:val="auto"/>
                <w:sz w:val="13"/>
                <w:szCs w:val="13"/>
                <w:highlight w:val="none"/>
              </w:rPr>
            </w:pPr>
            <w:r>
              <w:rPr>
                <w:rFonts w:hint="eastAsia" w:ascii="仿宋_GB2312" w:hAnsi="宋体" w:eastAsia="仿宋_GB2312" w:cs="Times New Roman"/>
                <w:color w:val="auto"/>
                <w:sz w:val="13"/>
                <w:szCs w:val="13"/>
                <w:highlight w:val="none"/>
              </w:rPr>
              <w:t>《物业管理条例》</w:t>
            </w:r>
            <w:r>
              <w:rPr>
                <w:rFonts w:hint="eastAsia" w:ascii="仿宋_GB2312" w:hAnsi="宋体" w:eastAsia="仿宋_GB2312" w:cs="Times New Roman"/>
                <w:b/>
                <w:bCs/>
                <w:color w:val="auto"/>
                <w:sz w:val="13"/>
                <w:szCs w:val="13"/>
                <w:highlight w:val="none"/>
              </w:rPr>
              <w:t>第五十条</w:t>
            </w:r>
            <w:r>
              <w:rPr>
                <w:rFonts w:hint="eastAsia" w:ascii="仿宋_GB2312" w:hAnsi="宋体" w:eastAsia="仿宋_GB2312" w:cs="Times New Roman"/>
                <w:b/>
                <w:bCs/>
                <w:color w:val="auto"/>
                <w:sz w:val="13"/>
                <w:szCs w:val="13"/>
                <w:highlight w:val="none"/>
                <w:lang w:eastAsia="zh-CN"/>
              </w:rPr>
              <w:t>：</w:t>
            </w:r>
            <w:r>
              <w:rPr>
                <w:rFonts w:hint="eastAsia" w:ascii="仿宋_GB2312" w:hAnsi="宋体" w:eastAsia="仿宋_GB2312" w:cs="Times New Roman"/>
                <w:color w:val="auto"/>
                <w:sz w:val="13"/>
                <w:szCs w:val="13"/>
                <w:highlight w:val="none"/>
              </w:rPr>
              <w:t>业主、物业服务企业不得擅自占用、挖掘物业管理区域内的道路、场地，损害业主的共同利益。因维修物业或者公共利益，业主确需临时占用、挖掘道路、场地的，应当征得业主委员会和物业服务企业的同意；物业服务企业确需临时占用、挖掘道路、场地的，应当征得业主委员会的同意。业主、物业服务企业应当将临时占用、挖掘的道路、场地，在约定期限内恢复原状。</w:t>
            </w:r>
          </w:p>
          <w:p w14:paraId="6D4F310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hint="eastAsia" w:ascii="仿宋_GB2312" w:hAnsi="宋体" w:eastAsia="仿宋_GB2312" w:cs="Times New Roman"/>
                <w:color w:val="auto"/>
                <w:sz w:val="13"/>
                <w:szCs w:val="13"/>
                <w:highlight w:val="none"/>
              </w:rPr>
            </w:pPr>
            <w:r>
              <w:rPr>
                <w:rFonts w:hint="eastAsia" w:ascii="仿宋_GB2312" w:hAnsi="宋体" w:eastAsia="仿宋_GB2312" w:cs="Times New Roman"/>
                <w:color w:val="auto"/>
                <w:kern w:val="0"/>
                <w:sz w:val="13"/>
                <w:szCs w:val="13"/>
                <w:highlight w:val="none"/>
              </w:rPr>
              <w:t>《物业管理条例》</w:t>
            </w:r>
            <w:r>
              <w:rPr>
                <w:rFonts w:hint="eastAsia" w:ascii="仿宋_GB2312" w:hAnsi="宋体" w:eastAsia="仿宋_GB2312" w:cs="Times New Roman"/>
                <w:b/>
                <w:bCs/>
                <w:color w:val="auto"/>
                <w:kern w:val="0"/>
                <w:sz w:val="13"/>
                <w:szCs w:val="13"/>
                <w:highlight w:val="none"/>
              </w:rPr>
              <w:t>第五十四条</w:t>
            </w:r>
            <w:r>
              <w:rPr>
                <w:rFonts w:hint="eastAsia" w:ascii="仿宋_GB2312" w:hAnsi="宋体" w:eastAsia="仿宋_GB2312" w:cs="Times New Roman"/>
                <w:b/>
                <w:bCs/>
                <w:color w:val="auto"/>
                <w:kern w:val="0"/>
                <w:sz w:val="13"/>
                <w:szCs w:val="13"/>
                <w:highlight w:val="none"/>
                <w:lang w:eastAsia="zh-CN"/>
              </w:rPr>
              <w:t>：</w:t>
            </w:r>
            <w:r>
              <w:rPr>
                <w:rFonts w:hint="eastAsia" w:ascii="仿宋_GB2312" w:hAnsi="宋体" w:eastAsia="仿宋_GB2312" w:cs="Times New Roman"/>
                <w:color w:val="auto"/>
                <w:kern w:val="0"/>
                <w:sz w:val="13"/>
                <w:szCs w:val="13"/>
                <w:highlight w:val="none"/>
              </w:rPr>
              <w:t>利用物业共用部位、共用设施设备进行经营的，应当在征得相关业主、业主大会、物业服务企业的同意后，按照规定办理有关手续。业主所得收益应当主要用于补充专项维修资金，也可以按照业主大会的决定使用。</w:t>
            </w:r>
          </w:p>
        </w:tc>
        <w:tc>
          <w:tcPr>
            <w:tcW w:w="823" w:type="dxa"/>
            <w:tcBorders>
              <w:tl2br w:val="nil"/>
              <w:tr2bl w:val="nil"/>
            </w:tcBorders>
            <w:tcMar>
              <w:top w:w="15" w:type="dxa"/>
              <w:left w:w="15" w:type="dxa"/>
              <w:bottom w:w="15" w:type="dxa"/>
              <w:right w:w="15" w:type="dxa"/>
            </w:tcMar>
            <w:vAlign w:val="center"/>
          </w:tcPr>
          <w:p w14:paraId="7690BEA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Times New Roman"/>
                <w:color w:val="auto"/>
                <w:kern w:val="0"/>
                <w:sz w:val="13"/>
                <w:szCs w:val="13"/>
                <w:highlight w:val="none"/>
                <w:lang w:eastAsia="zh-CN"/>
              </w:rPr>
            </w:pPr>
            <w:r>
              <w:rPr>
                <w:rFonts w:hint="eastAsia" w:ascii="仿宋_GB2312" w:hAnsi="宋体" w:eastAsia="仿宋_GB2312" w:cs="Times New Roman"/>
                <w:color w:val="auto"/>
                <w:kern w:val="0"/>
                <w:sz w:val="13"/>
                <w:szCs w:val="13"/>
                <w:highlight w:val="none"/>
                <w:lang w:eastAsia="zh-CN"/>
              </w:rPr>
              <w:t>从轻情节</w:t>
            </w:r>
          </w:p>
        </w:tc>
        <w:tc>
          <w:tcPr>
            <w:tcW w:w="3437" w:type="dxa"/>
            <w:gridSpan w:val="2"/>
            <w:tcBorders>
              <w:tl2br w:val="nil"/>
              <w:tr2bl w:val="nil"/>
            </w:tcBorders>
            <w:tcMar>
              <w:top w:w="15" w:type="dxa"/>
              <w:left w:w="15" w:type="dxa"/>
              <w:bottom w:w="15" w:type="dxa"/>
              <w:right w:w="15" w:type="dxa"/>
            </w:tcMar>
            <w:vAlign w:val="center"/>
          </w:tcPr>
          <w:p w14:paraId="1AED951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初次违法，危害后果轻微，主动采取措施消除或减轻违法行为危害后果。</w:t>
            </w:r>
          </w:p>
        </w:tc>
        <w:tc>
          <w:tcPr>
            <w:tcW w:w="3058" w:type="dxa"/>
            <w:tcBorders>
              <w:tl2br w:val="nil"/>
              <w:tr2bl w:val="nil"/>
            </w:tcBorders>
            <w:tcMar>
              <w:top w:w="15" w:type="dxa"/>
              <w:left w:w="15" w:type="dxa"/>
              <w:bottom w:w="15" w:type="dxa"/>
              <w:right w:w="15" w:type="dxa"/>
            </w:tcMar>
            <w:vAlign w:val="center"/>
          </w:tcPr>
          <w:p w14:paraId="611C6A0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对个人处1千元罚款；对单位处5万元罚款。</w:t>
            </w:r>
          </w:p>
        </w:tc>
      </w:tr>
      <w:tr w14:paraId="598FE11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9" w:hRule="atLeast"/>
          <w:jc w:val="center"/>
        </w:trPr>
        <w:tc>
          <w:tcPr>
            <w:tcW w:w="443" w:type="dxa"/>
            <w:gridSpan w:val="2"/>
            <w:vMerge w:val="continue"/>
            <w:tcBorders>
              <w:tl2br w:val="nil"/>
              <w:tr2bl w:val="nil"/>
            </w:tcBorders>
            <w:vAlign w:val="center"/>
          </w:tcPr>
          <w:p w14:paraId="7F2E7767">
            <w:pPr>
              <w:keepNext w:val="0"/>
              <w:keepLines w:val="0"/>
              <w:pageBreakBefore w:val="0"/>
              <w:widowControl/>
              <w:kinsoku/>
              <w:overflowPunct/>
              <w:topLinePunct w:val="0"/>
              <w:autoSpaceDE/>
              <w:autoSpaceDN/>
              <w:bidi w:val="0"/>
              <w:adjustRightInd/>
              <w:snapToGrid/>
              <w:spacing w:beforeAutospacing="0" w:afterAutospacing="0" w:line="260" w:lineRule="exact"/>
              <w:ind w:left="638" w:leftChars="88" w:right="0" w:rightChars="0" w:hanging="453" w:hangingChars="349"/>
              <w:jc w:val="center"/>
              <w:rPr>
                <w:rFonts w:ascii="仿宋_GB2312" w:hAnsi="宋体" w:eastAsia="仿宋_GB2312"/>
                <w:color w:val="auto"/>
                <w:sz w:val="13"/>
                <w:szCs w:val="13"/>
                <w:highlight w:val="none"/>
              </w:rPr>
            </w:pPr>
          </w:p>
        </w:tc>
        <w:tc>
          <w:tcPr>
            <w:tcW w:w="1550" w:type="dxa"/>
            <w:vMerge w:val="continue"/>
            <w:tcBorders>
              <w:tl2br w:val="nil"/>
              <w:tr2bl w:val="nil"/>
            </w:tcBorders>
            <w:vAlign w:val="center"/>
          </w:tcPr>
          <w:p w14:paraId="0DF0641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7A4F313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099D11E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Times New Roman"/>
                <w:color w:val="auto"/>
                <w:kern w:val="0"/>
                <w:sz w:val="13"/>
                <w:szCs w:val="13"/>
                <w:highlight w:val="none"/>
                <w:lang w:eastAsia="zh-CN"/>
              </w:rPr>
            </w:pPr>
            <w:r>
              <w:rPr>
                <w:rFonts w:hint="eastAsia" w:ascii="仿宋_GB2312" w:hAnsi="宋体" w:eastAsia="仿宋_GB2312" w:cs="Times New Roman"/>
                <w:color w:val="auto"/>
                <w:kern w:val="0"/>
                <w:sz w:val="13"/>
                <w:szCs w:val="13"/>
                <w:highlight w:val="none"/>
                <w:lang w:eastAsia="zh-CN"/>
              </w:rPr>
              <w:t>一般情节</w:t>
            </w:r>
          </w:p>
        </w:tc>
        <w:tc>
          <w:tcPr>
            <w:tcW w:w="3437" w:type="dxa"/>
            <w:gridSpan w:val="2"/>
            <w:tcBorders>
              <w:tl2br w:val="nil"/>
              <w:tr2bl w:val="nil"/>
            </w:tcBorders>
            <w:tcMar>
              <w:top w:w="15" w:type="dxa"/>
              <w:left w:w="15" w:type="dxa"/>
              <w:bottom w:w="15" w:type="dxa"/>
              <w:right w:w="15" w:type="dxa"/>
            </w:tcMar>
            <w:vAlign w:val="center"/>
          </w:tcPr>
          <w:p w14:paraId="136801D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实施违法行为，造成不良社会影响，不具有从轻、</w:t>
            </w:r>
            <w:r>
              <w:rPr>
                <w:rFonts w:hint="eastAsia" w:ascii="仿宋_GB2312" w:hAnsi="宋体" w:eastAsia="仿宋_GB2312" w:cs="Times New Roman"/>
                <w:color w:val="auto"/>
                <w:kern w:val="0"/>
                <w:sz w:val="13"/>
                <w:szCs w:val="13"/>
                <w:highlight w:val="none"/>
                <w:lang w:eastAsia="zh-CN"/>
              </w:rPr>
              <w:t>从重情节</w:t>
            </w:r>
            <w:r>
              <w:rPr>
                <w:rFonts w:hint="eastAsia" w:ascii="仿宋_GB2312" w:hAnsi="宋体" w:eastAsia="仿宋_GB2312" w:cs="Times New Roman"/>
                <w:color w:val="auto"/>
                <w:kern w:val="0"/>
                <w:sz w:val="13"/>
                <w:szCs w:val="13"/>
                <w:highlight w:val="none"/>
              </w:rPr>
              <w:t>的。</w:t>
            </w:r>
          </w:p>
        </w:tc>
        <w:tc>
          <w:tcPr>
            <w:tcW w:w="3058" w:type="dxa"/>
            <w:tcBorders>
              <w:tl2br w:val="nil"/>
              <w:tr2bl w:val="nil"/>
            </w:tcBorders>
            <w:tcMar>
              <w:top w:w="15" w:type="dxa"/>
              <w:left w:w="15" w:type="dxa"/>
              <w:bottom w:w="15" w:type="dxa"/>
              <w:right w:w="15" w:type="dxa"/>
            </w:tcMar>
            <w:vAlign w:val="center"/>
          </w:tcPr>
          <w:p w14:paraId="0E5B367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对个人处1千元以上5千元以下罚款；对单位处5万元以上15万元以下罚款。</w:t>
            </w:r>
          </w:p>
        </w:tc>
      </w:tr>
      <w:tr w14:paraId="304A793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536" w:hRule="atLeast"/>
          <w:jc w:val="center"/>
        </w:trPr>
        <w:tc>
          <w:tcPr>
            <w:tcW w:w="443" w:type="dxa"/>
            <w:gridSpan w:val="2"/>
            <w:vMerge w:val="continue"/>
            <w:tcBorders>
              <w:tl2br w:val="nil"/>
              <w:tr2bl w:val="nil"/>
            </w:tcBorders>
            <w:vAlign w:val="center"/>
          </w:tcPr>
          <w:p w14:paraId="19212E34">
            <w:pPr>
              <w:keepNext w:val="0"/>
              <w:keepLines w:val="0"/>
              <w:pageBreakBefore w:val="0"/>
              <w:widowControl/>
              <w:kinsoku/>
              <w:overflowPunct/>
              <w:topLinePunct w:val="0"/>
              <w:autoSpaceDE/>
              <w:autoSpaceDN/>
              <w:bidi w:val="0"/>
              <w:adjustRightInd/>
              <w:snapToGrid/>
              <w:spacing w:beforeAutospacing="0" w:afterAutospacing="0" w:line="260" w:lineRule="exact"/>
              <w:ind w:left="638" w:leftChars="88" w:right="0" w:rightChars="0" w:hanging="453" w:hangingChars="349"/>
              <w:jc w:val="center"/>
              <w:rPr>
                <w:rFonts w:ascii="仿宋_GB2312" w:hAnsi="宋体" w:eastAsia="仿宋_GB2312"/>
                <w:color w:val="auto"/>
                <w:sz w:val="13"/>
                <w:szCs w:val="13"/>
                <w:highlight w:val="none"/>
              </w:rPr>
            </w:pPr>
          </w:p>
        </w:tc>
        <w:tc>
          <w:tcPr>
            <w:tcW w:w="1550" w:type="dxa"/>
            <w:vMerge w:val="continue"/>
            <w:tcBorders>
              <w:tl2br w:val="nil"/>
              <w:tr2bl w:val="nil"/>
            </w:tcBorders>
            <w:vAlign w:val="center"/>
          </w:tcPr>
          <w:p w14:paraId="08CE45C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3F1C7AB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663F877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Times New Roman"/>
                <w:color w:val="auto"/>
                <w:kern w:val="0"/>
                <w:sz w:val="13"/>
                <w:szCs w:val="13"/>
                <w:highlight w:val="none"/>
                <w:lang w:eastAsia="zh-CN"/>
              </w:rPr>
            </w:pPr>
            <w:r>
              <w:rPr>
                <w:rFonts w:hint="eastAsia" w:ascii="仿宋_GB2312" w:hAnsi="宋体" w:eastAsia="仿宋_GB2312" w:cs="Times New Roman"/>
                <w:color w:val="auto"/>
                <w:kern w:val="0"/>
                <w:sz w:val="13"/>
                <w:szCs w:val="13"/>
                <w:highlight w:val="none"/>
                <w:lang w:eastAsia="zh-CN"/>
              </w:rPr>
              <w:t>从重情节</w:t>
            </w:r>
          </w:p>
        </w:tc>
        <w:tc>
          <w:tcPr>
            <w:tcW w:w="3437" w:type="dxa"/>
            <w:gridSpan w:val="2"/>
            <w:tcBorders>
              <w:tl2br w:val="nil"/>
              <w:tr2bl w:val="nil"/>
            </w:tcBorders>
            <w:tcMar>
              <w:top w:w="15" w:type="dxa"/>
              <w:left w:w="15" w:type="dxa"/>
              <w:bottom w:w="15" w:type="dxa"/>
              <w:right w:w="15" w:type="dxa"/>
            </w:tcMar>
            <w:vAlign w:val="center"/>
          </w:tcPr>
          <w:p w14:paraId="7749BD1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经责令停止违法行为后，继续实施违法行为的</w:t>
            </w:r>
            <w:r>
              <w:rPr>
                <w:rFonts w:hint="eastAsia" w:ascii="仿宋_GB2312" w:hAnsi="宋体" w:eastAsia="仿宋_GB2312" w:cs="Times New Roman"/>
                <w:color w:val="auto"/>
                <w:kern w:val="0"/>
                <w:sz w:val="13"/>
                <w:szCs w:val="13"/>
                <w:highlight w:val="none"/>
                <w:lang w:eastAsia="zh-CN"/>
              </w:rPr>
              <w:t>，</w:t>
            </w:r>
            <w:r>
              <w:rPr>
                <w:rFonts w:hint="eastAsia" w:ascii="仿宋_GB2312" w:hAnsi="宋体" w:eastAsia="仿宋_GB2312" w:cs="Times New Roman"/>
                <w:color w:val="auto"/>
                <w:kern w:val="0"/>
                <w:sz w:val="13"/>
                <w:szCs w:val="13"/>
                <w:highlight w:val="none"/>
                <w:lang w:val="en-US" w:eastAsia="zh-CN"/>
              </w:rPr>
              <w:t>或</w:t>
            </w:r>
            <w:r>
              <w:rPr>
                <w:rFonts w:hint="eastAsia" w:ascii="仿宋_GB2312" w:hAnsi="宋体" w:eastAsia="仿宋_GB2312" w:cs="Times New Roman"/>
                <w:color w:val="auto"/>
                <w:kern w:val="0"/>
                <w:sz w:val="13"/>
                <w:szCs w:val="13"/>
                <w:highlight w:val="none"/>
              </w:rPr>
              <w:t>2年内2次及以上同类型违法</w:t>
            </w:r>
            <w:r>
              <w:rPr>
                <w:rFonts w:hint="eastAsia" w:ascii="仿宋_GB2312" w:hAnsi="宋体" w:eastAsia="仿宋_GB2312" w:cs="Times New Roman"/>
                <w:color w:val="auto"/>
                <w:kern w:val="0"/>
                <w:sz w:val="13"/>
                <w:szCs w:val="13"/>
                <w:highlight w:val="none"/>
                <w:lang w:eastAsia="zh-CN"/>
              </w:rPr>
              <w:t>，</w:t>
            </w:r>
            <w:r>
              <w:rPr>
                <w:rFonts w:hint="eastAsia" w:ascii="仿宋_GB2312" w:hAnsi="宋体" w:eastAsia="仿宋_GB2312" w:cs="Times New Roman"/>
                <w:color w:val="auto"/>
                <w:kern w:val="0"/>
                <w:sz w:val="13"/>
                <w:szCs w:val="13"/>
                <w:highlight w:val="none"/>
                <w:lang w:val="en-US" w:eastAsia="zh-CN"/>
              </w:rPr>
              <w:t>或</w:t>
            </w:r>
            <w:r>
              <w:rPr>
                <w:rFonts w:hint="eastAsia" w:ascii="仿宋_GB2312" w:hAnsi="宋体" w:eastAsia="仿宋_GB2312" w:cs="Times New Roman"/>
                <w:color w:val="auto"/>
                <w:kern w:val="0"/>
                <w:sz w:val="13"/>
                <w:szCs w:val="13"/>
                <w:highlight w:val="none"/>
              </w:rPr>
              <w:t>引发网络舆情事件、群体性事件等影响社会稳定的。</w:t>
            </w:r>
          </w:p>
          <w:p w14:paraId="323941C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s="Times New Roman"/>
                <w:color w:val="auto"/>
                <w:kern w:val="0"/>
                <w:sz w:val="13"/>
                <w:szCs w:val="13"/>
                <w:highlight w:val="none"/>
              </w:rPr>
            </w:pPr>
          </w:p>
          <w:p w14:paraId="68B26B5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s="Times New Roman"/>
                <w:color w:val="auto"/>
                <w:kern w:val="0"/>
                <w:sz w:val="13"/>
                <w:szCs w:val="13"/>
                <w:highlight w:val="none"/>
              </w:rPr>
            </w:pPr>
          </w:p>
        </w:tc>
        <w:tc>
          <w:tcPr>
            <w:tcW w:w="3058" w:type="dxa"/>
            <w:tcBorders>
              <w:tl2br w:val="nil"/>
              <w:tr2bl w:val="nil"/>
            </w:tcBorders>
            <w:tcMar>
              <w:top w:w="15" w:type="dxa"/>
              <w:left w:w="15" w:type="dxa"/>
              <w:bottom w:w="15" w:type="dxa"/>
              <w:right w:w="15" w:type="dxa"/>
            </w:tcMar>
            <w:vAlign w:val="center"/>
          </w:tcPr>
          <w:p w14:paraId="5B1FC60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对个人处5千元以上1万元以下罚款；对单位处15万元以上20万元以下罚款。</w:t>
            </w:r>
          </w:p>
        </w:tc>
      </w:tr>
      <w:tr w14:paraId="3F78130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91" w:hRule="atLeast"/>
          <w:jc w:val="center"/>
        </w:trPr>
        <w:tc>
          <w:tcPr>
            <w:tcW w:w="443" w:type="dxa"/>
            <w:gridSpan w:val="2"/>
            <w:vMerge w:val="restart"/>
            <w:tcBorders>
              <w:tl2br w:val="nil"/>
              <w:tr2bl w:val="nil"/>
            </w:tcBorders>
            <w:vAlign w:val="center"/>
          </w:tcPr>
          <w:p w14:paraId="31C8CD95">
            <w:pPr>
              <w:keepNext w:val="0"/>
              <w:keepLines w:val="0"/>
              <w:pageBreakBefore w:val="0"/>
              <w:widowControl/>
              <w:numPr>
                <w:ilvl w:val="0"/>
                <w:numId w:val="6"/>
              </w:numPr>
              <w:suppressLineNumbers w:val="0"/>
              <w:tabs>
                <w:tab w:val="clear" w:pos="397"/>
              </w:tabs>
              <w:kinsoku/>
              <w:overflowPunct/>
              <w:topLinePunct w:val="0"/>
              <w:autoSpaceDE/>
              <w:autoSpaceDN/>
              <w:bidi w:val="0"/>
              <w:adjustRightInd/>
              <w:snapToGrid/>
              <w:spacing w:beforeAutospacing="0" w:afterAutospacing="0" w:line="260" w:lineRule="exact"/>
              <w:ind w:left="638" w:leftChars="88" w:right="0" w:rightChars="0" w:hanging="453" w:hangingChars="349"/>
              <w:jc w:val="center"/>
              <w:textAlignment w:val="center"/>
              <w:rPr>
                <w:rFonts w:hint="default" w:ascii="仿宋_GB2312" w:hAnsi="宋体" w:eastAsia="仿宋_GB2312"/>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276</w:t>
            </w:r>
          </w:p>
        </w:tc>
        <w:tc>
          <w:tcPr>
            <w:tcW w:w="1550" w:type="dxa"/>
            <w:vMerge w:val="restart"/>
            <w:tcBorders>
              <w:tl2br w:val="nil"/>
              <w:tr2bl w:val="nil"/>
            </w:tcBorders>
            <w:vAlign w:val="center"/>
          </w:tcPr>
          <w:p w14:paraId="7CD1D7C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买受人未按本规定交存首期住宅专项维修资金,开发建设单位将房屋交付买受人的</w:t>
            </w:r>
          </w:p>
        </w:tc>
        <w:tc>
          <w:tcPr>
            <w:tcW w:w="4820" w:type="dxa"/>
            <w:vMerge w:val="restart"/>
            <w:tcBorders>
              <w:tl2br w:val="nil"/>
              <w:tr2bl w:val="nil"/>
            </w:tcBorders>
            <w:vAlign w:val="center"/>
          </w:tcPr>
          <w:p w14:paraId="73433B7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《住宅专项维修基金管理办法》</w:t>
            </w:r>
            <w:r>
              <w:rPr>
                <w:rFonts w:hint="eastAsia" w:ascii="仿宋_GB2312" w:hAnsi="宋体" w:eastAsia="仿宋_GB2312" w:cs="Times New Roman"/>
                <w:b/>
                <w:bCs/>
                <w:color w:val="auto"/>
                <w:kern w:val="0"/>
                <w:sz w:val="13"/>
                <w:szCs w:val="13"/>
                <w:highlight w:val="none"/>
              </w:rPr>
              <w:t>第三十六条第一款</w:t>
            </w:r>
            <w:r>
              <w:rPr>
                <w:rFonts w:hint="eastAsia" w:ascii="仿宋_GB2312" w:hAnsi="宋体" w:eastAsia="仿宋_GB2312" w:cs="Times New Roman"/>
                <w:b/>
                <w:bCs/>
                <w:color w:val="auto"/>
                <w:kern w:val="0"/>
                <w:sz w:val="13"/>
                <w:szCs w:val="13"/>
                <w:highlight w:val="none"/>
                <w:lang w:eastAsia="zh-CN"/>
              </w:rPr>
              <w:t>：</w:t>
            </w:r>
            <w:r>
              <w:rPr>
                <w:rFonts w:hint="eastAsia" w:ascii="仿宋_GB2312" w:hAnsi="宋体" w:eastAsia="仿宋_GB2312" w:cs="Times New Roman"/>
                <w:color w:val="auto"/>
                <w:kern w:val="0"/>
                <w:sz w:val="13"/>
                <w:szCs w:val="13"/>
                <w:highlight w:val="none"/>
              </w:rPr>
              <w:t>开发建设单位违反本办法第十三条规定将房屋交付买受人的，由县级以上地方人民政府建设（房地产）主管部门责令限期改正；逾期不改正的，处以3万元以下的罚款。</w:t>
            </w:r>
          </w:p>
          <w:p w14:paraId="11140F6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olor w:val="auto"/>
                <w:sz w:val="13"/>
                <w:szCs w:val="13"/>
                <w:highlight w:val="none"/>
              </w:rPr>
            </w:pPr>
            <w:r>
              <w:rPr>
                <w:rFonts w:hint="eastAsia" w:ascii="仿宋_GB2312" w:hAnsi="宋体" w:eastAsia="仿宋_GB2312" w:cs="Times New Roman"/>
                <w:color w:val="auto"/>
                <w:kern w:val="0"/>
                <w:sz w:val="13"/>
                <w:szCs w:val="13"/>
                <w:highlight w:val="none"/>
              </w:rPr>
              <w:t>《住宅专项维修资金管理办法》</w:t>
            </w:r>
            <w:r>
              <w:rPr>
                <w:rFonts w:hint="eastAsia" w:ascii="仿宋_GB2312" w:hAnsi="宋体" w:eastAsia="仿宋_GB2312" w:cs="Times New Roman"/>
                <w:b/>
                <w:bCs/>
                <w:color w:val="auto"/>
                <w:kern w:val="0"/>
                <w:sz w:val="13"/>
                <w:szCs w:val="13"/>
                <w:highlight w:val="none"/>
              </w:rPr>
              <w:t>第十三条</w:t>
            </w:r>
            <w:r>
              <w:rPr>
                <w:rFonts w:hint="eastAsia" w:ascii="仿宋_GB2312" w:hAnsi="宋体" w:eastAsia="仿宋_GB2312" w:cs="Times New Roman"/>
                <w:b/>
                <w:bCs/>
                <w:color w:val="auto"/>
                <w:kern w:val="0"/>
                <w:sz w:val="13"/>
                <w:szCs w:val="13"/>
                <w:highlight w:val="none"/>
                <w:lang w:eastAsia="zh-CN"/>
              </w:rPr>
              <w:t>：</w:t>
            </w:r>
            <w:r>
              <w:rPr>
                <w:rFonts w:hint="eastAsia" w:ascii="仿宋_GB2312" w:hAnsi="宋体" w:eastAsia="仿宋_GB2312" w:cs="Times New Roman"/>
                <w:color w:val="auto"/>
                <w:kern w:val="0"/>
                <w:sz w:val="13"/>
                <w:szCs w:val="13"/>
                <w:highlight w:val="none"/>
              </w:rPr>
              <w:t>未按本办法规定交存首期住宅专项维修资金的，开发建设单位或者公有住房售房单位不得将房屋交付购买人。</w:t>
            </w:r>
          </w:p>
        </w:tc>
        <w:tc>
          <w:tcPr>
            <w:tcW w:w="823" w:type="dxa"/>
            <w:tcBorders>
              <w:tl2br w:val="nil"/>
              <w:tr2bl w:val="nil"/>
            </w:tcBorders>
            <w:tcMar>
              <w:top w:w="15" w:type="dxa"/>
              <w:left w:w="15" w:type="dxa"/>
              <w:bottom w:w="15" w:type="dxa"/>
              <w:right w:w="15" w:type="dxa"/>
            </w:tcMar>
            <w:vAlign w:val="center"/>
          </w:tcPr>
          <w:p w14:paraId="1A2B6D4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Times New Roman"/>
                <w:color w:val="auto"/>
                <w:kern w:val="0"/>
                <w:sz w:val="13"/>
                <w:szCs w:val="13"/>
                <w:highlight w:val="none"/>
                <w:lang w:eastAsia="zh-CN"/>
              </w:rPr>
            </w:pPr>
            <w:r>
              <w:rPr>
                <w:rFonts w:hint="eastAsia" w:ascii="仿宋_GB2312" w:hAnsi="宋体" w:eastAsia="仿宋_GB2312" w:cs="Times New Roman"/>
                <w:color w:val="auto"/>
                <w:kern w:val="0"/>
                <w:sz w:val="13"/>
                <w:szCs w:val="13"/>
                <w:highlight w:val="none"/>
                <w:lang w:eastAsia="zh-CN"/>
              </w:rPr>
              <w:t>从轻情节</w:t>
            </w:r>
          </w:p>
        </w:tc>
        <w:tc>
          <w:tcPr>
            <w:tcW w:w="3437" w:type="dxa"/>
            <w:gridSpan w:val="2"/>
            <w:tcBorders>
              <w:tl2br w:val="nil"/>
              <w:tr2bl w:val="nil"/>
            </w:tcBorders>
            <w:tcMar>
              <w:top w:w="15" w:type="dxa"/>
              <w:left w:w="15" w:type="dxa"/>
              <w:bottom w:w="15" w:type="dxa"/>
              <w:right w:w="15" w:type="dxa"/>
            </w:tcMar>
            <w:vAlign w:val="center"/>
          </w:tcPr>
          <w:p w14:paraId="3BFE83A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责令限期改正，逾期1个月以下的。</w:t>
            </w:r>
          </w:p>
        </w:tc>
        <w:tc>
          <w:tcPr>
            <w:tcW w:w="3058" w:type="dxa"/>
            <w:tcBorders>
              <w:tl2br w:val="nil"/>
              <w:tr2bl w:val="nil"/>
            </w:tcBorders>
            <w:tcMar>
              <w:top w:w="15" w:type="dxa"/>
              <w:left w:w="15" w:type="dxa"/>
              <w:bottom w:w="15" w:type="dxa"/>
              <w:right w:w="15" w:type="dxa"/>
            </w:tcMar>
            <w:vAlign w:val="center"/>
          </w:tcPr>
          <w:p w14:paraId="5BF08FF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处以1万元的罚款。</w:t>
            </w:r>
          </w:p>
        </w:tc>
      </w:tr>
      <w:tr w14:paraId="1182128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91" w:hRule="atLeast"/>
          <w:jc w:val="center"/>
        </w:trPr>
        <w:tc>
          <w:tcPr>
            <w:tcW w:w="443" w:type="dxa"/>
            <w:gridSpan w:val="2"/>
            <w:vMerge w:val="continue"/>
            <w:tcBorders>
              <w:tl2br w:val="nil"/>
              <w:tr2bl w:val="nil"/>
            </w:tcBorders>
            <w:vAlign w:val="center"/>
          </w:tcPr>
          <w:p w14:paraId="5B110423">
            <w:pPr>
              <w:keepNext w:val="0"/>
              <w:keepLines w:val="0"/>
              <w:pageBreakBefore w:val="0"/>
              <w:widowControl/>
              <w:kinsoku/>
              <w:overflowPunct/>
              <w:topLinePunct w:val="0"/>
              <w:autoSpaceDE/>
              <w:autoSpaceDN/>
              <w:bidi w:val="0"/>
              <w:adjustRightInd/>
              <w:snapToGrid/>
              <w:spacing w:beforeAutospacing="0" w:afterAutospacing="0" w:line="260" w:lineRule="exact"/>
              <w:ind w:left="638" w:leftChars="88" w:right="0" w:rightChars="0" w:hanging="453" w:hangingChars="349"/>
              <w:jc w:val="center"/>
              <w:rPr>
                <w:rFonts w:ascii="仿宋_GB2312" w:hAnsi="宋体" w:eastAsia="仿宋_GB2312"/>
                <w:color w:val="auto"/>
                <w:sz w:val="13"/>
                <w:szCs w:val="13"/>
                <w:highlight w:val="none"/>
              </w:rPr>
            </w:pPr>
          </w:p>
        </w:tc>
        <w:tc>
          <w:tcPr>
            <w:tcW w:w="1550" w:type="dxa"/>
            <w:vMerge w:val="continue"/>
            <w:tcBorders>
              <w:tl2br w:val="nil"/>
              <w:tr2bl w:val="nil"/>
            </w:tcBorders>
            <w:vAlign w:val="center"/>
          </w:tcPr>
          <w:p w14:paraId="665203A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1083AF9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4A03CD3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Times New Roman"/>
                <w:color w:val="auto"/>
                <w:kern w:val="0"/>
                <w:sz w:val="13"/>
                <w:szCs w:val="13"/>
                <w:highlight w:val="none"/>
                <w:lang w:eastAsia="zh-CN"/>
              </w:rPr>
            </w:pPr>
            <w:r>
              <w:rPr>
                <w:rFonts w:hint="eastAsia" w:ascii="仿宋_GB2312" w:hAnsi="宋体" w:eastAsia="仿宋_GB2312" w:cs="Times New Roman"/>
                <w:color w:val="auto"/>
                <w:kern w:val="0"/>
                <w:sz w:val="13"/>
                <w:szCs w:val="13"/>
                <w:highlight w:val="none"/>
                <w:lang w:eastAsia="zh-CN"/>
              </w:rPr>
              <w:t>一般情节</w:t>
            </w:r>
          </w:p>
        </w:tc>
        <w:tc>
          <w:tcPr>
            <w:tcW w:w="3437" w:type="dxa"/>
            <w:gridSpan w:val="2"/>
            <w:tcBorders>
              <w:tl2br w:val="nil"/>
              <w:tr2bl w:val="nil"/>
            </w:tcBorders>
            <w:tcMar>
              <w:top w:w="15" w:type="dxa"/>
              <w:left w:w="15" w:type="dxa"/>
              <w:bottom w:w="15" w:type="dxa"/>
              <w:right w:w="15" w:type="dxa"/>
            </w:tcMar>
            <w:vAlign w:val="center"/>
          </w:tcPr>
          <w:p w14:paraId="1895718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责令限期改正，逾期1个月以上3个月以下的。</w:t>
            </w:r>
          </w:p>
        </w:tc>
        <w:tc>
          <w:tcPr>
            <w:tcW w:w="3058" w:type="dxa"/>
            <w:tcBorders>
              <w:tl2br w:val="nil"/>
              <w:tr2bl w:val="nil"/>
            </w:tcBorders>
            <w:tcMar>
              <w:top w:w="15" w:type="dxa"/>
              <w:left w:w="15" w:type="dxa"/>
              <w:bottom w:w="15" w:type="dxa"/>
              <w:right w:w="15" w:type="dxa"/>
            </w:tcMar>
            <w:vAlign w:val="center"/>
          </w:tcPr>
          <w:p w14:paraId="2BF28D6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处以1万元以上2万元以下的罚款。</w:t>
            </w:r>
          </w:p>
        </w:tc>
      </w:tr>
      <w:tr w14:paraId="448E8F8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57" w:hRule="atLeast"/>
          <w:jc w:val="center"/>
        </w:trPr>
        <w:tc>
          <w:tcPr>
            <w:tcW w:w="443" w:type="dxa"/>
            <w:gridSpan w:val="2"/>
            <w:vMerge w:val="continue"/>
            <w:tcBorders>
              <w:tl2br w:val="nil"/>
              <w:tr2bl w:val="nil"/>
            </w:tcBorders>
            <w:vAlign w:val="center"/>
          </w:tcPr>
          <w:p w14:paraId="6D0FFB7D">
            <w:pPr>
              <w:keepNext w:val="0"/>
              <w:keepLines w:val="0"/>
              <w:pageBreakBefore w:val="0"/>
              <w:widowControl/>
              <w:kinsoku/>
              <w:overflowPunct/>
              <w:topLinePunct w:val="0"/>
              <w:autoSpaceDE/>
              <w:autoSpaceDN/>
              <w:bidi w:val="0"/>
              <w:adjustRightInd/>
              <w:snapToGrid/>
              <w:spacing w:beforeAutospacing="0" w:afterAutospacing="0" w:line="260" w:lineRule="exact"/>
              <w:ind w:left="638" w:leftChars="88" w:right="0" w:rightChars="0" w:hanging="453" w:hangingChars="349"/>
              <w:jc w:val="center"/>
              <w:rPr>
                <w:rFonts w:ascii="仿宋_GB2312" w:hAnsi="宋体" w:eastAsia="仿宋_GB2312"/>
                <w:color w:val="auto"/>
                <w:sz w:val="13"/>
                <w:szCs w:val="13"/>
                <w:highlight w:val="none"/>
              </w:rPr>
            </w:pPr>
          </w:p>
        </w:tc>
        <w:tc>
          <w:tcPr>
            <w:tcW w:w="1550" w:type="dxa"/>
            <w:vMerge w:val="continue"/>
            <w:tcBorders>
              <w:tl2br w:val="nil"/>
              <w:tr2bl w:val="nil"/>
            </w:tcBorders>
            <w:vAlign w:val="center"/>
          </w:tcPr>
          <w:p w14:paraId="2FFE190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1929DDD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1600906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Times New Roman"/>
                <w:color w:val="auto"/>
                <w:kern w:val="0"/>
                <w:sz w:val="13"/>
                <w:szCs w:val="13"/>
                <w:highlight w:val="none"/>
                <w:lang w:eastAsia="zh-CN"/>
              </w:rPr>
            </w:pPr>
            <w:r>
              <w:rPr>
                <w:rFonts w:hint="eastAsia" w:ascii="仿宋_GB2312" w:hAnsi="宋体" w:eastAsia="仿宋_GB2312" w:cs="Times New Roman"/>
                <w:color w:val="auto"/>
                <w:kern w:val="0"/>
                <w:sz w:val="13"/>
                <w:szCs w:val="13"/>
                <w:highlight w:val="none"/>
                <w:lang w:eastAsia="zh-CN"/>
              </w:rPr>
              <w:t>从重情节</w:t>
            </w:r>
          </w:p>
        </w:tc>
        <w:tc>
          <w:tcPr>
            <w:tcW w:w="3437" w:type="dxa"/>
            <w:gridSpan w:val="2"/>
            <w:tcBorders>
              <w:tl2br w:val="nil"/>
              <w:tr2bl w:val="nil"/>
            </w:tcBorders>
            <w:tcMar>
              <w:top w:w="15" w:type="dxa"/>
              <w:left w:w="15" w:type="dxa"/>
              <w:bottom w:w="15" w:type="dxa"/>
              <w:right w:w="15" w:type="dxa"/>
            </w:tcMar>
            <w:vAlign w:val="center"/>
          </w:tcPr>
          <w:p w14:paraId="573E124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责令限期改正，逾期3个月以上。</w:t>
            </w:r>
          </w:p>
        </w:tc>
        <w:tc>
          <w:tcPr>
            <w:tcW w:w="3058" w:type="dxa"/>
            <w:tcBorders>
              <w:tl2br w:val="nil"/>
              <w:tr2bl w:val="nil"/>
            </w:tcBorders>
            <w:tcMar>
              <w:top w:w="15" w:type="dxa"/>
              <w:left w:w="15" w:type="dxa"/>
              <w:bottom w:w="15" w:type="dxa"/>
              <w:right w:w="15" w:type="dxa"/>
            </w:tcMar>
            <w:vAlign w:val="center"/>
          </w:tcPr>
          <w:p w14:paraId="2CDC960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处以2万元以上3万元以下的罚款。</w:t>
            </w:r>
          </w:p>
        </w:tc>
      </w:tr>
      <w:tr w14:paraId="4919CC9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91" w:hRule="atLeast"/>
          <w:jc w:val="center"/>
        </w:trPr>
        <w:tc>
          <w:tcPr>
            <w:tcW w:w="443" w:type="dxa"/>
            <w:gridSpan w:val="2"/>
            <w:vMerge w:val="restart"/>
            <w:tcBorders>
              <w:tl2br w:val="nil"/>
              <w:tr2bl w:val="nil"/>
            </w:tcBorders>
            <w:vAlign w:val="center"/>
          </w:tcPr>
          <w:p w14:paraId="229781C0">
            <w:pPr>
              <w:keepNext w:val="0"/>
              <w:keepLines w:val="0"/>
              <w:pageBreakBefore w:val="0"/>
              <w:widowControl/>
              <w:numPr>
                <w:ilvl w:val="0"/>
                <w:numId w:val="6"/>
              </w:numPr>
              <w:suppressLineNumbers w:val="0"/>
              <w:tabs>
                <w:tab w:val="clear" w:pos="397"/>
              </w:tabs>
              <w:kinsoku/>
              <w:overflowPunct/>
              <w:topLinePunct w:val="0"/>
              <w:autoSpaceDE/>
              <w:autoSpaceDN/>
              <w:bidi w:val="0"/>
              <w:adjustRightInd/>
              <w:snapToGrid/>
              <w:spacing w:beforeAutospacing="0" w:afterAutospacing="0" w:line="260" w:lineRule="exact"/>
              <w:ind w:left="638" w:leftChars="88" w:right="0" w:rightChars="0" w:hanging="453" w:hangingChars="349"/>
              <w:jc w:val="center"/>
              <w:textAlignment w:val="center"/>
              <w:rPr>
                <w:rFonts w:hint="default" w:ascii="仿宋_GB2312" w:hAnsi="宋体" w:eastAsia="仿宋_GB2312"/>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277</w:t>
            </w:r>
          </w:p>
        </w:tc>
        <w:tc>
          <w:tcPr>
            <w:tcW w:w="1550" w:type="dxa"/>
            <w:vMerge w:val="restart"/>
            <w:tcBorders>
              <w:tl2br w:val="nil"/>
              <w:tr2bl w:val="nil"/>
            </w:tcBorders>
            <w:vAlign w:val="center"/>
          </w:tcPr>
          <w:p w14:paraId="2F9B32A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开发建设单位未按照尚未售出商品住宅或者公有住房的建筑面积，分摊维修、更新和改造费用的</w:t>
            </w:r>
          </w:p>
        </w:tc>
        <w:tc>
          <w:tcPr>
            <w:tcW w:w="4820" w:type="dxa"/>
            <w:vMerge w:val="restart"/>
            <w:tcBorders>
              <w:tl2br w:val="nil"/>
              <w:tr2bl w:val="nil"/>
            </w:tcBorders>
            <w:vAlign w:val="center"/>
          </w:tcPr>
          <w:p w14:paraId="1B3D04F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《住宅专项维修基金管理办法》</w:t>
            </w:r>
            <w:r>
              <w:rPr>
                <w:rFonts w:hint="eastAsia" w:ascii="仿宋_GB2312" w:hAnsi="宋体" w:eastAsia="仿宋_GB2312" w:cs="Times New Roman"/>
                <w:b/>
                <w:bCs/>
                <w:color w:val="auto"/>
                <w:kern w:val="0"/>
                <w:sz w:val="13"/>
                <w:szCs w:val="13"/>
                <w:highlight w:val="none"/>
              </w:rPr>
              <w:t>第三十六条第二款</w:t>
            </w:r>
            <w:r>
              <w:rPr>
                <w:rFonts w:hint="eastAsia" w:ascii="仿宋_GB2312" w:hAnsi="宋体" w:eastAsia="仿宋_GB2312" w:cs="Times New Roman"/>
                <w:b/>
                <w:bCs/>
                <w:color w:val="auto"/>
                <w:kern w:val="0"/>
                <w:sz w:val="13"/>
                <w:szCs w:val="13"/>
                <w:highlight w:val="none"/>
                <w:lang w:eastAsia="zh-CN"/>
              </w:rPr>
              <w:t>：</w:t>
            </w:r>
            <w:r>
              <w:rPr>
                <w:rFonts w:hint="eastAsia" w:ascii="仿宋_GB2312" w:hAnsi="宋体" w:eastAsia="仿宋_GB2312" w:cs="Times New Roman"/>
                <w:color w:val="auto"/>
                <w:kern w:val="0"/>
                <w:sz w:val="13"/>
                <w:szCs w:val="13"/>
                <w:highlight w:val="none"/>
              </w:rPr>
              <w:t>开发建设单位未按本办法第二十一条规定分摊维修、更新和改造费用的，由县级以上地方人民政府建设（房地产）主管部门责令限期改正；逾期不改正的，处以1万元以下的罚款。</w:t>
            </w:r>
          </w:p>
          <w:p w14:paraId="522DB1C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olor w:val="auto"/>
                <w:sz w:val="13"/>
                <w:szCs w:val="13"/>
                <w:highlight w:val="none"/>
              </w:rPr>
            </w:pPr>
            <w:r>
              <w:rPr>
                <w:rFonts w:hint="eastAsia" w:ascii="仿宋_GB2312" w:hAnsi="宋体" w:eastAsia="仿宋_GB2312" w:cs="Times New Roman"/>
                <w:color w:val="auto"/>
                <w:kern w:val="0"/>
                <w:sz w:val="13"/>
                <w:szCs w:val="13"/>
                <w:highlight w:val="none"/>
              </w:rPr>
              <w:t>《住宅专项维修资金管理办法》</w:t>
            </w:r>
            <w:r>
              <w:rPr>
                <w:rFonts w:hint="eastAsia" w:ascii="仿宋_GB2312" w:hAnsi="宋体" w:eastAsia="仿宋_GB2312" w:cs="Times New Roman"/>
                <w:b/>
                <w:bCs/>
                <w:color w:val="auto"/>
                <w:kern w:val="0"/>
                <w:sz w:val="13"/>
                <w:szCs w:val="13"/>
                <w:highlight w:val="none"/>
              </w:rPr>
              <w:t>第二十一条</w:t>
            </w:r>
            <w:r>
              <w:rPr>
                <w:rFonts w:hint="eastAsia" w:ascii="仿宋_GB2312" w:hAnsi="宋体" w:eastAsia="仿宋_GB2312" w:cs="Times New Roman"/>
                <w:b/>
                <w:bCs/>
                <w:color w:val="auto"/>
                <w:kern w:val="0"/>
                <w:sz w:val="13"/>
                <w:szCs w:val="13"/>
                <w:highlight w:val="none"/>
                <w:lang w:eastAsia="zh-CN"/>
              </w:rPr>
              <w:t>：</w:t>
            </w:r>
            <w:r>
              <w:rPr>
                <w:rFonts w:hint="eastAsia" w:ascii="仿宋_GB2312" w:hAnsi="宋体" w:eastAsia="仿宋_GB2312" w:cs="Times New Roman"/>
                <w:color w:val="auto"/>
                <w:kern w:val="0"/>
                <w:sz w:val="13"/>
                <w:szCs w:val="13"/>
                <w:highlight w:val="none"/>
              </w:rPr>
              <w:t>住宅共用部位、共用设施设备维修和更新、改造，涉及尚未售出的商品住宅、非住宅或者公有住房的，开发建设单位或者公有住房单位应当按照尚未售出商品住宅或者公有住房的建筑面积，分摊维修和更新、改造费用。</w:t>
            </w:r>
          </w:p>
        </w:tc>
        <w:tc>
          <w:tcPr>
            <w:tcW w:w="823" w:type="dxa"/>
            <w:tcBorders>
              <w:tl2br w:val="nil"/>
              <w:tr2bl w:val="nil"/>
            </w:tcBorders>
            <w:tcMar>
              <w:top w:w="15" w:type="dxa"/>
              <w:left w:w="15" w:type="dxa"/>
              <w:bottom w:w="15" w:type="dxa"/>
              <w:right w:w="15" w:type="dxa"/>
            </w:tcMar>
            <w:vAlign w:val="center"/>
          </w:tcPr>
          <w:p w14:paraId="385A950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Times New Roman"/>
                <w:color w:val="auto"/>
                <w:kern w:val="0"/>
                <w:sz w:val="13"/>
                <w:szCs w:val="13"/>
                <w:highlight w:val="none"/>
                <w:lang w:eastAsia="zh-CN"/>
              </w:rPr>
            </w:pPr>
            <w:r>
              <w:rPr>
                <w:rFonts w:hint="eastAsia" w:ascii="仿宋_GB2312" w:hAnsi="宋体" w:eastAsia="仿宋_GB2312" w:cs="Times New Roman"/>
                <w:color w:val="auto"/>
                <w:kern w:val="0"/>
                <w:sz w:val="13"/>
                <w:szCs w:val="13"/>
                <w:highlight w:val="none"/>
                <w:lang w:eastAsia="zh-CN"/>
              </w:rPr>
              <w:t>从轻情节</w:t>
            </w:r>
          </w:p>
        </w:tc>
        <w:tc>
          <w:tcPr>
            <w:tcW w:w="3437" w:type="dxa"/>
            <w:gridSpan w:val="2"/>
            <w:tcBorders>
              <w:tl2br w:val="nil"/>
              <w:tr2bl w:val="nil"/>
            </w:tcBorders>
            <w:tcMar>
              <w:top w:w="15" w:type="dxa"/>
              <w:left w:w="15" w:type="dxa"/>
              <w:bottom w:w="15" w:type="dxa"/>
              <w:right w:w="15" w:type="dxa"/>
            </w:tcMar>
            <w:vAlign w:val="center"/>
          </w:tcPr>
          <w:p w14:paraId="471BC37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责令限期改正，逾期1个月以下的。</w:t>
            </w:r>
          </w:p>
        </w:tc>
        <w:tc>
          <w:tcPr>
            <w:tcW w:w="3058" w:type="dxa"/>
            <w:tcBorders>
              <w:tl2br w:val="nil"/>
              <w:tr2bl w:val="nil"/>
            </w:tcBorders>
            <w:tcMar>
              <w:top w:w="15" w:type="dxa"/>
              <w:left w:w="15" w:type="dxa"/>
              <w:bottom w:w="15" w:type="dxa"/>
              <w:right w:w="15" w:type="dxa"/>
            </w:tcMar>
            <w:vAlign w:val="center"/>
          </w:tcPr>
          <w:p w14:paraId="69A5AD0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处以5千元以下的罚款。</w:t>
            </w:r>
          </w:p>
        </w:tc>
      </w:tr>
      <w:tr w14:paraId="66C02AD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9" w:hRule="atLeast"/>
          <w:jc w:val="center"/>
        </w:trPr>
        <w:tc>
          <w:tcPr>
            <w:tcW w:w="443" w:type="dxa"/>
            <w:gridSpan w:val="2"/>
            <w:vMerge w:val="continue"/>
            <w:tcBorders>
              <w:tl2br w:val="nil"/>
              <w:tr2bl w:val="nil"/>
            </w:tcBorders>
            <w:vAlign w:val="center"/>
          </w:tcPr>
          <w:p w14:paraId="6C780DA9">
            <w:pPr>
              <w:keepNext w:val="0"/>
              <w:keepLines w:val="0"/>
              <w:pageBreakBefore w:val="0"/>
              <w:widowControl/>
              <w:kinsoku/>
              <w:overflowPunct/>
              <w:topLinePunct w:val="0"/>
              <w:autoSpaceDE/>
              <w:autoSpaceDN/>
              <w:bidi w:val="0"/>
              <w:adjustRightInd/>
              <w:snapToGrid/>
              <w:spacing w:beforeAutospacing="0" w:afterAutospacing="0" w:line="260" w:lineRule="exact"/>
              <w:ind w:left="638" w:leftChars="88" w:right="0" w:rightChars="0" w:hanging="453" w:hangingChars="349"/>
              <w:jc w:val="center"/>
              <w:rPr>
                <w:rFonts w:ascii="仿宋_GB2312" w:hAnsi="宋体" w:eastAsia="仿宋_GB2312"/>
                <w:color w:val="auto"/>
                <w:sz w:val="13"/>
                <w:szCs w:val="13"/>
                <w:highlight w:val="none"/>
              </w:rPr>
            </w:pPr>
          </w:p>
        </w:tc>
        <w:tc>
          <w:tcPr>
            <w:tcW w:w="1550" w:type="dxa"/>
            <w:vMerge w:val="continue"/>
            <w:tcBorders>
              <w:tl2br w:val="nil"/>
              <w:tr2bl w:val="nil"/>
            </w:tcBorders>
            <w:vAlign w:val="center"/>
          </w:tcPr>
          <w:p w14:paraId="7751061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288A3C6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3A82E18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Times New Roman"/>
                <w:color w:val="auto"/>
                <w:kern w:val="0"/>
                <w:sz w:val="13"/>
                <w:szCs w:val="13"/>
                <w:highlight w:val="none"/>
                <w:lang w:eastAsia="zh-CN"/>
              </w:rPr>
            </w:pPr>
            <w:r>
              <w:rPr>
                <w:rFonts w:hint="eastAsia" w:ascii="仿宋_GB2312" w:hAnsi="宋体" w:eastAsia="仿宋_GB2312" w:cs="Times New Roman"/>
                <w:color w:val="auto"/>
                <w:kern w:val="0"/>
                <w:sz w:val="13"/>
                <w:szCs w:val="13"/>
                <w:highlight w:val="none"/>
                <w:lang w:eastAsia="zh-CN"/>
              </w:rPr>
              <w:t>一般情节</w:t>
            </w:r>
          </w:p>
        </w:tc>
        <w:tc>
          <w:tcPr>
            <w:tcW w:w="3437" w:type="dxa"/>
            <w:gridSpan w:val="2"/>
            <w:tcBorders>
              <w:tl2br w:val="nil"/>
              <w:tr2bl w:val="nil"/>
            </w:tcBorders>
            <w:tcMar>
              <w:top w:w="15" w:type="dxa"/>
              <w:left w:w="15" w:type="dxa"/>
              <w:bottom w:w="15" w:type="dxa"/>
              <w:right w:w="15" w:type="dxa"/>
            </w:tcMar>
            <w:vAlign w:val="center"/>
          </w:tcPr>
          <w:p w14:paraId="6D781DF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责令限期改正，逾期1个月以上3个月以下的。</w:t>
            </w:r>
          </w:p>
        </w:tc>
        <w:tc>
          <w:tcPr>
            <w:tcW w:w="3058" w:type="dxa"/>
            <w:tcBorders>
              <w:tl2br w:val="nil"/>
              <w:tr2bl w:val="nil"/>
            </w:tcBorders>
            <w:tcMar>
              <w:top w:w="15" w:type="dxa"/>
              <w:left w:w="15" w:type="dxa"/>
              <w:bottom w:w="15" w:type="dxa"/>
              <w:right w:w="15" w:type="dxa"/>
            </w:tcMar>
            <w:vAlign w:val="center"/>
          </w:tcPr>
          <w:p w14:paraId="5B8287E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处以5千元以上7千5百元以下的罚款。</w:t>
            </w:r>
          </w:p>
        </w:tc>
      </w:tr>
      <w:tr w14:paraId="129A149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79" w:hRule="atLeast"/>
          <w:jc w:val="center"/>
        </w:trPr>
        <w:tc>
          <w:tcPr>
            <w:tcW w:w="443" w:type="dxa"/>
            <w:gridSpan w:val="2"/>
            <w:vMerge w:val="continue"/>
            <w:tcBorders>
              <w:tl2br w:val="nil"/>
              <w:tr2bl w:val="nil"/>
            </w:tcBorders>
            <w:vAlign w:val="center"/>
          </w:tcPr>
          <w:p w14:paraId="1E038A40">
            <w:pPr>
              <w:keepNext w:val="0"/>
              <w:keepLines w:val="0"/>
              <w:pageBreakBefore w:val="0"/>
              <w:widowControl/>
              <w:kinsoku/>
              <w:overflowPunct/>
              <w:topLinePunct w:val="0"/>
              <w:autoSpaceDE/>
              <w:autoSpaceDN/>
              <w:bidi w:val="0"/>
              <w:adjustRightInd/>
              <w:snapToGrid/>
              <w:spacing w:beforeAutospacing="0" w:afterAutospacing="0" w:line="260" w:lineRule="exact"/>
              <w:ind w:left="638" w:leftChars="88" w:right="0" w:rightChars="0" w:hanging="453" w:hangingChars="349"/>
              <w:jc w:val="center"/>
              <w:rPr>
                <w:rFonts w:ascii="仿宋_GB2312" w:hAnsi="宋体" w:eastAsia="仿宋_GB2312"/>
                <w:color w:val="auto"/>
                <w:sz w:val="13"/>
                <w:szCs w:val="13"/>
                <w:highlight w:val="none"/>
              </w:rPr>
            </w:pPr>
          </w:p>
        </w:tc>
        <w:tc>
          <w:tcPr>
            <w:tcW w:w="1550" w:type="dxa"/>
            <w:vMerge w:val="continue"/>
            <w:tcBorders>
              <w:tl2br w:val="nil"/>
              <w:tr2bl w:val="nil"/>
            </w:tcBorders>
            <w:vAlign w:val="center"/>
          </w:tcPr>
          <w:p w14:paraId="4ADFE2C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2841CDB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15B5980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Times New Roman"/>
                <w:color w:val="auto"/>
                <w:kern w:val="0"/>
                <w:sz w:val="13"/>
                <w:szCs w:val="13"/>
                <w:highlight w:val="none"/>
                <w:lang w:eastAsia="zh-CN"/>
              </w:rPr>
            </w:pPr>
            <w:r>
              <w:rPr>
                <w:rFonts w:hint="eastAsia" w:ascii="仿宋_GB2312" w:hAnsi="宋体" w:eastAsia="仿宋_GB2312" w:cs="Times New Roman"/>
                <w:color w:val="auto"/>
                <w:kern w:val="0"/>
                <w:sz w:val="13"/>
                <w:szCs w:val="13"/>
                <w:highlight w:val="none"/>
                <w:lang w:eastAsia="zh-CN"/>
              </w:rPr>
              <w:t>从重情节</w:t>
            </w:r>
          </w:p>
        </w:tc>
        <w:tc>
          <w:tcPr>
            <w:tcW w:w="3437" w:type="dxa"/>
            <w:gridSpan w:val="2"/>
            <w:tcBorders>
              <w:tl2br w:val="nil"/>
              <w:tr2bl w:val="nil"/>
            </w:tcBorders>
            <w:tcMar>
              <w:top w:w="15" w:type="dxa"/>
              <w:left w:w="15" w:type="dxa"/>
              <w:bottom w:w="15" w:type="dxa"/>
              <w:right w:w="15" w:type="dxa"/>
            </w:tcMar>
            <w:vAlign w:val="center"/>
          </w:tcPr>
          <w:p w14:paraId="35C7433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责令限期改正，逾期3个月以上。</w:t>
            </w:r>
          </w:p>
        </w:tc>
        <w:tc>
          <w:tcPr>
            <w:tcW w:w="3058" w:type="dxa"/>
            <w:tcBorders>
              <w:tl2br w:val="nil"/>
              <w:tr2bl w:val="nil"/>
            </w:tcBorders>
            <w:tcMar>
              <w:top w:w="15" w:type="dxa"/>
              <w:left w:w="15" w:type="dxa"/>
              <w:bottom w:w="15" w:type="dxa"/>
              <w:right w:w="15" w:type="dxa"/>
            </w:tcMar>
            <w:vAlign w:val="center"/>
          </w:tcPr>
          <w:p w14:paraId="36DAD81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责令限期改正；逾期不改正的，处以7千5百元以上1万元以下的罚款。</w:t>
            </w:r>
          </w:p>
        </w:tc>
      </w:tr>
      <w:tr w14:paraId="567BCC0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9" w:hRule="atLeast"/>
          <w:jc w:val="center"/>
        </w:trPr>
        <w:tc>
          <w:tcPr>
            <w:tcW w:w="443" w:type="dxa"/>
            <w:gridSpan w:val="2"/>
            <w:vMerge w:val="restart"/>
            <w:tcBorders>
              <w:tl2br w:val="nil"/>
              <w:tr2bl w:val="nil"/>
            </w:tcBorders>
            <w:vAlign w:val="center"/>
          </w:tcPr>
          <w:p w14:paraId="67AD7FDD">
            <w:pPr>
              <w:keepNext w:val="0"/>
              <w:keepLines w:val="0"/>
              <w:pageBreakBefore w:val="0"/>
              <w:widowControl/>
              <w:numPr>
                <w:ilvl w:val="0"/>
                <w:numId w:val="6"/>
              </w:numPr>
              <w:suppressLineNumbers w:val="0"/>
              <w:tabs>
                <w:tab w:val="clear" w:pos="397"/>
              </w:tabs>
              <w:kinsoku/>
              <w:overflowPunct/>
              <w:topLinePunct w:val="0"/>
              <w:autoSpaceDE/>
              <w:autoSpaceDN/>
              <w:bidi w:val="0"/>
              <w:adjustRightInd/>
              <w:snapToGrid/>
              <w:spacing w:beforeAutospacing="0" w:afterAutospacing="0" w:line="260" w:lineRule="exact"/>
              <w:ind w:left="638" w:leftChars="88" w:right="0" w:rightChars="0" w:hanging="453" w:hangingChars="349"/>
              <w:jc w:val="center"/>
              <w:textAlignment w:val="center"/>
              <w:rPr>
                <w:rFonts w:hint="default" w:ascii="仿宋_GB2312" w:hAnsi="宋体" w:eastAsia="仿宋_GB2312"/>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278</w:t>
            </w:r>
          </w:p>
        </w:tc>
        <w:tc>
          <w:tcPr>
            <w:tcW w:w="1550" w:type="dxa"/>
            <w:vMerge w:val="restart"/>
            <w:tcBorders>
              <w:tl2br w:val="nil"/>
              <w:tr2bl w:val="nil"/>
            </w:tcBorders>
            <w:vAlign w:val="center"/>
          </w:tcPr>
          <w:p w14:paraId="2E3CE4C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物业服务等企业挪用住宅专项维修资金的</w:t>
            </w:r>
          </w:p>
        </w:tc>
        <w:tc>
          <w:tcPr>
            <w:tcW w:w="4820" w:type="dxa"/>
            <w:vMerge w:val="restart"/>
            <w:tcBorders>
              <w:tl2br w:val="nil"/>
              <w:tr2bl w:val="nil"/>
            </w:tcBorders>
            <w:vAlign w:val="center"/>
          </w:tcPr>
          <w:p w14:paraId="279AE81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《住宅专项维修基金管理办法》</w:t>
            </w:r>
            <w:r>
              <w:rPr>
                <w:rFonts w:hint="eastAsia" w:ascii="仿宋_GB2312" w:hAnsi="宋体" w:eastAsia="仿宋_GB2312" w:cs="Times New Roman"/>
                <w:b/>
                <w:bCs/>
                <w:color w:val="auto"/>
                <w:kern w:val="0"/>
                <w:sz w:val="13"/>
                <w:szCs w:val="13"/>
                <w:highlight w:val="none"/>
              </w:rPr>
              <w:t>第三十七条</w:t>
            </w:r>
            <w:r>
              <w:rPr>
                <w:rFonts w:hint="eastAsia" w:ascii="仿宋_GB2312" w:hAnsi="宋体" w:eastAsia="仿宋_GB2312" w:cs="Times New Roman"/>
                <w:b/>
                <w:bCs/>
                <w:color w:val="auto"/>
                <w:kern w:val="0"/>
                <w:sz w:val="13"/>
                <w:szCs w:val="13"/>
                <w:highlight w:val="none"/>
                <w:lang w:val="en-US" w:eastAsia="zh-CN"/>
              </w:rPr>
              <w:t>第一款</w:t>
            </w:r>
            <w:r>
              <w:rPr>
                <w:rFonts w:hint="eastAsia" w:ascii="仿宋_GB2312" w:hAnsi="宋体" w:eastAsia="仿宋_GB2312" w:cs="Times New Roman"/>
                <w:b/>
                <w:bCs/>
                <w:color w:val="auto"/>
                <w:kern w:val="0"/>
                <w:sz w:val="13"/>
                <w:szCs w:val="13"/>
                <w:highlight w:val="none"/>
                <w:lang w:eastAsia="zh-CN"/>
              </w:rPr>
              <w:t>：</w:t>
            </w:r>
            <w:r>
              <w:rPr>
                <w:rFonts w:hint="eastAsia" w:ascii="仿宋_GB2312" w:hAnsi="宋体" w:eastAsia="仿宋_GB2312" w:cs="Times New Roman"/>
                <w:color w:val="auto"/>
                <w:kern w:val="0"/>
                <w:sz w:val="13"/>
                <w:szCs w:val="13"/>
                <w:highlight w:val="none"/>
              </w:rPr>
              <w:t>违反本办法规定，挪用住宅专项维修资金的，由县级以上地方人民政府建设(房地产)主管部门追回挪用的住宅专项维修资金，没收违法所得，可以并处挪用金额2倍以下的罚款；构成犯罪的，依法追究直接负责的主管人员和其他直接责任人员的刑事责任。</w:t>
            </w:r>
          </w:p>
          <w:p w14:paraId="006FF02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olor w:val="auto"/>
                <w:sz w:val="13"/>
                <w:szCs w:val="13"/>
                <w:highlight w:val="none"/>
              </w:rPr>
            </w:pPr>
            <w:r>
              <w:rPr>
                <w:rFonts w:hint="eastAsia" w:ascii="仿宋_GB2312" w:hAnsi="宋体" w:eastAsia="仿宋_GB2312" w:cs="Times New Roman"/>
                <w:color w:val="auto"/>
                <w:kern w:val="0"/>
                <w:sz w:val="13"/>
                <w:szCs w:val="13"/>
                <w:highlight w:val="none"/>
              </w:rPr>
              <w:t>《住宅专项维修资金管理办法》</w:t>
            </w:r>
            <w:r>
              <w:rPr>
                <w:rFonts w:hint="eastAsia" w:ascii="仿宋_GB2312" w:hAnsi="宋体" w:eastAsia="仿宋_GB2312" w:cs="Times New Roman"/>
                <w:b/>
                <w:bCs/>
                <w:color w:val="auto"/>
                <w:kern w:val="0"/>
                <w:sz w:val="13"/>
                <w:szCs w:val="13"/>
                <w:highlight w:val="none"/>
              </w:rPr>
              <w:t>第十八条</w:t>
            </w:r>
            <w:r>
              <w:rPr>
                <w:rFonts w:hint="eastAsia" w:ascii="仿宋_GB2312" w:hAnsi="宋体" w:eastAsia="仿宋_GB2312" w:cs="Times New Roman"/>
                <w:b/>
                <w:bCs/>
                <w:color w:val="auto"/>
                <w:kern w:val="0"/>
                <w:sz w:val="13"/>
                <w:szCs w:val="13"/>
                <w:highlight w:val="none"/>
                <w:lang w:eastAsia="zh-CN"/>
              </w:rPr>
              <w:t>：</w:t>
            </w:r>
            <w:r>
              <w:rPr>
                <w:rFonts w:hint="eastAsia" w:ascii="仿宋_GB2312" w:hAnsi="宋体" w:eastAsia="仿宋_GB2312" w:cs="Times New Roman"/>
                <w:color w:val="auto"/>
                <w:kern w:val="0"/>
                <w:sz w:val="13"/>
                <w:szCs w:val="13"/>
                <w:highlight w:val="none"/>
              </w:rPr>
              <w:t>住宅专项维修资金应当专项用于住宅共用部位、共用设施设备保修期满后的维修和更新、改造，不得挪作他用。</w:t>
            </w:r>
          </w:p>
        </w:tc>
        <w:tc>
          <w:tcPr>
            <w:tcW w:w="823" w:type="dxa"/>
            <w:tcBorders>
              <w:tl2br w:val="nil"/>
              <w:tr2bl w:val="nil"/>
            </w:tcBorders>
            <w:tcMar>
              <w:top w:w="15" w:type="dxa"/>
              <w:left w:w="15" w:type="dxa"/>
              <w:bottom w:w="15" w:type="dxa"/>
              <w:right w:w="15" w:type="dxa"/>
            </w:tcMar>
            <w:vAlign w:val="center"/>
          </w:tcPr>
          <w:p w14:paraId="16BA5C5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Times New Roman"/>
                <w:color w:val="auto"/>
                <w:kern w:val="0"/>
                <w:sz w:val="13"/>
                <w:szCs w:val="13"/>
                <w:highlight w:val="none"/>
                <w:lang w:eastAsia="zh-CN"/>
              </w:rPr>
            </w:pPr>
            <w:r>
              <w:rPr>
                <w:rFonts w:hint="eastAsia" w:ascii="仿宋_GB2312" w:hAnsi="宋体" w:eastAsia="仿宋_GB2312" w:cs="Times New Roman"/>
                <w:color w:val="auto"/>
                <w:kern w:val="0"/>
                <w:sz w:val="13"/>
                <w:szCs w:val="13"/>
                <w:highlight w:val="none"/>
                <w:lang w:eastAsia="zh-CN"/>
              </w:rPr>
              <w:t>从轻情节</w:t>
            </w:r>
          </w:p>
        </w:tc>
        <w:tc>
          <w:tcPr>
            <w:tcW w:w="3437" w:type="dxa"/>
            <w:gridSpan w:val="2"/>
            <w:tcBorders>
              <w:tl2br w:val="nil"/>
              <w:tr2bl w:val="nil"/>
            </w:tcBorders>
            <w:tcMar>
              <w:top w:w="15" w:type="dxa"/>
              <w:left w:w="15" w:type="dxa"/>
              <w:bottom w:w="15" w:type="dxa"/>
              <w:right w:w="15" w:type="dxa"/>
            </w:tcMar>
            <w:vAlign w:val="center"/>
          </w:tcPr>
          <w:p w14:paraId="2FF34E1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初次违法，危害后果轻微，主动采取措施消除或减轻违法行为危害后果。</w:t>
            </w:r>
          </w:p>
        </w:tc>
        <w:tc>
          <w:tcPr>
            <w:tcW w:w="3058" w:type="dxa"/>
            <w:tcBorders>
              <w:tl2br w:val="nil"/>
              <w:tr2bl w:val="nil"/>
            </w:tcBorders>
            <w:tcMar>
              <w:top w:w="15" w:type="dxa"/>
              <w:left w:w="15" w:type="dxa"/>
              <w:bottom w:w="15" w:type="dxa"/>
              <w:right w:w="15" w:type="dxa"/>
            </w:tcMar>
            <w:vAlign w:val="center"/>
          </w:tcPr>
          <w:p w14:paraId="4D87C73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没收违法所得，可以并处挪用金额0.5倍以下的罚款。</w:t>
            </w:r>
          </w:p>
        </w:tc>
      </w:tr>
      <w:tr w14:paraId="3F40F13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9" w:hRule="atLeast"/>
          <w:jc w:val="center"/>
        </w:trPr>
        <w:tc>
          <w:tcPr>
            <w:tcW w:w="443" w:type="dxa"/>
            <w:gridSpan w:val="2"/>
            <w:vMerge w:val="continue"/>
            <w:tcBorders>
              <w:tl2br w:val="nil"/>
              <w:tr2bl w:val="nil"/>
            </w:tcBorders>
            <w:vAlign w:val="center"/>
          </w:tcPr>
          <w:p w14:paraId="21BA5922">
            <w:pPr>
              <w:keepNext w:val="0"/>
              <w:keepLines w:val="0"/>
              <w:pageBreakBefore w:val="0"/>
              <w:widowControl/>
              <w:kinsoku/>
              <w:overflowPunct/>
              <w:topLinePunct w:val="0"/>
              <w:autoSpaceDE/>
              <w:autoSpaceDN/>
              <w:bidi w:val="0"/>
              <w:adjustRightInd/>
              <w:snapToGrid/>
              <w:spacing w:beforeAutospacing="0" w:afterAutospacing="0" w:line="260" w:lineRule="exact"/>
              <w:ind w:left="638" w:leftChars="88" w:right="0" w:rightChars="0" w:hanging="453" w:hangingChars="349"/>
              <w:jc w:val="center"/>
              <w:rPr>
                <w:rFonts w:ascii="仿宋_GB2312" w:hAnsi="宋体" w:eastAsia="仿宋_GB2312"/>
                <w:color w:val="auto"/>
                <w:sz w:val="13"/>
                <w:szCs w:val="13"/>
                <w:highlight w:val="none"/>
              </w:rPr>
            </w:pPr>
          </w:p>
        </w:tc>
        <w:tc>
          <w:tcPr>
            <w:tcW w:w="1550" w:type="dxa"/>
            <w:vMerge w:val="continue"/>
            <w:tcBorders>
              <w:tl2br w:val="nil"/>
              <w:tr2bl w:val="nil"/>
            </w:tcBorders>
            <w:vAlign w:val="center"/>
          </w:tcPr>
          <w:p w14:paraId="74F8A02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4DD6A54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71AAE65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Times New Roman"/>
                <w:color w:val="auto"/>
                <w:kern w:val="0"/>
                <w:sz w:val="13"/>
                <w:szCs w:val="13"/>
                <w:highlight w:val="none"/>
                <w:lang w:eastAsia="zh-CN"/>
              </w:rPr>
            </w:pPr>
            <w:r>
              <w:rPr>
                <w:rFonts w:hint="eastAsia" w:ascii="仿宋_GB2312" w:hAnsi="宋体" w:eastAsia="仿宋_GB2312" w:cs="Times New Roman"/>
                <w:color w:val="auto"/>
                <w:kern w:val="0"/>
                <w:sz w:val="13"/>
                <w:szCs w:val="13"/>
                <w:highlight w:val="none"/>
                <w:lang w:eastAsia="zh-CN"/>
              </w:rPr>
              <w:t>一般情节</w:t>
            </w:r>
          </w:p>
        </w:tc>
        <w:tc>
          <w:tcPr>
            <w:tcW w:w="3437" w:type="dxa"/>
            <w:gridSpan w:val="2"/>
            <w:tcBorders>
              <w:tl2br w:val="nil"/>
              <w:tr2bl w:val="nil"/>
            </w:tcBorders>
            <w:tcMar>
              <w:top w:w="15" w:type="dxa"/>
              <w:left w:w="15" w:type="dxa"/>
              <w:bottom w:w="15" w:type="dxa"/>
              <w:right w:w="15" w:type="dxa"/>
            </w:tcMar>
            <w:vAlign w:val="center"/>
          </w:tcPr>
          <w:p w14:paraId="7FFB790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实施违法行为，造成不良社会影响，不具有从轻、</w:t>
            </w:r>
            <w:r>
              <w:rPr>
                <w:rFonts w:hint="eastAsia" w:ascii="仿宋_GB2312" w:hAnsi="宋体" w:eastAsia="仿宋_GB2312" w:cs="Times New Roman"/>
                <w:color w:val="auto"/>
                <w:kern w:val="0"/>
                <w:sz w:val="13"/>
                <w:szCs w:val="13"/>
                <w:highlight w:val="none"/>
                <w:lang w:eastAsia="zh-CN"/>
              </w:rPr>
              <w:t>从重情节</w:t>
            </w:r>
            <w:r>
              <w:rPr>
                <w:rFonts w:hint="eastAsia" w:ascii="仿宋_GB2312" w:hAnsi="宋体" w:eastAsia="仿宋_GB2312" w:cs="Times New Roman"/>
                <w:color w:val="auto"/>
                <w:kern w:val="0"/>
                <w:sz w:val="13"/>
                <w:szCs w:val="13"/>
                <w:highlight w:val="none"/>
              </w:rPr>
              <w:t>的。</w:t>
            </w:r>
          </w:p>
        </w:tc>
        <w:tc>
          <w:tcPr>
            <w:tcW w:w="3058" w:type="dxa"/>
            <w:tcBorders>
              <w:tl2br w:val="nil"/>
              <w:tr2bl w:val="nil"/>
            </w:tcBorders>
            <w:tcMar>
              <w:top w:w="15" w:type="dxa"/>
              <w:left w:w="15" w:type="dxa"/>
              <w:bottom w:w="15" w:type="dxa"/>
              <w:right w:w="15" w:type="dxa"/>
            </w:tcMar>
            <w:vAlign w:val="center"/>
          </w:tcPr>
          <w:p w14:paraId="35462C3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没收违法所得，可以并处挪用金额0.5倍以上1.5倍以下的罚款。</w:t>
            </w:r>
          </w:p>
        </w:tc>
      </w:tr>
      <w:tr w14:paraId="7BA3DE7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471" w:hRule="atLeast"/>
          <w:jc w:val="center"/>
        </w:trPr>
        <w:tc>
          <w:tcPr>
            <w:tcW w:w="443" w:type="dxa"/>
            <w:gridSpan w:val="2"/>
            <w:vMerge w:val="continue"/>
            <w:tcBorders>
              <w:tl2br w:val="nil"/>
              <w:tr2bl w:val="nil"/>
            </w:tcBorders>
            <w:vAlign w:val="center"/>
          </w:tcPr>
          <w:p w14:paraId="7EFC586A">
            <w:pPr>
              <w:keepNext w:val="0"/>
              <w:keepLines w:val="0"/>
              <w:pageBreakBefore w:val="0"/>
              <w:widowControl/>
              <w:kinsoku/>
              <w:overflowPunct/>
              <w:topLinePunct w:val="0"/>
              <w:autoSpaceDE/>
              <w:autoSpaceDN/>
              <w:bidi w:val="0"/>
              <w:adjustRightInd/>
              <w:snapToGrid/>
              <w:spacing w:beforeAutospacing="0" w:afterAutospacing="0" w:line="260" w:lineRule="exact"/>
              <w:ind w:left="638" w:leftChars="88" w:right="0" w:rightChars="0" w:hanging="453" w:hangingChars="349"/>
              <w:jc w:val="center"/>
              <w:rPr>
                <w:rFonts w:ascii="仿宋_GB2312" w:hAnsi="宋体" w:eastAsia="仿宋_GB2312"/>
                <w:color w:val="auto"/>
                <w:sz w:val="13"/>
                <w:szCs w:val="13"/>
                <w:highlight w:val="none"/>
              </w:rPr>
            </w:pPr>
          </w:p>
        </w:tc>
        <w:tc>
          <w:tcPr>
            <w:tcW w:w="1550" w:type="dxa"/>
            <w:vMerge w:val="continue"/>
            <w:tcBorders>
              <w:tl2br w:val="nil"/>
              <w:tr2bl w:val="nil"/>
            </w:tcBorders>
            <w:vAlign w:val="center"/>
          </w:tcPr>
          <w:p w14:paraId="6168A37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4055D78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62B0C56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Times New Roman"/>
                <w:color w:val="auto"/>
                <w:kern w:val="0"/>
                <w:sz w:val="13"/>
                <w:szCs w:val="13"/>
                <w:highlight w:val="none"/>
                <w:lang w:eastAsia="zh-CN"/>
              </w:rPr>
            </w:pPr>
            <w:r>
              <w:rPr>
                <w:rFonts w:hint="eastAsia" w:ascii="仿宋_GB2312" w:hAnsi="宋体" w:eastAsia="仿宋_GB2312" w:cs="Times New Roman"/>
                <w:color w:val="auto"/>
                <w:kern w:val="0"/>
                <w:sz w:val="13"/>
                <w:szCs w:val="13"/>
                <w:highlight w:val="none"/>
                <w:lang w:eastAsia="zh-CN"/>
              </w:rPr>
              <w:t>从重情节</w:t>
            </w:r>
          </w:p>
        </w:tc>
        <w:tc>
          <w:tcPr>
            <w:tcW w:w="3437" w:type="dxa"/>
            <w:gridSpan w:val="2"/>
            <w:tcBorders>
              <w:tl2br w:val="nil"/>
              <w:tr2bl w:val="nil"/>
            </w:tcBorders>
            <w:tcMar>
              <w:top w:w="15" w:type="dxa"/>
              <w:left w:w="15" w:type="dxa"/>
              <w:bottom w:w="15" w:type="dxa"/>
              <w:right w:w="15" w:type="dxa"/>
            </w:tcMar>
            <w:vAlign w:val="center"/>
          </w:tcPr>
          <w:p w14:paraId="02D1C25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经责令停止违法行为后，继续实施违法行为的</w:t>
            </w:r>
            <w:r>
              <w:rPr>
                <w:rFonts w:hint="eastAsia" w:ascii="仿宋_GB2312" w:hAnsi="宋体" w:eastAsia="仿宋_GB2312" w:cs="Times New Roman"/>
                <w:color w:val="auto"/>
                <w:kern w:val="0"/>
                <w:sz w:val="13"/>
                <w:szCs w:val="13"/>
                <w:highlight w:val="none"/>
                <w:lang w:eastAsia="zh-CN"/>
              </w:rPr>
              <w:t>，</w:t>
            </w:r>
            <w:r>
              <w:rPr>
                <w:rFonts w:hint="eastAsia" w:ascii="仿宋_GB2312" w:hAnsi="宋体" w:eastAsia="仿宋_GB2312" w:cs="Times New Roman"/>
                <w:color w:val="auto"/>
                <w:kern w:val="0"/>
                <w:sz w:val="13"/>
                <w:szCs w:val="13"/>
                <w:highlight w:val="none"/>
                <w:lang w:val="en-US" w:eastAsia="zh-CN"/>
              </w:rPr>
              <w:t>或</w:t>
            </w:r>
            <w:r>
              <w:rPr>
                <w:rFonts w:hint="eastAsia" w:ascii="仿宋_GB2312" w:hAnsi="宋体" w:eastAsia="仿宋_GB2312" w:cs="Times New Roman"/>
                <w:color w:val="auto"/>
                <w:kern w:val="0"/>
                <w:sz w:val="13"/>
                <w:szCs w:val="13"/>
                <w:highlight w:val="none"/>
              </w:rPr>
              <w:t>2年内2次及以上同类型违法</w:t>
            </w:r>
            <w:r>
              <w:rPr>
                <w:rFonts w:hint="eastAsia" w:ascii="仿宋_GB2312" w:hAnsi="宋体" w:eastAsia="仿宋_GB2312" w:cs="Times New Roman"/>
                <w:color w:val="auto"/>
                <w:kern w:val="0"/>
                <w:sz w:val="13"/>
                <w:szCs w:val="13"/>
                <w:highlight w:val="none"/>
                <w:lang w:eastAsia="zh-CN"/>
              </w:rPr>
              <w:t>，</w:t>
            </w:r>
            <w:r>
              <w:rPr>
                <w:rFonts w:hint="eastAsia" w:ascii="仿宋_GB2312" w:hAnsi="宋体" w:eastAsia="仿宋_GB2312" w:cs="Times New Roman"/>
                <w:color w:val="auto"/>
                <w:kern w:val="0"/>
                <w:sz w:val="13"/>
                <w:szCs w:val="13"/>
                <w:highlight w:val="none"/>
                <w:lang w:val="en-US" w:eastAsia="zh-CN"/>
              </w:rPr>
              <w:t>或</w:t>
            </w:r>
            <w:r>
              <w:rPr>
                <w:rFonts w:hint="eastAsia" w:ascii="仿宋_GB2312" w:hAnsi="宋体" w:eastAsia="仿宋_GB2312" w:cs="Times New Roman"/>
                <w:color w:val="auto"/>
                <w:kern w:val="0"/>
                <w:sz w:val="13"/>
                <w:szCs w:val="13"/>
                <w:highlight w:val="none"/>
              </w:rPr>
              <w:t>引发网络舆情事件、群体性事件等影响社会稳定的。</w:t>
            </w:r>
          </w:p>
        </w:tc>
        <w:tc>
          <w:tcPr>
            <w:tcW w:w="3058" w:type="dxa"/>
            <w:tcBorders>
              <w:tl2br w:val="nil"/>
              <w:tr2bl w:val="nil"/>
            </w:tcBorders>
            <w:tcMar>
              <w:top w:w="15" w:type="dxa"/>
              <w:left w:w="15" w:type="dxa"/>
              <w:bottom w:w="15" w:type="dxa"/>
              <w:right w:w="15" w:type="dxa"/>
            </w:tcMar>
            <w:vAlign w:val="center"/>
          </w:tcPr>
          <w:p w14:paraId="1BE607B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没收违法所得，可以并处挪用金额1.5倍以上2倍以下的罚款。</w:t>
            </w:r>
          </w:p>
        </w:tc>
      </w:tr>
      <w:tr w14:paraId="020289E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9" w:hRule="atLeast"/>
          <w:jc w:val="center"/>
        </w:trPr>
        <w:tc>
          <w:tcPr>
            <w:tcW w:w="443" w:type="dxa"/>
            <w:gridSpan w:val="2"/>
            <w:vMerge w:val="restart"/>
            <w:tcBorders>
              <w:tl2br w:val="nil"/>
              <w:tr2bl w:val="nil"/>
            </w:tcBorders>
            <w:vAlign w:val="center"/>
          </w:tcPr>
          <w:p w14:paraId="5956829F">
            <w:pPr>
              <w:keepNext w:val="0"/>
              <w:keepLines w:val="0"/>
              <w:pageBreakBefore w:val="0"/>
              <w:widowControl/>
              <w:numPr>
                <w:ilvl w:val="0"/>
                <w:numId w:val="6"/>
              </w:numPr>
              <w:suppressLineNumbers w:val="0"/>
              <w:tabs>
                <w:tab w:val="clear" w:pos="397"/>
              </w:tabs>
              <w:kinsoku/>
              <w:overflowPunct/>
              <w:topLinePunct w:val="0"/>
              <w:autoSpaceDE/>
              <w:autoSpaceDN/>
              <w:bidi w:val="0"/>
              <w:adjustRightInd/>
              <w:snapToGrid/>
              <w:spacing w:beforeAutospacing="0" w:afterAutospacing="0" w:line="260" w:lineRule="exact"/>
              <w:ind w:left="638" w:leftChars="88" w:right="0" w:rightChars="0" w:hanging="453" w:hangingChars="349"/>
              <w:jc w:val="center"/>
              <w:textAlignment w:val="center"/>
              <w:rPr>
                <w:rFonts w:hint="default" w:ascii="仿宋_GB2312" w:hAnsi="宋体" w:eastAsia="仿宋_GB2312"/>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279</w:t>
            </w:r>
          </w:p>
        </w:tc>
        <w:tc>
          <w:tcPr>
            <w:tcW w:w="1550" w:type="dxa"/>
            <w:vMerge w:val="restart"/>
            <w:tcBorders>
              <w:tl2br w:val="nil"/>
              <w:tr2bl w:val="nil"/>
            </w:tcBorders>
            <w:vAlign w:val="center"/>
          </w:tcPr>
          <w:p w14:paraId="3DED665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房产测绘单位有下列情形之一的</w:t>
            </w:r>
          </w:p>
          <w:p w14:paraId="650FD8F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（一）在房产面积测算中不执行国家标准、规范和规定的；</w:t>
            </w:r>
          </w:p>
          <w:p w14:paraId="030EDF7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（二）在房产面积测算中弄虚作假、欺骗房屋权利人的。</w:t>
            </w:r>
          </w:p>
          <w:p w14:paraId="339454B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（三）房产面积测算失误，造成重大损失的。</w:t>
            </w:r>
          </w:p>
        </w:tc>
        <w:tc>
          <w:tcPr>
            <w:tcW w:w="4820" w:type="dxa"/>
            <w:vMerge w:val="restart"/>
            <w:tcBorders>
              <w:tl2br w:val="nil"/>
              <w:tr2bl w:val="nil"/>
            </w:tcBorders>
            <w:vAlign w:val="center"/>
          </w:tcPr>
          <w:p w14:paraId="1B07283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《房产测绘管理办法》</w:t>
            </w:r>
            <w:r>
              <w:rPr>
                <w:rFonts w:hint="eastAsia" w:ascii="仿宋_GB2312" w:hAnsi="宋体" w:eastAsia="仿宋_GB2312" w:cs="Times New Roman"/>
                <w:b/>
                <w:bCs/>
                <w:color w:val="auto"/>
                <w:kern w:val="0"/>
                <w:sz w:val="13"/>
                <w:szCs w:val="13"/>
                <w:highlight w:val="none"/>
              </w:rPr>
              <w:t>第二十一条：</w:t>
            </w:r>
            <w:r>
              <w:rPr>
                <w:rFonts w:hint="eastAsia" w:ascii="仿宋_GB2312" w:hAnsi="宋体" w:eastAsia="仿宋_GB2312" w:cs="Times New Roman"/>
                <w:color w:val="auto"/>
                <w:kern w:val="0"/>
                <w:sz w:val="13"/>
                <w:szCs w:val="13"/>
                <w:highlight w:val="none"/>
              </w:rPr>
              <w:t>房产测绘单位有下列情形之一的，由县级以上人民政府房地产行政主管部门给予警告并责令限期改正，并可处以1万元以上3万元以下的罚款；情节严重的，由发证机关予以降级或者取消其房产测绘资格：</w:t>
            </w:r>
          </w:p>
          <w:p w14:paraId="03D76D9D">
            <w:pPr>
              <w:keepNext w:val="0"/>
              <w:keepLines w:val="0"/>
              <w:pageBreakBefore w:val="0"/>
              <w:widowControl/>
              <w:numPr>
                <w:ilvl w:val="0"/>
                <w:numId w:val="0"/>
              </w:numPr>
              <w:kinsoku/>
              <w:overflowPunct/>
              <w:topLinePunct w:val="0"/>
              <w:autoSpaceDE/>
              <w:autoSpaceDN/>
              <w:bidi w:val="0"/>
              <w:adjustRightInd/>
              <w:snapToGrid/>
              <w:spacing w:beforeAutospacing="0" w:afterAutospacing="0" w:line="260" w:lineRule="exact"/>
              <w:ind w:left="0" w:leftChars="0" w:right="0" w:rightChars="0" w:firstLine="260" w:firstLineChars="200"/>
              <w:textAlignment w:val="center"/>
              <w:rPr>
                <w:rFonts w:hint="eastAsia"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lang w:eastAsia="zh-CN"/>
              </w:rPr>
              <w:t>（一）</w:t>
            </w:r>
            <w:r>
              <w:rPr>
                <w:rFonts w:hint="eastAsia" w:ascii="仿宋_GB2312" w:hAnsi="宋体" w:eastAsia="仿宋_GB2312" w:cs="Times New Roman"/>
                <w:color w:val="auto"/>
                <w:kern w:val="0"/>
                <w:sz w:val="13"/>
                <w:szCs w:val="13"/>
                <w:highlight w:val="none"/>
              </w:rPr>
              <w:t>在房产面积测算中不执行国家标准、规范和规定的；</w:t>
            </w:r>
          </w:p>
          <w:p w14:paraId="28FCB53A">
            <w:pPr>
              <w:keepNext w:val="0"/>
              <w:keepLines w:val="0"/>
              <w:pageBreakBefore w:val="0"/>
              <w:widowControl/>
              <w:numPr>
                <w:ilvl w:val="0"/>
                <w:numId w:val="0"/>
              </w:numPr>
              <w:kinsoku/>
              <w:overflowPunct/>
              <w:topLinePunct w:val="0"/>
              <w:autoSpaceDE/>
              <w:autoSpaceDN/>
              <w:bidi w:val="0"/>
              <w:adjustRightInd/>
              <w:snapToGrid/>
              <w:spacing w:beforeAutospacing="0" w:afterAutospacing="0" w:line="260" w:lineRule="exact"/>
              <w:ind w:left="0" w:leftChars="0" w:right="0" w:rightChars="0" w:firstLine="260" w:firstLineChars="200"/>
              <w:textAlignment w:val="center"/>
              <w:rPr>
                <w:rFonts w:hint="eastAsia"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lang w:eastAsia="zh-CN"/>
              </w:rPr>
              <w:t>（二）</w:t>
            </w:r>
            <w:r>
              <w:rPr>
                <w:rFonts w:hint="eastAsia" w:ascii="仿宋_GB2312" w:hAnsi="宋体" w:eastAsia="仿宋_GB2312" w:cs="Times New Roman"/>
                <w:color w:val="auto"/>
                <w:kern w:val="0"/>
                <w:sz w:val="13"/>
                <w:szCs w:val="13"/>
                <w:highlight w:val="none"/>
              </w:rPr>
              <w:t>在房产面积测算中弄虚作假、欺骗房屋权利人的。</w:t>
            </w:r>
          </w:p>
          <w:p w14:paraId="23764B67">
            <w:pPr>
              <w:keepNext w:val="0"/>
              <w:keepLines w:val="0"/>
              <w:pageBreakBefore w:val="0"/>
              <w:widowControl/>
              <w:numPr>
                <w:ilvl w:val="0"/>
                <w:numId w:val="0"/>
              </w:numPr>
              <w:kinsoku/>
              <w:overflowPunct/>
              <w:topLinePunct w:val="0"/>
              <w:autoSpaceDE/>
              <w:autoSpaceDN/>
              <w:bidi w:val="0"/>
              <w:adjustRightInd/>
              <w:snapToGrid/>
              <w:spacing w:beforeAutospacing="0" w:afterAutospacing="0" w:line="260" w:lineRule="exact"/>
              <w:ind w:left="0" w:leftChars="0" w:right="0" w:rightChars="0" w:firstLine="260" w:firstLineChars="200"/>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lang w:eastAsia="zh-CN"/>
              </w:rPr>
              <w:t>（三）</w:t>
            </w:r>
            <w:r>
              <w:rPr>
                <w:rFonts w:hint="eastAsia" w:ascii="仿宋_GB2312" w:hAnsi="宋体" w:eastAsia="仿宋_GB2312" w:cs="Times New Roman"/>
                <w:color w:val="auto"/>
                <w:kern w:val="0"/>
                <w:sz w:val="13"/>
                <w:szCs w:val="13"/>
                <w:highlight w:val="none"/>
              </w:rPr>
              <w:t>房产面积测算失误，造成重大损失的。</w:t>
            </w:r>
          </w:p>
          <w:p w14:paraId="691CB79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hint="eastAsia"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《房产测绘管理办法》</w:t>
            </w:r>
          </w:p>
          <w:p w14:paraId="5F813AF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1" w:firstLineChars="200"/>
              <w:rPr>
                <w:rFonts w:hint="eastAsia" w:ascii="仿宋_GB2312" w:hAnsi="宋体" w:eastAsia="仿宋_GB2312" w:cs="Times New Roman"/>
                <w:color w:val="auto"/>
                <w:kern w:val="0"/>
                <w:sz w:val="13"/>
                <w:szCs w:val="13"/>
                <w:highlight w:val="none"/>
              </w:rPr>
            </w:pPr>
            <w:r>
              <w:rPr>
                <w:rFonts w:hint="eastAsia" w:ascii="仿宋_GB2312" w:hAnsi="宋体" w:eastAsia="仿宋_GB2312" w:cs="Times New Roman"/>
                <w:b/>
                <w:bCs/>
                <w:color w:val="auto"/>
                <w:kern w:val="0"/>
                <w:sz w:val="13"/>
                <w:szCs w:val="13"/>
                <w:highlight w:val="none"/>
              </w:rPr>
              <w:t>第三条</w:t>
            </w:r>
            <w:r>
              <w:rPr>
                <w:rFonts w:hint="eastAsia" w:ascii="仿宋_GB2312" w:hAnsi="宋体" w:eastAsia="仿宋_GB2312" w:cs="Times New Roman"/>
                <w:b/>
                <w:bCs/>
                <w:color w:val="auto"/>
                <w:kern w:val="0"/>
                <w:sz w:val="13"/>
                <w:szCs w:val="13"/>
                <w:highlight w:val="none"/>
                <w:lang w:eastAsia="zh-CN"/>
              </w:rPr>
              <w:t>：</w:t>
            </w:r>
            <w:r>
              <w:rPr>
                <w:rFonts w:hint="eastAsia" w:ascii="仿宋_GB2312" w:hAnsi="宋体" w:eastAsia="仿宋_GB2312" w:cs="Times New Roman"/>
                <w:color w:val="auto"/>
                <w:kern w:val="0"/>
                <w:sz w:val="13"/>
                <w:szCs w:val="13"/>
                <w:highlight w:val="none"/>
              </w:rPr>
              <w:t>房产测绘单位应当严格遵守国家有关法律、法规，执行国家房产测量规范和有关技术标准、规定，对其完成的房产测绘成果质量负责。</w:t>
            </w:r>
          </w:p>
          <w:p w14:paraId="3E00F0B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0" w:firstLineChars="200"/>
              <w:rPr>
                <w:rFonts w:hint="eastAsia"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房产测绘单位应当采用先进技术和设备，提高测绘技术水平，接受房地产行政主管部门和测绘行政主管部门的技术指导和业务监督。</w:t>
            </w:r>
          </w:p>
          <w:p w14:paraId="6EBB913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1" w:firstLineChars="200"/>
              <w:rPr>
                <w:rFonts w:hint="eastAsia" w:ascii="仿宋_GB2312" w:hAnsi="宋体" w:eastAsia="仿宋_GB2312" w:cs="Times New Roman"/>
                <w:color w:val="auto"/>
                <w:kern w:val="0"/>
                <w:sz w:val="13"/>
                <w:szCs w:val="13"/>
                <w:highlight w:val="none"/>
              </w:rPr>
            </w:pPr>
            <w:r>
              <w:rPr>
                <w:rFonts w:hint="eastAsia" w:ascii="仿宋_GB2312" w:hAnsi="宋体" w:eastAsia="仿宋_GB2312" w:cs="Times New Roman"/>
                <w:b/>
                <w:bCs/>
                <w:color w:val="auto"/>
                <w:kern w:val="0"/>
                <w:sz w:val="13"/>
                <w:szCs w:val="13"/>
                <w:highlight w:val="none"/>
              </w:rPr>
              <w:t>第四条</w:t>
            </w:r>
            <w:r>
              <w:rPr>
                <w:rFonts w:hint="eastAsia" w:ascii="仿宋_GB2312" w:hAnsi="宋体" w:eastAsia="仿宋_GB2312" w:cs="Times New Roman"/>
                <w:b/>
                <w:bCs/>
                <w:color w:val="auto"/>
                <w:kern w:val="0"/>
                <w:sz w:val="13"/>
                <w:szCs w:val="13"/>
                <w:highlight w:val="none"/>
                <w:lang w:eastAsia="zh-CN"/>
              </w:rPr>
              <w:t>：</w:t>
            </w:r>
            <w:r>
              <w:rPr>
                <w:rFonts w:hint="eastAsia" w:ascii="仿宋_GB2312" w:hAnsi="宋体" w:eastAsia="仿宋_GB2312" w:cs="Times New Roman"/>
                <w:color w:val="auto"/>
                <w:kern w:val="0"/>
                <w:sz w:val="13"/>
                <w:szCs w:val="13"/>
                <w:highlight w:val="none"/>
              </w:rPr>
              <w:t>房产测绘从业人员应当保证测绘成果的完整、准确，不得违规测绘、弄虚作假，不得损害国家利益、</w:t>
            </w:r>
            <w:r>
              <w:rPr>
                <w:color w:val="auto"/>
                <w:sz w:val="13"/>
                <w:szCs w:val="13"/>
                <w:highlight w:val="none"/>
              </w:rPr>
              <w:fldChar w:fldCharType="begin"/>
            </w:r>
            <w:r>
              <w:rPr>
                <w:color w:val="auto"/>
                <w:sz w:val="13"/>
                <w:szCs w:val="13"/>
                <w:highlight w:val="none"/>
              </w:rPr>
              <w:instrText xml:space="preserve"> HYPERLINK "https://baike.baidu.com/item/%E7%A4%BE%E4%BC%9A%E5%85%AC%E5%85%B1%E5%88%A9%E7%9B%8A" \t "https://baike.baidu.com/item/_blank" </w:instrText>
            </w:r>
            <w:r>
              <w:rPr>
                <w:color w:val="auto"/>
                <w:sz w:val="13"/>
                <w:szCs w:val="13"/>
                <w:highlight w:val="none"/>
              </w:rPr>
              <w:fldChar w:fldCharType="separate"/>
            </w:r>
            <w:r>
              <w:rPr>
                <w:rFonts w:ascii="仿宋_GB2312" w:hAnsi="宋体" w:eastAsia="仿宋_GB2312" w:cs="Times New Roman"/>
                <w:color w:val="auto"/>
                <w:kern w:val="0"/>
                <w:sz w:val="13"/>
                <w:szCs w:val="13"/>
                <w:highlight w:val="none"/>
              </w:rPr>
              <w:t>社会公共利益</w:t>
            </w:r>
            <w:r>
              <w:rPr>
                <w:rFonts w:ascii="仿宋_GB2312" w:hAnsi="宋体" w:eastAsia="仿宋_GB2312" w:cs="Times New Roman"/>
                <w:color w:val="auto"/>
                <w:kern w:val="0"/>
                <w:sz w:val="13"/>
                <w:szCs w:val="13"/>
                <w:highlight w:val="none"/>
              </w:rPr>
              <w:fldChar w:fldCharType="end"/>
            </w:r>
            <w:r>
              <w:rPr>
                <w:rFonts w:ascii="仿宋_GB2312" w:hAnsi="宋体" w:eastAsia="仿宋_GB2312" w:cs="Times New Roman"/>
                <w:color w:val="auto"/>
                <w:kern w:val="0"/>
                <w:sz w:val="13"/>
                <w:szCs w:val="13"/>
                <w:highlight w:val="none"/>
              </w:rPr>
              <w:t>和他人合法权益。</w:t>
            </w:r>
          </w:p>
        </w:tc>
        <w:tc>
          <w:tcPr>
            <w:tcW w:w="823" w:type="dxa"/>
            <w:tcBorders>
              <w:tl2br w:val="nil"/>
              <w:tr2bl w:val="nil"/>
            </w:tcBorders>
            <w:tcMar>
              <w:top w:w="15" w:type="dxa"/>
              <w:left w:w="15" w:type="dxa"/>
              <w:bottom w:w="15" w:type="dxa"/>
              <w:right w:w="15" w:type="dxa"/>
            </w:tcMar>
            <w:vAlign w:val="center"/>
          </w:tcPr>
          <w:p w14:paraId="299CF34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Times New Roman"/>
                <w:color w:val="auto"/>
                <w:kern w:val="0"/>
                <w:sz w:val="13"/>
                <w:szCs w:val="13"/>
                <w:highlight w:val="none"/>
                <w:lang w:eastAsia="zh-CN"/>
              </w:rPr>
            </w:pPr>
            <w:r>
              <w:rPr>
                <w:rFonts w:hint="eastAsia" w:ascii="仿宋_GB2312" w:hAnsi="宋体" w:eastAsia="仿宋_GB2312" w:cs="Times New Roman"/>
                <w:color w:val="auto"/>
                <w:kern w:val="0"/>
                <w:sz w:val="13"/>
                <w:szCs w:val="13"/>
                <w:highlight w:val="none"/>
                <w:lang w:eastAsia="zh-CN"/>
              </w:rPr>
              <w:t>从轻情节</w:t>
            </w:r>
          </w:p>
        </w:tc>
        <w:tc>
          <w:tcPr>
            <w:tcW w:w="3437" w:type="dxa"/>
            <w:gridSpan w:val="2"/>
            <w:tcBorders>
              <w:tl2br w:val="nil"/>
              <w:tr2bl w:val="nil"/>
            </w:tcBorders>
            <w:tcMar>
              <w:top w:w="15" w:type="dxa"/>
              <w:left w:w="15" w:type="dxa"/>
              <w:bottom w:w="15" w:type="dxa"/>
              <w:right w:w="15" w:type="dxa"/>
            </w:tcMar>
            <w:vAlign w:val="center"/>
          </w:tcPr>
          <w:p w14:paraId="76697BC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初次违法，危害后果轻微，主动采取措施消除或减轻违法行为危害后果。</w:t>
            </w:r>
          </w:p>
        </w:tc>
        <w:tc>
          <w:tcPr>
            <w:tcW w:w="3058" w:type="dxa"/>
            <w:tcBorders>
              <w:tl2br w:val="nil"/>
              <w:tr2bl w:val="nil"/>
            </w:tcBorders>
            <w:tcMar>
              <w:top w:w="15" w:type="dxa"/>
              <w:left w:w="15" w:type="dxa"/>
              <w:bottom w:w="15" w:type="dxa"/>
              <w:right w:w="15" w:type="dxa"/>
            </w:tcMar>
            <w:vAlign w:val="center"/>
          </w:tcPr>
          <w:p w14:paraId="3BAAD5F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给予警告，责令限期改正。</w:t>
            </w:r>
          </w:p>
        </w:tc>
      </w:tr>
      <w:tr w14:paraId="6273D76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9" w:hRule="atLeast"/>
          <w:jc w:val="center"/>
        </w:trPr>
        <w:tc>
          <w:tcPr>
            <w:tcW w:w="443" w:type="dxa"/>
            <w:gridSpan w:val="2"/>
            <w:vMerge w:val="continue"/>
            <w:tcBorders>
              <w:tl2br w:val="nil"/>
              <w:tr2bl w:val="nil"/>
            </w:tcBorders>
            <w:vAlign w:val="center"/>
          </w:tcPr>
          <w:p w14:paraId="64AE13C6">
            <w:pPr>
              <w:keepNext w:val="0"/>
              <w:keepLines w:val="0"/>
              <w:pageBreakBefore w:val="0"/>
              <w:widowControl/>
              <w:kinsoku/>
              <w:overflowPunct/>
              <w:topLinePunct w:val="0"/>
              <w:autoSpaceDE/>
              <w:autoSpaceDN/>
              <w:bidi w:val="0"/>
              <w:adjustRightInd/>
              <w:snapToGrid/>
              <w:spacing w:beforeAutospacing="0" w:afterAutospacing="0" w:line="260" w:lineRule="exact"/>
              <w:ind w:left="638" w:leftChars="88" w:right="0" w:rightChars="0" w:hanging="453" w:hangingChars="349"/>
              <w:jc w:val="center"/>
              <w:rPr>
                <w:rFonts w:ascii="仿宋_GB2312" w:hAnsi="宋体" w:eastAsia="仿宋_GB2312"/>
                <w:color w:val="auto"/>
                <w:sz w:val="13"/>
                <w:szCs w:val="13"/>
                <w:highlight w:val="none"/>
              </w:rPr>
            </w:pPr>
          </w:p>
        </w:tc>
        <w:tc>
          <w:tcPr>
            <w:tcW w:w="1550" w:type="dxa"/>
            <w:vMerge w:val="continue"/>
            <w:tcBorders>
              <w:tl2br w:val="nil"/>
              <w:tr2bl w:val="nil"/>
            </w:tcBorders>
            <w:vAlign w:val="center"/>
          </w:tcPr>
          <w:p w14:paraId="4151C75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6ECF0FA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4EAF8FB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Times New Roman"/>
                <w:color w:val="auto"/>
                <w:kern w:val="0"/>
                <w:sz w:val="13"/>
                <w:szCs w:val="13"/>
                <w:highlight w:val="none"/>
                <w:lang w:eastAsia="zh-CN"/>
              </w:rPr>
            </w:pPr>
            <w:r>
              <w:rPr>
                <w:rFonts w:hint="eastAsia" w:ascii="仿宋_GB2312" w:hAnsi="宋体" w:eastAsia="仿宋_GB2312" w:cs="Times New Roman"/>
                <w:color w:val="auto"/>
                <w:kern w:val="0"/>
                <w:sz w:val="13"/>
                <w:szCs w:val="13"/>
                <w:highlight w:val="none"/>
                <w:lang w:eastAsia="zh-CN"/>
              </w:rPr>
              <w:t>一般情节</w:t>
            </w:r>
          </w:p>
        </w:tc>
        <w:tc>
          <w:tcPr>
            <w:tcW w:w="3437" w:type="dxa"/>
            <w:gridSpan w:val="2"/>
            <w:tcBorders>
              <w:tl2br w:val="nil"/>
              <w:tr2bl w:val="nil"/>
            </w:tcBorders>
            <w:tcMar>
              <w:top w:w="15" w:type="dxa"/>
              <w:left w:w="15" w:type="dxa"/>
              <w:bottom w:w="15" w:type="dxa"/>
              <w:right w:w="15" w:type="dxa"/>
            </w:tcMar>
            <w:vAlign w:val="center"/>
          </w:tcPr>
          <w:p w14:paraId="5139E27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实施违法行为，造成不良社会影响，不具有从轻、</w:t>
            </w:r>
            <w:r>
              <w:rPr>
                <w:rFonts w:hint="eastAsia" w:ascii="仿宋_GB2312" w:hAnsi="宋体" w:eastAsia="仿宋_GB2312" w:cs="Times New Roman"/>
                <w:color w:val="auto"/>
                <w:kern w:val="0"/>
                <w:sz w:val="13"/>
                <w:szCs w:val="13"/>
                <w:highlight w:val="none"/>
                <w:lang w:eastAsia="zh-CN"/>
              </w:rPr>
              <w:t>从重情节</w:t>
            </w:r>
            <w:r>
              <w:rPr>
                <w:rFonts w:hint="eastAsia" w:ascii="仿宋_GB2312" w:hAnsi="宋体" w:eastAsia="仿宋_GB2312" w:cs="Times New Roman"/>
                <w:color w:val="auto"/>
                <w:kern w:val="0"/>
                <w:sz w:val="13"/>
                <w:szCs w:val="13"/>
                <w:highlight w:val="none"/>
              </w:rPr>
              <w:t>的。</w:t>
            </w:r>
          </w:p>
        </w:tc>
        <w:tc>
          <w:tcPr>
            <w:tcW w:w="3058" w:type="dxa"/>
            <w:tcBorders>
              <w:tl2br w:val="nil"/>
              <w:tr2bl w:val="nil"/>
            </w:tcBorders>
            <w:tcMar>
              <w:top w:w="15" w:type="dxa"/>
              <w:left w:w="15" w:type="dxa"/>
              <w:bottom w:w="15" w:type="dxa"/>
              <w:right w:w="15" w:type="dxa"/>
            </w:tcMar>
            <w:vAlign w:val="center"/>
          </w:tcPr>
          <w:p w14:paraId="084773B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给予警告，责令限期改正，并处1万元以上2万元以下的罚款。</w:t>
            </w:r>
          </w:p>
        </w:tc>
      </w:tr>
      <w:tr w14:paraId="7F1AF02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79" w:hRule="atLeast"/>
          <w:jc w:val="center"/>
        </w:trPr>
        <w:tc>
          <w:tcPr>
            <w:tcW w:w="443" w:type="dxa"/>
            <w:gridSpan w:val="2"/>
            <w:vMerge w:val="continue"/>
            <w:tcBorders>
              <w:tl2br w:val="nil"/>
              <w:tr2bl w:val="nil"/>
            </w:tcBorders>
            <w:vAlign w:val="center"/>
          </w:tcPr>
          <w:p w14:paraId="2E7DDF4D">
            <w:pPr>
              <w:keepNext w:val="0"/>
              <w:keepLines w:val="0"/>
              <w:pageBreakBefore w:val="0"/>
              <w:widowControl/>
              <w:kinsoku/>
              <w:overflowPunct/>
              <w:topLinePunct w:val="0"/>
              <w:autoSpaceDE/>
              <w:autoSpaceDN/>
              <w:bidi w:val="0"/>
              <w:adjustRightInd/>
              <w:snapToGrid/>
              <w:spacing w:beforeAutospacing="0" w:afterAutospacing="0" w:line="260" w:lineRule="exact"/>
              <w:ind w:left="638" w:leftChars="88" w:right="0" w:rightChars="0" w:hanging="453" w:hangingChars="349"/>
              <w:jc w:val="center"/>
              <w:rPr>
                <w:rFonts w:ascii="仿宋_GB2312" w:hAnsi="宋体" w:eastAsia="仿宋_GB2312"/>
                <w:color w:val="auto"/>
                <w:sz w:val="13"/>
                <w:szCs w:val="13"/>
                <w:highlight w:val="none"/>
              </w:rPr>
            </w:pPr>
          </w:p>
        </w:tc>
        <w:tc>
          <w:tcPr>
            <w:tcW w:w="1550" w:type="dxa"/>
            <w:vMerge w:val="continue"/>
            <w:tcBorders>
              <w:tl2br w:val="nil"/>
              <w:tr2bl w:val="nil"/>
            </w:tcBorders>
            <w:vAlign w:val="center"/>
          </w:tcPr>
          <w:p w14:paraId="473C6F6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6C084EF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2205EA4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Times New Roman"/>
                <w:color w:val="auto"/>
                <w:kern w:val="0"/>
                <w:sz w:val="13"/>
                <w:szCs w:val="13"/>
                <w:highlight w:val="none"/>
                <w:lang w:eastAsia="zh-CN"/>
              </w:rPr>
            </w:pPr>
            <w:r>
              <w:rPr>
                <w:rFonts w:hint="eastAsia" w:ascii="仿宋_GB2312" w:hAnsi="宋体" w:eastAsia="仿宋_GB2312" w:cs="Times New Roman"/>
                <w:color w:val="auto"/>
                <w:kern w:val="0"/>
                <w:sz w:val="13"/>
                <w:szCs w:val="13"/>
                <w:highlight w:val="none"/>
                <w:lang w:eastAsia="zh-CN"/>
              </w:rPr>
              <w:t>从重情节</w:t>
            </w:r>
          </w:p>
        </w:tc>
        <w:tc>
          <w:tcPr>
            <w:tcW w:w="3437" w:type="dxa"/>
            <w:gridSpan w:val="2"/>
            <w:tcBorders>
              <w:tl2br w:val="nil"/>
              <w:tr2bl w:val="nil"/>
            </w:tcBorders>
            <w:tcMar>
              <w:top w:w="15" w:type="dxa"/>
              <w:left w:w="15" w:type="dxa"/>
              <w:bottom w:w="15" w:type="dxa"/>
              <w:right w:w="15" w:type="dxa"/>
            </w:tcMar>
            <w:vAlign w:val="center"/>
          </w:tcPr>
          <w:p w14:paraId="5717BF5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经责令停止违法行为后，继续实施违法行为的</w:t>
            </w:r>
            <w:r>
              <w:rPr>
                <w:rFonts w:hint="eastAsia" w:ascii="仿宋_GB2312" w:hAnsi="宋体" w:eastAsia="仿宋_GB2312" w:cs="Times New Roman"/>
                <w:color w:val="auto"/>
                <w:kern w:val="0"/>
                <w:sz w:val="13"/>
                <w:szCs w:val="13"/>
                <w:highlight w:val="none"/>
                <w:lang w:eastAsia="zh-CN"/>
              </w:rPr>
              <w:t>，</w:t>
            </w:r>
            <w:r>
              <w:rPr>
                <w:rFonts w:hint="eastAsia" w:ascii="仿宋_GB2312" w:hAnsi="宋体" w:eastAsia="仿宋_GB2312" w:cs="Times New Roman"/>
                <w:color w:val="auto"/>
                <w:kern w:val="0"/>
                <w:sz w:val="13"/>
                <w:szCs w:val="13"/>
                <w:highlight w:val="none"/>
                <w:lang w:val="en-US" w:eastAsia="zh-CN"/>
              </w:rPr>
              <w:t>或</w:t>
            </w:r>
            <w:r>
              <w:rPr>
                <w:rFonts w:hint="eastAsia" w:ascii="仿宋_GB2312" w:hAnsi="宋体" w:eastAsia="仿宋_GB2312" w:cs="Times New Roman"/>
                <w:color w:val="auto"/>
                <w:kern w:val="0"/>
                <w:sz w:val="13"/>
                <w:szCs w:val="13"/>
                <w:highlight w:val="none"/>
              </w:rPr>
              <w:t>2年内2次及以上同类型违法</w:t>
            </w:r>
            <w:r>
              <w:rPr>
                <w:rFonts w:hint="eastAsia" w:ascii="仿宋_GB2312" w:hAnsi="宋体" w:eastAsia="仿宋_GB2312" w:cs="Times New Roman"/>
                <w:color w:val="auto"/>
                <w:kern w:val="0"/>
                <w:sz w:val="13"/>
                <w:szCs w:val="13"/>
                <w:highlight w:val="none"/>
                <w:lang w:eastAsia="zh-CN"/>
              </w:rPr>
              <w:t>，</w:t>
            </w:r>
            <w:r>
              <w:rPr>
                <w:rFonts w:hint="eastAsia" w:ascii="仿宋_GB2312" w:hAnsi="宋体" w:eastAsia="仿宋_GB2312" w:cs="Times New Roman"/>
                <w:color w:val="auto"/>
                <w:kern w:val="0"/>
                <w:sz w:val="13"/>
                <w:szCs w:val="13"/>
                <w:highlight w:val="none"/>
                <w:lang w:val="en-US" w:eastAsia="zh-CN"/>
              </w:rPr>
              <w:t>或</w:t>
            </w:r>
            <w:r>
              <w:rPr>
                <w:rFonts w:hint="eastAsia" w:ascii="仿宋_GB2312" w:hAnsi="宋体" w:eastAsia="仿宋_GB2312" w:cs="Times New Roman"/>
                <w:color w:val="auto"/>
                <w:kern w:val="0"/>
                <w:sz w:val="13"/>
                <w:szCs w:val="13"/>
                <w:highlight w:val="none"/>
              </w:rPr>
              <w:t>引发网络舆情事件、群体性事件等影响社会稳定的。</w:t>
            </w:r>
          </w:p>
        </w:tc>
        <w:tc>
          <w:tcPr>
            <w:tcW w:w="3058" w:type="dxa"/>
            <w:tcBorders>
              <w:tl2br w:val="nil"/>
              <w:tr2bl w:val="nil"/>
            </w:tcBorders>
            <w:tcMar>
              <w:top w:w="15" w:type="dxa"/>
              <w:left w:w="15" w:type="dxa"/>
              <w:bottom w:w="15" w:type="dxa"/>
              <w:right w:w="15" w:type="dxa"/>
            </w:tcMar>
            <w:vAlign w:val="center"/>
          </w:tcPr>
          <w:p w14:paraId="637386A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s="Times New Roman"/>
                <w:color w:val="auto"/>
                <w:kern w:val="0"/>
                <w:sz w:val="13"/>
                <w:szCs w:val="13"/>
                <w:highlight w:val="none"/>
              </w:rPr>
            </w:pPr>
          </w:p>
          <w:p w14:paraId="02BD84F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给予警告，责令限期改正，并处2万元以上3万元以下的罚款，降级或者取消其房产测绘资格。</w:t>
            </w:r>
          </w:p>
        </w:tc>
      </w:tr>
      <w:tr w14:paraId="02A69EE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9" w:hRule="atLeast"/>
          <w:jc w:val="center"/>
        </w:trPr>
        <w:tc>
          <w:tcPr>
            <w:tcW w:w="443" w:type="dxa"/>
            <w:gridSpan w:val="2"/>
            <w:vMerge w:val="restart"/>
            <w:tcBorders>
              <w:tl2br w:val="nil"/>
              <w:tr2bl w:val="nil"/>
            </w:tcBorders>
            <w:vAlign w:val="center"/>
          </w:tcPr>
          <w:p w14:paraId="23C6F57F">
            <w:pPr>
              <w:keepNext w:val="0"/>
              <w:keepLines w:val="0"/>
              <w:pageBreakBefore w:val="0"/>
              <w:widowControl/>
              <w:numPr>
                <w:ilvl w:val="0"/>
                <w:numId w:val="6"/>
              </w:numPr>
              <w:suppressLineNumbers w:val="0"/>
              <w:tabs>
                <w:tab w:val="clear" w:pos="397"/>
              </w:tabs>
              <w:kinsoku/>
              <w:overflowPunct/>
              <w:topLinePunct w:val="0"/>
              <w:autoSpaceDE/>
              <w:autoSpaceDN/>
              <w:bidi w:val="0"/>
              <w:adjustRightInd/>
              <w:snapToGrid/>
              <w:spacing w:beforeAutospacing="0" w:afterAutospacing="0" w:line="260" w:lineRule="exact"/>
              <w:ind w:left="638" w:leftChars="88" w:right="0" w:rightChars="0" w:hanging="453" w:hangingChars="349"/>
              <w:jc w:val="center"/>
              <w:textAlignment w:val="center"/>
              <w:rPr>
                <w:rFonts w:hint="default" w:ascii="仿宋_GB2312" w:hAnsi="宋体" w:eastAsia="仿宋_GB2312"/>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280</w:t>
            </w:r>
          </w:p>
        </w:tc>
        <w:tc>
          <w:tcPr>
            <w:tcW w:w="1550" w:type="dxa"/>
            <w:vMerge w:val="restart"/>
            <w:tcBorders>
              <w:tl2br w:val="nil"/>
              <w:tr2bl w:val="nil"/>
            </w:tcBorders>
            <w:vAlign w:val="center"/>
          </w:tcPr>
          <w:p w14:paraId="67CA0A1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白蚁防治单位未建立健全白蚁防治质量保证体系，未严格按照国家和地方有关城市房屋白蚁防治的施工技术规范和操作程序进行防治</w:t>
            </w:r>
          </w:p>
        </w:tc>
        <w:tc>
          <w:tcPr>
            <w:tcW w:w="4820" w:type="dxa"/>
            <w:vMerge w:val="restart"/>
            <w:tcBorders>
              <w:tl2br w:val="nil"/>
              <w:tr2bl w:val="nil"/>
            </w:tcBorders>
            <w:vAlign w:val="center"/>
          </w:tcPr>
          <w:p w14:paraId="3E53F51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《城市房屋白蚁防治管理规定》</w:t>
            </w:r>
            <w:r>
              <w:rPr>
                <w:rFonts w:hint="eastAsia" w:ascii="仿宋_GB2312" w:hAnsi="宋体" w:eastAsia="仿宋_GB2312" w:cs="Times New Roman"/>
                <w:b/>
                <w:bCs/>
                <w:color w:val="auto"/>
                <w:kern w:val="0"/>
                <w:sz w:val="13"/>
                <w:szCs w:val="13"/>
                <w:highlight w:val="none"/>
              </w:rPr>
              <w:t>第十四条</w:t>
            </w:r>
            <w:r>
              <w:rPr>
                <w:rFonts w:hint="eastAsia" w:ascii="仿宋_GB2312" w:hAnsi="宋体" w:eastAsia="仿宋_GB2312" w:cs="Times New Roman"/>
                <w:b/>
                <w:bCs/>
                <w:color w:val="auto"/>
                <w:kern w:val="0"/>
                <w:sz w:val="13"/>
                <w:szCs w:val="13"/>
                <w:highlight w:val="none"/>
                <w:lang w:eastAsia="zh-CN"/>
              </w:rPr>
              <w:t>：</w:t>
            </w:r>
            <w:r>
              <w:rPr>
                <w:rFonts w:hint="eastAsia" w:ascii="仿宋_GB2312" w:hAnsi="宋体" w:eastAsia="仿宋_GB2312" w:cs="Times New Roman"/>
                <w:color w:val="auto"/>
                <w:kern w:val="0"/>
                <w:sz w:val="13"/>
                <w:szCs w:val="13"/>
                <w:highlight w:val="none"/>
              </w:rPr>
              <w:t>白蚁防治单位违反本规定第九条规定的，由房屋所在地的县级以上人民政府房地产行政主管部门责令限期改正，并处以1万元以上3万元以下的罚款。</w:t>
            </w:r>
          </w:p>
          <w:p w14:paraId="450DC20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olor w:val="auto"/>
                <w:sz w:val="13"/>
                <w:szCs w:val="13"/>
                <w:highlight w:val="none"/>
              </w:rPr>
            </w:pPr>
            <w:r>
              <w:rPr>
                <w:rFonts w:hint="eastAsia" w:ascii="仿宋_GB2312" w:hAnsi="宋体" w:eastAsia="仿宋_GB2312" w:cs="Times New Roman"/>
                <w:color w:val="auto"/>
                <w:kern w:val="0"/>
                <w:sz w:val="13"/>
                <w:szCs w:val="13"/>
                <w:highlight w:val="none"/>
              </w:rPr>
              <w:t>《城市房屋白蚁防治管理规定》</w:t>
            </w:r>
            <w:r>
              <w:rPr>
                <w:rFonts w:hint="eastAsia" w:ascii="仿宋_GB2312" w:hAnsi="宋体" w:eastAsia="仿宋_GB2312" w:cs="Times New Roman"/>
                <w:b/>
                <w:bCs/>
                <w:color w:val="auto"/>
                <w:kern w:val="0"/>
                <w:sz w:val="13"/>
                <w:szCs w:val="13"/>
                <w:highlight w:val="none"/>
              </w:rPr>
              <w:t>第九条</w:t>
            </w:r>
            <w:r>
              <w:rPr>
                <w:rFonts w:hint="eastAsia" w:ascii="仿宋_GB2312" w:hAnsi="宋体" w:eastAsia="仿宋_GB2312" w:cs="Times New Roman"/>
                <w:b/>
                <w:bCs/>
                <w:color w:val="auto"/>
                <w:kern w:val="0"/>
                <w:sz w:val="13"/>
                <w:szCs w:val="13"/>
                <w:highlight w:val="none"/>
                <w:lang w:eastAsia="zh-CN"/>
              </w:rPr>
              <w:t>：</w:t>
            </w:r>
            <w:r>
              <w:rPr>
                <w:rFonts w:hint="eastAsia" w:ascii="仿宋_GB2312" w:hAnsi="宋体" w:eastAsia="仿宋_GB2312" w:cs="Times New Roman"/>
                <w:color w:val="auto"/>
                <w:kern w:val="0"/>
                <w:sz w:val="13"/>
                <w:szCs w:val="13"/>
                <w:highlight w:val="none"/>
              </w:rPr>
              <w:t>白蚁防治单位应当建立健全白蚁防治质量保证体系，严格按照国家和地方有关城市房屋白蚁防治的施工技术规范和操作程序进行防治。</w:t>
            </w:r>
          </w:p>
        </w:tc>
        <w:tc>
          <w:tcPr>
            <w:tcW w:w="823" w:type="dxa"/>
            <w:tcBorders>
              <w:tl2br w:val="nil"/>
              <w:tr2bl w:val="nil"/>
            </w:tcBorders>
            <w:tcMar>
              <w:top w:w="15" w:type="dxa"/>
              <w:left w:w="15" w:type="dxa"/>
              <w:bottom w:w="15" w:type="dxa"/>
              <w:right w:w="15" w:type="dxa"/>
            </w:tcMar>
            <w:vAlign w:val="center"/>
          </w:tcPr>
          <w:p w14:paraId="090F379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Times New Roman"/>
                <w:color w:val="auto"/>
                <w:kern w:val="0"/>
                <w:sz w:val="13"/>
                <w:szCs w:val="13"/>
                <w:highlight w:val="none"/>
                <w:lang w:eastAsia="zh-CN"/>
              </w:rPr>
            </w:pPr>
            <w:r>
              <w:rPr>
                <w:rFonts w:hint="eastAsia" w:ascii="仿宋_GB2312" w:hAnsi="宋体" w:eastAsia="仿宋_GB2312" w:cs="Times New Roman"/>
                <w:color w:val="auto"/>
                <w:kern w:val="0"/>
                <w:sz w:val="13"/>
                <w:szCs w:val="13"/>
                <w:highlight w:val="none"/>
                <w:lang w:eastAsia="zh-CN"/>
              </w:rPr>
              <w:t>从轻情节</w:t>
            </w:r>
          </w:p>
        </w:tc>
        <w:tc>
          <w:tcPr>
            <w:tcW w:w="3437" w:type="dxa"/>
            <w:gridSpan w:val="2"/>
            <w:tcBorders>
              <w:tl2br w:val="nil"/>
              <w:tr2bl w:val="nil"/>
            </w:tcBorders>
            <w:tcMar>
              <w:top w:w="15" w:type="dxa"/>
              <w:left w:w="15" w:type="dxa"/>
              <w:bottom w:w="15" w:type="dxa"/>
              <w:right w:w="15" w:type="dxa"/>
            </w:tcMar>
            <w:vAlign w:val="center"/>
          </w:tcPr>
          <w:p w14:paraId="10EB7C5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初次违法，危害后果轻微，主动采取措施消除或减轻违法行为危害后果。</w:t>
            </w:r>
          </w:p>
        </w:tc>
        <w:tc>
          <w:tcPr>
            <w:tcW w:w="3058" w:type="dxa"/>
            <w:tcBorders>
              <w:tl2br w:val="nil"/>
              <w:tr2bl w:val="nil"/>
            </w:tcBorders>
            <w:tcMar>
              <w:top w:w="15" w:type="dxa"/>
              <w:left w:w="15" w:type="dxa"/>
              <w:bottom w:w="15" w:type="dxa"/>
              <w:right w:w="15" w:type="dxa"/>
            </w:tcMar>
            <w:vAlign w:val="center"/>
          </w:tcPr>
          <w:p w14:paraId="31D0F21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责令限期改正，并处1万元以上1.5万元以下的罚款。</w:t>
            </w:r>
          </w:p>
        </w:tc>
      </w:tr>
      <w:tr w14:paraId="4D78853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9" w:hRule="atLeast"/>
          <w:jc w:val="center"/>
        </w:trPr>
        <w:tc>
          <w:tcPr>
            <w:tcW w:w="443" w:type="dxa"/>
            <w:gridSpan w:val="2"/>
            <w:vMerge w:val="continue"/>
            <w:tcBorders>
              <w:tl2br w:val="nil"/>
              <w:tr2bl w:val="nil"/>
            </w:tcBorders>
            <w:vAlign w:val="center"/>
          </w:tcPr>
          <w:p w14:paraId="56131F35">
            <w:pPr>
              <w:keepNext w:val="0"/>
              <w:keepLines w:val="0"/>
              <w:pageBreakBefore w:val="0"/>
              <w:widowControl/>
              <w:kinsoku/>
              <w:overflowPunct/>
              <w:topLinePunct w:val="0"/>
              <w:autoSpaceDE/>
              <w:autoSpaceDN/>
              <w:bidi w:val="0"/>
              <w:adjustRightInd/>
              <w:snapToGrid/>
              <w:spacing w:beforeAutospacing="0" w:afterAutospacing="0" w:line="260" w:lineRule="exact"/>
              <w:ind w:left="638" w:leftChars="88" w:right="0" w:rightChars="0" w:hanging="453" w:hangingChars="349"/>
              <w:jc w:val="center"/>
              <w:rPr>
                <w:rFonts w:ascii="仿宋_GB2312" w:hAnsi="宋体" w:eastAsia="仿宋_GB2312"/>
                <w:color w:val="auto"/>
                <w:sz w:val="13"/>
                <w:szCs w:val="13"/>
                <w:highlight w:val="none"/>
              </w:rPr>
            </w:pPr>
          </w:p>
        </w:tc>
        <w:tc>
          <w:tcPr>
            <w:tcW w:w="1550" w:type="dxa"/>
            <w:vMerge w:val="continue"/>
            <w:tcBorders>
              <w:tl2br w:val="nil"/>
              <w:tr2bl w:val="nil"/>
            </w:tcBorders>
            <w:vAlign w:val="center"/>
          </w:tcPr>
          <w:p w14:paraId="02F898A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51C5965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29483C7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Times New Roman"/>
                <w:color w:val="auto"/>
                <w:kern w:val="0"/>
                <w:sz w:val="13"/>
                <w:szCs w:val="13"/>
                <w:highlight w:val="none"/>
                <w:lang w:eastAsia="zh-CN"/>
              </w:rPr>
            </w:pPr>
            <w:r>
              <w:rPr>
                <w:rFonts w:hint="eastAsia" w:ascii="仿宋_GB2312" w:hAnsi="宋体" w:eastAsia="仿宋_GB2312" w:cs="Times New Roman"/>
                <w:color w:val="auto"/>
                <w:kern w:val="0"/>
                <w:sz w:val="13"/>
                <w:szCs w:val="13"/>
                <w:highlight w:val="none"/>
                <w:lang w:eastAsia="zh-CN"/>
              </w:rPr>
              <w:t>一般情节</w:t>
            </w:r>
          </w:p>
        </w:tc>
        <w:tc>
          <w:tcPr>
            <w:tcW w:w="3437" w:type="dxa"/>
            <w:gridSpan w:val="2"/>
            <w:tcBorders>
              <w:tl2br w:val="nil"/>
              <w:tr2bl w:val="nil"/>
            </w:tcBorders>
            <w:tcMar>
              <w:top w:w="15" w:type="dxa"/>
              <w:left w:w="15" w:type="dxa"/>
              <w:bottom w:w="15" w:type="dxa"/>
              <w:right w:w="15" w:type="dxa"/>
            </w:tcMar>
            <w:vAlign w:val="center"/>
          </w:tcPr>
          <w:p w14:paraId="7C88897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实施违法行为，造成不良社会影响，不具有从轻、</w:t>
            </w:r>
            <w:r>
              <w:rPr>
                <w:rFonts w:hint="eastAsia" w:ascii="仿宋_GB2312" w:hAnsi="宋体" w:eastAsia="仿宋_GB2312" w:cs="Times New Roman"/>
                <w:color w:val="auto"/>
                <w:kern w:val="0"/>
                <w:sz w:val="13"/>
                <w:szCs w:val="13"/>
                <w:highlight w:val="none"/>
                <w:lang w:eastAsia="zh-CN"/>
              </w:rPr>
              <w:t>从重情节</w:t>
            </w:r>
            <w:r>
              <w:rPr>
                <w:rFonts w:hint="eastAsia" w:ascii="仿宋_GB2312" w:hAnsi="宋体" w:eastAsia="仿宋_GB2312" w:cs="Times New Roman"/>
                <w:color w:val="auto"/>
                <w:kern w:val="0"/>
                <w:sz w:val="13"/>
                <w:szCs w:val="13"/>
                <w:highlight w:val="none"/>
              </w:rPr>
              <w:t>的。</w:t>
            </w:r>
          </w:p>
        </w:tc>
        <w:tc>
          <w:tcPr>
            <w:tcW w:w="3058" w:type="dxa"/>
            <w:tcBorders>
              <w:tl2br w:val="nil"/>
              <w:tr2bl w:val="nil"/>
            </w:tcBorders>
            <w:tcMar>
              <w:top w:w="15" w:type="dxa"/>
              <w:left w:w="15" w:type="dxa"/>
              <w:bottom w:w="15" w:type="dxa"/>
              <w:right w:w="15" w:type="dxa"/>
            </w:tcMar>
            <w:vAlign w:val="center"/>
          </w:tcPr>
          <w:p w14:paraId="5F5ADEB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责令限期改正，并处1.5万元以上2.5万元以下的罚款。</w:t>
            </w:r>
          </w:p>
        </w:tc>
      </w:tr>
      <w:tr w14:paraId="77A493B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25" w:hRule="atLeast"/>
          <w:jc w:val="center"/>
        </w:trPr>
        <w:tc>
          <w:tcPr>
            <w:tcW w:w="443" w:type="dxa"/>
            <w:gridSpan w:val="2"/>
            <w:vMerge w:val="continue"/>
            <w:tcBorders>
              <w:tl2br w:val="nil"/>
              <w:tr2bl w:val="nil"/>
            </w:tcBorders>
            <w:vAlign w:val="center"/>
          </w:tcPr>
          <w:p w14:paraId="0FA5AD8E">
            <w:pPr>
              <w:keepNext w:val="0"/>
              <w:keepLines w:val="0"/>
              <w:pageBreakBefore w:val="0"/>
              <w:widowControl/>
              <w:kinsoku/>
              <w:overflowPunct/>
              <w:topLinePunct w:val="0"/>
              <w:autoSpaceDE/>
              <w:autoSpaceDN/>
              <w:bidi w:val="0"/>
              <w:adjustRightInd/>
              <w:snapToGrid/>
              <w:spacing w:beforeAutospacing="0" w:afterAutospacing="0" w:line="260" w:lineRule="exact"/>
              <w:ind w:left="638" w:leftChars="88" w:right="0" w:rightChars="0" w:hanging="453" w:hangingChars="349"/>
              <w:jc w:val="center"/>
              <w:rPr>
                <w:rFonts w:ascii="仿宋_GB2312" w:hAnsi="宋体" w:eastAsia="仿宋_GB2312"/>
                <w:color w:val="auto"/>
                <w:sz w:val="13"/>
                <w:szCs w:val="13"/>
                <w:highlight w:val="none"/>
              </w:rPr>
            </w:pPr>
          </w:p>
        </w:tc>
        <w:tc>
          <w:tcPr>
            <w:tcW w:w="1550" w:type="dxa"/>
            <w:vMerge w:val="continue"/>
            <w:tcBorders>
              <w:tl2br w:val="nil"/>
              <w:tr2bl w:val="nil"/>
            </w:tcBorders>
            <w:vAlign w:val="center"/>
          </w:tcPr>
          <w:p w14:paraId="483ED65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61EA2B6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4D822AB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Times New Roman"/>
                <w:color w:val="auto"/>
                <w:kern w:val="0"/>
                <w:sz w:val="13"/>
                <w:szCs w:val="13"/>
                <w:highlight w:val="none"/>
                <w:lang w:eastAsia="zh-CN"/>
              </w:rPr>
            </w:pPr>
            <w:r>
              <w:rPr>
                <w:rFonts w:hint="eastAsia" w:ascii="仿宋_GB2312" w:hAnsi="宋体" w:eastAsia="仿宋_GB2312" w:cs="Times New Roman"/>
                <w:color w:val="auto"/>
                <w:kern w:val="0"/>
                <w:sz w:val="13"/>
                <w:szCs w:val="13"/>
                <w:highlight w:val="none"/>
                <w:lang w:eastAsia="zh-CN"/>
              </w:rPr>
              <w:t>从重情节</w:t>
            </w:r>
          </w:p>
        </w:tc>
        <w:tc>
          <w:tcPr>
            <w:tcW w:w="3437" w:type="dxa"/>
            <w:gridSpan w:val="2"/>
            <w:tcBorders>
              <w:tl2br w:val="nil"/>
              <w:tr2bl w:val="nil"/>
            </w:tcBorders>
            <w:tcMar>
              <w:top w:w="15" w:type="dxa"/>
              <w:left w:w="15" w:type="dxa"/>
              <w:bottom w:w="15" w:type="dxa"/>
              <w:right w:w="15" w:type="dxa"/>
            </w:tcMar>
            <w:vAlign w:val="center"/>
          </w:tcPr>
          <w:p w14:paraId="024828A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经责令停止违法行为后，继续实施违法行为的</w:t>
            </w:r>
            <w:r>
              <w:rPr>
                <w:rFonts w:hint="eastAsia" w:ascii="仿宋_GB2312" w:hAnsi="宋体" w:eastAsia="仿宋_GB2312" w:cs="Times New Roman"/>
                <w:color w:val="auto"/>
                <w:kern w:val="0"/>
                <w:sz w:val="13"/>
                <w:szCs w:val="13"/>
                <w:highlight w:val="none"/>
                <w:lang w:eastAsia="zh-CN"/>
              </w:rPr>
              <w:t>，</w:t>
            </w:r>
            <w:r>
              <w:rPr>
                <w:rFonts w:hint="eastAsia" w:ascii="仿宋_GB2312" w:hAnsi="宋体" w:eastAsia="仿宋_GB2312" w:cs="Times New Roman"/>
                <w:color w:val="auto"/>
                <w:kern w:val="0"/>
                <w:sz w:val="13"/>
                <w:szCs w:val="13"/>
                <w:highlight w:val="none"/>
                <w:lang w:val="en-US" w:eastAsia="zh-CN"/>
              </w:rPr>
              <w:t>或</w:t>
            </w:r>
            <w:r>
              <w:rPr>
                <w:rFonts w:hint="eastAsia" w:ascii="仿宋_GB2312" w:hAnsi="宋体" w:eastAsia="仿宋_GB2312" w:cs="Times New Roman"/>
                <w:color w:val="auto"/>
                <w:kern w:val="0"/>
                <w:sz w:val="13"/>
                <w:szCs w:val="13"/>
                <w:highlight w:val="none"/>
              </w:rPr>
              <w:t>2年内2次及以上同类型违法</w:t>
            </w:r>
            <w:r>
              <w:rPr>
                <w:rFonts w:hint="eastAsia" w:ascii="仿宋_GB2312" w:hAnsi="宋体" w:eastAsia="仿宋_GB2312" w:cs="Times New Roman"/>
                <w:color w:val="auto"/>
                <w:kern w:val="0"/>
                <w:sz w:val="13"/>
                <w:szCs w:val="13"/>
                <w:highlight w:val="none"/>
                <w:lang w:eastAsia="zh-CN"/>
              </w:rPr>
              <w:t>，</w:t>
            </w:r>
            <w:r>
              <w:rPr>
                <w:rFonts w:hint="eastAsia" w:ascii="仿宋_GB2312" w:hAnsi="宋体" w:eastAsia="仿宋_GB2312" w:cs="Times New Roman"/>
                <w:color w:val="auto"/>
                <w:kern w:val="0"/>
                <w:sz w:val="13"/>
                <w:szCs w:val="13"/>
                <w:highlight w:val="none"/>
                <w:lang w:val="en-US" w:eastAsia="zh-CN"/>
              </w:rPr>
              <w:t>或</w:t>
            </w:r>
            <w:r>
              <w:rPr>
                <w:rFonts w:hint="eastAsia" w:ascii="仿宋_GB2312" w:hAnsi="宋体" w:eastAsia="仿宋_GB2312" w:cs="Times New Roman"/>
                <w:color w:val="auto"/>
                <w:kern w:val="0"/>
                <w:sz w:val="13"/>
                <w:szCs w:val="13"/>
                <w:highlight w:val="none"/>
              </w:rPr>
              <w:t>引发网络舆情事件、群体性事件等影响社会稳定的。</w:t>
            </w:r>
          </w:p>
        </w:tc>
        <w:tc>
          <w:tcPr>
            <w:tcW w:w="3058" w:type="dxa"/>
            <w:tcBorders>
              <w:tl2br w:val="nil"/>
              <w:tr2bl w:val="nil"/>
            </w:tcBorders>
            <w:tcMar>
              <w:top w:w="15" w:type="dxa"/>
              <w:left w:w="15" w:type="dxa"/>
              <w:bottom w:w="15" w:type="dxa"/>
              <w:right w:w="15" w:type="dxa"/>
            </w:tcMar>
            <w:vAlign w:val="center"/>
          </w:tcPr>
          <w:p w14:paraId="2758CC2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责令限期改正，并处2.5万元以上3万元以下的罚款。</w:t>
            </w:r>
          </w:p>
        </w:tc>
      </w:tr>
      <w:tr w14:paraId="50DAA3C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9" w:hRule="atLeast"/>
          <w:jc w:val="center"/>
        </w:trPr>
        <w:tc>
          <w:tcPr>
            <w:tcW w:w="443" w:type="dxa"/>
            <w:gridSpan w:val="2"/>
            <w:vMerge w:val="restart"/>
            <w:tcBorders>
              <w:tl2br w:val="nil"/>
              <w:tr2bl w:val="nil"/>
            </w:tcBorders>
            <w:vAlign w:val="center"/>
          </w:tcPr>
          <w:p w14:paraId="6181CE3B">
            <w:pPr>
              <w:keepNext w:val="0"/>
              <w:keepLines w:val="0"/>
              <w:pageBreakBefore w:val="0"/>
              <w:widowControl/>
              <w:numPr>
                <w:ilvl w:val="0"/>
                <w:numId w:val="6"/>
              </w:numPr>
              <w:suppressLineNumbers w:val="0"/>
              <w:tabs>
                <w:tab w:val="clear" w:pos="397"/>
              </w:tabs>
              <w:kinsoku/>
              <w:overflowPunct/>
              <w:topLinePunct w:val="0"/>
              <w:autoSpaceDE/>
              <w:autoSpaceDN/>
              <w:bidi w:val="0"/>
              <w:adjustRightInd/>
              <w:snapToGrid/>
              <w:spacing w:beforeAutospacing="0" w:afterAutospacing="0" w:line="260" w:lineRule="exact"/>
              <w:ind w:left="638" w:leftChars="88" w:right="0" w:rightChars="0" w:hanging="453" w:hangingChars="349"/>
              <w:jc w:val="center"/>
              <w:textAlignment w:val="center"/>
              <w:rPr>
                <w:rFonts w:hint="default" w:ascii="仿宋_GB2312" w:hAnsi="宋体" w:eastAsia="仿宋_GB2312"/>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281</w:t>
            </w:r>
          </w:p>
        </w:tc>
        <w:tc>
          <w:tcPr>
            <w:tcW w:w="1550" w:type="dxa"/>
            <w:vMerge w:val="restart"/>
            <w:tcBorders>
              <w:tl2br w:val="nil"/>
              <w:tr2bl w:val="nil"/>
            </w:tcBorders>
            <w:vAlign w:val="center"/>
          </w:tcPr>
          <w:p w14:paraId="59AA0B2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房地产开发企业违反“房地产开发企业在进行商品房销（预）售时，应当向购房人出具该项目的《白蚁预防合同》或者其他实施房屋白蚁预防的证明文件，提供的《住宅质量保证书》中必须包括白蚁预防质量保证的内容”的规定的</w:t>
            </w:r>
          </w:p>
        </w:tc>
        <w:tc>
          <w:tcPr>
            <w:tcW w:w="4820" w:type="dxa"/>
            <w:vMerge w:val="restart"/>
            <w:tcBorders>
              <w:tl2br w:val="nil"/>
              <w:tr2bl w:val="nil"/>
            </w:tcBorders>
            <w:vAlign w:val="center"/>
          </w:tcPr>
          <w:p w14:paraId="519EF39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《城市房屋白蚁防治管理规定》</w:t>
            </w:r>
            <w:r>
              <w:rPr>
                <w:rFonts w:hint="eastAsia" w:ascii="仿宋_GB2312" w:hAnsi="宋体" w:eastAsia="仿宋_GB2312" w:cs="Times New Roman"/>
                <w:b/>
                <w:bCs/>
                <w:color w:val="auto"/>
                <w:kern w:val="0"/>
                <w:sz w:val="13"/>
                <w:szCs w:val="13"/>
                <w:highlight w:val="none"/>
              </w:rPr>
              <w:t>第十六条</w:t>
            </w:r>
            <w:r>
              <w:rPr>
                <w:rFonts w:hint="eastAsia" w:ascii="仿宋_GB2312" w:hAnsi="宋体" w:eastAsia="仿宋_GB2312" w:cs="Times New Roman"/>
                <w:b/>
                <w:bCs/>
                <w:color w:val="auto"/>
                <w:kern w:val="0"/>
                <w:sz w:val="13"/>
                <w:szCs w:val="13"/>
                <w:highlight w:val="none"/>
                <w:lang w:val="en-US" w:eastAsia="zh-CN"/>
              </w:rPr>
              <w:t>第一款</w:t>
            </w:r>
            <w:r>
              <w:rPr>
                <w:rFonts w:hint="eastAsia" w:ascii="仿宋_GB2312" w:hAnsi="宋体" w:eastAsia="仿宋_GB2312" w:cs="Times New Roman"/>
                <w:b/>
                <w:bCs/>
                <w:color w:val="auto"/>
                <w:kern w:val="0"/>
                <w:sz w:val="13"/>
                <w:szCs w:val="13"/>
                <w:highlight w:val="none"/>
              </w:rPr>
              <w:t>：</w:t>
            </w:r>
            <w:r>
              <w:rPr>
                <w:rFonts w:hint="eastAsia" w:ascii="仿宋_GB2312" w:hAnsi="宋体" w:eastAsia="仿宋_GB2312" w:cs="Times New Roman"/>
                <w:color w:val="auto"/>
                <w:kern w:val="0"/>
                <w:sz w:val="13"/>
                <w:szCs w:val="13"/>
                <w:highlight w:val="none"/>
              </w:rPr>
              <w:t>房地产开发企业违反本规定第十一条第一款的规定，由房屋所在地的县级以上地方人民政府房地产行政主管部门责令限期改正，并处以2万元以上3万元以下的罚款。</w:t>
            </w:r>
          </w:p>
          <w:p w14:paraId="4656E3A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olor w:val="auto"/>
                <w:sz w:val="13"/>
                <w:szCs w:val="13"/>
                <w:highlight w:val="none"/>
              </w:rPr>
            </w:pPr>
            <w:r>
              <w:rPr>
                <w:rFonts w:hint="eastAsia" w:ascii="仿宋_GB2312" w:hAnsi="宋体" w:eastAsia="仿宋_GB2312" w:cs="Times New Roman"/>
                <w:color w:val="auto"/>
                <w:kern w:val="0"/>
                <w:sz w:val="13"/>
                <w:szCs w:val="13"/>
                <w:highlight w:val="none"/>
              </w:rPr>
              <w:t>《城市房屋白蚁防治管理规定》</w:t>
            </w:r>
            <w:r>
              <w:rPr>
                <w:rFonts w:hint="eastAsia" w:ascii="仿宋_GB2312" w:hAnsi="宋体" w:eastAsia="仿宋_GB2312" w:cs="Times New Roman"/>
                <w:b/>
                <w:bCs/>
                <w:color w:val="auto"/>
                <w:kern w:val="0"/>
                <w:sz w:val="13"/>
                <w:szCs w:val="13"/>
                <w:highlight w:val="none"/>
              </w:rPr>
              <w:t>第十一条第一款</w:t>
            </w:r>
            <w:r>
              <w:rPr>
                <w:rFonts w:hint="eastAsia" w:ascii="仿宋_GB2312" w:hAnsi="宋体" w:eastAsia="仿宋_GB2312" w:cs="Times New Roman"/>
                <w:b/>
                <w:bCs/>
                <w:color w:val="auto"/>
                <w:kern w:val="0"/>
                <w:sz w:val="13"/>
                <w:szCs w:val="13"/>
                <w:highlight w:val="none"/>
                <w:lang w:eastAsia="zh-CN"/>
              </w:rPr>
              <w:t>：</w:t>
            </w:r>
            <w:r>
              <w:rPr>
                <w:rFonts w:hint="eastAsia" w:ascii="仿宋_GB2312" w:hAnsi="宋体" w:eastAsia="仿宋_GB2312" w:cs="Times New Roman"/>
                <w:color w:val="auto"/>
                <w:kern w:val="0"/>
                <w:sz w:val="13"/>
                <w:szCs w:val="13"/>
                <w:highlight w:val="none"/>
              </w:rPr>
              <w:t>房地产开发企业在进行商品房销（预）售时，应当向购房人出具该项目的《白蚁预防合同》或者其他实施房屋白蚁预防的证明文件，提供的《住宅质量保证书》中必须包括白蚁预防质量保证的内容。</w:t>
            </w:r>
          </w:p>
        </w:tc>
        <w:tc>
          <w:tcPr>
            <w:tcW w:w="823" w:type="dxa"/>
            <w:tcBorders>
              <w:tl2br w:val="nil"/>
              <w:tr2bl w:val="nil"/>
            </w:tcBorders>
            <w:tcMar>
              <w:top w:w="15" w:type="dxa"/>
              <w:left w:w="15" w:type="dxa"/>
              <w:bottom w:w="15" w:type="dxa"/>
              <w:right w:w="15" w:type="dxa"/>
            </w:tcMar>
            <w:vAlign w:val="center"/>
          </w:tcPr>
          <w:p w14:paraId="23CF1D8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Times New Roman"/>
                <w:color w:val="auto"/>
                <w:kern w:val="0"/>
                <w:sz w:val="13"/>
                <w:szCs w:val="13"/>
                <w:highlight w:val="none"/>
                <w:lang w:eastAsia="zh-CN"/>
              </w:rPr>
            </w:pPr>
            <w:r>
              <w:rPr>
                <w:rFonts w:hint="eastAsia" w:ascii="仿宋_GB2312" w:hAnsi="宋体" w:eastAsia="仿宋_GB2312" w:cs="Times New Roman"/>
                <w:color w:val="auto"/>
                <w:kern w:val="0"/>
                <w:sz w:val="13"/>
                <w:szCs w:val="13"/>
                <w:highlight w:val="none"/>
                <w:lang w:eastAsia="zh-CN"/>
              </w:rPr>
              <w:t>从轻情节</w:t>
            </w:r>
          </w:p>
        </w:tc>
        <w:tc>
          <w:tcPr>
            <w:tcW w:w="3437" w:type="dxa"/>
            <w:gridSpan w:val="2"/>
            <w:tcBorders>
              <w:tl2br w:val="nil"/>
              <w:tr2bl w:val="nil"/>
            </w:tcBorders>
            <w:tcMar>
              <w:top w:w="15" w:type="dxa"/>
              <w:left w:w="15" w:type="dxa"/>
              <w:bottom w:w="15" w:type="dxa"/>
              <w:right w:w="15" w:type="dxa"/>
            </w:tcMar>
            <w:vAlign w:val="center"/>
          </w:tcPr>
          <w:p w14:paraId="20F8757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初次违法，危害后果轻微，主动采取措施消除或减轻违法行为危害后果。</w:t>
            </w:r>
          </w:p>
        </w:tc>
        <w:tc>
          <w:tcPr>
            <w:tcW w:w="3058" w:type="dxa"/>
            <w:tcBorders>
              <w:tl2br w:val="nil"/>
              <w:tr2bl w:val="nil"/>
            </w:tcBorders>
            <w:tcMar>
              <w:top w:w="15" w:type="dxa"/>
              <w:left w:w="15" w:type="dxa"/>
              <w:bottom w:w="15" w:type="dxa"/>
              <w:right w:w="15" w:type="dxa"/>
            </w:tcMar>
            <w:vAlign w:val="center"/>
          </w:tcPr>
          <w:p w14:paraId="2A0C150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责令限期改正，并处2万元的罚款。</w:t>
            </w:r>
          </w:p>
        </w:tc>
      </w:tr>
      <w:tr w14:paraId="5A7C31E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9" w:hRule="atLeast"/>
          <w:jc w:val="center"/>
        </w:trPr>
        <w:tc>
          <w:tcPr>
            <w:tcW w:w="443" w:type="dxa"/>
            <w:gridSpan w:val="2"/>
            <w:vMerge w:val="continue"/>
            <w:tcBorders>
              <w:tl2br w:val="nil"/>
              <w:tr2bl w:val="nil"/>
            </w:tcBorders>
            <w:vAlign w:val="center"/>
          </w:tcPr>
          <w:p w14:paraId="746184DD">
            <w:pPr>
              <w:keepNext w:val="0"/>
              <w:keepLines w:val="0"/>
              <w:pageBreakBefore w:val="0"/>
              <w:widowControl/>
              <w:kinsoku/>
              <w:overflowPunct/>
              <w:topLinePunct w:val="0"/>
              <w:autoSpaceDE/>
              <w:autoSpaceDN/>
              <w:bidi w:val="0"/>
              <w:adjustRightInd/>
              <w:snapToGrid/>
              <w:spacing w:beforeAutospacing="0" w:afterAutospacing="0" w:line="260" w:lineRule="exact"/>
              <w:ind w:left="638" w:leftChars="88" w:right="0" w:rightChars="0" w:hanging="453" w:hangingChars="349"/>
              <w:jc w:val="center"/>
              <w:rPr>
                <w:rFonts w:ascii="仿宋_GB2312" w:hAnsi="宋体" w:eastAsia="仿宋_GB2312"/>
                <w:color w:val="auto"/>
                <w:sz w:val="13"/>
                <w:szCs w:val="13"/>
                <w:highlight w:val="none"/>
              </w:rPr>
            </w:pPr>
          </w:p>
        </w:tc>
        <w:tc>
          <w:tcPr>
            <w:tcW w:w="1550" w:type="dxa"/>
            <w:vMerge w:val="continue"/>
            <w:tcBorders>
              <w:tl2br w:val="nil"/>
              <w:tr2bl w:val="nil"/>
            </w:tcBorders>
            <w:vAlign w:val="center"/>
          </w:tcPr>
          <w:p w14:paraId="746420F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72F5B04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69B4C24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Times New Roman"/>
                <w:color w:val="auto"/>
                <w:kern w:val="0"/>
                <w:sz w:val="13"/>
                <w:szCs w:val="13"/>
                <w:highlight w:val="none"/>
                <w:lang w:eastAsia="zh-CN"/>
              </w:rPr>
            </w:pPr>
            <w:r>
              <w:rPr>
                <w:rFonts w:hint="eastAsia" w:ascii="仿宋_GB2312" w:hAnsi="宋体" w:eastAsia="仿宋_GB2312" w:cs="Times New Roman"/>
                <w:color w:val="auto"/>
                <w:kern w:val="0"/>
                <w:sz w:val="13"/>
                <w:szCs w:val="13"/>
                <w:highlight w:val="none"/>
                <w:lang w:eastAsia="zh-CN"/>
              </w:rPr>
              <w:t>一般情节</w:t>
            </w:r>
          </w:p>
        </w:tc>
        <w:tc>
          <w:tcPr>
            <w:tcW w:w="3437" w:type="dxa"/>
            <w:gridSpan w:val="2"/>
            <w:tcBorders>
              <w:tl2br w:val="nil"/>
              <w:tr2bl w:val="nil"/>
            </w:tcBorders>
            <w:tcMar>
              <w:top w:w="15" w:type="dxa"/>
              <w:left w:w="15" w:type="dxa"/>
              <w:bottom w:w="15" w:type="dxa"/>
              <w:right w:w="15" w:type="dxa"/>
            </w:tcMar>
            <w:vAlign w:val="center"/>
          </w:tcPr>
          <w:p w14:paraId="310E6B0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实施违法行为，造成不良社会影响，不具有从轻、</w:t>
            </w:r>
            <w:r>
              <w:rPr>
                <w:rFonts w:hint="eastAsia" w:ascii="仿宋_GB2312" w:hAnsi="宋体" w:eastAsia="仿宋_GB2312" w:cs="Times New Roman"/>
                <w:color w:val="auto"/>
                <w:kern w:val="0"/>
                <w:sz w:val="13"/>
                <w:szCs w:val="13"/>
                <w:highlight w:val="none"/>
                <w:lang w:eastAsia="zh-CN"/>
              </w:rPr>
              <w:t>从重情节</w:t>
            </w:r>
            <w:r>
              <w:rPr>
                <w:rFonts w:hint="eastAsia" w:ascii="仿宋_GB2312" w:hAnsi="宋体" w:eastAsia="仿宋_GB2312" w:cs="Times New Roman"/>
                <w:color w:val="auto"/>
                <w:kern w:val="0"/>
                <w:sz w:val="13"/>
                <w:szCs w:val="13"/>
                <w:highlight w:val="none"/>
              </w:rPr>
              <w:t>的。</w:t>
            </w:r>
          </w:p>
        </w:tc>
        <w:tc>
          <w:tcPr>
            <w:tcW w:w="3058" w:type="dxa"/>
            <w:tcBorders>
              <w:tl2br w:val="nil"/>
              <w:tr2bl w:val="nil"/>
            </w:tcBorders>
            <w:tcMar>
              <w:top w:w="15" w:type="dxa"/>
              <w:left w:w="15" w:type="dxa"/>
              <w:bottom w:w="15" w:type="dxa"/>
              <w:right w:w="15" w:type="dxa"/>
            </w:tcMar>
            <w:vAlign w:val="center"/>
          </w:tcPr>
          <w:p w14:paraId="489CB1F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责令限期改正，并处2万元以上2.5万元以下的罚款。</w:t>
            </w:r>
          </w:p>
        </w:tc>
      </w:tr>
      <w:tr w14:paraId="7D8251B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79" w:hRule="atLeast"/>
          <w:jc w:val="center"/>
        </w:trPr>
        <w:tc>
          <w:tcPr>
            <w:tcW w:w="443" w:type="dxa"/>
            <w:gridSpan w:val="2"/>
            <w:vMerge w:val="continue"/>
            <w:tcBorders>
              <w:tl2br w:val="nil"/>
              <w:tr2bl w:val="nil"/>
            </w:tcBorders>
            <w:vAlign w:val="center"/>
          </w:tcPr>
          <w:p w14:paraId="78ECE69E">
            <w:pPr>
              <w:keepNext w:val="0"/>
              <w:keepLines w:val="0"/>
              <w:pageBreakBefore w:val="0"/>
              <w:widowControl/>
              <w:kinsoku/>
              <w:overflowPunct/>
              <w:topLinePunct w:val="0"/>
              <w:autoSpaceDE/>
              <w:autoSpaceDN/>
              <w:bidi w:val="0"/>
              <w:adjustRightInd/>
              <w:snapToGrid/>
              <w:spacing w:beforeAutospacing="0" w:afterAutospacing="0" w:line="260" w:lineRule="exact"/>
              <w:ind w:left="638" w:leftChars="88" w:right="0" w:rightChars="0" w:hanging="453" w:hangingChars="349"/>
              <w:jc w:val="center"/>
              <w:rPr>
                <w:rFonts w:ascii="仿宋_GB2312" w:hAnsi="宋体" w:eastAsia="仿宋_GB2312"/>
                <w:color w:val="auto"/>
                <w:sz w:val="13"/>
                <w:szCs w:val="13"/>
                <w:highlight w:val="none"/>
              </w:rPr>
            </w:pPr>
          </w:p>
        </w:tc>
        <w:tc>
          <w:tcPr>
            <w:tcW w:w="1550" w:type="dxa"/>
            <w:vMerge w:val="continue"/>
            <w:tcBorders>
              <w:tl2br w:val="nil"/>
              <w:tr2bl w:val="nil"/>
            </w:tcBorders>
            <w:vAlign w:val="center"/>
          </w:tcPr>
          <w:p w14:paraId="42DE16E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65AE061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04EB653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Times New Roman"/>
                <w:color w:val="auto"/>
                <w:kern w:val="0"/>
                <w:sz w:val="13"/>
                <w:szCs w:val="13"/>
                <w:highlight w:val="none"/>
                <w:lang w:eastAsia="zh-CN"/>
              </w:rPr>
            </w:pPr>
            <w:r>
              <w:rPr>
                <w:rFonts w:hint="eastAsia" w:ascii="仿宋_GB2312" w:hAnsi="宋体" w:eastAsia="仿宋_GB2312" w:cs="Times New Roman"/>
                <w:color w:val="auto"/>
                <w:kern w:val="0"/>
                <w:sz w:val="13"/>
                <w:szCs w:val="13"/>
                <w:highlight w:val="none"/>
                <w:lang w:eastAsia="zh-CN"/>
              </w:rPr>
              <w:t>从重情节</w:t>
            </w:r>
          </w:p>
        </w:tc>
        <w:tc>
          <w:tcPr>
            <w:tcW w:w="3437" w:type="dxa"/>
            <w:gridSpan w:val="2"/>
            <w:tcBorders>
              <w:tl2br w:val="nil"/>
              <w:tr2bl w:val="nil"/>
            </w:tcBorders>
            <w:tcMar>
              <w:top w:w="15" w:type="dxa"/>
              <w:left w:w="15" w:type="dxa"/>
              <w:bottom w:w="15" w:type="dxa"/>
              <w:right w:w="15" w:type="dxa"/>
            </w:tcMar>
            <w:vAlign w:val="center"/>
          </w:tcPr>
          <w:p w14:paraId="531B777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经责令停止违法行为后，继续实施违法行为的</w:t>
            </w:r>
            <w:r>
              <w:rPr>
                <w:rFonts w:hint="eastAsia" w:ascii="仿宋_GB2312" w:hAnsi="宋体" w:eastAsia="仿宋_GB2312" w:cs="Times New Roman"/>
                <w:color w:val="auto"/>
                <w:kern w:val="0"/>
                <w:sz w:val="13"/>
                <w:szCs w:val="13"/>
                <w:highlight w:val="none"/>
                <w:lang w:eastAsia="zh-CN"/>
              </w:rPr>
              <w:t>，</w:t>
            </w:r>
            <w:r>
              <w:rPr>
                <w:rFonts w:hint="eastAsia" w:ascii="仿宋_GB2312" w:hAnsi="宋体" w:eastAsia="仿宋_GB2312" w:cs="Times New Roman"/>
                <w:color w:val="auto"/>
                <w:kern w:val="0"/>
                <w:sz w:val="13"/>
                <w:szCs w:val="13"/>
                <w:highlight w:val="none"/>
                <w:lang w:val="en-US" w:eastAsia="zh-CN"/>
              </w:rPr>
              <w:t>或</w:t>
            </w:r>
            <w:r>
              <w:rPr>
                <w:rFonts w:hint="eastAsia" w:ascii="仿宋_GB2312" w:hAnsi="宋体" w:eastAsia="仿宋_GB2312" w:cs="Times New Roman"/>
                <w:color w:val="auto"/>
                <w:kern w:val="0"/>
                <w:sz w:val="13"/>
                <w:szCs w:val="13"/>
                <w:highlight w:val="none"/>
              </w:rPr>
              <w:t>2年内2次及以上同类型违法</w:t>
            </w:r>
            <w:r>
              <w:rPr>
                <w:rFonts w:hint="eastAsia" w:ascii="仿宋_GB2312" w:hAnsi="宋体" w:eastAsia="仿宋_GB2312" w:cs="Times New Roman"/>
                <w:color w:val="auto"/>
                <w:kern w:val="0"/>
                <w:sz w:val="13"/>
                <w:szCs w:val="13"/>
                <w:highlight w:val="none"/>
                <w:lang w:eastAsia="zh-CN"/>
              </w:rPr>
              <w:t>，</w:t>
            </w:r>
            <w:r>
              <w:rPr>
                <w:rFonts w:hint="eastAsia" w:ascii="仿宋_GB2312" w:hAnsi="宋体" w:eastAsia="仿宋_GB2312" w:cs="Times New Roman"/>
                <w:color w:val="auto"/>
                <w:kern w:val="0"/>
                <w:sz w:val="13"/>
                <w:szCs w:val="13"/>
                <w:highlight w:val="none"/>
                <w:lang w:val="en-US" w:eastAsia="zh-CN"/>
              </w:rPr>
              <w:t>或</w:t>
            </w:r>
            <w:r>
              <w:rPr>
                <w:rFonts w:hint="eastAsia" w:ascii="仿宋_GB2312" w:hAnsi="宋体" w:eastAsia="仿宋_GB2312" w:cs="Times New Roman"/>
                <w:color w:val="auto"/>
                <w:kern w:val="0"/>
                <w:sz w:val="13"/>
                <w:szCs w:val="13"/>
                <w:highlight w:val="none"/>
              </w:rPr>
              <w:t>引发网络舆情事件、群体性事件等影响社会稳定的。</w:t>
            </w:r>
          </w:p>
        </w:tc>
        <w:tc>
          <w:tcPr>
            <w:tcW w:w="3058" w:type="dxa"/>
            <w:tcBorders>
              <w:tl2br w:val="nil"/>
              <w:tr2bl w:val="nil"/>
            </w:tcBorders>
            <w:tcMar>
              <w:top w:w="15" w:type="dxa"/>
              <w:left w:w="15" w:type="dxa"/>
              <w:bottom w:w="15" w:type="dxa"/>
              <w:right w:w="15" w:type="dxa"/>
            </w:tcMar>
            <w:vAlign w:val="center"/>
          </w:tcPr>
          <w:p w14:paraId="0174D25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责令限期改正，并处2.5万元以上3万元以下的罚款。</w:t>
            </w:r>
          </w:p>
        </w:tc>
      </w:tr>
      <w:tr w14:paraId="5FCED89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9" w:hRule="atLeast"/>
          <w:jc w:val="center"/>
        </w:trPr>
        <w:tc>
          <w:tcPr>
            <w:tcW w:w="443" w:type="dxa"/>
            <w:gridSpan w:val="2"/>
            <w:vMerge w:val="restart"/>
            <w:tcBorders>
              <w:tl2br w:val="nil"/>
              <w:tr2bl w:val="nil"/>
            </w:tcBorders>
            <w:vAlign w:val="center"/>
          </w:tcPr>
          <w:p w14:paraId="06E46203">
            <w:pPr>
              <w:keepNext w:val="0"/>
              <w:keepLines w:val="0"/>
              <w:pageBreakBefore w:val="0"/>
              <w:widowControl/>
              <w:numPr>
                <w:ilvl w:val="0"/>
                <w:numId w:val="6"/>
              </w:numPr>
              <w:suppressLineNumbers w:val="0"/>
              <w:tabs>
                <w:tab w:val="clear" w:pos="397"/>
              </w:tabs>
              <w:kinsoku/>
              <w:overflowPunct/>
              <w:topLinePunct w:val="0"/>
              <w:autoSpaceDE/>
              <w:autoSpaceDN/>
              <w:bidi w:val="0"/>
              <w:adjustRightInd/>
              <w:snapToGrid/>
              <w:spacing w:beforeAutospacing="0" w:afterAutospacing="0" w:line="260" w:lineRule="exact"/>
              <w:ind w:left="638" w:leftChars="88" w:right="0" w:rightChars="0" w:hanging="453" w:hangingChars="349"/>
              <w:jc w:val="center"/>
              <w:textAlignment w:val="center"/>
              <w:rPr>
                <w:rFonts w:hint="default" w:ascii="仿宋_GB2312" w:hAnsi="宋体" w:eastAsia="仿宋_GB2312"/>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282</w:t>
            </w:r>
          </w:p>
        </w:tc>
        <w:tc>
          <w:tcPr>
            <w:tcW w:w="1550" w:type="dxa"/>
            <w:vMerge w:val="restart"/>
            <w:tcBorders>
              <w:tl2br w:val="nil"/>
              <w:tr2bl w:val="nil"/>
            </w:tcBorders>
            <w:vAlign w:val="center"/>
          </w:tcPr>
          <w:p w14:paraId="49E4558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r>
              <w:rPr>
                <w:rFonts w:ascii="仿宋_GB2312" w:hAnsi="宋体" w:eastAsia="仿宋_GB2312" w:cs="Times New Roman"/>
                <w:color w:val="auto"/>
                <w:kern w:val="0"/>
                <w:sz w:val="13"/>
                <w:szCs w:val="13"/>
                <w:highlight w:val="none"/>
              </w:rPr>
              <w:t>建设单位未按照本规定进行白蚁预防的</w:t>
            </w:r>
          </w:p>
        </w:tc>
        <w:tc>
          <w:tcPr>
            <w:tcW w:w="4820" w:type="dxa"/>
            <w:vMerge w:val="restart"/>
            <w:tcBorders>
              <w:tl2br w:val="nil"/>
              <w:tr2bl w:val="nil"/>
            </w:tcBorders>
            <w:vAlign w:val="center"/>
          </w:tcPr>
          <w:p w14:paraId="374B996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《城市房屋白蚁防治管理规定》</w:t>
            </w:r>
            <w:r>
              <w:rPr>
                <w:rFonts w:hint="eastAsia" w:ascii="仿宋_GB2312" w:hAnsi="宋体" w:eastAsia="仿宋_GB2312" w:cs="Times New Roman"/>
                <w:b/>
                <w:bCs/>
                <w:color w:val="auto"/>
                <w:kern w:val="0"/>
                <w:sz w:val="13"/>
                <w:szCs w:val="13"/>
                <w:highlight w:val="none"/>
              </w:rPr>
              <w:t>第十六条</w:t>
            </w:r>
            <w:r>
              <w:rPr>
                <w:rFonts w:hint="eastAsia" w:ascii="仿宋_GB2312" w:hAnsi="宋体" w:eastAsia="仿宋_GB2312" w:cs="Times New Roman"/>
                <w:b/>
                <w:bCs/>
                <w:color w:val="auto"/>
                <w:kern w:val="0"/>
                <w:sz w:val="13"/>
                <w:szCs w:val="13"/>
                <w:highlight w:val="none"/>
                <w:lang w:val="en-US" w:eastAsia="zh-CN"/>
              </w:rPr>
              <w:t>第二款</w:t>
            </w:r>
            <w:r>
              <w:rPr>
                <w:rFonts w:hint="eastAsia" w:ascii="仿宋_GB2312" w:hAnsi="宋体" w:eastAsia="仿宋_GB2312" w:cs="Times New Roman"/>
                <w:b/>
                <w:bCs/>
                <w:color w:val="auto"/>
                <w:kern w:val="0"/>
                <w:sz w:val="13"/>
                <w:szCs w:val="13"/>
                <w:highlight w:val="none"/>
                <w:lang w:eastAsia="zh-CN"/>
              </w:rPr>
              <w:t>：</w:t>
            </w:r>
            <w:r>
              <w:rPr>
                <w:rFonts w:ascii="仿宋_GB2312" w:hAnsi="宋体" w:eastAsia="仿宋_GB2312" w:cs="Times New Roman"/>
                <w:color w:val="auto"/>
                <w:kern w:val="0"/>
                <w:sz w:val="13"/>
                <w:szCs w:val="13"/>
                <w:highlight w:val="none"/>
              </w:rPr>
              <w:t>建设单位未按照本规定进行白蚁预防的，由房屋所在地的县级以上地方人民政府房地产行政主管部门责令限期改正，并处以1万元以上3万元以下的罚款。</w:t>
            </w:r>
          </w:p>
          <w:p w14:paraId="6214844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color w:val="auto"/>
                <w:kern w:val="0"/>
                <w:sz w:val="13"/>
                <w:szCs w:val="13"/>
                <w:highlight w:val="none"/>
              </w:rPr>
            </w:pPr>
          </w:p>
        </w:tc>
        <w:tc>
          <w:tcPr>
            <w:tcW w:w="823" w:type="dxa"/>
            <w:tcBorders>
              <w:tl2br w:val="nil"/>
              <w:tr2bl w:val="nil"/>
            </w:tcBorders>
            <w:tcMar>
              <w:top w:w="15" w:type="dxa"/>
              <w:left w:w="15" w:type="dxa"/>
              <w:bottom w:w="15" w:type="dxa"/>
              <w:right w:w="15" w:type="dxa"/>
            </w:tcMar>
            <w:vAlign w:val="center"/>
          </w:tcPr>
          <w:p w14:paraId="62EE688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Times New Roman"/>
                <w:color w:val="auto"/>
                <w:kern w:val="0"/>
                <w:sz w:val="13"/>
                <w:szCs w:val="13"/>
                <w:highlight w:val="none"/>
                <w:lang w:eastAsia="zh-CN"/>
              </w:rPr>
            </w:pPr>
            <w:r>
              <w:rPr>
                <w:rFonts w:hint="eastAsia" w:ascii="仿宋_GB2312" w:hAnsi="宋体" w:eastAsia="仿宋_GB2312" w:cs="Times New Roman"/>
                <w:color w:val="auto"/>
                <w:kern w:val="0"/>
                <w:sz w:val="13"/>
                <w:szCs w:val="13"/>
                <w:highlight w:val="none"/>
                <w:lang w:eastAsia="zh-CN"/>
              </w:rPr>
              <w:t>从轻情节</w:t>
            </w:r>
          </w:p>
        </w:tc>
        <w:tc>
          <w:tcPr>
            <w:tcW w:w="3437" w:type="dxa"/>
            <w:gridSpan w:val="2"/>
            <w:tcBorders>
              <w:tl2br w:val="nil"/>
              <w:tr2bl w:val="nil"/>
            </w:tcBorders>
            <w:tcMar>
              <w:top w:w="15" w:type="dxa"/>
              <w:left w:w="15" w:type="dxa"/>
              <w:bottom w:w="15" w:type="dxa"/>
              <w:right w:w="15" w:type="dxa"/>
            </w:tcMar>
            <w:vAlign w:val="center"/>
          </w:tcPr>
          <w:p w14:paraId="6CD0FE9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jc w:val="left"/>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初次违法，危害后果轻微，主动采取措施消除或减轻违法行为危害后果。</w:t>
            </w:r>
          </w:p>
        </w:tc>
        <w:tc>
          <w:tcPr>
            <w:tcW w:w="3058" w:type="dxa"/>
            <w:tcBorders>
              <w:tl2br w:val="nil"/>
              <w:tr2bl w:val="nil"/>
            </w:tcBorders>
            <w:tcMar>
              <w:top w:w="15" w:type="dxa"/>
              <w:left w:w="15" w:type="dxa"/>
              <w:bottom w:w="15" w:type="dxa"/>
              <w:right w:w="15" w:type="dxa"/>
            </w:tcMar>
            <w:vAlign w:val="center"/>
          </w:tcPr>
          <w:p w14:paraId="250A5BF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jc w:val="left"/>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责令限期改正，并处1万元以上1.5万元以下的罚款。</w:t>
            </w:r>
          </w:p>
        </w:tc>
      </w:tr>
      <w:tr w14:paraId="2E20816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9" w:hRule="atLeast"/>
          <w:jc w:val="center"/>
        </w:trPr>
        <w:tc>
          <w:tcPr>
            <w:tcW w:w="443" w:type="dxa"/>
            <w:gridSpan w:val="2"/>
            <w:vMerge w:val="continue"/>
            <w:tcBorders>
              <w:tl2br w:val="nil"/>
              <w:tr2bl w:val="nil"/>
            </w:tcBorders>
            <w:vAlign w:val="center"/>
          </w:tcPr>
          <w:p w14:paraId="695C0C70">
            <w:pPr>
              <w:keepNext w:val="0"/>
              <w:keepLines w:val="0"/>
              <w:pageBreakBefore w:val="0"/>
              <w:widowControl/>
              <w:kinsoku/>
              <w:overflowPunct/>
              <w:topLinePunct w:val="0"/>
              <w:autoSpaceDE/>
              <w:autoSpaceDN/>
              <w:bidi w:val="0"/>
              <w:adjustRightInd/>
              <w:snapToGrid/>
              <w:spacing w:beforeAutospacing="0" w:afterAutospacing="0" w:line="260" w:lineRule="exact"/>
              <w:ind w:left="638" w:leftChars="88" w:right="0" w:rightChars="0" w:hanging="453" w:hangingChars="349"/>
              <w:jc w:val="center"/>
              <w:rPr>
                <w:rFonts w:ascii="仿宋_GB2312" w:hAnsi="宋体" w:eastAsia="仿宋_GB2312"/>
                <w:color w:val="auto"/>
                <w:sz w:val="13"/>
                <w:szCs w:val="13"/>
                <w:highlight w:val="none"/>
              </w:rPr>
            </w:pPr>
          </w:p>
        </w:tc>
        <w:tc>
          <w:tcPr>
            <w:tcW w:w="1550" w:type="dxa"/>
            <w:vMerge w:val="continue"/>
            <w:tcBorders>
              <w:tl2br w:val="nil"/>
              <w:tr2bl w:val="nil"/>
            </w:tcBorders>
            <w:vAlign w:val="center"/>
          </w:tcPr>
          <w:p w14:paraId="3806FF9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165FC8B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022C737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Times New Roman"/>
                <w:color w:val="auto"/>
                <w:kern w:val="0"/>
                <w:sz w:val="13"/>
                <w:szCs w:val="13"/>
                <w:highlight w:val="none"/>
                <w:lang w:eastAsia="zh-CN"/>
              </w:rPr>
            </w:pPr>
            <w:r>
              <w:rPr>
                <w:rFonts w:hint="eastAsia" w:ascii="仿宋_GB2312" w:hAnsi="宋体" w:eastAsia="仿宋_GB2312" w:cs="Times New Roman"/>
                <w:color w:val="auto"/>
                <w:kern w:val="0"/>
                <w:sz w:val="13"/>
                <w:szCs w:val="13"/>
                <w:highlight w:val="none"/>
                <w:lang w:eastAsia="zh-CN"/>
              </w:rPr>
              <w:t>一般情节</w:t>
            </w:r>
          </w:p>
        </w:tc>
        <w:tc>
          <w:tcPr>
            <w:tcW w:w="3437" w:type="dxa"/>
            <w:gridSpan w:val="2"/>
            <w:tcBorders>
              <w:tl2br w:val="nil"/>
              <w:tr2bl w:val="nil"/>
            </w:tcBorders>
            <w:tcMar>
              <w:top w:w="15" w:type="dxa"/>
              <w:left w:w="15" w:type="dxa"/>
              <w:bottom w:w="15" w:type="dxa"/>
              <w:right w:w="15" w:type="dxa"/>
            </w:tcMar>
            <w:vAlign w:val="center"/>
          </w:tcPr>
          <w:p w14:paraId="6E1A902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jc w:val="left"/>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实施违法行为，造成不良社会影响，不具有从轻、</w:t>
            </w:r>
            <w:r>
              <w:rPr>
                <w:rFonts w:hint="eastAsia" w:ascii="仿宋_GB2312" w:hAnsi="宋体" w:eastAsia="仿宋_GB2312" w:cs="Times New Roman"/>
                <w:color w:val="auto"/>
                <w:kern w:val="0"/>
                <w:sz w:val="13"/>
                <w:szCs w:val="13"/>
                <w:highlight w:val="none"/>
                <w:lang w:eastAsia="zh-CN"/>
              </w:rPr>
              <w:t>从重情节</w:t>
            </w:r>
            <w:r>
              <w:rPr>
                <w:rFonts w:hint="eastAsia" w:ascii="仿宋_GB2312" w:hAnsi="宋体" w:eastAsia="仿宋_GB2312" w:cs="Times New Roman"/>
                <w:color w:val="auto"/>
                <w:kern w:val="0"/>
                <w:sz w:val="13"/>
                <w:szCs w:val="13"/>
                <w:highlight w:val="none"/>
              </w:rPr>
              <w:t>的。</w:t>
            </w:r>
          </w:p>
        </w:tc>
        <w:tc>
          <w:tcPr>
            <w:tcW w:w="3058" w:type="dxa"/>
            <w:tcBorders>
              <w:tl2br w:val="nil"/>
              <w:tr2bl w:val="nil"/>
            </w:tcBorders>
            <w:tcMar>
              <w:top w:w="15" w:type="dxa"/>
              <w:left w:w="15" w:type="dxa"/>
              <w:bottom w:w="15" w:type="dxa"/>
              <w:right w:w="15" w:type="dxa"/>
            </w:tcMar>
            <w:vAlign w:val="center"/>
          </w:tcPr>
          <w:p w14:paraId="2952862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jc w:val="left"/>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责令限期改正，并处1.5万元以上2.5万元以下的罚款。</w:t>
            </w:r>
          </w:p>
        </w:tc>
      </w:tr>
      <w:tr w14:paraId="50309E9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25" w:hRule="atLeast"/>
          <w:jc w:val="center"/>
        </w:trPr>
        <w:tc>
          <w:tcPr>
            <w:tcW w:w="443" w:type="dxa"/>
            <w:gridSpan w:val="2"/>
            <w:vMerge w:val="continue"/>
            <w:tcBorders>
              <w:tl2br w:val="nil"/>
              <w:tr2bl w:val="nil"/>
            </w:tcBorders>
            <w:vAlign w:val="center"/>
          </w:tcPr>
          <w:p w14:paraId="6D288F64">
            <w:pPr>
              <w:keepNext w:val="0"/>
              <w:keepLines w:val="0"/>
              <w:pageBreakBefore w:val="0"/>
              <w:widowControl/>
              <w:kinsoku/>
              <w:overflowPunct/>
              <w:topLinePunct w:val="0"/>
              <w:autoSpaceDE/>
              <w:autoSpaceDN/>
              <w:bidi w:val="0"/>
              <w:adjustRightInd/>
              <w:snapToGrid/>
              <w:spacing w:beforeAutospacing="0" w:afterAutospacing="0" w:line="260" w:lineRule="exact"/>
              <w:ind w:left="638" w:leftChars="88" w:right="0" w:rightChars="0" w:hanging="453" w:hangingChars="349"/>
              <w:jc w:val="center"/>
              <w:rPr>
                <w:rFonts w:ascii="仿宋_GB2312" w:hAnsi="宋体" w:eastAsia="仿宋_GB2312"/>
                <w:color w:val="auto"/>
                <w:sz w:val="13"/>
                <w:szCs w:val="13"/>
                <w:highlight w:val="none"/>
              </w:rPr>
            </w:pPr>
          </w:p>
        </w:tc>
        <w:tc>
          <w:tcPr>
            <w:tcW w:w="1550" w:type="dxa"/>
            <w:vMerge w:val="continue"/>
            <w:tcBorders>
              <w:tl2br w:val="nil"/>
              <w:tr2bl w:val="nil"/>
            </w:tcBorders>
            <w:vAlign w:val="center"/>
          </w:tcPr>
          <w:p w14:paraId="4CCFDCF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3C599A7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3FDFB5D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Times New Roman"/>
                <w:color w:val="auto"/>
                <w:kern w:val="0"/>
                <w:sz w:val="13"/>
                <w:szCs w:val="13"/>
                <w:highlight w:val="none"/>
                <w:lang w:eastAsia="zh-CN"/>
              </w:rPr>
            </w:pPr>
            <w:r>
              <w:rPr>
                <w:rFonts w:hint="eastAsia" w:ascii="仿宋_GB2312" w:hAnsi="宋体" w:eastAsia="仿宋_GB2312" w:cs="Times New Roman"/>
                <w:color w:val="auto"/>
                <w:kern w:val="0"/>
                <w:sz w:val="13"/>
                <w:szCs w:val="13"/>
                <w:highlight w:val="none"/>
                <w:lang w:eastAsia="zh-CN"/>
              </w:rPr>
              <w:t>从重情节</w:t>
            </w:r>
          </w:p>
        </w:tc>
        <w:tc>
          <w:tcPr>
            <w:tcW w:w="3437" w:type="dxa"/>
            <w:gridSpan w:val="2"/>
            <w:tcBorders>
              <w:tl2br w:val="nil"/>
              <w:tr2bl w:val="nil"/>
            </w:tcBorders>
            <w:tcMar>
              <w:top w:w="15" w:type="dxa"/>
              <w:left w:w="15" w:type="dxa"/>
              <w:bottom w:w="15" w:type="dxa"/>
              <w:right w:w="15" w:type="dxa"/>
            </w:tcMar>
            <w:vAlign w:val="center"/>
          </w:tcPr>
          <w:p w14:paraId="41DAA75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经责令停止违法行为后，继续实施违法行为的</w:t>
            </w:r>
            <w:r>
              <w:rPr>
                <w:rFonts w:hint="eastAsia" w:ascii="仿宋_GB2312" w:hAnsi="宋体" w:eastAsia="仿宋_GB2312" w:cs="Times New Roman"/>
                <w:color w:val="auto"/>
                <w:kern w:val="0"/>
                <w:sz w:val="13"/>
                <w:szCs w:val="13"/>
                <w:highlight w:val="none"/>
                <w:lang w:eastAsia="zh-CN"/>
              </w:rPr>
              <w:t>，</w:t>
            </w:r>
            <w:r>
              <w:rPr>
                <w:rFonts w:hint="eastAsia" w:ascii="仿宋_GB2312" w:hAnsi="宋体" w:eastAsia="仿宋_GB2312" w:cs="Times New Roman"/>
                <w:color w:val="auto"/>
                <w:kern w:val="0"/>
                <w:sz w:val="13"/>
                <w:szCs w:val="13"/>
                <w:highlight w:val="none"/>
                <w:lang w:val="en-US" w:eastAsia="zh-CN"/>
              </w:rPr>
              <w:t>或</w:t>
            </w:r>
            <w:r>
              <w:rPr>
                <w:rFonts w:hint="eastAsia" w:ascii="仿宋_GB2312" w:hAnsi="宋体" w:eastAsia="仿宋_GB2312" w:cs="Times New Roman"/>
                <w:color w:val="auto"/>
                <w:kern w:val="0"/>
                <w:sz w:val="13"/>
                <w:szCs w:val="13"/>
                <w:highlight w:val="none"/>
              </w:rPr>
              <w:t>2年内2次及以上同类型违法</w:t>
            </w:r>
            <w:r>
              <w:rPr>
                <w:rFonts w:hint="eastAsia" w:ascii="仿宋_GB2312" w:hAnsi="宋体" w:eastAsia="仿宋_GB2312" w:cs="Times New Roman"/>
                <w:color w:val="auto"/>
                <w:kern w:val="0"/>
                <w:sz w:val="13"/>
                <w:szCs w:val="13"/>
                <w:highlight w:val="none"/>
                <w:lang w:eastAsia="zh-CN"/>
              </w:rPr>
              <w:t>，</w:t>
            </w:r>
            <w:r>
              <w:rPr>
                <w:rFonts w:hint="eastAsia" w:ascii="仿宋_GB2312" w:hAnsi="宋体" w:eastAsia="仿宋_GB2312" w:cs="Times New Roman"/>
                <w:color w:val="auto"/>
                <w:kern w:val="0"/>
                <w:sz w:val="13"/>
                <w:szCs w:val="13"/>
                <w:highlight w:val="none"/>
                <w:lang w:val="en-US" w:eastAsia="zh-CN"/>
              </w:rPr>
              <w:t>或</w:t>
            </w:r>
            <w:r>
              <w:rPr>
                <w:rFonts w:hint="eastAsia" w:ascii="仿宋_GB2312" w:hAnsi="宋体" w:eastAsia="仿宋_GB2312" w:cs="Times New Roman"/>
                <w:color w:val="auto"/>
                <w:kern w:val="0"/>
                <w:sz w:val="13"/>
                <w:szCs w:val="13"/>
                <w:highlight w:val="none"/>
              </w:rPr>
              <w:t>引发网络舆情事件、群体性事件等影响社会稳定的。</w:t>
            </w:r>
          </w:p>
        </w:tc>
        <w:tc>
          <w:tcPr>
            <w:tcW w:w="3058" w:type="dxa"/>
            <w:tcBorders>
              <w:tl2br w:val="nil"/>
              <w:tr2bl w:val="nil"/>
            </w:tcBorders>
            <w:tcMar>
              <w:top w:w="15" w:type="dxa"/>
              <w:left w:w="15" w:type="dxa"/>
              <w:bottom w:w="15" w:type="dxa"/>
              <w:right w:w="15" w:type="dxa"/>
            </w:tcMar>
            <w:vAlign w:val="center"/>
          </w:tcPr>
          <w:p w14:paraId="18D9FA8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jc w:val="left"/>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责令限期改正，并处2.5万元以上3万元以下的罚款。</w:t>
            </w:r>
          </w:p>
        </w:tc>
      </w:tr>
      <w:tr w14:paraId="7591075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47" w:hRule="atLeast"/>
          <w:jc w:val="center"/>
        </w:trPr>
        <w:tc>
          <w:tcPr>
            <w:tcW w:w="443" w:type="dxa"/>
            <w:gridSpan w:val="2"/>
            <w:vMerge w:val="restart"/>
            <w:tcBorders>
              <w:tl2br w:val="nil"/>
              <w:tr2bl w:val="nil"/>
            </w:tcBorders>
            <w:vAlign w:val="center"/>
          </w:tcPr>
          <w:p w14:paraId="1F031B70">
            <w:pPr>
              <w:keepNext w:val="0"/>
              <w:keepLines w:val="0"/>
              <w:pageBreakBefore w:val="0"/>
              <w:widowControl/>
              <w:numPr>
                <w:ilvl w:val="0"/>
                <w:numId w:val="6"/>
              </w:numPr>
              <w:suppressLineNumbers w:val="0"/>
              <w:tabs>
                <w:tab w:val="clear" w:pos="397"/>
              </w:tabs>
              <w:kinsoku/>
              <w:overflowPunct/>
              <w:topLinePunct w:val="0"/>
              <w:autoSpaceDE/>
              <w:autoSpaceDN/>
              <w:bidi w:val="0"/>
              <w:adjustRightInd/>
              <w:snapToGrid/>
              <w:spacing w:beforeAutospacing="0" w:afterAutospacing="0" w:line="260" w:lineRule="exact"/>
              <w:ind w:left="638" w:leftChars="88" w:right="0" w:rightChars="0" w:hanging="453" w:hangingChars="349"/>
              <w:jc w:val="center"/>
              <w:textAlignment w:val="center"/>
              <w:rPr>
                <w:rFonts w:hint="default" w:ascii="仿宋_GB2312" w:hAnsi="宋体" w:eastAsia="仿宋_GB2312"/>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283</w:t>
            </w:r>
          </w:p>
        </w:tc>
        <w:tc>
          <w:tcPr>
            <w:tcW w:w="1550" w:type="dxa"/>
            <w:vMerge w:val="restart"/>
            <w:tcBorders>
              <w:tl2br w:val="nil"/>
              <w:tr2bl w:val="nil"/>
            </w:tcBorders>
            <w:vAlign w:val="center"/>
          </w:tcPr>
          <w:p w14:paraId="31D00FB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房地产价格评估机构或者房地产估价师出具虚假或者有重大差错的评估报告的</w:t>
            </w:r>
          </w:p>
        </w:tc>
        <w:tc>
          <w:tcPr>
            <w:tcW w:w="4820" w:type="dxa"/>
            <w:vMerge w:val="restart"/>
            <w:tcBorders>
              <w:tl2br w:val="nil"/>
              <w:tr2bl w:val="nil"/>
            </w:tcBorders>
            <w:vAlign w:val="center"/>
          </w:tcPr>
          <w:p w14:paraId="4F9A654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《国有土地上房屋征收与补偿条例》</w:t>
            </w:r>
            <w:r>
              <w:rPr>
                <w:rFonts w:hint="eastAsia" w:ascii="仿宋_GB2312" w:hAnsi="宋体" w:eastAsia="仿宋_GB2312" w:cs="Times New Roman"/>
                <w:b/>
                <w:bCs/>
                <w:color w:val="auto"/>
                <w:kern w:val="0"/>
                <w:sz w:val="13"/>
                <w:szCs w:val="13"/>
                <w:highlight w:val="none"/>
              </w:rPr>
              <w:t>第三十四条：</w:t>
            </w:r>
            <w:r>
              <w:rPr>
                <w:rFonts w:hint="eastAsia" w:ascii="仿宋_GB2312" w:hAnsi="宋体" w:eastAsia="仿宋_GB2312" w:cs="Times New Roman"/>
                <w:color w:val="auto"/>
                <w:kern w:val="0"/>
                <w:sz w:val="13"/>
                <w:szCs w:val="13"/>
                <w:highlight w:val="none"/>
              </w:rPr>
              <w:t>房地产价格评估机构或者房地产估价师出具虚假或者有重大差错的评估报告的，由发证机关责令限期改正，给予警告，对房地产价格评估机构并处5万元以上20万元以下罚款，对房地产估价师并处1万元以上3万元以下罚款，并记入信用档案；情节严重的，吊销资质证书、注册证书；造成损失的，依法承担赔偿责任；构成犯罪的，依法追究刑事责任。</w:t>
            </w:r>
          </w:p>
          <w:p w14:paraId="74BAA2E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2CF6AAC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Times New Roman"/>
                <w:color w:val="auto"/>
                <w:kern w:val="0"/>
                <w:sz w:val="13"/>
                <w:szCs w:val="13"/>
                <w:highlight w:val="none"/>
                <w:lang w:eastAsia="zh-CN"/>
              </w:rPr>
            </w:pPr>
            <w:r>
              <w:rPr>
                <w:rFonts w:hint="eastAsia" w:ascii="仿宋_GB2312" w:hAnsi="宋体" w:eastAsia="仿宋_GB2312" w:cs="Times New Roman"/>
                <w:color w:val="auto"/>
                <w:kern w:val="0"/>
                <w:sz w:val="13"/>
                <w:szCs w:val="13"/>
                <w:highlight w:val="none"/>
                <w:lang w:eastAsia="zh-CN"/>
              </w:rPr>
              <w:t>从轻情节</w:t>
            </w:r>
          </w:p>
        </w:tc>
        <w:tc>
          <w:tcPr>
            <w:tcW w:w="3437" w:type="dxa"/>
            <w:gridSpan w:val="2"/>
            <w:tcBorders>
              <w:tl2br w:val="nil"/>
              <w:tr2bl w:val="nil"/>
            </w:tcBorders>
            <w:tcMar>
              <w:top w:w="15" w:type="dxa"/>
              <w:left w:w="15" w:type="dxa"/>
              <w:bottom w:w="15" w:type="dxa"/>
              <w:right w:w="15" w:type="dxa"/>
            </w:tcMar>
            <w:vAlign w:val="center"/>
          </w:tcPr>
          <w:p w14:paraId="6615049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初次违法，危害后果轻微，主动采取措施消除或减轻违法行为危害后果。</w:t>
            </w:r>
          </w:p>
        </w:tc>
        <w:tc>
          <w:tcPr>
            <w:tcW w:w="3058" w:type="dxa"/>
            <w:tcBorders>
              <w:tl2br w:val="nil"/>
              <w:tr2bl w:val="nil"/>
            </w:tcBorders>
            <w:tcMar>
              <w:top w:w="15" w:type="dxa"/>
              <w:left w:w="15" w:type="dxa"/>
              <w:bottom w:w="15" w:type="dxa"/>
              <w:right w:w="15" w:type="dxa"/>
            </w:tcMar>
            <w:vAlign w:val="center"/>
          </w:tcPr>
          <w:p w14:paraId="70BDB40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责令限期改正，给予警告，对房地产价格评估机构并处5万元以上10万元以下罚款，对房地产估价师并处1万元以上1.5万元以下罚款，并记入信用档案。</w:t>
            </w:r>
          </w:p>
        </w:tc>
      </w:tr>
      <w:tr w14:paraId="2AE087A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508" w:hRule="atLeast"/>
          <w:jc w:val="center"/>
        </w:trPr>
        <w:tc>
          <w:tcPr>
            <w:tcW w:w="443" w:type="dxa"/>
            <w:gridSpan w:val="2"/>
            <w:vMerge w:val="continue"/>
            <w:tcBorders>
              <w:tl2br w:val="nil"/>
              <w:tr2bl w:val="nil"/>
            </w:tcBorders>
            <w:vAlign w:val="center"/>
          </w:tcPr>
          <w:p w14:paraId="216571A4">
            <w:pPr>
              <w:keepNext w:val="0"/>
              <w:keepLines w:val="0"/>
              <w:pageBreakBefore w:val="0"/>
              <w:widowControl/>
              <w:kinsoku/>
              <w:overflowPunct/>
              <w:topLinePunct w:val="0"/>
              <w:autoSpaceDE/>
              <w:autoSpaceDN/>
              <w:bidi w:val="0"/>
              <w:adjustRightInd/>
              <w:snapToGrid/>
              <w:spacing w:beforeAutospacing="0" w:afterAutospacing="0" w:line="260" w:lineRule="exact"/>
              <w:ind w:left="638" w:leftChars="88" w:right="0" w:rightChars="0" w:hanging="453" w:hangingChars="349"/>
              <w:jc w:val="center"/>
              <w:rPr>
                <w:rFonts w:ascii="仿宋_GB2312" w:hAnsi="宋体" w:eastAsia="仿宋_GB2312"/>
                <w:color w:val="auto"/>
                <w:sz w:val="13"/>
                <w:szCs w:val="13"/>
                <w:highlight w:val="none"/>
              </w:rPr>
            </w:pPr>
          </w:p>
        </w:tc>
        <w:tc>
          <w:tcPr>
            <w:tcW w:w="1550" w:type="dxa"/>
            <w:vMerge w:val="continue"/>
            <w:tcBorders>
              <w:tl2br w:val="nil"/>
              <w:tr2bl w:val="nil"/>
            </w:tcBorders>
            <w:vAlign w:val="center"/>
          </w:tcPr>
          <w:p w14:paraId="3C61E38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5E7ED37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34D5416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Times New Roman"/>
                <w:color w:val="auto"/>
                <w:kern w:val="0"/>
                <w:sz w:val="13"/>
                <w:szCs w:val="13"/>
                <w:highlight w:val="none"/>
                <w:lang w:eastAsia="zh-CN"/>
              </w:rPr>
            </w:pPr>
            <w:r>
              <w:rPr>
                <w:rFonts w:hint="eastAsia" w:ascii="仿宋_GB2312" w:hAnsi="宋体" w:eastAsia="仿宋_GB2312" w:cs="Times New Roman"/>
                <w:color w:val="auto"/>
                <w:kern w:val="0"/>
                <w:sz w:val="13"/>
                <w:szCs w:val="13"/>
                <w:highlight w:val="none"/>
                <w:lang w:eastAsia="zh-CN"/>
              </w:rPr>
              <w:t>一般情节</w:t>
            </w:r>
          </w:p>
        </w:tc>
        <w:tc>
          <w:tcPr>
            <w:tcW w:w="3437" w:type="dxa"/>
            <w:gridSpan w:val="2"/>
            <w:tcBorders>
              <w:tl2br w:val="nil"/>
              <w:tr2bl w:val="nil"/>
            </w:tcBorders>
            <w:tcMar>
              <w:top w:w="15" w:type="dxa"/>
              <w:left w:w="15" w:type="dxa"/>
              <w:bottom w:w="15" w:type="dxa"/>
              <w:right w:w="15" w:type="dxa"/>
            </w:tcMar>
            <w:vAlign w:val="center"/>
          </w:tcPr>
          <w:p w14:paraId="3B049ED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实施违法行为，造成不良社会影响，不具有从轻、</w:t>
            </w:r>
            <w:r>
              <w:rPr>
                <w:rFonts w:hint="eastAsia" w:ascii="仿宋_GB2312" w:hAnsi="宋体" w:eastAsia="仿宋_GB2312" w:cs="Times New Roman"/>
                <w:color w:val="auto"/>
                <w:kern w:val="0"/>
                <w:sz w:val="13"/>
                <w:szCs w:val="13"/>
                <w:highlight w:val="none"/>
                <w:lang w:eastAsia="zh-CN"/>
              </w:rPr>
              <w:t>从重情节</w:t>
            </w:r>
            <w:r>
              <w:rPr>
                <w:rFonts w:hint="eastAsia" w:ascii="仿宋_GB2312" w:hAnsi="宋体" w:eastAsia="仿宋_GB2312" w:cs="Times New Roman"/>
                <w:color w:val="auto"/>
                <w:kern w:val="0"/>
                <w:sz w:val="13"/>
                <w:szCs w:val="13"/>
                <w:highlight w:val="none"/>
              </w:rPr>
              <w:t>的。</w:t>
            </w:r>
          </w:p>
        </w:tc>
        <w:tc>
          <w:tcPr>
            <w:tcW w:w="3058" w:type="dxa"/>
            <w:tcBorders>
              <w:tl2br w:val="nil"/>
              <w:tr2bl w:val="nil"/>
            </w:tcBorders>
            <w:tcMar>
              <w:top w:w="15" w:type="dxa"/>
              <w:left w:w="15" w:type="dxa"/>
              <w:bottom w:w="15" w:type="dxa"/>
              <w:right w:w="15" w:type="dxa"/>
            </w:tcMar>
            <w:vAlign w:val="center"/>
          </w:tcPr>
          <w:p w14:paraId="2BDE50B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责令限期改正，给予警告，对房地产价格评估机构并处10万元以上15万元以下罚款，对房地产估价师并处1.5万元以上2万元以下罚款，并记入信用档案。</w:t>
            </w:r>
          </w:p>
        </w:tc>
      </w:tr>
      <w:tr w14:paraId="14288D2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25" w:hRule="atLeast"/>
          <w:jc w:val="center"/>
        </w:trPr>
        <w:tc>
          <w:tcPr>
            <w:tcW w:w="443" w:type="dxa"/>
            <w:gridSpan w:val="2"/>
            <w:vMerge w:val="continue"/>
            <w:tcBorders>
              <w:tl2br w:val="nil"/>
              <w:tr2bl w:val="nil"/>
            </w:tcBorders>
            <w:vAlign w:val="center"/>
          </w:tcPr>
          <w:p w14:paraId="117B32A1">
            <w:pPr>
              <w:keepNext w:val="0"/>
              <w:keepLines w:val="0"/>
              <w:pageBreakBefore w:val="0"/>
              <w:widowControl/>
              <w:kinsoku/>
              <w:overflowPunct/>
              <w:topLinePunct w:val="0"/>
              <w:autoSpaceDE/>
              <w:autoSpaceDN/>
              <w:bidi w:val="0"/>
              <w:adjustRightInd/>
              <w:snapToGrid/>
              <w:spacing w:beforeAutospacing="0" w:afterAutospacing="0" w:line="260" w:lineRule="exact"/>
              <w:ind w:left="638" w:leftChars="88" w:right="0" w:rightChars="0" w:hanging="453" w:hangingChars="349"/>
              <w:jc w:val="center"/>
              <w:rPr>
                <w:rFonts w:ascii="仿宋_GB2312" w:hAnsi="宋体" w:eastAsia="仿宋_GB2312"/>
                <w:color w:val="auto"/>
                <w:sz w:val="13"/>
                <w:szCs w:val="13"/>
                <w:highlight w:val="none"/>
              </w:rPr>
            </w:pPr>
          </w:p>
        </w:tc>
        <w:tc>
          <w:tcPr>
            <w:tcW w:w="1550" w:type="dxa"/>
            <w:vMerge w:val="continue"/>
            <w:tcBorders>
              <w:tl2br w:val="nil"/>
              <w:tr2bl w:val="nil"/>
            </w:tcBorders>
            <w:vAlign w:val="center"/>
          </w:tcPr>
          <w:p w14:paraId="481173A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2AC5AE7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15D5EDF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Times New Roman"/>
                <w:color w:val="auto"/>
                <w:kern w:val="0"/>
                <w:sz w:val="13"/>
                <w:szCs w:val="13"/>
                <w:highlight w:val="none"/>
                <w:lang w:eastAsia="zh-CN"/>
              </w:rPr>
            </w:pPr>
            <w:r>
              <w:rPr>
                <w:rFonts w:hint="eastAsia" w:ascii="仿宋_GB2312" w:hAnsi="宋体" w:eastAsia="仿宋_GB2312" w:cs="Times New Roman"/>
                <w:color w:val="auto"/>
                <w:kern w:val="0"/>
                <w:sz w:val="13"/>
                <w:szCs w:val="13"/>
                <w:highlight w:val="none"/>
                <w:lang w:eastAsia="zh-CN"/>
              </w:rPr>
              <w:t>从重情节</w:t>
            </w:r>
          </w:p>
        </w:tc>
        <w:tc>
          <w:tcPr>
            <w:tcW w:w="3437" w:type="dxa"/>
            <w:gridSpan w:val="2"/>
            <w:tcBorders>
              <w:tl2br w:val="nil"/>
              <w:tr2bl w:val="nil"/>
            </w:tcBorders>
            <w:tcMar>
              <w:top w:w="15" w:type="dxa"/>
              <w:left w:w="15" w:type="dxa"/>
              <w:bottom w:w="15" w:type="dxa"/>
              <w:right w:w="15" w:type="dxa"/>
            </w:tcMar>
            <w:vAlign w:val="center"/>
          </w:tcPr>
          <w:p w14:paraId="19C4FA3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经责令停止违法行为后，继续实施违法行为的</w:t>
            </w:r>
            <w:r>
              <w:rPr>
                <w:rFonts w:hint="eastAsia" w:ascii="仿宋_GB2312" w:hAnsi="宋体" w:eastAsia="仿宋_GB2312" w:cs="Times New Roman"/>
                <w:color w:val="auto"/>
                <w:kern w:val="0"/>
                <w:sz w:val="13"/>
                <w:szCs w:val="13"/>
                <w:highlight w:val="none"/>
                <w:lang w:eastAsia="zh-CN"/>
              </w:rPr>
              <w:t>，</w:t>
            </w:r>
            <w:r>
              <w:rPr>
                <w:rFonts w:hint="eastAsia" w:ascii="仿宋_GB2312" w:hAnsi="宋体" w:eastAsia="仿宋_GB2312" w:cs="Times New Roman"/>
                <w:color w:val="auto"/>
                <w:kern w:val="0"/>
                <w:sz w:val="13"/>
                <w:szCs w:val="13"/>
                <w:highlight w:val="none"/>
                <w:lang w:val="en-US" w:eastAsia="zh-CN"/>
              </w:rPr>
              <w:t>或</w:t>
            </w:r>
            <w:r>
              <w:rPr>
                <w:rFonts w:hint="eastAsia" w:ascii="仿宋_GB2312" w:hAnsi="宋体" w:eastAsia="仿宋_GB2312" w:cs="Times New Roman"/>
                <w:color w:val="auto"/>
                <w:kern w:val="0"/>
                <w:sz w:val="13"/>
                <w:szCs w:val="13"/>
                <w:highlight w:val="none"/>
              </w:rPr>
              <w:t>2年内2次及以上同类型违法。</w:t>
            </w:r>
          </w:p>
        </w:tc>
        <w:tc>
          <w:tcPr>
            <w:tcW w:w="3058" w:type="dxa"/>
            <w:tcBorders>
              <w:tl2br w:val="nil"/>
              <w:tr2bl w:val="nil"/>
            </w:tcBorders>
            <w:tcMar>
              <w:top w:w="15" w:type="dxa"/>
              <w:left w:w="15" w:type="dxa"/>
              <w:bottom w:w="15" w:type="dxa"/>
              <w:right w:w="15" w:type="dxa"/>
            </w:tcMar>
            <w:vAlign w:val="center"/>
          </w:tcPr>
          <w:p w14:paraId="07D875C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责令限期改，给予警告，对房地产价格评估机构并处15万元以上20万元以下罚款，对房地产估价师并处2万元以上3万元以下罚款，并记入信用档案，情节严重的吊销房地产价格评估机构资质证书，吊销房地产估价师注册证书。</w:t>
            </w:r>
          </w:p>
        </w:tc>
      </w:tr>
      <w:tr w14:paraId="41F8EE4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29" w:hRule="atLeast"/>
          <w:jc w:val="center"/>
        </w:trPr>
        <w:tc>
          <w:tcPr>
            <w:tcW w:w="443" w:type="dxa"/>
            <w:gridSpan w:val="2"/>
            <w:vMerge w:val="restart"/>
            <w:tcBorders>
              <w:tl2br w:val="nil"/>
              <w:tr2bl w:val="nil"/>
            </w:tcBorders>
            <w:vAlign w:val="center"/>
          </w:tcPr>
          <w:p w14:paraId="46B89F42">
            <w:pPr>
              <w:keepNext w:val="0"/>
              <w:keepLines w:val="0"/>
              <w:pageBreakBefore w:val="0"/>
              <w:widowControl/>
              <w:numPr>
                <w:ilvl w:val="0"/>
                <w:numId w:val="6"/>
              </w:numPr>
              <w:suppressLineNumbers w:val="0"/>
              <w:tabs>
                <w:tab w:val="clear" w:pos="397"/>
              </w:tabs>
              <w:kinsoku/>
              <w:overflowPunct/>
              <w:topLinePunct w:val="0"/>
              <w:autoSpaceDE/>
              <w:autoSpaceDN/>
              <w:bidi w:val="0"/>
              <w:adjustRightInd/>
              <w:snapToGrid/>
              <w:spacing w:beforeAutospacing="0" w:afterAutospacing="0" w:line="260" w:lineRule="exact"/>
              <w:ind w:left="638" w:leftChars="88" w:right="0" w:rightChars="0" w:hanging="453" w:hangingChars="349"/>
              <w:jc w:val="center"/>
              <w:textAlignment w:val="center"/>
              <w:rPr>
                <w:rFonts w:hint="default" w:ascii="仿宋_GB2312" w:hAnsi="宋体" w:eastAsia="仿宋_GB2312"/>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284</w:t>
            </w:r>
          </w:p>
        </w:tc>
        <w:tc>
          <w:tcPr>
            <w:tcW w:w="1550" w:type="dxa"/>
            <w:vMerge w:val="restart"/>
            <w:tcBorders>
              <w:tl2br w:val="nil"/>
              <w:tr2bl w:val="nil"/>
            </w:tcBorders>
            <w:vAlign w:val="center"/>
          </w:tcPr>
          <w:p w14:paraId="3F4C106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公共租赁住房的所有权人及其委托的运营单位向不符合条件的对象出租公共租赁住房的</w:t>
            </w:r>
          </w:p>
        </w:tc>
        <w:tc>
          <w:tcPr>
            <w:tcW w:w="4820" w:type="dxa"/>
            <w:vMerge w:val="restart"/>
            <w:tcBorders>
              <w:tl2br w:val="nil"/>
              <w:tr2bl w:val="nil"/>
            </w:tcBorders>
            <w:vAlign w:val="center"/>
          </w:tcPr>
          <w:p w14:paraId="330AA0F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《公共租赁住房管理办法》</w:t>
            </w:r>
            <w:r>
              <w:rPr>
                <w:rFonts w:hint="eastAsia" w:ascii="仿宋_GB2312" w:hAnsi="宋体" w:eastAsia="仿宋_GB2312"/>
                <w:b/>
                <w:bCs/>
                <w:color w:val="auto"/>
                <w:kern w:val="0"/>
                <w:sz w:val="13"/>
                <w:szCs w:val="13"/>
                <w:highlight w:val="none"/>
              </w:rPr>
              <w:t>第三十四条第一款</w:t>
            </w:r>
            <w:r>
              <w:rPr>
                <w:rFonts w:hint="eastAsia" w:ascii="仿宋_GB2312" w:hAnsi="宋体" w:eastAsia="仿宋_GB2312"/>
                <w:b/>
                <w:bCs/>
                <w:color w:val="auto"/>
                <w:kern w:val="0"/>
                <w:sz w:val="13"/>
                <w:szCs w:val="13"/>
                <w:highlight w:val="none"/>
                <w:lang w:eastAsia="zh-CN"/>
              </w:rPr>
              <w:t>（一）</w:t>
            </w:r>
            <w:r>
              <w:rPr>
                <w:rFonts w:hint="eastAsia" w:ascii="仿宋_GB2312" w:hAnsi="宋体" w:eastAsia="仿宋_GB2312"/>
                <w:b/>
                <w:bCs/>
                <w:color w:val="auto"/>
                <w:kern w:val="0"/>
                <w:sz w:val="13"/>
                <w:szCs w:val="13"/>
                <w:highlight w:val="none"/>
              </w:rPr>
              <w:t>项：</w:t>
            </w:r>
            <w:r>
              <w:rPr>
                <w:rFonts w:hint="eastAsia" w:ascii="仿宋_GB2312" w:hAnsi="宋体" w:eastAsia="仿宋_GB2312"/>
                <w:color w:val="auto"/>
                <w:kern w:val="0"/>
                <w:sz w:val="13"/>
                <w:szCs w:val="13"/>
                <w:highlight w:val="none"/>
              </w:rPr>
              <w:t>公共租赁住房的所有权人及其委托的运营单位违反本办法，有下列行为之一的，由市、县级人民政府住房保障主管部门责令限期改正，并处以3万元以下罚款：</w:t>
            </w:r>
          </w:p>
          <w:p w14:paraId="1FCA7BDA">
            <w:pPr>
              <w:keepNext w:val="0"/>
              <w:keepLines w:val="0"/>
              <w:pageBreakBefore w:val="0"/>
              <w:widowControl/>
              <w:numPr>
                <w:ilvl w:val="0"/>
                <w:numId w:val="0"/>
              </w:numPr>
              <w:kinsoku/>
              <w:overflowPunct/>
              <w:topLinePunct w:val="0"/>
              <w:autoSpaceDE/>
              <w:autoSpaceDN/>
              <w:bidi w:val="0"/>
              <w:adjustRightInd/>
              <w:snapToGrid/>
              <w:spacing w:beforeAutospacing="0" w:afterAutospacing="0" w:line="260" w:lineRule="exact"/>
              <w:ind w:left="0" w:leftChars="0" w:right="0" w:rightChars="0" w:firstLine="260" w:firstLineChars="200"/>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lang w:eastAsia="zh-CN"/>
              </w:rPr>
              <w:t>（一）</w:t>
            </w:r>
            <w:r>
              <w:rPr>
                <w:rFonts w:hint="eastAsia" w:ascii="仿宋_GB2312" w:hAnsi="宋体" w:eastAsia="仿宋_GB2312"/>
                <w:color w:val="auto"/>
                <w:kern w:val="0"/>
                <w:sz w:val="13"/>
                <w:szCs w:val="13"/>
                <w:highlight w:val="none"/>
              </w:rPr>
              <w:t>向不符合条件的对象出租公共租赁住房的；</w:t>
            </w:r>
          </w:p>
          <w:p w14:paraId="4AC5F8F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《公共租赁住房管理办法》</w:t>
            </w:r>
            <w:r>
              <w:rPr>
                <w:rFonts w:hint="eastAsia" w:ascii="仿宋_GB2312" w:hAnsi="宋体" w:eastAsia="仿宋_GB2312"/>
                <w:b/>
                <w:bCs/>
                <w:color w:val="auto"/>
                <w:kern w:val="0"/>
                <w:sz w:val="13"/>
                <w:szCs w:val="13"/>
                <w:highlight w:val="none"/>
              </w:rPr>
              <w:t>第七条</w:t>
            </w:r>
            <w:r>
              <w:rPr>
                <w:rFonts w:hint="eastAsia" w:ascii="仿宋_GB2312" w:hAnsi="宋体" w:eastAsia="仿宋_GB2312"/>
                <w:b/>
                <w:bCs/>
                <w:color w:val="auto"/>
                <w:kern w:val="0"/>
                <w:sz w:val="13"/>
                <w:szCs w:val="13"/>
                <w:highlight w:val="none"/>
                <w:lang w:eastAsia="zh-CN"/>
              </w:rPr>
              <w:t>：</w:t>
            </w:r>
            <w:r>
              <w:rPr>
                <w:rFonts w:ascii="仿宋_GB2312" w:hAnsi="宋体" w:eastAsia="仿宋_GB2312"/>
                <w:color w:val="auto"/>
                <w:kern w:val="0"/>
                <w:sz w:val="13"/>
                <w:szCs w:val="13"/>
                <w:highlight w:val="none"/>
              </w:rPr>
              <w:t>申请公共租赁住房，应当符合以下条件：</w:t>
            </w:r>
          </w:p>
          <w:p w14:paraId="7D390F8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0" w:firstLineChars="200"/>
              <w:textAlignment w:val="center"/>
              <w:rPr>
                <w:rFonts w:ascii="仿宋_GB2312" w:hAnsi="宋体" w:eastAsia="仿宋_GB2312"/>
                <w:color w:val="auto"/>
                <w:kern w:val="0"/>
                <w:sz w:val="13"/>
                <w:szCs w:val="13"/>
                <w:highlight w:val="none"/>
              </w:rPr>
            </w:pPr>
            <w:r>
              <w:rPr>
                <w:rFonts w:ascii="仿宋_GB2312" w:hAnsi="宋体" w:eastAsia="仿宋_GB2312"/>
                <w:color w:val="auto"/>
                <w:kern w:val="0"/>
                <w:sz w:val="13"/>
                <w:szCs w:val="13"/>
                <w:highlight w:val="none"/>
              </w:rPr>
              <w:t>（一）在本地无住房或者住房面积低于规定标准；</w:t>
            </w:r>
          </w:p>
          <w:p w14:paraId="6397E29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0" w:firstLineChars="200"/>
              <w:textAlignment w:val="center"/>
              <w:rPr>
                <w:rFonts w:ascii="仿宋_GB2312" w:hAnsi="宋体" w:eastAsia="仿宋_GB2312"/>
                <w:color w:val="auto"/>
                <w:kern w:val="0"/>
                <w:sz w:val="13"/>
                <w:szCs w:val="13"/>
                <w:highlight w:val="none"/>
              </w:rPr>
            </w:pPr>
            <w:r>
              <w:rPr>
                <w:rFonts w:ascii="仿宋_GB2312" w:hAnsi="宋体" w:eastAsia="仿宋_GB2312"/>
                <w:color w:val="auto"/>
                <w:kern w:val="0"/>
                <w:sz w:val="13"/>
                <w:szCs w:val="13"/>
                <w:highlight w:val="none"/>
              </w:rPr>
              <w:t>（二）收入、财产低于规定标准；</w:t>
            </w:r>
          </w:p>
          <w:p w14:paraId="36EBA63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0" w:firstLineChars="200"/>
              <w:textAlignment w:val="center"/>
              <w:rPr>
                <w:rFonts w:ascii="仿宋_GB2312" w:hAnsi="宋体" w:eastAsia="仿宋_GB2312"/>
                <w:color w:val="auto"/>
                <w:kern w:val="0"/>
                <w:sz w:val="13"/>
                <w:szCs w:val="13"/>
                <w:highlight w:val="none"/>
              </w:rPr>
            </w:pPr>
            <w:r>
              <w:rPr>
                <w:rFonts w:ascii="仿宋_GB2312" w:hAnsi="宋体" w:eastAsia="仿宋_GB2312"/>
                <w:color w:val="auto"/>
                <w:kern w:val="0"/>
                <w:sz w:val="13"/>
                <w:szCs w:val="13"/>
                <w:highlight w:val="none"/>
              </w:rPr>
              <w:t>（三）申请人为外来务工人员的，在本地稳定就业达到规定年限。</w:t>
            </w:r>
          </w:p>
          <w:p w14:paraId="379D135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0" w:firstLineChars="200"/>
              <w:textAlignment w:val="center"/>
              <w:rPr>
                <w:rFonts w:ascii="仿宋_GB2312" w:hAnsi="宋体" w:eastAsia="仿宋_GB2312"/>
                <w:color w:val="auto"/>
                <w:kern w:val="0"/>
                <w:sz w:val="13"/>
                <w:szCs w:val="13"/>
                <w:highlight w:val="none"/>
              </w:rPr>
            </w:pPr>
            <w:r>
              <w:rPr>
                <w:rFonts w:ascii="仿宋_GB2312" w:hAnsi="宋体" w:eastAsia="仿宋_GB2312"/>
                <w:color w:val="auto"/>
                <w:kern w:val="0"/>
                <w:sz w:val="13"/>
                <w:szCs w:val="13"/>
                <w:highlight w:val="none"/>
              </w:rPr>
              <w:t>具体条件由直辖市和市、县级人民政府住房保障主管部门根据本地区实际情况确定，报本级人民政府批准后实施并向社会公布。</w:t>
            </w:r>
          </w:p>
        </w:tc>
        <w:tc>
          <w:tcPr>
            <w:tcW w:w="823" w:type="dxa"/>
            <w:tcBorders>
              <w:tl2br w:val="nil"/>
              <w:tr2bl w:val="nil"/>
            </w:tcBorders>
            <w:tcMar>
              <w:top w:w="15" w:type="dxa"/>
              <w:left w:w="15" w:type="dxa"/>
              <w:bottom w:w="15" w:type="dxa"/>
              <w:right w:w="15" w:type="dxa"/>
            </w:tcMar>
            <w:vAlign w:val="center"/>
          </w:tcPr>
          <w:p w14:paraId="2B1BB24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tcMar>
              <w:top w:w="15" w:type="dxa"/>
              <w:left w:w="15" w:type="dxa"/>
              <w:bottom w:w="15" w:type="dxa"/>
              <w:right w:w="15" w:type="dxa"/>
            </w:tcMar>
            <w:vAlign w:val="center"/>
          </w:tcPr>
          <w:p w14:paraId="1EF9BFF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向1个不符合条件的对象出租公共租赁住房的。</w:t>
            </w:r>
          </w:p>
        </w:tc>
        <w:tc>
          <w:tcPr>
            <w:tcW w:w="3058" w:type="dxa"/>
            <w:tcBorders>
              <w:tl2br w:val="nil"/>
              <w:tr2bl w:val="nil"/>
            </w:tcBorders>
            <w:tcMar>
              <w:top w:w="15" w:type="dxa"/>
              <w:left w:w="15" w:type="dxa"/>
              <w:bottom w:w="15" w:type="dxa"/>
              <w:right w:w="15" w:type="dxa"/>
            </w:tcMar>
            <w:vAlign w:val="center"/>
          </w:tcPr>
          <w:p w14:paraId="19E99E0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责令限期改正，并</w:t>
            </w:r>
            <w:r>
              <w:rPr>
                <w:rFonts w:ascii="仿宋_GB2312" w:hAnsi="宋体" w:eastAsia="仿宋_GB2312"/>
                <w:color w:val="auto"/>
                <w:kern w:val="0"/>
                <w:sz w:val="13"/>
                <w:szCs w:val="13"/>
                <w:highlight w:val="none"/>
              </w:rPr>
              <w:t>处</w:t>
            </w:r>
            <w:r>
              <w:rPr>
                <w:rFonts w:hint="eastAsia" w:ascii="仿宋_GB2312" w:hAnsi="宋体" w:eastAsia="仿宋_GB2312"/>
                <w:color w:val="auto"/>
                <w:kern w:val="0"/>
                <w:sz w:val="13"/>
                <w:szCs w:val="13"/>
                <w:highlight w:val="none"/>
              </w:rPr>
              <w:t>1</w:t>
            </w:r>
            <w:r>
              <w:rPr>
                <w:rFonts w:ascii="仿宋_GB2312" w:hAnsi="宋体" w:eastAsia="仿宋_GB2312"/>
                <w:color w:val="auto"/>
                <w:kern w:val="0"/>
                <w:sz w:val="13"/>
                <w:szCs w:val="13"/>
                <w:highlight w:val="none"/>
              </w:rPr>
              <w:t>万元以下的罚款</w:t>
            </w:r>
            <w:r>
              <w:rPr>
                <w:rFonts w:hint="eastAsia" w:ascii="仿宋_GB2312" w:hAnsi="宋体" w:eastAsia="仿宋_GB2312"/>
                <w:color w:val="auto"/>
                <w:kern w:val="0"/>
                <w:sz w:val="13"/>
                <w:szCs w:val="13"/>
                <w:highlight w:val="none"/>
              </w:rPr>
              <w:t>。</w:t>
            </w:r>
          </w:p>
        </w:tc>
      </w:tr>
      <w:tr w14:paraId="593036F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9" w:hRule="atLeast"/>
          <w:jc w:val="center"/>
        </w:trPr>
        <w:tc>
          <w:tcPr>
            <w:tcW w:w="443" w:type="dxa"/>
            <w:gridSpan w:val="2"/>
            <w:vMerge w:val="continue"/>
            <w:tcBorders>
              <w:tl2br w:val="nil"/>
              <w:tr2bl w:val="nil"/>
            </w:tcBorders>
            <w:vAlign w:val="center"/>
          </w:tcPr>
          <w:p w14:paraId="2D052013">
            <w:pPr>
              <w:pStyle w:val="37"/>
              <w:keepNext w:val="0"/>
              <w:keepLines w:val="0"/>
              <w:pageBreakBefore w:val="0"/>
              <w:widowControl/>
              <w:numPr>
                <w:ilvl w:val="0"/>
                <w:numId w:val="9"/>
              </w:numPr>
              <w:kinsoku/>
              <w:overflowPunct/>
              <w:topLinePunct w:val="0"/>
              <w:autoSpaceDE/>
              <w:autoSpaceDN/>
              <w:bidi w:val="0"/>
              <w:adjustRightInd/>
              <w:snapToGrid/>
              <w:spacing w:beforeAutospacing="0" w:afterAutospacing="0" w:line="260" w:lineRule="exact"/>
              <w:ind w:left="638" w:leftChars="88" w:right="0" w:rightChars="0" w:hanging="453" w:hangingChars="349"/>
              <w:jc w:val="center"/>
              <w:rPr>
                <w:rFonts w:ascii="仿宋_GB2312" w:hAnsi="宋体" w:eastAsia="仿宋_GB2312"/>
                <w:color w:val="auto"/>
                <w:sz w:val="13"/>
                <w:szCs w:val="13"/>
                <w:highlight w:val="none"/>
              </w:rPr>
            </w:pPr>
          </w:p>
        </w:tc>
        <w:tc>
          <w:tcPr>
            <w:tcW w:w="1550" w:type="dxa"/>
            <w:vMerge w:val="continue"/>
            <w:tcBorders>
              <w:tl2br w:val="nil"/>
              <w:tr2bl w:val="nil"/>
            </w:tcBorders>
            <w:vAlign w:val="center"/>
          </w:tcPr>
          <w:p w14:paraId="3BB61EF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1C8FF80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olor w:val="auto"/>
                <w:kern w:val="0"/>
                <w:sz w:val="13"/>
                <w:szCs w:val="13"/>
                <w:highlight w:val="none"/>
              </w:rPr>
            </w:pPr>
          </w:p>
        </w:tc>
        <w:tc>
          <w:tcPr>
            <w:tcW w:w="823" w:type="dxa"/>
            <w:tcBorders>
              <w:tl2br w:val="nil"/>
              <w:tr2bl w:val="nil"/>
            </w:tcBorders>
            <w:tcMar>
              <w:top w:w="15" w:type="dxa"/>
              <w:left w:w="15" w:type="dxa"/>
              <w:bottom w:w="15" w:type="dxa"/>
              <w:right w:w="15" w:type="dxa"/>
            </w:tcMar>
            <w:vAlign w:val="center"/>
          </w:tcPr>
          <w:p w14:paraId="7B5E6AD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一般情节</w:t>
            </w:r>
          </w:p>
        </w:tc>
        <w:tc>
          <w:tcPr>
            <w:tcW w:w="3437" w:type="dxa"/>
            <w:gridSpan w:val="2"/>
            <w:tcBorders>
              <w:tl2br w:val="nil"/>
              <w:tr2bl w:val="nil"/>
            </w:tcBorders>
            <w:tcMar>
              <w:top w:w="15" w:type="dxa"/>
              <w:left w:w="15" w:type="dxa"/>
              <w:bottom w:w="15" w:type="dxa"/>
              <w:right w:w="15" w:type="dxa"/>
            </w:tcMar>
            <w:vAlign w:val="center"/>
          </w:tcPr>
          <w:p w14:paraId="42838FA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向2个不符合条件的对象出租公共租赁住房的。</w:t>
            </w:r>
          </w:p>
        </w:tc>
        <w:tc>
          <w:tcPr>
            <w:tcW w:w="3058" w:type="dxa"/>
            <w:tcBorders>
              <w:tl2br w:val="nil"/>
              <w:tr2bl w:val="nil"/>
            </w:tcBorders>
            <w:tcMar>
              <w:top w:w="15" w:type="dxa"/>
              <w:left w:w="15" w:type="dxa"/>
              <w:bottom w:w="15" w:type="dxa"/>
              <w:right w:w="15" w:type="dxa"/>
            </w:tcMar>
            <w:vAlign w:val="center"/>
          </w:tcPr>
          <w:p w14:paraId="6D03132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责令限期改正，并</w:t>
            </w:r>
            <w:r>
              <w:rPr>
                <w:rFonts w:ascii="仿宋_GB2312" w:hAnsi="宋体" w:eastAsia="仿宋_GB2312"/>
                <w:color w:val="auto"/>
                <w:kern w:val="0"/>
                <w:sz w:val="13"/>
                <w:szCs w:val="13"/>
                <w:highlight w:val="none"/>
              </w:rPr>
              <w:t>处</w:t>
            </w:r>
            <w:r>
              <w:rPr>
                <w:rFonts w:hint="eastAsia" w:ascii="仿宋_GB2312" w:hAnsi="宋体" w:eastAsia="仿宋_GB2312"/>
                <w:color w:val="auto"/>
                <w:kern w:val="0"/>
                <w:sz w:val="13"/>
                <w:szCs w:val="13"/>
                <w:highlight w:val="none"/>
              </w:rPr>
              <w:t>1</w:t>
            </w:r>
            <w:r>
              <w:rPr>
                <w:rFonts w:ascii="仿宋_GB2312" w:hAnsi="宋体" w:eastAsia="仿宋_GB2312"/>
                <w:color w:val="auto"/>
                <w:kern w:val="0"/>
                <w:sz w:val="13"/>
                <w:szCs w:val="13"/>
                <w:highlight w:val="none"/>
              </w:rPr>
              <w:t>万元以上</w:t>
            </w:r>
            <w:r>
              <w:rPr>
                <w:rFonts w:hint="eastAsia" w:ascii="仿宋_GB2312" w:hAnsi="宋体" w:eastAsia="仿宋_GB2312"/>
                <w:color w:val="auto"/>
                <w:kern w:val="0"/>
                <w:sz w:val="13"/>
                <w:szCs w:val="13"/>
                <w:highlight w:val="none"/>
              </w:rPr>
              <w:t>2万</w:t>
            </w:r>
            <w:r>
              <w:rPr>
                <w:rFonts w:ascii="仿宋_GB2312" w:hAnsi="宋体" w:eastAsia="仿宋_GB2312"/>
                <w:color w:val="auto"/>
                <w:kern w:val="0"/>
                <w:sz w:val="13"/>
                <w:szCs w:val="13"/>
                <w:highlight w:val="none"/>
              </w:rPr>
              <w:t>元以下的罚款</w:t>
            </w:r>
            <w:r>
              <w:rPr>
                <w:rFonts w:hint="eastAsia" w:ascii="仿宋_GB2312" w:hAnsi="宋体" w:eastAsia="仿宋_GB2312"/>
                <w:color w:val="auto"/>
                <w:kern w:val="0"/>
                <w:sz w:val="13"/>
                <w:szCs w:val="13"/>
                <w:highlight w:val="none"/>
              </w:rPr>
              <w:t>。</w:t>
            </w:r>
          </w:p>
        </w:tc>
      </w:tr>
      <w:tr w14:paraId="2D6949D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192" w:hRule="atLeast"/>
          <w:jc w:val="center"/>
        </w:trPr>
        <w:tc>
          <w:tcPr>
            <w:tcW w:w="443" w:type="dxa"/>
            <w:gridSpan w:val="2"/>
            <w:vMerge w:val="continue"/>
            <w:tcBorders>
              <w:tl2br w:val="nil"/>
              <w:tr2bl w:val="nil"/>
            </w:tcBorders>
            <w:vAlign w:val="center"/>
          </w:tcPr>
          <w:p w14:paraId="573A8AFA">
            <w:pPr>
              <w:pStyle w:val="37"/>
              <w:keepNext w:val="0"/>
              <w:keepLines w:val="0"/>
              <w:pageBreakBefore w:val="0"/>
              <w:widowControl/>
              <w:numPr>
                <w:ilvl w:val="0"/>
                <w:numId w:val="9"/>
              </w:numPr>
              <w:kinsoku/>
              <w:overflowPunct/>
              <w:topLinePunct w:val="0"/>
              <w:autoSpaceDE/>
              <w:autoSpaceDN/>
              <w:bidi w:val="0"/>
              <w:adjustRightInd/>
              <w:snapToGrid/>
              <w:spacing w:beforeAutospacing="0" w:afterAutospacing="0" w:line="260" w:lineRule="exact"/>
              <w:ind w:left="638" w:leftChars="88" w:right="0" w:rightChars="0" w:hanging="453" w:hangingChars="349"/>
              <w:jc w:val="center"/>
              <w:rPr>
                <w:rFonts w:ascii="仿宋_GB2312" w:hAnsi="宋体" w:eastAsia="仿宋_GB2312"/>
                <w:color w:val="auto"/>
                <w:sz w:val="13"/>
                <w:szCs w:val="13"/>
                <w:highlight w:val="none"/>
              </w:rPr>
            </w:pPr>
          </w:p>
        </w:tc>
        <w:tc>
          <w:tcPr>
            <w:tcW w:w="1550" w:type="dxa"/>
            <w:vMerge w:val="continue"/>
            <w:tcBorders>
              <w:tl2br w:val="nil"/>
              <w:tr2bl w:val="nil"/>
            </w:tcBorders>
            <w:vAlign w:val="center"/>
          </w:tcPr>
          <w:p w14:paraId="773DB89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7C33A6F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olor w:val="auto"/>
                <w:kern w:val="0"/>
                <w:sz w:val="13"/>
                <w:szCs w:val="13"/>
                <w:highlight w:val="none"/>
              </w:rPr>
            </w:pPr>
          </w:p>
        </w:tc>
        <w:tc>
          <w:tcPr>
            <w:tcW w:w="823" w:type="dxa"/>
            <w:tcBorders>
              <w:tl2br w:val="nil"/>
              <w:tr2bl w:val="nil"/>
            </w:tcBorders>
            <w:tcMar>
              <w:top w:w="15" w:type="dxa"/>
              <w:left w:w="15" w:type="dxa"/>
              <w:bottom w:w="15" w:type="dxa"/>
              <w:right w:w="15" w:type="dxa"/>
            </w:tcMar>
            <w:vAlign w:val="center"/>
          </w:tcPr>
          <w:p w14:paraId="11346CC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从重情节</w:t>
            </w:r>
          </w:p>
        </w:tc>
        <w:tc>
          <w:tcPr>
            <w:tcW w:w="3437" w:type="dxa"/>
            <w:gridSpan w:val="2"/>
            <w:tcBorders>
              <w:tl2br w:val="nil"/>
              <w:tr2bl w:val="nil"/>
            </w:tcBorders>
            <w:tcMar>
              <w:top w:w="15" w:type="dxa"/>
              <w:left w:w="15" w:type="dxa"/>
              <w:bottom w:w="15" w:type="dxa"/>
              <w:right w:w="15" w:type="dxa"/>
            </w:tcMar>
            <w:vAlign w:val="center"/>
          </w:tcPr>
          <w:p w14:paraId="17C0643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向3个以上不符合条件的对象出租公共租赁住房的。</w:t>
            </w:r>
          </w:p>
        </w:tc>
        <w:tc>
          <w:tcPr>
            <w:tcW w:w="3058" w:type="dxa"/>
            <w:tcBorders>
              <w:tl2br w:val="nil"/>
              <w:tr2bl w:val="nil"/>
            </w:tcBorders>
            <w:tcMar>
              <w:top w:w="15" w:type="dxa"/>
              <w:left w:w="15" w:type="dxa"/>
              <w:bottom w:w="15" w:type="dxa"/>
              <w:right w:w="15" w:type="dxa"/>
            </w:tcMar>
            <w:vAlign w:val="center"/>
          </w:tcPr>
          <w:p w14:paraId="4D65D10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责令限期改正，并</w:t>
            </w:r>
            <w:r>
              <w:rPr>
                <w:rFonts w:ascii="仿宋_GB2312" w:hAnsi="宋体" w:eastAsia="仿宋_GB2312"/>
                <w:color w:val="auto"/>
                <w:kern w:val="0"/>
                <w:sz w:val="13"/>
                <w:szCs w:val="13"/>
                <w:highlight w:val="none"/>
              </w:rPr>
              <w:t>处</w:t>
            </w:r>
            <w:r>
              <w:rPr>
                <w:rFonts w:hint="eastAsia" w:ascii="仿宋_GB2312" w:hAnsi="宋体" w:eastAsia="仿宋_GB2312"/>
                <w:color w:val="auto"/>
                <w:kern w:val="0"/>
                <w:sz w:val="13"/>
                <w:szCs w:val="13"/>
                <w:highlight w:val="none"/>
              </w:rPr>
              <w:t>2</w:t>
            </w:r>
            <w:r>
              <w:rPr>
                <w:rFonts w:ascii="仿宋_GB2312" w:hAnsi="宋体" w:eastAsia="仿宋_GB2312"/>
                <w:color w:val="auto"/>
                <w:kern w:val="0"/>
                <w:sz w:val="13"/>
                <w:szCs w:val="13"/>
                <w:highlight w:val="none"/>
              </w:rPr>
              <w:t>万元以上</w:t>
            </w:r>
            <w:r>
              <w:rPr>
                <w:rFonts w:hint="eastAsia" w:ascii="仿宋_GB2312" w:hAnsi="宋体" w:eastAsia="仿宋_GB2312"/>
                <w:color w:val="auto"/>
                <w:kern w:val="0"/>
                <w:sz w:val="13"/>
                <w:szCs w:val="13"/>
                <w:highlight w:val="none"/>
              </w:rPr>
              <w:t>3</w:t>
            </w:r>
            <w:r>
              <w:rPr>
                <w:rFonts w:ascii="仿宋_GB2312" w:hAnsi="宋体" w:eastAsia="仿宋_GB2312"/>
                <w:color w:val="auto"/>
                <w:kern w:val="0"/>
                <w:sz w:val="13"/>
                <w:szCs w:val="13"/>
                <w:highlight w:val="none"/>
              </w:rPr>
              <w:t>万元以下的罚款</w:t>
            </w:r>
            <w:r>
              <w:rPr>
                <w:rFonts w:hint="eastAsia" w:ascii="仿宋_GB2312" w:hAnsi="宋体" w:eastAsia="仿宋_GB2312"/>
                <w:color w:val="auto"/>
                <w:kern w:val="0"/>
                <w:sz w:val="13"/>
                <w:szCs w:val="13"/>
                <w:highlight w:val="none"/>
              </w:rPr>
              <w:t>。</w:t>
            </w:r>
          </w:p>
        </w:tc>
      </w:tr>
      <w:tr w14:paraId="672EAE8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9" w:hRule="atLeast"/>
          <w:jc w:val="center"/>
        </w:trPr>
        <w:tc>
          <w:tcPr>
            <w:tcW w:w="443" w:type="dxa"/>
            <w:gridSpan w:val="2"/>
            <w:vMerge w:val="restart"/>
            <w:tcBorders>
              <w:tl2br w:val="nil"/>
              <w:tr2bl w:val="nil"/>
            </w:tcBorders>
            <w:vAlign w:val="center"/>
          </w:tcPr>
          <w:p w14:paraId="5043A378">
            <w:pPr>
              <w:keepNext w:val="0"/>
              <w:keepLines w:val="0"/>
              <w:pageBreakBefore w:val="0"/>
              <w:widowControl/>
              <w:numPr>
                <w:ilvl w:val="0"/>
                <w:numId w:val="6"/>
              </w:numPr>
              <w:suppressLineNumbers w:val="0"/>
              <w:tabs>
                <w:tab w:val="clear" w:pos="397"/>
              </w:tabs>
              <w:kinsoku/>
              <w:overflowPunct/>
              <w:topLinePunct w:val="0"/>
              <w:autoSpaceDE/>
              <w:autoSpaceDN/>
              <w:bidi w:val="0"/>
              <w:adjustRightInd/>
              <w:snapToGrid/>
              <w:spacing w:beforeAutospacing="0" w:afterAutospacing="0" w:line="260" w:lineRule="exact"/>
              <w:ind w:left="638" w:leftChars="88" w:right="0" w:rightChars="0" w:hanging="453" w:hangingChars="349"/>
              <w:jc w:val="center"/>
              <w:textAlignment w:val="center"/>
              <w:rPr>
                <w:rFonts w:hint="default" w:ascii="仿宋_GB2312" w:hAnsi="宋体" w:eastAsia="仿宋_GB2312"/>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285</w:t>
            </w:r>
          </w:p>
        </w:tc>
        <w:tc>
          <w:tcPr>
            <w:tcW w:w="1550" w:type="dxa"/>
            <w:vMerge w:val="restart"/>
            <w:tcBorders>
              <w:tl2br w:val="nil"/>
              <w:tr2bl w:val="nil"/>
            </w:tcBorders>
            <w:vAlign w:val="center"/>
          </w:tcPr>
          <w:p w14:paraId="542F499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公共租赁住房的所有权人及其委托的运营单位未履行公共租赁住房及其配套设施维修养护义务的</w:t>
            </w:r>
          </w:p>
        </w:tc>
        <w:tc>
          <w:tcPr>
            <w:tcW w:w="4820" w:type="dxa"/>
            <w:vMerge w:val="restart"/>
            <w:tcBorders>
              <w:tl2br w:val="nil"/>
              <w:tr2bl w:val="nil"/>
            </w:tcBorders>
            <w:vAlign w:val="center"/>
          </w:tcPr>
          <w:p w14:paraId="2FE9207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《公共租赁住房管理办法》</w:t>
            </w:r>
            <w:r>
              <w:rPr>
                <w:rFonts w:hint="eastAsia" w:ascii="仿宋_GB2312" w:hAnsi="宋体" w:eastAsia="仿宋_GB2312"/>
                <w:b/>
                <w:bCs/>
                <w:color w:val="auto"/>
                <w:kern w:val="0"/>
                <w:sz w:val="13"/>
                <w:szCs w:val="13"/>
                <w:highlight w:val="none"/>
              </w:rPr>
              <w:t>第三十四条第一款</w:t>
            </w:r>
            <w:r>
              <w:rPr>
                <w:rFonts w:hint="eastAsia" w:ascii="仿宋_GB2312" w:hAnsi="宋体" w:eastAsia="仿宋_GB2312"/>
                <w:b/>
                <w:bCs/>
                <w:color w:val="auto"/>
                <w:kern w:val="0"/>
                <w:sz w:val="13"/>
                <w:szCs w:val="13"/>
                <w:highlight w:val="none"/>
                <w:lang w:eastAsia="zh-CN"/>
              </w:rPr>
              <w:t>（二）</w:t>
            </w:r>
            <w:r>
              <w:rPr>
                <w:rFonts w:hint="eastAsia" w:ascii="仿宋_GB2312" w:hAnsi="宋体" w:eastAsia="仿宋_GB2312"/>
                <w:b/>
                <w:bCs/>
                <w:color w:val="auto"/>
                <w:kern w:val="0"/>
                <w:sz w:val="13"/>
                <w:szCs w:val="13"/>
                <w:highlight w:val="none"/>
              </w:rPr>
              <w:t>项：</w:t>
            </w:r>
            <w:r>
              <w:rPr>
                <w:rFonts w:hint="eastAsia" w:ascii="仿宋_GB2312" w:hAnsi="宋体" w:eastAsia="仿宋_GB2312"/>
                <w:color w:val="auto"/>
                <w:kern w:val="0"/>
                <w:sz w:val="13"/>
                <w:szCs w:val="13"/>
                <w:highlight w:val="none"/>
              </w:rPr>
              <w:t>公共租赁住房的所有权人及其委托的运营单位违反本办法，有下列行为之一的，由市、县级人民政府住房保障主管部门责令限期改正，并处以3万元以下罚款：</w:t>
            </w:r>
          </w:p>
          <w:p w14:paraId="5F51B469">
            <w:pPr>
              <w:keepNext w:val="0"/>
              <w:keepLines w:val="0"/>
              <w:pageBreakBefore w:val="0"/>
              <w:widowControl/>
              <w:numPr>
                <w:ilvl w:val="0"/>
                <w:numId w:val="0"/>
              </w:numPr>
              <w:kinsoku/>
              <w:overflowPunct/>
              <w:topLinePunct w:val="0"/>
              <w:autoSpaceDE/>
              <w:autoSpaceDN/>
              <w:bidi w:val="0"/>
              <w:adjustRightInd/>
              <w:snapToGrid/>
              <w:spacing w:beforeAutospacing="0" w:afterAutospacing="0" w:line="260" w:lineRule="exact"/>
              <w:ind w:left="0" w:leftChars="0" w:right="0" w:rightChars="0" w:firstLine="260" w:firstLineChars="200"/>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lang w:eastAsia="zh-CN"/>
              </w:rPr>
              <w:t>（二）</w:t>
            </w:r>
            <w:r>
              <w:rPr>
                <w:rFonts w:hint="eastAsia" w:ascii="仿宋_GB2312" w:hAnsi="宋体" w:eastAsia="仿宋_GB2312"/>
                <w:color w:val="auto"/>
                <w:kern w:val="0"/>
                <w:sz w:val="13"/>
                <w:szCs w:val="13"/>
                <w:highlight w:val="none"/>
              </w:rPr>
              <w:t>未履行公共租赁住房及其配套设施维修养护义务的；</w:t>
            </w:r>
          </w:p>
          <w:p w14:paraId="7A283D7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《公共租赁住房管理办法》</w:t>
            </w:r>
            <w:r>
              <w:rPr>
                <w:rFonts w:hint="eastAsia" w:ascii="仿宋_GB2312" w:hAnsi="宋体" w:eastAsia="仿宋_GB2312"/>
                <w:b/>
                <w:bCs/>
                <w:color w:val="auto"/>
                <w:kern w:val="0"/>
                <w:sz w:val="13"/>
                <w:szCs w:val="13"/>
                <w:highlight w:val="none"/>
              </w:rPr>
              <w:t>第二十四条</w:t>
            </w:r>
            <w:r>
              <w:rPr>
                <w:rFonts w:hint="eastAsia" w:ascii="仿宋_GB2312" w:hAnsi="宋体" w:eastAsia="仿宋_GB2312"/>
                <w:b/>
                <w:bCs/>
                <w:color w:val="auto"/>
                <w:kern w:val="0"/>
                <w:sz w:val="13"/>
                <w:szCs w:val="13"/>
                <w:highlight w:val="none"/>
                <w:lang w:val="en-US" w:eastAsia="zh-CN"/>
              </w:rPr>
              <w:t>第一款</w:t>
            </w:r>
            <w:r>
              <w:rPr>
                <w:rFonts w:hint="eastAsia" w:ascii="仿宋_GB2312" w:hAnsi="宋体" w:eastAsia="仿宋_GB2312"/>
                <w:b/>
                <w:bCs/>
                <w:color w:val="auto"/>
                <w:kern w:val="0"/>
                <w:sz w:val="13"/>
                <w:szCs w:val="13"/>
                <w:highlight w:val="none"/>
                <w:lang w:eastAsia="zh-CN"/>
              </w:rPr>
              <w:t>：</w:t>
            </w:r>
            <w:r>
              <w:rPr>
                <w:rFonts w:hint="eastAsia" w:ascii="仿宋_GB2312" w:hAnsi="宋体" w:eastAsia="仿宋_GB2312"/>
                <w:color w:val="auto"/>
                <w:kern w:val="0"/>
                <w:sz w:val="13"/>
                <w:szCs w:val="13"/>
                <w:highlight w:val="none"/>
              </w:rPr>
              <w:t>公共租赁住房的所有权人及其委托的运营单位应当负责公共租赁住房及其配套设施的维修养护，确保公共租赁住房的正常使用。</w:t>
            </w:r>
          </w:p>
        </w:tc>
        <w:tc>
          <w:tcPr>
            <w:tcW w:w="823" w:type="dxa"/>
            <w:tcBorders>
              <w:tl2br w:val="nil"/>
              <w:tr2bl w:val="nil"/>
            </w:tcBorders>
            <w:tcMar>
              <w:top w:w="15" w:type="dxa"/>
              <w:left w:w="15" w:type="dxa"/>
              <w:bottom w:w="15" w:type="dxa"/>
              <w:right w:w="15" w:type="dxa"/>
            </w:tcMar>
            <w:vAlign w:val="center"/>
          </w:tcPr>
          <w:p w14:paraId="60B56A6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tcMar>
              <w:top w:w="15" w:type="dxa"/>
              <w:left w:w="15" w:type="dxa"/>
              <w:bottom w:w="15" w:type="dxa"/>
              <w:right w:w="15" w:type="dxa"/>
            </w:tcMar>
            <w:vAlign w:val="center"/>
          </w:tcPr>
          <w:p w14:paraId="34FA3D3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初次违法，危害后果轻微，主动采取措施消除或减轻违法行为危害后果。</w:t>
            </w:r>
          </w:p>
        </w:tc>
        <w:tc>
          <w:tcPr>
            <w:tcW w:w="3058" w:type="dxa"/>
            <w:tcBorders>
              <w:tl2br w:val="nil"/>
              <w:tr2bl w:val="nil"/>
            </w:tcBorders>
            <w:tcMar>
              <w:top w:w="15" w:type="dxa"/>
              <w:left w:w="15" w:type="dxa"/>
              <w:bottom w:w="15" w:type="dxa"/>
              <w:right w:w="15" w:type="dxa"/>
            </w:tcMar>
            <w:vAlign w:val="center"/>
          </w:tcPr>
          <w:p w14:paraId="6AF234E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责令限期改正，并处1万元以下的罚款。</w:t>
            </w:r>
          </w:p>
        </w:tc>
      </w:tr>
      <w:tr w14:paraId="32D5093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9" w:hRule="atLeast"/>
          <w:jc w:val="center"/>
        </w:trPr>
        <w:tc>
          <w:tcPr>
            <w:tcW w:w="443" w:type="dxa"/>
            <w:gridSpan w:val="2"/>
            <w:vMerge w:val="continue"/>
            <w:tcBorders>
              <w:tl2br w:val="nil"/>
              <w:tr2bl w:val="nil"/>
            </w:tcBorders>
            <w:vAlign w:val="center"/>
          </w:tcPr>
          <w:p w14:paraId="3C1D1C56">
            <w:pPr>
              <w:pStyle w:val="37"/>
              <w:keepNext w:val="0"/>
              <w:keepLines w:val="0"/>
              <w:pageBreakBefore w:val="0"/>
              <w:widowControl/>
              <w:numPr>
                <w:ilvl w:val="0"/>
                <w:numId w:val="9"/>
              </w:numPr>
              <w:kinsoku/>
              <w:overflowPunct/>
              <w:topLinePunct w:val="0"/>
              <w:autoSpaceDE/>
              <w:autoSpaceDN/>
              <w:bidi w:val="0"/>
              <w:adjustRightInd/>
              <w:snapToGrid/>
              <w:spacing w:beforeAutospacing="0" w:afterAutospacing="0" w:line="260" w:lineRule="exact"/>
              <w:ind w:left="638" w:leftChars="88" w:right="0" w:rightChars="0" w:hanging="453" w:hangingChars="349"/>
              <w:jc w:val="center"/>
              <w:rPr>
                <w:rFonts w:ascii="仿宋_GB2312" w:hAnsi="宋体" w:eastAsia="仿宋_GB2312"/>
                <w:color w:val="auto"/>
                <w:sz w:val="13"/>
                <w:szCs w:val="13"/>
                <w:highlight w:val="none"/>
              </w:rPr>
            </w:pPr>
          </w:p>
        </w:tc>
        <w:tc>
          <w:tcPr>
            <w:tcW w:w="1550" w:type="dxa"/>
            <w:vMerge w:val="continue"/>
            <w:tcBorders>
              <w:tl2br w:val="nil"/>
              <w:tr2bl w:val="nil"/>
            </w:tcBorders>
            <w:vAlign w:val="center"/>
          </w:tcPr>
          <w:p w14:paraId="0EA0884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271DBD5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olor w:val="auto"/>
                <w:kern w:val="0"/>
                <w:sz w:val="13"/>
                <w:szCs w:val="13"/>
                <w:highlight w:val="none"/>
              </w:rPr>
            </w:pPr>
          </w:p>
        </w:tc>
        <w:tc>
          <w:tcPr>
            <w:tcW w:w="823" w:type="dxa"/>
            <w:tcBorders>
              <w:tl2br w:val="nil"/>
              <w:tr2bl w:val="nil"/>
            </w:tcBorders>
            <w:tcMar>
              <w:top w:w="15" w:type="dxa"/>
              <w:left w:w="15" w:type="dxa"/>
              <w:bottom w:w="15" w:type="dxa"/>
              <w:right w:w="15" w:type="dxa"/>
            </w:tcMar>
            <w:vAlign w:val="center"/>
          </w:tcPr>
          <w:p w14:paraId="5C0E05F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一般情节</w:t>
            </w:r>
          </w:p>
        </w:tc>
        <w:tc>
          <w:tcPr>
            <w:tcW w:w="3437" w:type="dxa"/>
            <w:gridSpan w:val="2"/>
            <w:tcBorders>
              <w:tl2br w:val="nil"/>
              <w:tr2bl w:val="nil"/>
            </w:tcBorders>
            <w:tcMar>
              <w:top w:w="15" w:type="dxa"/>
              <w:left w:w="15" w:type="dxa"/>
              <w:bottom w:w="15" w:type="dxa"/>
              <w:right w:w="15" w:type="dxa"/>
            </w:tcMar>
            <w:vAlign w:val="center"/>
          </w:tcPr>
          <w:p w14:paraId="0D52C45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olor w:val="auto"/>
                <w:kern w:val="0"/>
                <w:sz w:val="13"/>
                <w:szCs w:val="13"/>
                <w:highlight w:val="none"/>
              </w:rPr>
              <w:t>实施违法行为，造成不良社会影响，不具有从轻、</w:t>
            </w:r>
            <w:r>
              <w:rPr>
                <w:rFonts w:hint="eastAsia" w:ascii="仿宋_GB2312" w:hAnsi="宋体" w:eastAsia="仿宋_GB2312"/>
                <w:color w:val="auto"/>
                <w:kern w:val="0"/>
                <w:sz w:val="13"/>
                <w:szCs w:val="13"/>
                <w:highlight w:val="none"/>
                <w:lang w:eastAsia="zh-CN"/>
              </w:rPr>
              <w:t>从重情节</w:t>
            </w:r>
            <w:r>
              <w:rPr>
                <w:rFonts w:hint="eastAsia" w:ascii="仿宋_GB2312" w:hAnsi="宋体" w:eastAsia="仿宋_GB2312"/>
                <w:color w:val="auto"/>
                <w:kern w:val="0"/>
                <w:sz w:val="13"/>
                <w:szCs w:val="13"/>
                <w:highlight w:val="none"/>
              </w:rPr>
              <w:t>的。</w:t>
            </w:r>
          </w:p>
        </w:tc>
        <w:tc>
          <w:tcPr>
            <w:tcW w:w="3058" w:type="dxa"/>
            <w:tcBorders>
              <w:tl2br w:val="nil"/>
              <w:tr2bl w:val="nil"/>
            </w:tcBorders>
            <w:tcMar>
              <w:top w:w="15" w:type="dxa"/>
              <w:left w:w="15" w:type="dxa"/>
              <w:bottom w:w="15" w:type="dxa"/>
              <w:right w:w="15" w:type="dxa"/>
            </w:tcMar>
            <w:vAlign w:val="center"/>
          </w:tcPr>
          <w:p w14:paraId="51C6078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责令限期改正，并处1万元以上2万元以下的罚款。</w:t>
            </w:r>
          </w:p>
        </w:tc>
      </w:tr>
      <w:tr w14:paraId="54FF5B7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23" w:hRule="atLeast"/>
          <w:jc w:val="center"/>
        </w:trPr>
        <w:tc>
          <w:tcPr>
            <w:tcW w:w="443" w:type="dxa"/>
            <w:gridSpan w:val="2"/>
            <w:vMerge w:val="continue"/>
            <w:tcBorders>
              <w:tl2br w:val="nil"/>
              <w:tr2bl w:val="nil"/>
            </w:tcBorders>
            <w:vAlign w:val="center"/>
          </w:tcPr>
          <w:p w14:paraId="39C7FDED">
            <w:pPr>
              <w:pStyle w:val="37"/>
              <w:keepNext w:val="0"/>
              <w:keepLines w:val="0"/>
              <w:pageBreakBefore w:val="0"/>
              <w:widowControl/>
              <w:numPr>
                <w:ilvl w:val="0"/>
                <w:numId w:val="9"/>
              </w:numPr>
              <w:kinsoku/>
              <w:overflowPunct/>
              <w:topLinePunct w:val="0"/>
              <w:autoSpaceDE/>
              <w:autoSpaceDN/>
              <w:bidi w:val="0"/>
              <w:adjustRightInd/>
              <w:snapToGrid/>
              <w:spacing w:beforeAutospacing="0" w:afterAutospacing="0" w:line="260" w:lineRule="exact"/>
              <w:ind w:left="638" w:leftChars="88" w:right="0" w:rightChars="0" w:hanging="453" w:hangingChars="349"/>
              <w:jc w:val="center"/>
              <w:rPr>
                <w:rFonts w:ascii="仿宋_GB2312" w:hAnsi="宋体" w:eastAsia="仿宋_GB2312"/>
                <w:color w:val="auto"/>
                <w:sz w:val="13"/>
                <w:szCs w:val="13"/>
                <w:highlight w:val="none"/>
              </w:rPr>
            </w:pPr>
          </w:p>
        </w:tc>
        <w:tc>
          <w:tcPr>
            <w:tcW w:w="1550" w:type="dxa"/>
            <w:vMerge w:val="continue"/>
            <w:tcBorders>
              <w:tl2br w:val="nil"/>
              <w:tr2bl w:val="nil"/>
            </w:tcBorders>
            <w:vAlign w:val="center"/>
          </w:tcPr>
          <w:p w14:paraId="7E20224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75D76D4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olor w:val="auto"/>
                <w:kern w:val="0"/>
                <w:sz w:val="13"/>
                <w:szCs w:val="13"/>
                <w:highlight w:val="none"/>
              </w:rPr>
            </w:pPr>
          </w:p>
        </w:tc>
        <w:tc>
          <w:tcPr>
            <w:tcW w:w="823" w:type="dxa"/>
            <w:tcBorders>
              <w:tl2br w:val="nil"/>
              <w:tr2bl w:val="nil"/>
            </w:tcBorders>
            <w:tcMar>
              <w:top w:w="15" w:type="dxa"/>
              <w:left w:w="15" w:type="dxa"/>
              <w:bottom w:w="15" w:type="dxa"/>
              <w:right w:w="15" w:type="dxa"/>
            </w:tcMar>
            <w:vAlign w:val="center"/>
          </w:tcPr>
          <w:p w14:paraId="4C8461E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从重情节</w:t>
            </w:r>
          </w:p>
        </w:tc>
        <w:tc>
          <w:tcPr>
            <w:tcW w:w="3437" w:type="dxa"/>
            <w:gridSpan w:val="2"/>
            <w:tcBorders>
              <w:tl2br w:val="nil"/>
              <w:tr2bl w:val="nil"/>
            </w:tcBorders>
            <w:tcMar>
              <w:top w:w="15" w:type="dxa"/>
              <w:left w:w="15" w:type="dxa"/>
              <w:bottom w:w="15" w:type="dxa"/>
              <w:right w:w="15" w:type="dxa"/>
            </w:tcMar>
            <w:vAlign w:val="center"/>
          </w:tcPr>
          <w:p w14:paraId="5F61D2D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经责令停止违法行为后，继续实施违法行为的</w:t>
            </w:r>
            <w:r>
              <w:rPr>
                <w:rFonts w:hint="eastAsia" w:ascii="仿宋_GB2312" w:hAnsi="宋体" w:eastAsia="仿宋_GB2312"/>
                <w:color w:val="auto"/>
                <w:kern w:val="0"/>
                <w:sz w:val="13"/>
                <w:szCs w:val="13"/>
                <w:highlight w:val="none"/>
                <w:lang w:eastAsia="zh-CN"/>
              </w:rPr>
              <w:t>，</w:t>
            </w:r>
            <w:r>
              <w:rPr>
                <w:rFonts w:hint="eastAsia" w:ascii="仿宋_GB2312" w:hAnsi="宋体" w:eastAsia="仿宋_GB2312"/>
                <w:color w:val="auto"/>
                <w:kern w:val="0"/>
                <w:sz w:val="13"/>
                <w:szCs w:val="13"/>
                <w:highlight w:val="none"/>
                <w:lang w:val="en-US" w:eastAsia="zh-CN"/>
              </w:rPr>
              <w:t>或</w:t>
            </w:r>
            <w:r>
              <w:rPr>
                <w:rFonts w:hint="eastAsia" w:ascii="仿宋_GB2312" w:hAnsi="宋体" w:eastAsia="仿宋_GB2312"/>
                <w:color w:val="auto"/>
                <w:kern w:val="0"/>
                <w:sz w:val="13"/>
                <w:szCs w:val="13"/>
                <w:highlight w:val="none"/>
              </w:rPr>
              <w:t>2年内2次及以上同类型违法。</w:t>
            </w:r>
          </w:p>
        </w:tc>
        <w:tc>
          <w:tcPr>
            <w:tcW w:w="3058" w:type="dxa"/>
            <w:tcBorders>
              <w:tl2br w:val="nil"/>
              <w:tr2bl w:val="nil"/>
            </w:tcBorders>
            <w:tcMar>
              <w:top w:w="15" w:type="dxa"/>
              <w:left w:w="15" w:type="dxa"/>
              <w:bottom w:w="15" w:type="dxa"/>
              <w:right w:w="15" w:type="dxa"/>
            </w:tcMar>
            <w:vAlign w:val="center"/>
          </w:tcPr>
          <w:p w14:paraId="0CBA932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责令限期改正，并处2万元以上3万元以下的罚款。</w:t>
            </w:r>
          </w:p>
        </w:tc>
      </w:tr>
      <w:tr w14:paraId="3DF3D8E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47" w:hRule="atLeast"/>
          <w:jc w:val="center"/>
        </w:trPr>
        <w:tc>
          <w:tcPr>
            <w:tcW w:w="443" w:type="dxa"/>
            <w:gridSpan w:val="2"/>
            <w:vMerge w:val="restart"/>
            <w:tcBorders>
              <w:tl2br w:val="nil"/>
              <w:tr2bl w:val="nil"/>
            </w:tcBorders>
            <w:vAlign w:val="center"/>
          </w:tcPr>
          <w:p w14:paraId="0E7A1787">
            <w:pPr>
              <w:keepNext w:val="0"/>
              <w:keepLines w:val="0"/>
              <w:pageBreakBefore w:val="0"/>
              <w:widowControl/>
              <w:numPr>
                <w:ilvl w:val="0"/>
                <w:numId w:val="6"/>
              </w:numPr>
              <w:suppressLineNumbers w:val="0"/>
              <w:tabs>
                <w:tab w:val="clear" w:pos="397"/>
              </w:tabs>
              <w:kinsoku/>
              <w:overflowPunct/>
              <w:topLinePunct w:val="0"/>
              <w:autoSpaceDE/>
              <w:autoSpaceDN/>
              <w:bidi w:val="0"/>
              <w:adjustRightInd/>
              <w:snapToGrid/>
              <w:spacing w:beforeAutospacing="0" w:afterAutospacing="0" w:line="260" w:lineRule="exact"/>
              <w:ind w:left="638" w:leftChars="88" w:right="0" w:rightChars="0" w:hanging="453" w:hangingChars="349"/>
              <w:jc w:val="center"/>
              <w:textAlignment w:val="center"/>
              <w:rPr>
                <w:rFonts w:hint="default" w:ascii="仿宋_GB2312" w:hAnsi="宋体" w:eastAsia="仿宋_GB2312"/>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286</w:t>
            </w:r>
          </w:p>
        </w:tc>
        <w:tc>
          <w:tcPr>
            <w:tcW w:w="1550" w:type="dxa"/>
            <w:vMerge w:val="restart"/>
            <w:tcBorders>
              <w:tl2br w:val="nil"/>
              <w:tr2bl w:val="nil"/>
            </w:tcBorders>
            <w:vAlign w:val="center"/>
          </w:tcPr>
          <w:p w14:paraId="4288B06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公共租赁住房的所有权人及其委托的运营单位改变公共租赁住房的保障性住房性质、用途，以及配套设施的规划用途的</w:t>
            </w:r>
          </w:p>
        </w:tc>
        <w:tc>
          <w:tcPr>
            <w:tcW w:w="4820" w:type="dxa"/>
            <w:vMerge w:val="restart"/>
            <w:tcBorders>
              <w:tl2br w:val="nil"/>
              <w:tr2bl w:val="nil"/>
            </w:tcBorders>
            <w:vAlign w:val="center"/>
          </w:tcPr>
          <w:p w14:paraId="01530C1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《公共租赁住房管理办法》</w:t>
            </w:r>
            <w:r>
              <w:rPr>
                <w:rFonts w:hint="eastAsia" w:ascii="仿宋_GB2312" w:hAnsi="宋体" w:eastAsia="仿宋_GB2312"/>
                <w:b/>
                <w:bCs/>
                <w:color w:val="auto"/>
                <w:kern w:val="0"/>
                <w:sz w:val="13"/>
                <w:szCs w:val="13"/>
                <w:highlight w:val="none"/>
              </w:rPr>
              <w:t>第三十四条第一款</w:t>
            </w:r>
            <w:r>
              <w:rPr>
                <w:rFonts w:hint="eastAsia" w:ascii="仿宋_GB2312" w:hAnsi="宋体" w:eastAsia="仿宋_GB2312"/>
                <w:b/>
                <w:bCs/>
                <w:color w:val="auto"/>
                <w:kern w:val="0"/>
                <w:sz w:val="13"/>
                <w:szCs w:val="13"/>
                <w:highlight w:val="none"/>
                <w:lang w:eastAsia="zh-CN"/>
              </w:rPr>
              <w:t>（三）</w:t>
            </w:r>
            <w:r>
              <w:rPr>
                <w:rFonts w:hint="eastAsia" w:ascii="仿宋_GB2312" w:hAnsi="宋体" w:eastAsia="仿宋_GB2312"/>
                <w:b/>
                <w:bCs/>
                <w:color w:val="auto"/>
                <w:kern w:val="0"/>
                <w:sz w:val="13"/>
                <w:szCs w:val="13"/>
                <w:highlight w:val="none"/>
              </w:rPr>
              <w:t>项：</w:t>
            </w:r>
            <w:r>
              <w:rPr>
                <w:rFonts w:hint="eastAsia" w:ascii="仿宋_GB2312" w:hAnsi="宋体" w:eastAsia="仿宋_GB2312"/>
                <w:color w:val="auto"/>
                <w:kern w:val="0"/>
                <w:sz w:val="13"/>
                <w:szCs w:val="13"/>
                <w:highlight w:val="none"/>
              </w:rPr>
              <w:t>公共租赁住房的所有权人及其委托的运营单位违反本办法，有下列行为之一的，由市、县级人民政府住房保障主管部门责令限期改正，并处以3万元以下罚款：</w:t>
            </w:r>
          </w:p>
          <w:p w14:paraId="227AFEA6">
            <w:pPr>
              <w:keepNext w:val="0"/>
              <w:keepLines w:val="0"/>
              <w:pageBreakBefore w:val="0"/>
              <w:widowControl/>
              <w:numPr>
                <w:ilvl w:val="0"/>
                <w:numId w:val="0"/>
              </w:numPr>
              <w:kinsoku/>
              <w:overflowPunct/>
              <w:topLinePunct w:val="0"/>
              <w:autoSpaceDE/>
              <w:autoSpaceDN/>
              <w:bidi w:val="0"/>
              <w:adjustRightInd/>
              <w:snapToGrid/>
              <w:spacing w:beforeAutospacing="0" w:afterAutospacing="0" w:line="260" w:lineRule="exact"/>
              <w:ind w:left="0" w:leftChars="0" w:right="0" w:rightChars="0" w:firstLine="260" w:firstLineChars="200"/>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lang w:eastAsia="zh-CN"/>
              </w:rPr>
              <w:t>（三）</w:t>
            </w:r>
            <w:r>
              <w:rPr>
                <w:rFonts w:hint="eastAsia" w:ascii="仿宋_GB2312" w:hAnsi="宋体" w:eastAsia="仿宋_GB2312"/>
                <w:color w:val="auto"/>
                <w:kern w:val="0"/>
                <w:sz w:val="13"/>
                <w:szCs w:val="13"/>
                <w:highlight w:val="none"/>
              </w:rPr>
              <w:t>改变公共租赁住房的保障性住房性质、用途，以及配套设施的规划用途的。</w:t>
            </w:r>
          </w:p>
          <w:p w14:paraId="0F18998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《公共租赁住房管理办法》</w:t>
            </w:r>
            <w:r>
              <w:rPr>
                <w:rFonts w:hint="eastAsia" w:ascii="仿宋_GB2312" w:hAnsi="宋体" w:eastAsia="仿宋_GB2312"/>
                <w:b/>
                <w:bCs/>
                <w:color w:val="auto"/>
                <w:kern w:val="0"/>
                <w:sz w:val="13"/>
                <w:szCs w:val="13"/>
                <w:highlight w:val="none"/>
              </w:rPr>
              <w:t>第二十五条</w:t>
            </w:r>
            <w:r>
              <w:rPr>
                <w:rFonts w:hint="eastAsia" w:ascii="仿宋_GB2312" w:hAnsi="宋体" w:eastAsia="仿宋_GB2312"/>
                <w:b/>
                <w:bCs/>
                <w:color w:val="auto"/>
                <w:kern w:val="0"/>
                <w:sz w:val="13"/>
                <w:szCs w:val="13"/>
                <w:highlight w:val="none"/>
                <w:lang w:eastAsia="zh-CN"/>
              </w:rPr>
              <w:t>：</w:t>
            </w:r>
            <w:r>
              <w:rPr>
                <w:rFonts w:hint="eastAsia" w:ascii="仿宋_GB2312" w:hAnsi="宋体" w:eastAsia="仿宋_GB2312"/>
                <w:color w:val="auto"/>
                <w:kern w:val="0"/>
                <w:sz w:val="13"/>
                <w:szCs w:val="13"/>
                <w:highlight w:val="none"/>
              </w:rPr>
              <w:t>公共租赁住房的所有权人及其委托的运营单位不得改变公共租赁住房的保障性住房性质、用途及其配套设施的规划用途。</w:t>
            </w:r>
          </w:p>
        </w:tc>
        <w:tc>
          <w:tcPr>
            <w:tcW w:w="823" w:type="dxa"/>
            <w:tcBorders>
              <w:tl2br w:val="nil"/>
              <w:tr2bl w:val="nil"/>
            </w:tcBorders>
            <w:tcMar>
              <w:top w:w="15" w:type="dxa"/>
              <w:left w:w="15" w:type="dxa"/>
              <w:bottom w:w="15" w:type="dxa"/>
              <w:right w:w="15" w:type="dxa"/>
            </w:tcMar>
            <w:vAlign w:val="center"/>
          </w:tcPr>
          <w:p w14:paraId="05601FA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tcMar>
              <w:top w:w="15" w:type="dxa"/>
              <w:left w:w="15" w:type="dxa"/>
              <w:bottom w:w="15" w:type="dxa"/>
              <w:right w:w="15" w:type="dxa"/>
            </w:tcMar>
            <w:vAlign w:val="center"/>
          </w:tcPr>
          <w:p w14:paraId="34DC5A3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改变公共租赁住房的保障性住房性质、用途，以及配套设施的规划用途100平方米以内的。</w:t>
            </w:r>
          </w:p>
        </w:tc>
        <w:tc>
          <w:tcPr>
            <w:tcW w:w="3058" w:type="dxa"/>
            <w:tcBorders>
              <w:tl2br w:val="nil"/>
              <w:tr2bl w:val="nil"/>
            </w:tcBorders>
            <w:tcMar>
              <w:top w:w="15" w:type="dxa"/>
              <w:left w:w="15" w:type="dxa"/>
              <w:bottom w:w="15" w:type="dxa"/>
              <w:right w:w="15" w:type="dxa"/>
            </w:tcMar>
            <w:vAlign w:val="center"/>
          </w:tcPr>
          <w:p w14:paraId="6558FA9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责令限期改正，并处1万元以下的罚款。</w:t>
            </w:r>
          </w:p>
        </w:tc>
      </w:tr>
      <w:tr w14:paraId="10E9121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47" w:hRule="atLeast"/>
          <w:jc w:val="center"/>
        </w:trPr>
        <w:tc>
          <w:tcPr>
            <w:tcW w:w="443" w:type="dxa"/>
            <w:gridSpan w:val="2"/>
            <w:vMerge w:val="continue"/>
            <w:tcBorders>
              <w:tl2br w:val="nil"/>
              <w:tr2bl w:val="nil"/>
            </w:tcBorders>
            <w:vAlign w:val="center"/>
          </w:tcPr>
          <w:p w14:paraId="4FC124CF">
            <w:pPr>
              <w:pStyle w:val="37"/>
              <w:keepNext w:val="0"/>
              <w:keepLines w:val="0"/>
              <w:pageBreakBefore w:val="0"/>
              <w:widowControl/>
              <w:numPr>
                <w:ilvl w:val="0"/>
                <w:numId w:val="9"/>
              </w:numPr>
              <w:kinsoku/>
              <w:overflowPunct/>
              <w:topLinePunct w:val="0"/>
              <w:autoSpaceDE/>
              <w:autoSpaceDN/>
              <w:bidi w:val="0"/>
              <w:adjustRightInd/>
              <w:snapToGrid/>
              <w:spacing w:beforeAutospacing="0" w:afterAutospacing="0" w:line="260" w:lineRule="exact"/>
              <w:ind w:left="638" w:leftChars="88" w:right="0" w:rightChars="0" w:hanging="453" w:hangingChars="349"/>
              <w:jc w:val="center"/>
              <w:rPr>
                <w:rFonts w:ascii="仿宋_GB2312" w:hAnsi="宋体" w:eastAsia="仿宋_GB2312"/>
                <w:color w:val="auto"/>
                <w:sz w:val="13"/>
                <w:szCs w:val="13"/>
                <w:highlight w:val="none"/>
              </w:rPr>
            </w:pPr>
          </w:p>
        </w:tc>
        <w:tc>
          <w:tcPr>
            <w:tcW w:w="1550" w:type="dxa"/>
            <w:vMerge w:val="continue"/>
            <w:tcBorders>
              <w:tl2br w:val="nil"/>
              <w:tr2bl w:val="nil"/>
            </w:tcBorders>
            <w:vAlign w:val="center"/>
          </w:tcPr>
          <w:p w14:paraId="31C025A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24B8C51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olor w:val="auto"/>
                <w:kern w:val="0"/>
                <w:sz w:val="13"/>
                <w:szCs w:val="13"/>
                <w:highlight w:val="none"/>
              </w:rPr>
            </w:pPr>
          </w:p>
        </w:tc>
        <w:tc>
          <w:tcPr>
            <w:tcW w:w="823" w:type="dxa"/>
            <w:tcBorders>
              <w:tl2br w:val="nil"/>
              <w:tr2bl w:val="nil"/>
            </w:tcBorders>
            <w:tcMar>
              <w:top w:w="15" w:type="dxa"/>
              <w:left w:w="15" w:type="dxa"/>
              <w:bottom w:w="15" w:type="dxa"/>
              <w:right w:w="15" w:type="dxa"/>
            </w:tcMar>
            <w:vAlign w:val="center"/>
          </w:tcPr>
          <w:p w14:paraId="06CA4BE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一般情节</w:t>
            </w:r>
          </w:p>
        </w:tc>
        <w:tc>
          <w:tcPr>
            <w:tcW w:w="3437" w:type="dxa"/>
            <w:gridSpan w:val="2"/>
            <w:tcBorders>
              <w:tl2br w:val="nil"/>
              <w:tr2bl w:val="nil"/>
            </w:tcBorders>
            <w:tcMar>
              <w:top w:w="15" w:type="dxa"/>
              <w:left w:w="15" w:type="dxa"/>
              <w:bottom w:w="15" w:type="dxa"/>
              <w:right w:w="15" w:type="dxa"/>
            </w:tcMar>
            <w:vAlign w:val="center"/>
          </w:tcPr>
          <w:p w14:paraId="080FCE4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改变公共租赁住房的保障性住房性质、用途，以及配套设施的规划用途100平方米以上300平方米以内的。</w:t>
            </w:r>
          </w:p>
        </w:tc>
        <w:tc>
          <w:tcPr>
            <w:tcW w:w="3058" w:type="dxa"/>
            <w:tcBorders>
              <w:tl2br w:val="nil"/>
              <w:tr2bl w:val="nil"/>
            </w:tcBorders>
            <w:tcMar>
              <w:top w:w="15" w:type="dxa"/>
              <w:left w:w="15" w:type="dxa"/>
              <w:bottom w:w="15" w:type="dxa"/>
              <w:right w:w="15" w:type="dxa"/>
            </w:tcMar>
            <w:vAlign w:val="center"/>
          </w:tcPr>
          <w:p w14:paraId="70EDB02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责令限期改正，并处1万元以上2万元以下的罚款。</w:t>
            </w:r>
          </w:p>
        </w:tc>
      </w:tr>
      <w:tr w14:paraId="590E728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47" w:hRule="atLeast"/>
          <w:jc w:val="center"/>
        </w:trPr>
        <w:tc>
          <w:tcPr>
            <w:tcW w:w="443" w:type="dxa"/>
            <w:gridSpan w:val="2"/>
            <w:vMerge w:val="continue"/>
            <w:tcBorders>
              <w:tl2br w:val="nil"/>
              <w:tr2bl w:val="nil"/>
            </w:tcBorders>
            <w:vAlign w:val="center"/>
          </w:tcPr>
          <w:p w14:paraId="251F2B13">
            <w:pPr>
              <w:pStyle w:val="37"/>
              <w:keepNext w:val="0"/>
              <w:keepLines w:val="0"/>
              <w:pageBreakBefore w:val="0"/>
              <w:widowControl/>
              <w:numPr>
                <w:ilvl w:val="0"/>
                <w:numId w:val="9"/>
              </w:numPr>
              <w:kinsoku/>
              <w:overflowPunct/>
              <w:topLinePunct w:val="0"/>
              <w:autoSpaceDE/>
              <w:autoSpaceDN/>
              <w:bidi w:val="0"/>
              <w:adjustRightInd/>
              <w:snapToGrid/>
              <w:spacing w:beforeAutospacing="0" w:afterAutospacing="0" w:line="260" w:lineRule="exact"/>
              <w:ind w:left="638" w:leftChars="88" w:right="0" w:rightChars="0" w:hanging="453" w:hangingChars="349"/>
              <w:jc w:val="center"/>
              <w:rPr>
                <w:rFonts w:ascii="仿宋_GB2312" w:hAnsi="宋体" w:eastAsia="仿宋_GB2312"/>
                <w:color w:val="auto"/>
                <w:sz w:val="13"/>
                <w:szCs w:val="13"/>
                <w:highlight w:val="none"/>
              </w:rPr>
            </w:pPr>
          </w:p>
        </w:tc>
        <w:tc>
          <w:tcPr>
            <w:tcW w:w="1550" w:type="dxa"/>
            <w:vMerge w:val="continue"/>
            <w:tcBorders>
              <w:tl2br w:val="nil"/>
              <w:tr2bl w:val="nil"/>
            </w:tcBorders>
            <w:vAlign w:val="center"/>
          </w:tcPr>
          <w:p w14:paraId="4431DB9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603D8DA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olor w:val="auto"/>
                <w:kern w:val="0"/>
                <w:sz w:val="13"/>
                <w:szCs w:val="13"/>
                <w:highlight w:val="none"/>
              </w:rPr>
            </w:pPr>
          </w:p>
        </w:tc>
        <w:tc>
          <w:tcPr>
            <w:tcW w:w="823" w:type="dxa"/>
            <w:tcBorders>
              <w:tl2br w:val="nil"/>
              <w:tr2bl w:val="nil"/>
            </w:tcBorders>
            <w:tcMar>
              <w:top w:w="15" w:type="dxa"/>
              <w:left w:w="15" w:type="dxa"/>
              <w:bottom w:w="15" w:type="dxa"/>
              <w:right w:w="15" w:type="dxa"/>
            </w:tcMar>
            <w:vAlign w:val="center"/>
          </w:tcPr>
          <w:p w14:paraId="2A7A668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从重情节</w:t>
            </w:r>
          </w:p>
        </w:tc>
        <w:tc>
          <w:tcPr>
            <w:tcW w:w="3437" w:type="dxa"/>
            <w:gridSpan w:val="2"/>
            <w:tcBorders>
              <w:tl2br w:val="nil"/>
              <w:tr2bl w:val="nil"/>
            </w:tcBorders>
            <w:tcMar>
              <w:top w:w="15" w:type="dxa"/>
              <w:left w:w="15" w:type="dxa"/>
              <w:bottom w:w="15" w:type="dxa"/>
              <w:right w:w="15" w:type="dxa"/>
            </w:tcMar>
            <w:vAlign w:val="center"/>
          </w:tcPr>
          <w:p w14:paraId="3D0620F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改变公共租赁住房的保障性住房性质、用途，以及配套设施的规划用途300平方米以上的。</w:t>
            </w:r>
          </w:p>
        </w:tc>
        <w:tc>
          <w:tcPr>
            <w:tcW w:w="3058" w:type="dxa"/>
            <w:tcBorders>
              <w:tl2br w:val="nil"/>
              <w:tr2bl w:val="nil"/>
            </w:tcBorders>
            <w:tcMar>
              <w:top w:w="15" w:type="dxa"/>
              <w:left w:w="15" w:type="dxa"/>
              <w:bottom w:w="15" w:type="dxa"/>
              <w:right w:w="15" w:type="dxa"/>
            </w:tcMar>
            <w:vAlign w:val="center"/>
          </w:tcPr>
          <w:p w14:paraId="468564F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责令限期改正，并处2万元以上3万元以下的罚款。</w:t>
            </w:r>
          </w:p>
        </w:tc>
      </w:tr>
      <w:tr w14:paraId="315A399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564" w:hRule="atLeast"/>
          <w:jc w:val="center"/>
        </w:trPr>
        <w:tc>
          <w:tcPr>
            <w:tcW w:w="443" w:type="dxa"/>
            <w:gridSpan w:val="2"/>
            <w:vMerge w:val="restart"/>
            <w:tcBorders>
              <w:tl2br w:val="nil"/>
              <w:tr2bl w:val="nil"/>
            </w:tcBorders>
            <w:vAlign w:val="center"/>
          </w:tcPr>
          <w:p w14:paraId="7D80B3FC">
            <w:pPr>
              <w:keepNext w:val="0"/>
              <w:keepLines w:val="0"/>
              <w:pageBreakBefore w:val="0"/>
              <w:widowControl/>
              <w:numPr>
                <w:ilvl w:val="0"/>
                <w:numId w:val="6"/>
              </w:numPr>
              <w:suppressLineNumbers w:val="0"/>
              <w:tabs>
                <w:tab w:val="clear" w:pos="397"/>
              </w:tabs>
              <w:kinsoku/>
              <w:overflowPunct/>
              <w:topLinePunct w:val="0"/>
              <w:autoSpaceDE/>
              <w:autoSpaceDN/>
              <w:bidi w:val="0"/>
              <w:adjustRightInd/>
              <w:snapToGrid/>
              <w:spacing w:beforeAutospacing="0" w:afterAutospacing="0" w:line="260" w:lineRule="exact"/>
              <w:ind w:left="638" w:leftChars="88" w:right="0" w:rightChars="0" w:hanging="453" w:hangingChars="349"/>
              <w:jc w:val="center"/>
              <w:textAlignment w:val="center"/>
              <w:rPr>
                <w:rFonts w:hint="default" w:ascii="仿宋_GB2312" w:hAnsi="宋体" w:eastAsia="仿宋_GB2312"/>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287</w:t>
            </w:r>
          </w:p>
        </w:tc>
        <w:tc>
          <w:tcPr>
            <w:tcW w:w="1550" w:type="dxa"/>
            <w:vMerge w:val="restart"/>
            <w:tcBorders>
              <w:tl2br w:val="nil"/>
              <w:tr2bl w:val="nil"/>
            </w:tcBorders>
            <w:vAlign w:val="center"/>
          </w:tcPr>
          <w:p w14:paraId="3DB8DA1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olor w:val="auto"/>
                <w:kern w:val="0"/>
                <w:sz w:val="13"/>
                <w:szCs w:val="13"/>
                <w:highlight w:val="none"/>
              </w:rPr>
            </w:pPr>
            <w:r>
              <w:rPr>
                <w:rFonts w:ascii="仿宋_GB2312" w:hAnsi="宋体" w:eastAsia="仿宋_GB2312"/>
                <w:color w:val="auto"/>
                <w:kern w:val="0"/>
                <w:sz w:val="13"/>
                <w:szCs w:val="13"/>
                <w:highlight w:val="none"/>
              </w:rPr>
              <w:t>以欺骗等不正手段，登记为轮候对象或者承租公共租赁住房的</w:t>
            </w:r>
          </w:p>
        </w:tc>
        <w:tc>
          <w:tcPr>
            <w:tcW w:w="4820" w:type="dxa"/>
            <w:vMerge w:val="restart"/>
            <w:tcBorders>
              <w:tl2br w:val="nil"/>
              <w:tr2bl w:val="nil"/>
            </w:tcBorders>
            <w:vAlign w:val="center"/>
          </w:tcPr>
          <w:p w14:paraId="2D6BAF1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《公共租赁住房管理办法》</w:t>
            </w:r>
            <w:r>
              <w:rPr>
                <w:rFonts w:ascii="仿宋_GB2312" w:hAnsi="宋体" w:eastAsia="仿宋_GB2312"/>
                <w:b/>
                <w:bCs/>
                <w:color w:val="auto"/>
                <w:kern w:val="0"/>
                <w:sz w:val="13"/>
                <w:szCs w:val="13"/>
                <w:highlight w:val="none"/>
              </w:rPr>
              <w:t>第三十</w:t>
            </w:r>
            <w:r>
              <w:rPr>
                <w:rFonts w:hint="eastAsia" w:ascii="仿宋_GB2312" w:hAnsi="宋体" w:eastAsia="仿宋_GB2312"/>
                <w:b/>
                <w:bCs/>
                <w:color w:val="auto"/>
                <w:kern w:val="0"/>
                <w:sz w:val="13"/>
                <w:szCs w:val="13"/>
                <w:highlight w:val="none"/>
              </w:rPr>
              <w:t>五</w:t>
            </w:r>
            <w:r>
              <w:rPr>
                <w:rFonts w:ascii="仿宋_GB2312" w:hAnsi="宋体" w:eastAsia="仿宋_GB2312"/>
                <w:b/>
                <w:bCs/>
                <w:color w:val="auto"/>
                <w:kern w:val="0"/>
                <w:sz w:val="13"/>
                <w:szCs w:val="13"/>
                <w:highlight w:val="none"/>
              </w:rPr>
              <w:t>条</w:t>
            </w:r>
            <w:bookmarkStart w:id="16" w:name="tiao_35_kuan_2"/>
            <w:bookmarkEnd w:id="16"/>
            <w:r>
              <w:rPr>
                <w:rFonts w:hint="eastAsia" w:ascii="仿宋_GB2312" w:hAnsi="宋体" w:eastAsia="仿宋_GB2312"/>
                <w:b/>
                <w:bCs/>
                <w:color w:val="auto"/>
                <w:kern w:val="0"/>
                <w:sz w:val="13"/>
                <w:szCs w:val="13"/>
                <w:highlight w:val="none"/>
              </w:rPr>
              <w:t>第二款</w:t>
            </w:r>
            <w:r>
              <w:rPr>
                <w:rFonts w:hint="eastAsia" w:ascii="仿宋_GB2312" w:hAnsi="宋体" w:eastAsia="仿宋_GB2312"/>
                <w:b/>
                <w:bCs/>
                <w:color w:val="auto"/>
                <w:kern w:val="0"/>
                <w:sz w:val="13"/>
                <w:szCs w:val="13"/>
                <w:highlight w:val="none"/>
                <w:lang w:eastAsia="zh-CN"/>
              </w:rPr>
              <w:t>：</w:t>
            </w:r>
            <w:r>
              <w:rPr>
                <w:rFonts w:ascii="仿宋_GB2312" w:hAnsi="宋体" w:eastAsia="仿宋_GB2312"/>
                <w:color w:val="auto"/>
                <w:kern w:val="0"/>
                <w:sz w:val="13"/>
                <w:szCs w:val="13"/>
                <w:highlight w:val="none"/>
              </w:rPr>
              <w:t>以欺骗等不正手段，登记为轮候对象或者承租公共租赁住房的，由市、县级人民政府住房保障主管部门处以1000元以下罚款，记入公共租赁住房管理档案；登记为轮候对象的，取消其登记；已承租公共租赁住房的，责令限期退回所承租公共租赁住房，并按市场价格补缴租金，逾期不退回的，可以依法申请人民法院强制执行，承租人自退回公共租赁住房之日起五年内不得再次申请公共租赁住房。</w:t>
            </w:r>
          </w:p>
          <w:p w14:paraId="35E00C5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《公共租赁住房管理办法》</w:t>
            </w:r>
            <w:r>
              <w:rPr>
                <w:rFonts w:hint="eastAsia" w:ascii="仿宋_GB2312" w:hAnsi="宋体" w:eastAsia="仿宋_GB2312"/>
                <w:b/>
                <w:bCs/>
                <w:color w:val="auto"/>
                <w:kern w:val="0"/>
                <w:sz w:val="13"/>
                <w:szCs w:val="13"/>
                <w:highlight w:val="none"/>
              </w:rPr>
              <w:t>第八条第一款</w:t>
            </w:r>
            <w:r>
              <w:rPr>
                <w:rFonts w:hint="eastAsia" w:ascii="仿宋_GB2312" w:hAnsi="宋体" w:eastAsia="仿宋_GB2312"/>
                <w:b/>
                <w:bCs/>
                <w:color w:val="auto"/>
                <w:kern w:val="0"/>
                <w:sz w:val="13"/>
                <w:szCs w:val="13"/>
                <w:highlight w:val="none"/>
                <w:lang w:eastAsia="zh-CN"/>
              </w:rPr>
              <w:t>：</w:t>
            </w:r>
            <w:r>
              <w:rPr>
                <w:rFonts w:hint="eastAsia" w:ascii="仿宋_GB2312" w:hAnsi="宋体" w:eastAsia="仿宋_GB2312"/>
                <w:color w:val="auto"/>
                <w:kern w:val="0"/>
                <w:sz w:val="13"/>
                <w:szCs w:val="13"/>
                <w:highlight w:val="none"/>
              </w:rPr>
              <w:t>申请人应当根据市、县级人民政府住房保障主管部门的规定，提交申请材料，并对申请材料的真实性负责。申请人应当书面同意市、县级人民政府住房保障主管部门核实其申报信息。</w:t>
            </w:r>
            <w:r>
              <w:rPr>
                <w:color w:val="auto"/>
                <w:sz w:val="13"/>
                <w:szCs w:val="13"/>
                <w:highlight w:val="none"/>
              </w:rPr>
              <w:fldChar w:fldCharType="begin"/>
            </w:r>
            <w:r>
              <w:rPr>
                <w:color w:val="auto"/>
                <w:sz w:val="13"/>
                <w:szCs w:val="13"/>
                <w:highlight w:val="none"/>
              </w:rPr>
              <w:instrText xml:space="preserve"> HYPERLINK "http://210.45.210.34:8000/rwt/189/https/P75YPLURNN4XZZLYF3SX85B/chl/javascript:void(0);" </w:instrText>
            </w:r>
            <w:r>
              <w:rPr>
                <w:color w:val="auto"/>
                <w:sz w:val="13"/>
                <w:szCs w:val="13"/>
                <w:highlight w:val="none"/>
              </w:rPr>
              <w:fldChar w:fldCharType="separate"/>
            </w:r>
            <w:r>
              <w:rPr>
                <w:color w:val="auto"/>
                <w:sz w:val="13"/>
                <w:szCs w:val="13"/>
                <w:highlight w:val="none"/>
              </w:rPr>
              <w:fldChar w:fldCharType="end"/>
            </w:r>
          </w:p>
          <w:p w14:paraId="10E1FF8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olor w:val="auto"/>
                <w:kern w:val="0"/>
                <w:sz w:val="13"/>
                <w:szCs w:val="13"/>
                <w:highlight w:val="none"/>
              </w:rPr>
            </w:pPr>
          </w:p>
        </w:tc>
        <w:tc>
          <w:tcPr>
            <w:tcW w:w="823" w:type="dxa"/>
            <w:tcBorders>
              <w:tl2br w:val="nil"/>
              <w:tr2bl w:val="nil"/>
            </w:tcBorders>
            <w:tcMar>
              <w:top w:w="15" w:type="dxa"/>
              <w:left w:w="15" w:type="dxa"/>
              <w:bottom w:w="15" w:type="dxa"/>
              <w:right w:w="15" w:type="dxa"/>
            </w:tcMar>
            <w:vAlign w:val="center"/>
          </w:tcPr>
          <w:p w14:paraId="558D296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tcMar>
              <w:top w:w="15" w:type="dxa"/>
              <w:left w:w="15" w:type="dxa"/>
              <w:bottom w:w="15" w:type="dxa"/>
              <w:right w:w="15" w:type="dxa"/>
            </w:tcMar>
            <w:vAlign w:val="center"/>
          </w:tcPr>
          <w:p w14:paraId="60E5192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以欺骗等不正当手段登记为轮候对象，但未承租公共租赁住房的。</w:t>
            </w:r>
          </w:p>
        </w:tc>
        <w:tc>
          <w:tcPr>
            <w:tcW w:w="3058" w:type="dxa"/>
            <w:tcBorders>
              <w:tl2br w:val="nil"/>
              <w:tr2bl w:val="nil"/>
            </w:tcBorders>
            <w:tcMar>
              <w:top w:w="15" w:type="dxa"/>
              <w:left w:w="15" w:type="dxa"/>
              <w:bottom w:w="15" w:type="dxa"/>
              <w:right w:w="15" w:type="dxa"/>
            </w:tcMar>
            <w:vAlign w:val="center"/>
          </w:tcPr>
          <w:p w14:paraId="5F27492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取消其轮候登记。</w:t>
            </w:r>
          </w:p>
        </w:tc>
      </w:tr>
      <w:tr w14:paraId="15FFDB8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752" w:hRule="atLeast"/>
          <w:jc w:val="center"/>
        </w:trPr>
        <w:tc>
          <w:tcPr>
            <w:tcW w:w="443" w:type="dxa"/>
            <w:gridSpan w:val="2"/>
            <w:vMerge w:val="continue"/>
            <w:tcBorders>
              <w:tl2br w:val="nil"/>
              <w:tr2bl w:val="nil"/>
            </w:tcBorders>
            <w:vAlign w:val="center"/>
          </w:tcPr>
          <w:p w14:paraId="1F8DCE3B">
            <w:pPr>
              <w:pStyle w:val="37"/>
              <w:keepNext w:val="0"/>
              <w:keepLines w:val="0"/>
              <w:pageBreakBefore w:val="0"/>
              <w:widowControl/>
              <w:numPr>
                <w:ilvl w:val="0"/>
                <w:numId w:val="9"/>
              </w:numPr>
              <w:kinsoku/>
              <w:overflowPunct/>
              <w:topLinePunct w:val="0"/>
              <w:autoSpaceDE/>
              <w:autoSpaceDN/>
              <w:bidi w:val="0"/>
              <w:adjustRightInd/>
              <w:snapToGrid/>
              <w:spacing w:beforeAutospacing="0" w:afterAutospacing="0" w:line="260" w:lineRule="exact"/>
              <w:ind w:left="638" w:leftChars="88" w:right="0" w:rightChars="0" w:hanging="453" w:hangingChars="349"/>
              <w:jc w:val="center"/>
              <w:textAlignment w:val="center"/>
              <w:rPr>
                <w:color w:val="auto"/>
                <w:sz w:val="13"/>
                <w:szCs w:val="13"/>
                <w:highlight w:val="none"/>
              </w:rPr>
            </w:pPr>
          </w:p>
        </w:tc>
        <w:tc>
          <w:tcPr>
            <w:tcW w:w="1550" w:type="dxa"/>
            <w:vMerge w:val="continue"/>
            <w:tcBorders>
              <w:tl2br w:val="nil"/>
              <w:tr2bl w:val="nil"/>
            </w:tcBorders>
            <w:vAlign w:val="center"/>
          </w:tcPr>
          <w:p w14:paraId="52704A8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5CC21CA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001BC9A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一般情节</w:t>
            </w:r>
          </w:p>
        </w:tc>
        <w:tc>
          <w:tcPr>
            <w:tcW w:w="3437" w:type="dxa"/>
            <w:gridSpan w:val="2"/>
            <w:tcBorders>
              <w:tl2br w:val="nil"/>
              <w:tr2bl w:val="nil"/>
            </w:tcBorders>
            <w:tcMar>
              <w:top w:w="15" w:type="dxa"/>
              <w:left w:w="15" w:type="dxa"/>
              <w:bottom w:w="15" w:type="dxa"/>
              <w:right w:w="15" w:type="dxa"/>
            </w:tcMar>
            <w:vAlign w:val="center"/>
          </w:tcPr>
          <w:p w14:paraId="3AAA7B0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以欺骗等不正当手段承租公共租赁住房，在限期内能退回所承租公共租赁住房，并按市场价格补缴租金的。</w:t>
            </w:r>
          </w:p>
        </w:tc>
        <w:tc>
          <w:tcPr>
            <w:tcW w:w="3058" w:type="dxa"/>
            <w:tcBorders>
              <w:tl2br w:val="nil"/>
              <w:tr2bl w:val="nil"/>
            </w:tcBorders>
            <w:tcMar>
              <w:top w:w="15" w:type="dxa"/>
              <w:left w:w="15" w:type="dxa"/>
              <w:bottom w:w="15" w:type="dxa"/>
              <w:right w:w="15" w:type="dxa"/>
            </w:tcMar>
            <w:vAlign w:val="center"/>
          </w:tcPr>
          <w:p w14:paraId="19A7EFE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处以5百元以下罚款。</w:t>
            </w:r>
          </w:p>
        </w:tc>
      </w:tr>
      <w:tr w14:paraId="18FBBED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752" w:hRule="atLeast"/>
          <w:jc w:val="center"/>
        </w:trPr>
        <w:tc>
          <w:tcPr>
            <w:tcW w:w="443" w:type="dxa"/>
            <w:gridSpan w:val="2"/>
            <w:vMerge w:val="continue"/>
            <w:tcBorders>
              <w:tl2br w:val="nil"/>
              <w:tr2bl w:val="nil"/>
            </w:tcBorders>
            <w:vAlign w:val="center"/>
          </w:tcPr>
          <w:p w14:paraId="5B242C0E">
            <w:pPr>
              <w:pStyle w:val="37"/>
              <w:keepNext w:val="0"/>
              <w:keepLines w:val="0"/>
              <w:pageBreakBefore w:val="0"/>
              <w:widowControl/>
              <w:numPr>
                <w:ilvl w:val="0"/>
                <w:numId w:val="9"/>
              </w:numPr>
              <w:kinsoku/>
              <w:overflowPunct/>
              <w:topLinePunct w:val="0"/>
              <w:autoSpaceDE/>
              <w:autoSpaceDN/>
              <w:bidi w:val="0"/>
              <w:adjustRightInd/>
              <w:snapToGrid/>
              <w:spacing w:beforeAutospacing="0" w:afterAutospacing="0" w:line="260" w:lineRule="exact"/>
              <w:ind w:left="638" w:leftChars="88" w:right="0" w:rightChars="0" w:hanging="453" w:hangingChars="349"/>
              <w:jc w:val="center"/>
              <w:textAlignment w:val="center"/>
              <w:rPr>
                <w:rFonts w:ascii="仿宋_GB2312" w:hAnsi="宋体" w:eastAsia="仿宋_GB2312"/>
                <w:color w:val="auto"/>
                <w:kern w:val="0"/>
                <w:sz w:val="13"/>
                <w:szCs w:val="13"/>
                <w:highlight w:val="none"/>
              </w:rPr>
            </w:pPr>
          </w:p>
        </w:tc>
        <w:tc>
          <w:tcPr>
            <w:tcW w:w="1550" w:type="dxa"/>
            <w:vMerge w:val="continue"/>
            <w:tcBorders>
              <w:tl2br w:val="nil"/>
              <w:tr2bl w:val="nil"/>
            </w:tcBorders>
            <w:vAlign w:val="center"/>
          </w:tcPr>
          <w:p w14:paraId="0830933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42146D6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olor w:val="auto"/>
                <w:kern w:val="0"/>
                <w:sz w:val="13"/>
                <w:szCs w:val="13"/>
                <w:highlight w:val="none"/>
              </w:rPr>
            </w:pPr>
          </w:p>
        </w:tc>
        <w:tc>
          <w:tcPr>
            <w:tcW w:w="823" w:type="dxa"/>
            <w:tcBorders>
              <w:tl2br w:val="nil"/>
              <w:tr2bl w:val="nil"/>
            </w:tcBorders>
            <w:tcMar>
              <w:top w:w="15" w:type="dxa"/>
              <w:left w:w="15" w:type="dxa"/>
              <w:bottom w:w="15" w:type="dxa"/>
              <w:right w:w="15" w:type="dxa"/>
            </w:tcMar>
            <w:vAlign w:val="center"/>
          </w:tcPr>
          <w:p w14:paraId="1B5D23A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从重情节</w:t>
            </w:r>
          </w:p>
        </w:tc>
        <w:tc>
          <w:tcPr>
            <w:tcW w:w="3437" w:type="dxa"/>
            <w:gridSpan w:val="2"/>
            <w:tcBorders>
              <w:tl2br w:val="nil"/>
              <w:tr2bl w:val="nil"/>
            </w:tcBorders>
            <w:tcMar>
              <w:top w:w="15" w:type="dxa"/>
              <w:left w:w="15" w:type="dxa"/>
              <w:bottom w:w="15" w:type="dxa"/>
              <w:right w:w="15" w:type="dxa"/>
            </w:tcMar>
            <w:vAlign w:val="center"/>
          </w:tcPr>
          <w:p w14:paraId="2578928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以欺骗等不正当手段承租公共租赁住房，逾期不退回或逾期不按市场价格补缴租金，造成恶劣社会影响的。</w:t>
            </w:r>
          </w:p>
        </w:tc>
        <w:tc>
          <w:tcPr>
            <w:tcW w:w="3058" w:type="dxa"/>
            <w:tcBorders>
              <w:tl2br w:val="nil"/>
              <w:tr2bl w:val="nil"/>
            </w:tcBorders>
            <w:tcMar>
              <w:top w:w="15" w:type="dxa"/>
              <w:left w:w="15" w:type="dxa"/>
              <w:bottom w:w="15" w:type="dxa"/>
              <w:right w:w="15" w:type="dxa"/>
            </w:tcMar>
            <w:vAlign w:val="center"/>
          </w:tcPr>
          <w:p w14:paraId="2C96EF8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处以5百元以上1千元以下罚款。</w:t>
            </w:r>
            <w:r>
              <w:rPr>
                <w:rFonts w:ascii="仿宋_GB2312" w:hAnsi="宋体" w:eastAsia="仿宋_GB2312"/>
                <w:color w:val="auto"/>
                <w:kern w:val="0"/>
                <w:sz w:val="13"/>
                <w:szCs w:val="13"/>
                <w:highlight w:val="none"/>
              </w:rPr>
              <w:t>可以依法申请人民法院强制执行，</w:t>
            </w:r>
            <w:r>
              <w:rPr>
                <w:rFonts w:hint="eastAsia" w:ascii="仿宋_GB2312" w:hAnsi="宋体" w:eastAsia="仿宋_GB2312"/>
                <w:color w:val="auto"/>
                <w:kern w:val="0"/>
                <w:sz w:val="13"/>
                <w:szCs w:val="13"/>
                <w:highlight w:val="none"/>
              </w:rPr>
              <w:t>承租人自退回公共租赁住房之日起五年内不得再次申请公共租赁住房。</w:t>
            </w:r>
          </w:p>
        </w:tc>
      </w:tr>
      <w:tr w14:paraId="14C87CD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752" w:hRule="atLeast"/>
          <w:jc w:val="center"/>
        </w:trPr>
        <w:tc>
          <w:tcPr>
            <w:tcW w:w="443" w:type="dxa"/>
            <w:gridSpan w:val="2"/>
            <w:vMerge w:val="restart"/>
            <w:tcBorders>
              <w:tl2br w:val="nil"/>
              <w:tr2bl w:val="nil"/>
            </w:tcBorders>
            <w:vAlign w:val="center"/>
          </w:tcPr>
          <w:p w14:paraId="6FBFEF29">
            <w:pPr>
              <w:keepNext w:val="0"/>
              <w:keepLines w:val="0"/>
              <w:pageBreakBefore w:val="0"/>
              <w:widowControl/>
              <w:numPr>
                <w:ilvl w:val="0"/>
                <w:numId w:val="6"/>
              </w:numPr>
              <w:suppressLineNumbers w:val="0"/>
              <w:tabs>
                <w:tab w:val="clear" w:pos="397"/>
              </w:tabs>
              <w:kinsoku/>
              <w:overflowPunct/>
              <w:topLinePunct w:val="0"/>
              <w:autoSpaceDE/>
              <w:autoSpaceDN/>
              <w:bidi w:val="0"/>
              <w:adjustRightInd/>
              <w:snapToGrid/>
              <w:spacing w:beforeAutospacing="0" w:afterAutospacing="0" w:line="260" w:lineRule="exact"/>
              <w:ind w:left="638" w:leftChars="88" w:right="0" w:rightChars="0" w:hanging="453" w:hangingChars="349"/>
              <w:jc w:val="center"/>
              <w:textAlignment w:val="center"/>
              <w:rPr>
                <w:rFonts w:hint="default" w:ascii="仿宋_GB2312" w:hAnsi="宋体" w:eastAsia="仿宋_GB2312"/>
                <w:color w:val="auto"/>
                <w:kern w:val="0"/>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288</w:t>
            </w:r>
          </w:p>
        </w:tc>
        <w:tc>
          <w:tcPr>
            <w:tcW w:w="1550" w:type="dxa"/>
            <w:vMerge w:val="restart"/>
            <w:tcBorders>
              <w:tl2br w:val="nil"/>
              <w:tr2bl w:val="nil"/>
            </w:tcBorders>
            <w:vAlign w:val="center"/>
          </w:tcPr>
          <w:p w14:paraId="744517A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olor w:val="auto"/>
                <w:kern w:val="0"/>
                <w:sz w:val="13"/>
                <w:szCs w:val="13"/>
                <w:highlight w:val="none"/>
              </w:rPr>
            </w:pPr>
            <w:r>
              <w:rPr>
                <w:rFonts w:ascii="仿宋_GB2312" w:hAnsi="宋体" w:eastAsia="仿宋_GB2312"/>
                <w:color w:val="auto"/>
                <w:kern w:val="0"/>
                <w:sz w:val="13"/>
                <w:szCs w:val="13"/>
                <w:highlight w:val="none"/>
              </w:rPr>
              <w:t>承租人有下列行为之一的：</w:t>
            </w:r>
          </w:p>
          <w:p w14:paraId="635CF13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　（一）转借、转租或者擅自调换所承租公共租赁住房的；</w:t>
            </w:r>
          </w:p>
          <w:p w14:paraId="7A0251D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　　（二）改变所承租公共租赁住房用途的；</w:t>
            </w:r>
          </w:p>
          <w:p w14:paraId="6DC004E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　　（三）破坏或者擅自装修所承租公共租赁住房，拒不恢复原状的；</w:t>
            </w:r>
          </w:p>
          <w:p w14:paraId="27B0F8A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　　（四）在公共租赁住房内从事违法活动的；</w:t>
            </w:r>
          </w:p>
          <w:p w14:paraId="6E2BF28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　（五）无正当理由连续6个月以上闲置公共租赁住房的。</w:t>
            </w:r>
          </w:p>
        </w:tc>
        <w:tc>
          <w:tcPr>
            <w:tcW w:w="4820" w:type="dxa"/>
            <w:vMerge w:val="restart"/>
            <w:tcBorders>
              <w:tl2br w:val="nil"/>
              <w:tr2bl w:val="nil"/>
            </w:tcBorders>
            <w:vAlign w:val="center"/>
          </w:tcPr>
          <w:p w14:paraId="191C9DC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《公共租赁住房管理办法》</w:t>
            </w:r>
            <w:r>
              <w:rPr>
                <w:rFonts w:hint="eastAsia" w:ascii="仿宋_GB2312" w:hAnsi="宋体" w:eastAsia="仿宋_GB2312"/>
                <w:b/>
                <w:bCs/>
                <w:color w:val="auto"/>
                <w:kern w:val="0"/>
                <w:sz w:val="13"/>
                <w:szCs w:val="13"/>
                <w:highlight w:val="none"/>
              </w:rPr>
              <w:t>第三十六条：</w:t>
            </w:r>
            <w:r>
              <w:rPr>
                <w:rFonts w:hint="eastAsia" w:ascii="仿宋_GB2312" w:hAnsi="宋体" w:eastAsia="仿宋_GB2312"/>
                <w:color w:val="auto"/>
                <w:kern w:val="0"/>
                <w:sz w:val="13"/>
                <w:szCs w:val="13"/>
                <w:highlight w:val="none"/>
              </w:rPr>
              <w:t>承租人有下列行为之一的，由市、县级人民政府住房保障主管部门责令按市场价格补缴从违法行为发生之日起的租金，记入公共租赁住房管理档案，处以1000元以下罚款；有违法所得的，处以违法所得3倍以下但不超过3万元的罚款：</w:t>
            </w:r>
          </w:p>
          <w:p w14:paraId="17DAE98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0" w:firstLineChars="200"/>
              <w:textAlignment w:val="center"/>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（一）转借、转租或者擅自调换所承租公共租赁住房的；</w:t>
            </w:r>
          </w:p>
          <w:p w14:paraId="6F0A816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　　（二）改变所承租公共租赁住房用途的；</w:t>
            </w:r>
          </w:p>
          <w:p w14:paraId="6ADD98A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　　（三）破坏或者擅自装修所承租公共租赁住房，拒不恢复原状的；</w:t>
            </w:r>
          </w:p>
          <w:p w14:paraId="12EA513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　　（四）在公共租赁住房内从事违法活动的；</w:t>
            </w:r>
          </w:p>
          <w:p w14:paraId="041890B0">
            <w:pPr>
              <w:keepNext w:val="0"/>
              <w:keepLines w:val="0"/>
              <w:pageBreakBefore w:val="0"/>
              <w:widowControl/>
              <w:numPr>
                <w:ilvl w:val="0"/>
                <w:numId w:val="10"/>
              </w:numPr>
              <w:kinsoku/>
              <w:overflowPunct/>
              <w:topLinePunct w:val="0"/>
              <w:autoSpaceDE/>
              <w:autoSpaceDN/>
              <w:bidi w:val="0"/>
              <w:adjustRightInd/>
              <w:snapToGrid/>
              <w:spacing w:beforeAutospacing="0" w:afterAutospacing="0" w:line="260" w:lineRule="exact"/>
              <w:ind w:left="0" w:leftChars="0" w:right="0" w:rightChars="0" w:firstLine="0" w:firstLineChars="0"/>
              <w:textAlignment w:val="center"/>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无正当理由连续6个月以上闲置公共租赁住房的。</w:t>
            </w:r>
          </w:p>
          <w:p w14:paraId="68B1ACA4">
            <w:pPr>
              <w:keepNext w:val="0"/>
              <w:keepLines w:val="0"/>
              <w:pageBreakBefore w:val="0"/>
              <w:widowControl/>
              <w:numPr>
                <w:ilvl w:val="0"/>
                <w:numId w:val="0"/>
              </w:numPr>
              <w:kinsoku/>
              <w:overflowPunct/>
              <w:topLinePunct w:val="0"/>
              <w:autoSpaceDE/>
              <w:autoSpaceDN/>
              <w:bidi w:val="0"/>
              <w:adjustRightInd/>
              <w:snapToGrid/>
              <w:spacing w:beforeAutospacing="0" w:afterAutospacing="0" w:line="260" w:lineRule="exact"/>
              <w:ind w:left="0" w:leftChars="0" w:right="0" w:rightChars="0" w:firstLine="260" w:firstLineChars="200"/>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有前款所列行为，承租人自退回公共租赁住房之日起五年内不得再次申请公共租赁住房；造成损失的，依法承担赔偿责任。</w:t>
            </w:r>
          </w:p>
          <w:p w14:paraId="745E9D9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《公共租赁住房管理办法》</w:t>
            </w:r>
            <w:r>
              <w:rPr>
                <w:rFonts w:hint="eastAsia" w:ascii="仿宋_GB2312" w:hAnsi="宋体" w:eastAsia="仿宋_GB2312"/>
                <w:b/>
                <w:bCs/>
                <w:color w:val="auto"/>
                <w:kern w:val="0"/>
                <w:sz w:val="13"/>
                <w:szCs w:val="13"/>
                <w:highlight w:val="none"/>
              </w:rPr>
              <w:t>第二十七条第一款</w:t>
            </w:r>
            <w:r>
              <w:rPr>
                <w:rFonts w:hint="eastAsia" w:ascii="仿宋_GB2312" w:hAnsi="宋体" w:eastAsia="仿宋_GB2312"/>
                <w:b/>
                <w:bCs/>
                <w:color w:val="auto"/>
                <w:kern w:val="0"/>
                <w:sz w:val="13"/>
                <w:szCs w:val="13"/>
                <w:highlight w:val="none"/>
                <w:lang w:eastAsia="zh-CN"/>
              </w:rPr>
              <w:t>：</w:t>
            </w:r>
            <w:r>
              <w:rPr>
                <w:rFonts w:ascii="仿宋_GB2312" w:hAnsi="宋体" w:eastAsia="仿宋_GB2312"/>
                <w:color w:val="auto"/>
                <w:kern w:val="0"/>
                <w:sz w:val="13"/>
                <w:szCs w:val="13"/>
                <w:highlight w:val="none"/>
              </w:rPr>
              <w:t>承租人有下列行为之一的，应当退回公共租赁住房：</w:t>
            </w:r>
          </w:p>
          <w:p w14:paraId="18FE827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　（一）转借、转租或者擅自调换所承租公共租赁住房的；</w:t>
            </w:r>
          </w:p>
          <w:p w14:paraId="0027020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　　（二）改变所承租公共租赁住房用途的；</w:t>
            </w:r>
          </w:p>
          <w:p w14:paraId="4CF8A8B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　　（三）破坏或者擅自装修所承租公共租赁住房，拒不恢复原状的；</w:t>
            </w:r>
          </w:p>
          <w:p w14:paraId="1A202C0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　　（四）在公共租赁住房内从事违法活动的；</w:t>
            </w:r>
          </w:p>
          <w:p w14:paraId="67CB2A6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　　（五）无正当理由连续6个月以上闲置公共租赁住房的。</w:t>
            </w:r>
          </w:p>
        </w:tc>
        <w:tc>
          <w:tcPr>
            <w:tcW w:w="823" w:type="dxa"/>
            <w:tcBorders>
              <w:tl2br w:val="nil"/>
              <w:tr2bl w:val="nil"/>
            </w:tcBorders>
            <w:tcMar>
              <w:top w:w="15" w:type="dxa"/>
              <w:left w:w="15" w:type="dxa"/>
              <w:bottom w:w="15" w:type="dxa"/>
              <w:right w:w="15" w:type="dxa"/>
            </w:tcMar>
            <w:vAlign w:val="center"/>
          </w:tcPr>
          <w:p w14:paraId="77D221B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tcMar>
              <w:top w:w="15" w:type="dxa"/>
              <w:left w:w="15" w:type="dxa"/>
              <w:bottom w:w="15" w:type="dxa"/>
              <w:right w:w="15" w:type="dxa"/>
            </w:tcMar>
            <w:vAlign w:val="center"/>
          </w:tcPr>
          <w:p w14:paraId="219C542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初次违法，危害后果轻微，主动采取措施消除或减轻违法行为危害后果。</w:t>
            </w:r>
          </w:p>
        </w:tc>
        <w:tc>
          <w:tcPr>
            <w:tcW w:w="3058" w:type="dxa"/>
            <w:tcBorders>
              <w:tl2br w:val="nil"/>
              <w:tr2bl w:val="nil"/>
            </w:tcBorders>
            <w:tcMar>
              <w:top w:w="15" w:type="dxa"/>
              <w:left w:w="15" w:type="dxa"/>
              <w:bottom w:w="15" w:type="dxa"/>
              <w:right w:w="15" w:type="dxa"/>
            </w:tcMar>
            <w:vAlign w:val="center"/>
          </w:tcPr>
          <w:p w14:paraId="3B4018A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按市场价格补缴从违法行为发生之日起的租金，记入公共租赁住房管理档案，承租人自退回公共租赁住房之日起五年内不得再次申请公共租赁住房，处以3百元以下罚款；有违法所得的，处以违法所得1倍以下但不超过3万元的罚款。</w:t>
            </w:r>
          </w:p>
        </w:tc>
      </w:tr>
      <w:tr w14:paraId="712A4C1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752" w:hRule="atLeast"/>
          <w:jc w:val="center"/>
        </w:trPr>
        <w:tc>
          <w:tcPr>
            <w:tcW w:w="443" w:type="dxa"/>
            <w:gridSpan w:val="2"/>
            <w:vMerge w:val="continue"/>
            <w:tcBorders>
              <w:tl2br w:val="nil"/>
              <w:tr2bl w:val="nil"/>
            </w:tcBorders>
            <w:vAlign w:val="center"/>
          </w:tcPr>
          <w:p w14:paraId="5F9B25EB">
            <w:pPr>
              <w:pStyle w:val="37"/>
              <w:keepNext w:val="0"/>
              <w:keepLines w:val="0"/>
              <w:pageBreakBefore w:val="0"/>
              <w:widowControl/>
              <w:numPr>
                <w:ilvl w:val="0"/>
                <w:numId w:val="9"/>
              </w:numPr>
              <w:kinsoku/>
              <w:overflowPunct/>
              <w:topLinePunct w:val="0"/>
              <w:autoSpaceDE/>
              <w:autoSpaceDN/>
              <w:bidi w:val="0"/>
              <w:adjustRightInd/>
              <w:snapToGrid/>
              <w:spacing w:beforeAutospacing="0" w:afterAutospacing="0" w:line="260" w:lineRule="exact"/>
              <w:ind w:left="638" w:leftChars="88" w:right="0" w:rightChars="0" w:hanging="453" w:hangingChars="349"/>
              <w:jc w:val="center"/>
              <w:textAlignment w:val="center"/>
              <w:rPr>
                <w:rFonts w:ascii="仿宋_GB2312" w:hAnsi="宋体" w:eastAsia="仿宋_GB2312"/>
                <w:color w:val="auto"/>
                <w:kern w:val="0"/>
                <w:sz w:val="13"/>
                <w:szCs w:val="13"/>
                <w:highlight w:val="none"/>
              </w:rPr>
            </w:pPr>
          </w:p>
        </w:tc>
        <w:tc>
          <w:tcPr>
            <w:tcW w:w="1550" w:type="dxa"/>
            <w:vMerge w:val="continue"/>
            <w:tcBorders>
              <w:tl2br w:val="nil"/>
              <w:tr2bl w:val="nil"/>
            </w:tcBorders>
            <w:vAlign w:val="center"/>
          </w:tcPr>
          <w:p w14:paraId="377891A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0770300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olor w:val="auto"/>
                <w:kern w:val="0"/>
                <w:sz w:val="13"/>
                <w:szCs w:val="13"/>
                <w:highlight w:val="none"/>
              </w:rPr>
            </w:pPr>
          </w:p>
        </w:tc>
        <w:tc>
          <w:tcPr>
            <w:tcW w:w="823" w:type="dxa"/>
            <w:tcBorders>
              <w:tl2br w:val="nil"/>
              <w:tr2bl w:val="nil"/>
            </w:tcBorders>
            <w:tcMar>
              <w:top w:w="15" w:type="dxa"/>
              <w:left w:w="15" w:type="dxa"/>
              <w:bottom w:w="15" w:type="dxa"/>
              <w:right w:w="15" w:type="dxa"/>
            </w:tcMar>
            <w:vAlign w:val="center"/>
          </w:tcPr>
          <w:p w14:paraId="5E1C4D3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一般情节</w:t>
            </w:r>
          </w:p>
        </w:tc>
        <w:tc>
          <w:tcPr>
            <w:tcW w:w="3437" w:type="dxa"/>
            <w:gridSpan w:val="2"/>
            <w:tcBorders>
              <w:tl2br w:val="nil"/>
              <w:tr2bl w:val="nil"/>
            </w:tcBorders>
            <w:tcMar>
              <w:top w:w="15" w:type="dxa"/>
              <w:left w:w="15" w:type="dxa"/>
              <w:bottom w:w="15" w:type="dxa"/>
              <w:right w:w="15" w:type="dxa"/>
            </w:tcMar>
            <w:vAlign w:val="center"/>
          </w:tcPr>
          <w:p w14:paraId="01C80AC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实施违法行为，造成不良社会影响，不具有从轻、</w:t>
            </w:r>
            <w:r>
              <w:rPr>
                <w:rFonts w:hint="eastAsia" w:ascii="仿宋_GB2312" w:hAnsi="宋体" w:eastAsia="仿宋_GB2312"/>
                <w:color w:val="auto"/>
                <w:kern w:val="0"/>
                <w:sz w:val="13"/>
                <w:szCs w:val="13"/>
                <w:highlight w:val="none"/>
                <w:lang w:eastAsia="zh-CN"/>
              </w:rPr>
              <w:t>从重情节</w:t>
            </w:r>
            <w:r>
              <w:rPr>
                <w:rFonts w:hint="eastAsia" w:ascii="仿宋_GB2312" w:hAnsi="宋体" w:eastAsia="仿宋_GB2312"/>
                <w:color w:val="auto"/>
                <w:kern w:val="0"/>
                <w:sz w:val="13"/>
                <w:szCs w:val="13"/>
                <w:highlight w:val="none"/>
              </w:rPr>
              <w:t>的。</w:t>
            </w:r>
          </w:p>
        </w:tc>
        <w:tc>
          <w:tcPr>
            <w:tcW w:w="3058" w:type="dxa"/>
            <w:tcBorders>
              <w:tl2br w:val="nil"/>
              <w:tr2bl w:val="nil"/>
            </w:tcBorders>
            <w:tcMar>
              <w:top w:w="15" w:type="dxa"/>
              <w:left w:w="15" w:type="dxa"/>
              <w:bottom w:w="15" w:type="dxa"/>
              <w:right w:w="15" w:type="dxa"/>
            </w:tcMar>
            <w:vAlign w:val="center"/>
          </w:tcPr>
          <w:p w14:paraId="59AF229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按市场价格补缴从违法行为发生之日起的租金，记入公共租赁住房管理档案，承租人自退回公共租赁住房之日起五年内不得再次申请公共租赁住房，处以3百元以上7百元以下罚款；有违法所得的，处以违法所得1倍以上2倍以下但不超过3万元的罚款。</w:t>
            </w:r>
          </w:p>
        </w:tc>
      </w:tr>
      <w:tr w14:paraId="160E530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752" w:hRule="atLeast"/>
          <w:jc w:val="center"/>
        </w:trPr>
        <w:tc>
          <w:tcPr>
            <w:tcW w:w="443" w:type="dxa"/>
            <w:gridSpan w:val="2"/>
            <w:vMerge w:val="continue"/>
            <w:tcBorders>
              <w:tl2br w:val="nil"/>
              <w:tr2bl w:val="nil"/>
            </w:tcBorders>
            <w:vAlign w:val="center"/>
          </w:tcPr>
          <w:p w14:paraId="18F1C9D7">
            <w:pPr>
              <w:pStyle w:val="37"/>
              <w:keepNext w:val="0"/>
              <w:keepLines w:val="0"/>
              <w:pageBreakBefore w:val="0"/>
              <w:widowControl/>
              <w:numPr>
                <w:ilvl w:val="0"/>
                <w:numId w:val="9"/>
              </w:numPr>
              <w:kinsoku/>
              <w:overflowPunct/>
              <w:topLinePunct w:val="0"/>
              <w:autoSpaceDE/>
              <w:autoSpaceDN/>
              <w:bidi w:val="0"/>
              <w:adjustRightInd/>
              <w:snapToGrid/>
              <w:spacing w:beforeAutospacing="0" w:afterAutospacing="0" w:line="260" w:lineRule="exact"/>
              <w:ind w:left="638" w:leftChars="88" w:right="0" w:rightChars="0" w:hanging="453" w:hangingChars="349"/>
              <w:jc w:val="center"/>
              <w:textAlignment w:val="center"/>
              <w:rPr>
                <w:rFonts w:ascii="仿宋_GB2312" w:hAnsi="宋体" w:eastAsia="仿宋_GB2312"/>
                <w:color w:val="auto"/>
                <w:kern w:val="0"/>
                <w:sz w:val="13"/>
                <w:szCs w:val="13"/>
                <w:highlight w:val="none"/>
              </w:rPr>
            </w:pPr>
          </w:p>
        </w:tc>
        <w:tc>
          <w:tcPr>
            <w:tcW w:w="1550" w:type="dxa"/>
            <w:vMerge w:val="continue"/>
            <w:tcBorders>
              <w:tl2br w:val="nil"/>
              <w:tr2bl w:val="nil"/>
            </w:tcBorders>
            <w:vAlign w:val="center"/>
          </w:tcPr>
          <w:p w14:paraId="7E1073B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3F66091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olor w:val="auto"/>
                <w:kern w:val="0"/>
                <w:sz w:val="13"/>
                <w:szCs w:val="13"/>
                <w:highlight w:val="none"/>
              </w:rPr>
            </w:pPr>
          </w:p>
        </w:tc>
        <w:tc>
          <w:tcPr>
            <w:tcW w:w="823" w:type="dxa"/>
            <w:tcBorders>
              <w:tl2br w:val="nil"/>
              <w:tr2bl w:val="nil"/>
            </w:tcBorders>
            <w:tcMar>
              <w:top w:w="15" w:type="dxa"/>
              <w:left w:w="15" w:type="dxa"/>
              <w:bottom w:w="15" w:type="dxa"/>
              <w:right w:w="15" w:type="dxa"/>
            </w:tcMar>
            <w:vAlign w:val="center"/>
          </w:tcPr>
          <w:p w14:paraId="41C4C36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从重情节</w:t>
            </w:r>
          </w:p>
        </w:tc>
        <w:tc>
          <w:tcPr>
            <w:tcW w:w="3437" w:type="dxa"/>
            <w:gridSpan w:val="2"/>
            <w:tcBorders>
              <w:tl2br w:val="nil"/>
              <w:tr2bl w:val="nil"/>
            </w:tcBorders>
            <w:tcMar>
              <w:top w:w="15" w:type="dxa"/>
              <w:left w:w="15" w:type="dxa"/>
              <w:bottom w:w="15" w:type="dxa"/>
              <w:right w:w="15" w:type="dxa"/>
            </w:tcMar>
            <w:vAlign w:val="center"/>
          </w:tcPr>
          <w:p w14:paraId="688A012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经责令停止违法行为后，继续实施违法行为的。</w:t>
            </w:r>
          </w:p>
        </w:tc>
        <w:tc>
          <w:tcPr>
            <w:tcW w:w="3058" w:type="dxa"/>
            <w:tcBorders>
              <w:tl2br w:val="nil"/>
              <w:tr2bl w:val="nil"/>
            </w:tcBorders>
            <w:tcMar>
              <w:top w:w="15" w:type="dxa"/>
              <w:left w:w="15" w:type="dxa"/>
              <w:bottom w:w="15" w:type="dxa"/>
              <w:right w:w="15" w:type="dxa"/>
            </w:tcMar>
            <w:vAlign w:val="center"/>
          </w:tcPr>
          <w:p w14:paraId="6A731F2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按市场价格补缴从违法行为发生之日起的租金，记入公共租赁住房管理档案，承租人自退回公共租赁住房之日起五年内不得再次申请公共租赁住房，处以7百元以上1千元以下罚款；有违法所得的，处以违法所得2倍以上3倍以下但不超过3万元的罚款。</w:t>
            </w:r>
          </w:p>
        </w:tc>
      </w:tr>
      <w:tr w14:paraId="5F8F5D4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441" w:hRule="atLeast"/>
          <w:jc w:val="center"/>
        </w:trPr>
        <w:tc>
          <w:tcPr>
            <w:tcW w:w="443" w:type="dxa"/>
            <w:gridSpan w:val="2"/>
            <w:vMerge w:val="restart"/>
            <w:tcBorders>
              <w:tl2br w:val="nil"/>
              <w:tr2bl w:val="nil"/>
            </w:tcBorders>
            <w:vAlign w:val="center"/>
          </w:tcPr>
          <w:p w14:paraId="1219AD79">
            <w:pPr>
              <w:keepNext w:val="0"/>
              <w:keepLines w:val="0"/>
              <w:pageBreakBefore w:val="0"/>
              <w:widowControl/>
              <w:numPr>
                <w:ilvl w:val="0"/>
                <w:numId w:val="6"/>
              </w:numPr>
              <w:suppressLineNumbers w:val="0"/>
              <w:tabs>
                <w:tab w:val="clear" w:pos="397"/>
              </w:tabs>
              <w:kinsoku/>
              <w:overflowPunct/>
              <w:topLinePunct w:val="0"/>
              <w:autoSpaceDE/>
              <w:autoSpaceDN/>
              <w:bidi w:val="0"/>
              <w:adjustRightInd/>
              <w:snapToGrid/>
              <w:spacing w:beforeAutospacing="0" w:afterAutospacing="0" w:line="260" w:lineRule="exact"/>
              <w:ind w:left="638" w:leftChars="88" w:right="0" w:rightChars="0" w:hanging="453" w:hangingChars="349"/>
              <w:jc w:val="center"/>
              <w:textAlignment w:val="center"/>
              <w:rPr>
                <w:rFonts w:hint="default" w:ascii="仿宋_GB2312" w:hAnsi="宋体" w:eastAsia="仿宋_GB2312"/>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289</w:t>
            </w:r>
          </w:p>
        </w:tc>
        <w:tc>
          <w:tcPr>
            <w:tcW w:w="1550" w:type="dxa"/>
            <w:vMerge w:val="restart"/>
            <w:tcBorders>
              <w:tl2br w:val="nil"/>
              <w:tr2bl w:val="nil"/>
            </w:tcBorders>
            <w:vAlign w:val="center"/>
          </w:tcPr>
          <w:p w14:paraId="68FD041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房地产经纪机构及其经纪人员提供公共租赁住房出租、转租、出售等经纪业务的</w:t>
            </w:r>
          </w:p>
        </w:tc>
        <w:tc>
          <w:tcPr>
            <w:tcW w:w="4820" w:type="dxa"/>
            <w:vMerge w:val="restart"/>
            <w:tcBorders>
              <w:tl2br w:val="nil"/>
              <w:tr2bl w:val="nil"/>
            </w:tcBorders>
            <w:vAlign w:val="center"/>
          </w:tcPr>
          <w:p w14:paraId="278B0C5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《公共租赁住房管理办法》</w:t>
            </w:r>
            <w:r>
              <w:rPr>
                <w:rFonts w:hint="eastAsia" w:ascii="仿宋_GB2312" w:hAnsi="宋体" w:eastAsia="仿宋_GB2312"/>
                <w:b/>
                <w:bCs/>
                <w:color w:val="auto"/>
                <w:kern w:val="0"/>
                <w:sz w:val="13"/>
                <w:szCs w:val="13"/>
                <w:highlight w:val="none"/>
              </w:rPr>
              <w:t>第三十七条：</w:t>
            </w:r>
            <w:r>
              <w:rPr>
                <w:rFonts w:hint="eastAsia" w:ascii="仿宋_GB2312" w:hAnsi="宋体" w:eastAsia="仿宋_GB2312"/>
                <w:color w:val="auto"/>
                <w:kern w:val="0"/>
                <w:sz w:val="13"/>
                <w:szCs w:val="13"/>
                <w:highlight w:val="none"/>
              </w:rPr>
              <w:t>违反本办法第三十二条的，依照《房地产经纪管理办法》第三十七条，由县级以上地方人民政府住房城乡建设（房地产）主管部门责令限期改正，记入房地产经纪信用档案；对房地产经纪人员，处以1万元以下罚款；对房地产经纪机构，取消网上签约资格，处以3万元以下罚款。</w:t>
            </w:r>
          </w:p>
          <w:p w14:paraId="139AF8C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《公共租赁住房管理办法》</w:t>
            </w:r>
            <w:r>
              <w:rPr>
                <w:rFonts w:hint="eastAsia" w:ascii="仿宋_GB2312" w:hAnsi="宋体" w:eastAsia="仿宋_GB2312"/>
                <w:b/>
                <w:bCs/>
                <w:color w:val="auto"/>
                <w:kern w:val="0"/>
                <w:sz w:val="13"/>
                <w:szCs w:val="13"/>
                <w:highlight w:val="none"/>
              </w:rPr>
              <w:t>第三十二条</w:t>
            </w:r>
            <w:r>
              <w:rPr>
                <w:rFonts w:hint="eastAsia" w:ascii="仿宋_GB2312" w:hAnsi="宋体" w:eastAsia="仿宋_GB2312"/>
                <w:b/>
                <w:bCs/>
                <w:color w:val="auto"/>
                <w:kern w:val="0"/>
                <w:sz w:val="13"/>
                <w:szCs w:val="13"/>
                <w:highlight w:val="none"/>
                <w:lang w:eastAsia="zh-CN"/>
              </w:rPr>
              <w:t>：</w:t>
            </w:r>
            <w:r>
              <w:rPr>
                <w:rFonts w:hint="eastAsia" w:ascii="仿宋_GB2312" w:hAnsi="宋体" w:eastAsia="仿宋_GB2312"/>
                <w:color w:val="auto"/>
                <w:kern w:val="0"/>
                <w:sz w:val="13"/>
                <w:szCs w:val="13"/>
                <w:highlight w:val="none"/>
              </w:rPr>
              <w:t>房地产经纪机构及其经纪人员不得提供公共租赁住房出租、转租、出售等经纪业务。</w:t>
            </w:r>
          </w:p>
        </w:tc>
        <w:tc>
          <w:tcPr>
            <w:tcW w:w="823" w:type="dxa"/>
            <w:tcBorders>
              <w:tl2br w:val="nil"/>
              <w:tr2bl w:val="nil"/>
            </w:tcBorders>
            <w:tcMar>
              <w:top w:w="15" w:type="dxa"/>
              <w:left w:w="15" w:type="dxa"/>
              <w:bottom w:w="15" w:type="dxa"/>
              <w:right w:w="15" w:type="dxa"/>
            </w:tcMar>
            <w:vAlign w:val="center"/>
          </w:tcPr>
          <w:p w14:paraId="0020F93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tcMar>
              <w:top w:w="15" w:type="dxa"/>
              <w:left w:w="15" w:type="dxa"/>
              <w:bottom w:w="15" w:type="dxa"/>
              <w:right w:w="15" w:type="dxa"/>
            </w:tcMar>
            <w:vAlign w:val="center"/>
          </w:tcPr>
          <w:p w14:paraId="1CFC637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提供公共租赁住房出租、转租、出售等经纪业务1套的。</w:t>
            </w:r>
          </w:p>
        </w:tc>
        <w:tc>
          <w:tcPr>
            <w:tcW w:w="3058" w:type="dxa"/>
            <w:tcBorders>
              <w:tl2br w:val="nil"/>
              <w:tr2bl w:val="nil"/>
            </w:tcBorders>
            <w:tcMar>
              <w:top w:w="15" w:type="dxa"/>
              <w:left w:w="15" w:type="dxa"/>
              <w:bottom w:w="15" w:type="dxa"/>
              <w:right w:w="15" w:type="dxa"/>
            </w:tcMar>
            <w:vAlign w:val="center"/>
          </w:tcPr>
          <w:p w14:paraId="60F8A9C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责令限期改正，记入房地产经纪信用档案，对房地产经纪人员，处以3千元以下罚款；对房地产经纪机构，取消网上签约资格，处以1万元以下罚款。</w:t>
            </w:r>
          </w:p>
        </w:tc>
      </w:tr>
      <w:tr w14:paraId="2865C6C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91" w:hRule="atLeast"/>
          <w:jc w:val="center"/>
        </w:trPr>
        <w:tc>
          <w:tcPr>
            <w:tcW w:w="443" w:type="dxa"/>
            <w:gridSpan w:val="2"/>
            <w:vMerge w:val="continue"/>
            <w:tcBorders>
              <w:tl2br w:val="nil"/>
              <w:tr2bl w:val="nil"/>
            </w:tcBorders>
            <w:vAlign w:val="center"/>
          </w:tcPr>
          <w:p w14:paraId="4C740408">
            <w:pPr>
              <w:pStyle w:val="37"/>
              <w:keepNext w:val="0"/>
              <w:keepLines w:val="0"/>
              <w:pageBreakBefore w:val="0"/>
              <w:widowControl/>
              <w:numPr>
                <w:ilvl w:val="0"/>
                <w:numId w:val="9"/>
              </w:numPr>
              <w:kinsoku/>
              <w:overflowPunct/>
              <w:topLinePunct w:val="0"/>
              <w:autoSpaceDE/>
              <w:autoSpaceDN/>
              <w:bidi w:val="0"/>
              <w:adjustRightInd/>
              <w:snapToGrid/>
              <w:spacing w:beforeAutospacing="0" w:afterAutospacing="0" w:line="260" w:lineRule="exact"/>
              <w:ind w:left="638" w:leftChars="88" w:right="0" w:rightChars="0" w:hanging="453" w:hangingChars="349"/>
              <w:jc w:val="center"/>
              <w:rPr>
                <w:rFonts w:ascii="仿宋_GB2312" w:hAnsi="宋体" w:eastAsia="仿宋_GB2312"/>
                <w:color w:val="auto"/>
                <w:sz w:val="13"/>
                <w:szCs w:val="13"/>
                <w:highlight w:val="none"/>
              </w:rPr>
            </w:pPr>
          </w:p>
        </w:tc>
        <w:tc>
          <w:tcPr>
            <w:tcW w:w="1550" w:type="dxa"/>
            <w:vMerge w:val="continue"/>
            <w:tcBorders>
              <w:tl2br w:val="nil"/>
              <w:tr2bl w:val="nil"/>
            </w:tcBorders>
            <w:vAlign w:val="center"/>
          </w:tcPr>
          <w:p w14:paraId="66E9C51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7F0F990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olor w:val="auto"/>
                <w:kern w:val="0"/>
                <w:sz w:val="13"/>
                <w:szCs w:val="13"/>
                <w:highlight w:val="none"/>
              </w:rPr>
            </w:pPr>
          </w:p>
        </w:tc>
        <w:tc>
          <w:tcPr>
            <w:tcW w:w="823" w:type="dxa"/>
            <w:tcBorders>
              <w:tl2br w:val="nil"/>
              <w:tr2bl w:val="nil"/>
            </w:tcBorders>
            <w:tcMar>
              <w:top w:w="15" w:type="dxa"/>
              <w:left w:w="15" w:type="dxa"/>
              <w:bottom w:w="15" w:type="dxa"/>
              <w:right w:w="15" w:type="dxa"/>
            </w:tcMar>
            <w:vAlign w:val="center"/>
          </w:tcPr>
          <w:p w14:paraId="5240855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一般情节</w:t>
            </w:r>
          </w:p>
        </w:tc>
        <w:tc>
          <w:tcPr>
            <w:tcW w:w="3437" w:type="dxa"/>
            <w:gridSpan w:val="2"/>
            <w:tcBorders>
              <w:tl2br w:val="nil"/>
              <w:tr2bl w:val="nil"/>
            </w:tcBorders>
            <w:tcMar>
              <w:top w:w="15" w:type="dxa"/>
              <w:left w:w="15" w:type="dxa"/>
              <w:bottom w:w="15" w:type="dxa"/>
              <w:right w:w="15" w:type="dxa"/>
            </w:tcMar>
            <w:vAlign w:val="center"/>
          </w:tcPr>
          <w:p w14:paraId="26A27B2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提供公共租赁住房出租、转租、出售等经纪业务2套的。</w:t>
            </w:r>
          </w:p>
        </w:tc>
        <w:tc>
          <w:tcPr>
            <w:tcW w:w="3058" w:type="dxa"/>
            <w:tcBorders>
              <w:tl2br w:val="nil"/>
              <w:tr2bl w:val="nil"/>
            </w:tcBorders>
            <w:tcMar>
              <w:top w:w="15" w:type="dxa"/>
              <w:left w:w="15" w:type="dxa"/>
              <w:bottom w:w="15" w:type="dxa"/>
              <w:right w:w="15" w:type="dxa"/>
            </w:tcMar>
            <w:vAlign w:val="center"/>
          </w:tcPr>
          <w:p w14:paraId="5D044CB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责令限期改正，记入房地产经纪信用档案，对房地产经纪人员，处以3千元以上7千元以下罚款；对房地产经纪机构，取消网上签约资格，处以1万元以上2万元以下罚款。</w:t>
            </w:r>
          </w:p>
        </w:tc>
      </w:tr>
      <w:tr w14:paraId="05ABCDF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47" w:hRule="atLeast"/>
          <w:jc w:val="center"/>
        </w:trPr>
        <w:tc>
          <w:tcPr>
            <w:tcW w:w="443" w:type="dxa"/>
            <w:gridSpan w:val="2"/>
            <w:vMerge w:val="continue"/>
            <w:tcBorders>
              <w:tl2br w:val="nil"/>
              <w:tr2bl w:val="nil"/>
            </w:tcBorders>
            <w:vAlign w:val="center"/>
          </w:tcPr>
          <w:p w14:paraId="234F75B6">
            <w:pPr>
              <w:pStyle w:val="37"/>
              <w:keepNext w:val="0"/>
              <w:keepLines w:val="0"/>
              <w:pageBreakBefore w:val="0"/>
              <w:widowControl/>
              <w:numPr>
                <w:ilvl w:val="0"/>
                <w:numId w:val="9"/>
              </w:numPr>
              <w:kinsoku/>
              <w:overflowPunct/>
              <w:topLinePunct w:val="0"/>
              <w:autoSpaceDE/>
              <w:autoSpaceDN/>
              <w:bidi w:val="0"/>
              <w:adjustRightInd/>
              <w:snapToGrid/>
              <w:spacing w:beforeAutospacing="0" w:afterAutospacing="0" w:line="260" w:lineRule="exact"/>
              <w:ind w:left="638" w:leftChars="88" w:right="0" w:rightChars="0" w:hanging="453" w:hangingChars="349"/>
              <w:jc w:val="center"/>
              <w:rPr>
                <w:rFonts w:ascii="仿宋_GB2312" w:hAnsi="宋体" w:eastAsia="仿宋_GB2312"/>
                <w:color w:val="auto"/>
                <w:sz w:val="13"/>
                <w:szCs w:val="13"/>
                <w:highlight w:val="none"/>
              </w:rPr>
            </w:pPr>
          </w:p>
        </w:tc>
        <w:tc>
          <w:tcPr>
            <w:tcW w:w="1550" w:type="dxa"/>
            <w:vMerge w:val="continue"/>
            <w:tcBorders>
              <w:tl2br w:val="nil"/>
              <w:tr2bl w:val="nil"/>
            </w:tcBorders>
            <w:vAlign w:val="center"/>
          </w:tcPr>
          <w:p w14:paraId="6F5E542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5AD0422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olor w:val="auto"/>
                <w:kern w:val="0"/>
                <w:sz w:val="13"/>
                <w:szCs w:val="13"/>
                <w:highlight w:val="none"/>
              </w:rPr>
            </w:pPr>
          </w:p>
        </w:tc>
        <w:tc>
          <w:tcPr>
            <w:tcW w:w="823" w:type="dxa"/>
            <w:tcBorders>
              <w:tl2br w:val="nil"/>
              <w:tr2bl w:val="nil"/>
            </w:tcBorders>
            <w:tcMar>
              <w:top w:w="15" w:type="dxa"/>
              <w:left w:w="15" w:type="dxa"/>
              <w:bottom w:w="15" w:type="dxa"/>
              <w:right w:w="15" w:type="dxa"/>
            </w:tcMar>
            <w:vAlign w:val="center"/>
          </w:tcPr>
          <w:p w14:paraId="52AC0E7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从重情节</w:t>
            </w:r>
          </w:p>
        </w:tc>
        <w:tc>
          <w:tcPr>
            <w:tcW w:w="3437" w:type="dxa"/>
            <w:gridSpan w:val="2"/>
            <w:tcBorders>
              <w:tl2br w:val="nil"/>
              <w:tr2bl w:val="nil"/>
            </w:tcBorders>
            <w:tcMar>
              <w:top w:w="15" w:type="dxa"/>
              <w:left w:w="15" w:type="dxa"/>
              <w:bottom w:w="15" w:type="dxa"/>
              <w:right w:w="15" w:type="dxa"/>
            </w:tcMar>
            <w:vAlign w:val="center"/>
          </w:tcPr>
          <w:p w14:paraId="0C07919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提供公共租赁住房出租、转租、出售等经纪业务3套以上的。</w:t>
            </w:r>
          </w:p>
        </w:tc>
        <w:tc>
          <w:tcPr>
            <w:tcW w:w="3058" w:type="dxa"/>
            <w:tcBorders>
              <w:tl2br w:val="nil"/>
              <w:tr2bl w:val="nil"/>
            </w:tcBorders>
            <w:tcMar>
              <w:top w:w="15" w:type="dxa"/>
              <w:left w:w="15" w:type="dxa"/>
              <w:bottom w:w="15" w:type="dxa"/>
              <w:right w:w="15" w:type="dxa"/>
            </w:tcMar>
            <w:vAlign w:val="center"/>
          </w:tcPr>
          <w:p w14:paraId="33140E9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责令限期改正，记入房地产经纪信用档案，对房地产经纪人员，处以7千元以上1万元以下罚款；对房地产经纪机构，取消网上签约资格，处以2万元以上3万元以下罚款。</w:t>
            </w:r>
          </w:p>
        </w:tc>
      </w:tr>
      <w:tr w14:paraId="66B471A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91" w:hRule="atLeast"/>
          <w:jc w:val="center"/>
        </w:trPr>
        <w:tc>
          <w:tcPr>
            <w:tcW w:w="443" w:type="dxa"/>
            <w:gridSpan w:val="2"/>
            <w:vMerge w:val="restart"/>
            <w:tcBorders>
              <w:tl2br w:val="nil"/>
              <w:tr2bl w:val="nil"/>
            </w:tcBorders>
            <w:vAlign w:val="center"/>
          </w:tcPr>
          <w:p w14:paraId="157EE027">
            <w:pPr>
              <w:keepNext w:val="0"/>
              <w:keepLines w:val="0"/>
              <w:pageBreakBefore w:val="0"/>
              <w:widowControl/>
              <w:numPr>
                <w:ilvl w:val="0"/>
                <w:numId w:val="6"/>
              </w:numPr>
              <w:suppressLineNumbers w:val="0"/>
              <w:tabs>
                <w:tab w:val="clear" w:pos="397"/>
              </w:tabs>
              <w:kinsoku/>
              <w:overflowPunct/>
              <w:topLinePunct w:val="0"/>
              <w:autoSpaceDE/>
              <w:autoSpaceDN/>
              <w:bidi w:val="0"/>
              <w:adjustRightInd/>
              <w:snapToGrid/>
              <w:spacing w:beforeAutospacing="0" w:afterAutospacing="0" w:line="260" w:lineRule="exact"/>
              <w:ind w:left="638" w:leftChars="88" w:right="0" w:rightChars="0" w:hanging="453" w:hangingChars="349"/>
              <w:jc w:val="center"/>
              <w:textAlignment w:val="center"/>
              <w:rPr>
                <w:rFonts w:hint="default" w:ascii="仿宋_GB2312" w:hAnsi="宋体" w:eastAsia="仿宋_GB2312"/>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290</w:t>
            </w:r>
          </w:p>
        </w:tc>
        <w:tc>
          <w:tcPr>
            <w:tcW w:w="1550" w:type="dxa"/>
            <w:vMerge w:val="restart"/>
            <w:tcBorders>
              <w:tl2br w:val="nil"/>
              <w:tr2bl w:val="nil"/>
            </w:tcBorders>
            <w:vAlign w:val="center"/>
          </w:tcPr>
          <w:p w14:paraId="0FCE611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将不准上市出售的已购公有住房和经济适用住房上市出售的</w:t>
            </w:r>
          </w:p>
        </w:tc>
        <w:tc>
          <w:tcPr>
            <w:tcW w:w="4820" w:type="dxa"/>
            <w:vMerge w:val="restart"/>
            <w:tcBorders>
              <w:tl2br w:val="nil"/>
              <w:tr2bl w:val="nil"/>
            </w:tcBorders>
            <w:vAlign w:val="center"/>
          </w:tcPr>
          <w:p w14:paraId="683AA96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《已购公有住房和经济适用住房上市出售管理暂行办法》</w:t>
            </w:r>
            <w:r>
              <w:rPr>
                <w:rFonts w:hint="eastAsia" w:ascii="仿宋_GB2312" w:hAnsi="宋体" w:eastAsia="仿宋_GB2312"/>
                <w:b/>
                <w:bCs/>
                <w:color w:val="auto"/>
                <w:kern w:val="0"/>
                <w:sz w:val="13"/>
                <w:szCs w:val="13"/>
                <w:highlight w:val="none"/>
              </w:rPr>
              <w:t>第十四条</w:t>
            </w:r>
            <w:r>
              <w:rPr>
                <w:rFonts w:hint="eastAsia" w:ascii="仿宋_GB2312" w:hAnsi="宋体" w:eastAsia="仿宋_GB2312"/>
                <w:b/>
                <w:bCs/>
                <w:color w:val="auto"/>
                <w:kern w:val="0"/>
                <w:sz w:val="13"/>
                <w:szCs w:val="13"/>
                <w:highlight w:val="none"/>
                <w:lang w:eastAsia="zh-CN"/>
              </w:rPr>
              <w:t>：</w:t>
            </w:r>
            <w:r>
              <w:rPr>
                <w:rFonts w:hint="eastAsia" w:ascii="仿宋_GB2312" w:hAnsi="宋体" w:eastAsia="仿宋_GB2312"/>
                <w:color w:val="auto"/>
                <w:kern w:val="0"/>
                <w:sz w:val="13"/>
                <w:szCs w:val="13"/>
                <w:highlight w:val="none"/>
              </w:rPr>
              <w:t>违反本办法第五条的规定，将不准上市出售的已购公有住房和经济适用住房上市出售的，处以１００００元以上３００００元以下罚款。</w:t>
            </w:r>
          </w:p>
          <w:p w14:paraId="6B49748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1" w:firstLineChars="200"/>
              <w:textAlignment w:val="center"/>
              <w:rPr>
                <w:rFonts w:ascii="仿宋_GB2312" w:hAnsi="宋体" w:eastAsia="仿宋_GB2312"/>
                <w:color w:val="auto"/>
                <w:kern w:val="0"/>
                <w:sz w:val="13"/>
                <w:szCs w:val="13"/>
                <w:highlight w:val="none"/>
              </w:rPr>
            </w:pPr>
            <w:r>
              <w:rPr>
                <w:rFonts w:ascii="仿宋_GB2312" w:hAnsi="宋体" w:eastAsia="仿宋_GB2312"/>
                <w:b/>
                <w:bCs/>
                <w:color w:val="auto"/>
                <w:kern w:val="0"/>
                <w:sz w:val="13"/>
                <w:szCs w:val="13"/>
                <w:highlight w:val="none"/>
              </w:rPr>
              <w:t>第五条</w:t>
            </w:r>
            <w:bookmarkStart w:id="17" w:name="tiao_5_kuan_1"/>
            <w:bookmarkEnd w:id="17"/>
            <w:r>
              <w:rPr>
                <w:rFonts w:hint="eastAsia" w:ascii="仿宋_GB2312" w:hAnsi="宋体" w:eastAsia="仿宋_GB2312"/>
                <w:b/>
                <w:bCs/>
                <w:color w:val="auto"/>
                <w:kern w:val="0"/>
                <w:sz w:val="13"/>
                <w:szCs w:val="13"/>
                <w:highlight w:val="none"/>
                <w:lang w:eastAsia="zh-CN"/>
              </w:rPr>
              <w:t>：</w:t>
            </w:r>
            <w:r>
              <w:rPr>
                <w:rFonts w:ascii="仿宋_GB2312" w:hAnsi="宋体" w:eastAsia="仿宋_GB2312"/>
                <w:color w:val="auto"/>
                <w:kern w:val="0"/>
                <w:sz w:val="13"/>
                <w:szCs w:val="13"/>
                <w:highlight w:val="none"/>
              </w:rPr>
              <w:t>已取得合法产权证书的已购公有住房和经济适用住房可以上市出售，但有下列情形之一的已购公有住房和经济适用住房不得上市出售：</w:t>
            </w:r>
            <w:r>
              <w:rPr>
                <w:color w:val="auto"/>
                <w:sz w:val="13"/>
                <w:szCs w:val="13"/>
                <w:highlight w:val="none"/>
              </w:rPr>
              <w:fldChar w:fldCharType="begin"/>
            </w:r>
            <w:r>
              <w:rPr>
                <w:color w:val="auto"/>
                <w:sz w:val="13"/>
                <w:szCs w:val="13"/>
                <w:highlight w:val="none"/>
              </w:rPr>
              <w:instrText xml:space="preserve"> HYPERLINK "http://210.45.210.34:8000/rwt/189/https/P75YPLURNN4XZZLYF3SX85B/chl/javascript:void(0);" </w:instrText>
            </w:r>
            <w:r>
              <w:rPr>
                <w:color w:val="auto"/>
                <w:sz w:val="13"/>
                <w:szCs w:val="13"/>
                <w:highlight w:val="none"/>
              </w:rPr>
              <w:fldChar w:fldCharType="separate"/>
            </w:r>
            <w:r>
              <w:rPr>
                <w:color w:val="auto"/>
                <w:sz w:val="13"/>
                <w:szCs w:val="13"/>
                <w:highlight w:val="none"/>
              </w:rPr>
              <w:fldChar w:fldCharType="end"/>
            </w:r>
          </w:p>
          <w:p w14:paraId="7BDD388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0" w:firstLineChars="200"/>
              <w:textAlignment w:val="center"/>
              <w:rPr>
                <w:rFonts w:ascii="仿宋_GB2312" w:hAnsi="宋体" w:eastAsia="仿宋_GB2312"/>
                <w:color w:val="auto"/>
                <w:kern w:val="0"/>
                <w:sz w:val="13"/>
                <w:szCs w:val="13"/>
                <w:highlight w:val="none"/>
              </w:rPr>
            </w:pPr>
            <w:bookmarkStart w:id="18" w:name="tiao_5_kuan_1_xiang_1"/>
            <w:bookmarkEnd w:id="18"/>
            <w:r>
              <w:rPr>
                <w:rFonts w:ascii="仿宋_GB2312" w:hAnsi="宋体" w:eastAsia="仿宋_GB2312"/>
                <w:color w:val="auto"/>
                <w:kern w:val="0"/>
                <w:sz w:val="13"/>
                <w:szCs w:val="13"/>
                <w:highlight w:val="none"/>
              </w:rPr>
              <w:t>（一）以低于房改政策规定的价格购买且没有按照规定补足房价款的；</w:t>
            </w:r>
            <w:r>
              <w:rPr>
                <w:color w:val="auto"/>
                <w:sz w:val="13"/>
                <w:szCs w:val="13"/>
                <w:highlight w:val="none"/>
              </w:rPr>
              <w:fldChar w:fldCharType="begin"/>
            </w:r>
            <w:r>
              <w:rPr>
                <w:color w:val="auto"/>
                <w:sz w:val="13"/>
                <w:szCs w:val="13"/>
                <w:highlight w:val="none"/>
              </w:rPr>
              <w:instrText xml:space="preserve"> HYPERLINK "http://210.45.210.34:8000/rwt/189/https/P75YPLURNN4XZZLYF3SX85B/chl/javascript:void(0);" </w:instrText>
            </w:r>
            <w:r>
              <w:rPr>
                <w:color w:val="auto"/>
                <w:sz w:val="13"/>
                <w:szCs w:val="13"/>
                <w:highlight w:val="none"/>
              </w:rPr>
              <w:fldChar w:fldCharType="separate"/>
            </w:r>
            <w:r>
              <w:rPr>
                <w:color w:val="auto"/>
                <w:sz w:val="13"/>
                <w:szCs w:val="13"/>
                <w:highlight w:val="none"/>
              </w:rPr>
              <w:fldChar w:fldCharType="end"/>
            </w:r>
          </w:p>
          <w:p w14:paraId="2DD8AE8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0" w:firstLineChars="200"/>
              <w:textAlignment w:val="center"/>
              <w:rPr>
                <w:rFonts w:ascii="仿宋_GB2312" w:hAnsi="宋体" w:eastAsia="仿宋_GB2312"/>
                <w:color w:val="auto"/>
                <w:kern w:val="0"/>
                <w:sz w:val="13"/>
                <w:szCs w:val="13"/>
                <w:highlight w:val="none"/>
              </w:rPr>
            </w:pPr>
            <w:bookmarkStart w:id="19" w:name="tiao_5_kuan_1_xiang_2"/>
            <w:bookmarkEnd w:id="19"/>
            <w:r>
              <w:rPr>
                <w:rFonts w:ascii="仿宋_GB2312" w:hAnsi="宋体" w:eastAsia="仿宋_GB2312"/>
                <w:color w:val="auto"/>
                <w:kern w:val="0"/>
                <w:sz w:val="13"/>
                <w:szCs w:val="13"/>
                <w:highlight w:val="none"/>
              </w:rPr>
              <w:t>（二）住房面积超过省、自治区、直辖市人民政府规定的控制标准，或者违反规定利用公款超标准装修，且超标部分未按照规定退回或者补足房价款及装修费用的；</w:t>
            </w:r>
            <w:r>
              <w:rPr>
                <w:color w:val="auto"/>
                <w:sz w:val="13"/>
                <w:szCs w:val="13"/>
                <w:highlight w:val="none"/>
              </w:rPr>
              <w:fldChar w:fldCharType="begin"/>
            </w:r>
            <w:r>
              <w:rPr>
                <w:color w:val="auto"/>
                <w:sz w:val="13"/>
                <w:szCs w:val="13"/>
                <w:highlight w:val="none"/>
              </w:rPr>
              <w:instrText xml:space="preserve"> HYPERLINK "http://210.45.210.34:8000/rwt/189/https/P75YPLURNN4XZZLYF3SX85B/chl/javascript:void(0);" </w:instrText>
            </w:r>
            <w:r>
              <w:rPr>
                <w:color w:val="auto"/>
                <w:sz w:val="13"/>
                <w:szCs w:val="13"/>
                <w:highlight w:val="none"/>
              </w:rPr>
              <w:fldChar w:fldCharType="separate"/>
            </w:r>
            <w:r>
              <w:rPr>
                <w:color w:val="auto"/>
                <w:sz w:val="13"/>
                <w:szCs w:val="13"/>
                <w:highlight w:val="none"/>
              </w:rPr>
              <w:fldChar w:fldCharType="end"/>
            </w:r>
          </w:p>
          <w:p w14:paraId="65B0885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0" w:firstLineChars="200"/>
              <w:textAlignment w:val="center"/>
              <w:rPr>
                <w:rFonts w:ascii="仿宋_GB2312" w:hAnsi="宋体" w:eastAsia="仿宋_GB2312"/>
                <w:color w:val="auto"/>
                <w:kern w:val="0"/>
                <w:sz w:val="13"/>
                <w:szCs w:val="13"/>
                <w:highlight w:val="none"/>
              </w:rPr>
            </w:pPr>
            <w:bookmarkStart w:id="20" w:name="tiao_5_kuan_1_xiang_3"/>
            <w:bookmarkEnd w:id="20"/>
            <w:r>
              <w:rPr>
                <w:rFonts w:ascii="仿宋_GB2312" w:hAnsi="宋体" w:eastAsia="仿宋_GB2312"/>
                <w:color w:val="auto"/>
                <w:kern w:val="0"/>
                <w:sz w:val="13"/>
                <w:szCs w:val="13"/>
                <w:highlight w:val="none"/>
              </w:rPr>
              <w:t>（三）处于户籍冻结地区并已列入拆迁公告范围内的；</w:t>
            </w:r>
            <w:r>
              <w:rPr>
                <w:color w:val="auto"/>
                <w:sz w:val="13"/>
                <w:szCs w:val="13"/>
                <w:highlight w:val="none"/>
              </w:rPr>
              <w:fldChar w:fldCharType="begin"/>
            </w:r>
            <w:r>
              <w:rPr>
                <w:color w:val="auto"/>
                <w:sz w:val="13"/>
                <w:szCs w:val="13"/>
                <w:highlight w:val="none"/>
              </w:rPr>
              <w:instrText xml:space="preserve"> HYPERLINK "http://210.45.210.34:8000/rwt/189/https/P75YPLURNN4XZZLYF3SX85B/chl/javascript:void(0);" </w:instrText>
            </w:r>
            <w:r>
              <w:rPr>
                <w:color w:val="auto"/>
                <w:sz w:val="13"/>
                <w:szCs w:val="13"/>
                <w:highlight w:val="none"/>
              </w:rPr>
              <w:fldChar w:fldCharType="separate"/>
            </w:r>
            <w:r>
              <w:rPr>
                <w:color w:val="auto"/>
                <w:sz w:val="13"/>
                <w:szCs w:val="13"/>
                <w:highlight w:val="none"/>
              </w:rPr>
              <w:fldChar w:fldCharType="end"/>
            </w:r>
          </w:p>
          <w:p w14:paraId="1DA72C6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0" w:firstLineChars="200"/>
              <w:textAlignment w:val="center"/>
              <w:rPr>
                <w:rFonts w:ascii="仿宋_GB2312" w:hAnsi="宋体" w:eastAsia="仿宋_GB2312"/>
                <w:color w:val="auto"/>
                <w:kern w:val="0"/>
                <w:sz w:val="13"/>
                <w:szCs w:val="13"/>
                <w:highlight w:val="none"/>
              </w:rPr>
            </w:pPr>
            <w:bookmarkStart w:id="21" w:name="tiao_5_kuan_1_xiang_4"/>
            <w:bookmarkEnd w:id="21"/>
            <w:r>
              <w:rPr>
                <w:rFonts w:ascii="仿宋_GB2312" w:hAnsi="宋体" w:eastAsia="仿宋_GB2312"/>
                <w:color w:val="auto"/>
                <w:kern w:val="0"/>
                <w:sz w:val="13"/>
                <w:szCs w:val="13"/>
                <w:highlight w:val="none"/>
              </w:rPr>
              <w:t>（四）产权共有的房屋，其他共有人不同意出售的；</w:t>
            </w:r>
            <w:r>
              <w:rPr>
                <w:color w:val="auto"/>
                <w:sz w:val="13"/>
                <w:szCs w:val="13"/>
                <w:highlight w:val="none"/>
              </w:rPr>
              <w:fldChar w:fldCharType="begin"/>
            </w:r>
            <w:r>
              <w:rPr>
                <w:color w:val="auto"/>
                <w:sz w:val="13"/>
                <w:szCs w:val="13"/>
                <w:highlight w:val="none"/>
              </w:rPr>
              <w:instrText xml:space="preserve"> HYPERLINK "http://210.45.210.34:8000/rwt/189/https/P75YPLURNN4XZZLYF3SX85B/chl/javascript:void(0);" </w:instrText>
            </w:r>
            <w:r>
              <w:rPr>
                <w:color w:val="auto"/>
                <w:sz w:val="13"/>
                <w:szCs w:val="13"/>
                <w:highlight w:val="none"/>
              </w:rPr>
              <w:fldChar w:fldCharType="separate"/>
            </w:r>
            <w:r>
              <w:rPr>
                <w:color w:val="auto"/>
                <w:sz w:val="13"/>
                <w:szCs w:val="13"/>
                <w:highlight w:val="none"/>
              </w:rPr>
              <w:fldChar w:fldCharType="end"/>
            </w:r>
          </w:p>
          <w:p w14:paraId="0DEC769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0" w:firstLineChars="200"/>
              <w:textAlignment w:val="center"/>
              <w:rPr>
                <w:rFonts w:ascii="仿宋_GB2312" w:hAnsi="宋体" w:eastAsia="仿宋_GB2312"/>
                <w:color w:val="auto"/>
                <w:kern w:val="0"/>
                <w:sz w:val="13"/>
                <w:szCs w:val="13"/>
                <w:highlight w:val="none"/>
              </w:rPr>
            </w:pPr>
            <w:bookmarkStart w:id="22" w:name="tiao_5_kuan_1_xiang_5"/>
            <w:bookmarkEnd w:id="22"/>
            <w:r>
              <w:rPr>
                <w:rFonts w:ascii="仿宋_GB2312" w:hAnsi="宋体" w:eastAsia="仿宋_GB2312"/>
                <w:color w:val="auto"/>
                <w:kern w:val="0"/>
                <w:sz w:val="13"/>
                <w:szCs w:val="13"/>
                <w:highlight w:val="none"/>
              </w:rPr>
              <w:t>（五）已抵押且未经抵押权人书面同意转让的；</w:t>
            </w:r>
            <w:r>
              <w:rPr>
                <w:color w:val="auto"/>
                <w:sz w:val="13"/>
                <w:szCs w:val="13"/>
                <w:highlight w:val="none"/>
              </w:rPr>
              <w:fldChar w:fldCharType="begin"/>
            </w:r>
            <w:r>
              <w:rPr>
                <w:color w:val="auto"/>
                <w:sz w:val="13"/>
                <w:szCs w:val="13"/>
                <w:highlight w:val="none"/>
              </w:rPr>
              <w:instrText xml:space="preserve"> HYPERLINK "http://210.45.210.34:8000/rwt/189/https/P75YPLURNN4XZZLYF3SX85B/chl/javascript:void(0);" </w:instrText>
            </w:r>
            <w:r>
              <w:rPr>
                <w:color w:val="auto"/>
                <w:sz w:val="13"/>
                <w:szCs w:val="13"/>
                <w:highlight w:val="none"/>
              </w:rPr>
              <w:fldChar w:fldCharType="separate"/>
            </w:r>
            <w:r>
              <w:rPr>
                <w:color w:val="auto"/>
                <w:sz w:val="13"/>
                <w:szCs w:val="13"/>
                <w:highlight w:val="none"/>
              </w:rPr>
              <w:fldChar w:fldCharType="end"/>
            </w:r>
          </w:p>
          <w:p w14:paraId="771CF11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0" w:firstLineChars="200"/>
              <w:textAlignment w:val="center"/>
              <w:rPr>
                <w:rFonts w:ascii="仿宋_GB2312" w:hAnsi="宋体" w:eastAsia="仿宋_GB2312"/>
                <w:color w:val="auto"/>
                <w:kern w:val="0"/>
                <w:sz w:val="13"/>
                <w:szCs w:val="13"/>
                <w:highlight w:val="none"/>
              </w:rPr>
            </w:pPr>
            <w:bookmarkStart w:id="23" w:name="tiao_5_kuan_1_xiang_6"/>
            <w:bookmarkEnd w:id="23"/>
            <w:r>
              <w:rPr>
                <w:rFonts w:ascii="仿宋_GB2312" w:hAnsi="宋体" w:eastAsia="仿宋_GB2312"/>
                <w:color w:val="auto"/>
                <w:kern w:val="0"/>
                <w:sz w:val="13"/>
                <w:szCs w:val="13"/>
                <w:highlight w:val="none"/>
              </w:rPr>
              <w:t>（六）上市出售后形成新的住房困难的；</w:t>
            </w:r>
            <w:r>
              <w:rPr>
                <w:color w:val="auto"/>
                <w:sz w:val="13"/>
                <w:szCs w:val="13"/>
                <w:highlight w:val="none"/>
              </w:rPr>
              <w:fldChar w:fldCharType="begin"/>
            </w:r>
            <w:r>
              <w:rPr>
                <w:color w:val="auto"/>
                <w:sz w:val="13"/>
                <w:szCs w:val="13"/>
                <w:highlight w:val="none"/>
              </w:rPr>
              <w:instrText xml:space="preserve"> HYPERLINK "http://210.45.210.34:8000/rwt/189/https/P75YPLURNN4XZZLYF3SX85B/chl/javascript:void(0);" </w:instrText>
            </w:r>
            <w:r>
              <w:rPr>
                <w:color w:val="auto"/>
                <w:sz w:val="13"/>
                <w:szCs w:val="13"/>
                <w:highlight w:val="none"/>
              </w:rPr>
              <w:fldChar w:fldCharType="separate"/>
            </w:r>
            <w:r>
              <w:rPr>
                <w:color w:val="auto"/>
                <w:sz w:val="13"/>
                <w:szCs w:val="13"/>
                <w:highlight w:val="none"/>
              </w:rPr>
              <w:fldChar w:fldCharType="end"/>
            </w:r>
          </w:p>
          <w:p w14:paraId="7B02E1E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0" w:firstLineChars="200"/>
              <w:textAlignment w:val="center"/>
              <w:rPr>
                <w:rFonts w:ascii="仿宋_GB2312" w:hAnsi="宋体" w:eastAsia="仿宋_GB2312"/>
                <w:color w:val="auto"/>
                <w:kern w:val="0"/>
                <w:sz w:val="13"/>
                <w:szCs w:val="13"/>
                <w:highlight w:val="none"/>
              </w:rPr>
            </w:pPr>
            <w:bookmarkStart w:id="24" w:name="tiao_5_kuan_1_xiang_7"/>
            <w:bookmarkEnd w:id="24"/>
            <w:r>
              <w:rPr>
                <w:rFonts w:ascii="仿宋_GB2312" w:hAnsi="宋体" w:eastAsia="仿宋_GB2312"/>
                <w:color w:val="auto"/>
                <w:kern w:val="0"/>
                <w:sz w:val="13"/>
                <w:szCs w:val="13"/>
                <w:highlight w:val="none"/>
              </w:rPr>
              <w:t>（七）擅自改变房屋使用性质的；</w:t>
            </w:r>
          </w:p>
          <w:p w14:paraId="5E36366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0" w:firstLineChars="200"/>
              <w:textAlignment w:val="center"/>
              <w:rPr>
                <w:rFonts w:ascii="仿宋_GB2312" w:hAnsi="宋体" w:eastAsia="仿宋_GB2312"/>
                <w:color w:val="auto"/>
                <w:kern w:val="0"/>
                <w:sz w:val="13"/>
                <w:szCs w:val="13"/>
                <w:highlight w:val="none"/>
              </w:rPr>
            </w:pPr>
            <w:bookmarkStart w:id="25" w:name="tiao_5_kuan_1_xiang_8"/>
            <w:bookmarkEnd w:id="25"/>
            <w:r>
              <w:rPr>
                <w:rFonts w:ascii="仿宋_GB2312" w:hAnsi="宋体" w:eastAsia="仿宋_GB2312"/>
                <w:color w:val="auto"/>
                <w:kern w:val="0"/>
                <w:sz w:val="13"/>
                <w:szCs w:val="13"/>
                <w:highlight w:val="none"/>
              </w:rPr>
              <w:t>（八）法律、法规以及县级以上人民政府规定其他不宜出售的。</w:t>
            </w:r>
          </w:p>
        </w:tc>
        <w:tc>
          <w:tcPr>
            <w:tcW w:w="823" w:type="dxa"/>
            <w:tcBorders>
              <w:tl2br w:val="nil"/>
              <w:tr2bl w:val="nil"/>
            </w:tcBorders>
            <w:tcMar>
              <w:top w:w="15" w:type="dxa"/>
              <w:left w:w="15" w:type="dxa"/>
              <w:bottom w:w="15" w:type="dxa"/>
              <w:right w:w="15" w:type="dxa"/>
            </w:tcMar>
            <w:vAlign w:val="center"/>
          </w:tcPr>
          <w:p w14:paraId="0D90745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tcMar>
              <w:top w:w="15" w:type="dxa"/>
              <w:left w:w="15" w:type="dxa"/>
              <w:bottom w:w="15" w:type="dxa"/>
              <w:right w:w="15" w:type="dxa"/>
            </w:tcMar>
            <w:vAlign w:val="center"/>
          </w:tcPr>
          <w:p w14:paraId="460ACCD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违法所得10万元以下的。</w:t>
            </w:r>
          </w:p>
        </w:tc>
        <w:tc>
          <w:tcPr>
            <w:tcW w:w="3058" w:type="dxa"/>
            <w:tcBorders>
              <w:tl2br w:val="nil"/>
              <w:tr2bl w:val="nil"/>
            </w:tcBorders>
            <w:tcMar>
              <w:top w:w="15" w:type="dxa"/>
              <w:left w:w="15" w:type="dxa"/>
              <w:bottom w:w="15" w:type="dxa"/>
              <w:right w:w="15" w:type="dxa"/>
            </w:tcMar>
            <w:vAlign w:val="center"/>
          </w:tcPr>
          <w:p w14:paraId="25F414F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没收违法所得，并处1万元以上1.5元以下的罚款。</w:t>
            </w:r>
          </w:p>
        </w:tc>
      </w:tr>
      <w:tr w14:paraId="6D0A6B2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06" w:hRule="atLeast"/>
          <w:jc w:val="center"/>
        </w:trPr>
        <w:tc>
          <w:tcPr>
            <w:tcW w:w="443" w:type="dxa"/>
            <w:gridSpan w:val="2"/>
            <w:vMerge w:val="continue"/>
            <w:tcBorders>
              <w:tl2br w:val="nil"/>
              <w:tr2bl w:val="nil"/>
            </w:tcBorders>
            <w:vAlign w:val="center"/>
          </w:tcPr>
          <w:p w14:paraId="32F94098">
            <w:pPr>
              <w:pStyle w:val="37"/>
              <w:keepNext w:val="0"/>
              <w:keepLines w:val="0"/>
              <w:pageBreakBefore w:val="0"/>
              <w:widowControl/>
              <w:numPr>
                <w:ilvl w:val="0"/>
                <w:numId w:val="9"/>
              </w:numPr>
              <w:kinsoku/>
              <w:overflowPunct/>
              <w:topLinePunct w:val="0"/>
              <w:autoSpaceDE/>
              <w:autoSpaceDN/>
              <w:bidi w:val="0"/>
              <w:adjustRightInd/>
              <w:snapToGrid/>
              <w:spacing w:beforeAutospacing="0" w:afterAutospacing="0" w:line="260" w:lineRule="exact"/>
              <w:ind w:left="638" w:leftChars="88" w:right="0" w:rightChars="0" w:hanging="453" w:hangingChars="349"/>
              <w:jc w:val="center"/>
              <w:textAlignment w:val="center"/>
              <w:rPr>
                <w:color w:val="auto"/>
                <w:sz w:val="13"/>
                <w:szCs w:val="13"/>
                <w:highlight w:val="none"/>
              </w:rPr>
            </w:pPr>
          </w:p>
        </w:tc>
        <w:tc>
          <w:tcPr>
            <w:tcW w:w="1550" w:type="dxa"/>
            <w:vMerge w:val="continue"/>
            <w:tcBorders>
              <w:tl2br w:val="nil"/>
              <w:tr2bl w:val="nil"/>
            </w:tcBorders>
            <w:vAlign w:val="center"/>
          </w:tcPr>
          <w:p w14:paraId="71977E8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0A07CF0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783C28D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一般情节</w:t>
            </w:r>
          </w:p>
        </w:tc>
        <w:tc>
          <w:tcPr>
            <w:tcW w:w="3437" w:type="dxa"/>
            <w:gridSpan w:val="2"/>
            <w:tcBorders>
              <w:tl2br w:val="nil"/>
              <w:tr2bl w:val="nil"/>
            </w:tcBorders>
            <w:tcMar>
              <w:top w:w="15" w:type="dxa"/>
              <w:left w:w="15" w:type="dxa"/>
              <w:bottom w:w="15" w:type="dxa"/>
              <w:right w:w="15" w:type="dxa"/>
            </w:tcMar>
            <w:vAlign w:val="center"/>
          </w:tcPr>
          <w:p w14:paraId="155EFB1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违法所得10万元以上30万元以下的。</w:t>
            </w:r>
          </w:p>
        </w:tc>
        <w:tc>
          <w:tcPr>
            <w:tcW w:w="3058" w:type="dxa"/>
            <w:tcBorders>
              <w:tl2br w:val="nil"/>
              <w:tr2bl w:val="nil"/>
            </w:tcBorders>
            <w:tcMar>
              <w:top w:w="15" w:type="dxa"/>
              <w:left w:w="15" w:type="dxa"/>
              <w:bottom w:w="15" w:type="dxa"/>
              <w:right w:w="15" w:type="dxa"/>
            </w:tcMar>
            <w:vAlign w:val="center"/>
          </w:tcPr>
          <w:p w14:paraId="00ADBD1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没收违法所得，并处1.5万元以上2.5万元以下的罚款。</w:t>
            </w:r>
          </w:p>
        </w:tc>
      </w:tr>
      <w:tr w14:paraId="678ADB1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888" w:hRule="atLeast"/>
          <w:jc w:val="center"/>
        </w:trPr>
        <w:tc>
          <w:tcPr>
            <w:tcW w:w="443" w:type="dxa"/>
            <w:gridSpan w:val="2"/>
            <w:vMerge w:val="continue"/>
            <w:tcBorders>
              <w:tl2br w:val="nil"/>
              <w:tr2bl w:val="nil"/>
            </w:tcBorders>
            <w:vAlign w:val="center"/>
          </w:tcPr>
          <w:p w14:paraId="5E6C6559">
            <w:pPr>
              <w:pStyle w:val="37"/>
              <w:keepNext w:val="0"/>
              <w:keepLines w:val="0"/>
              <w:pageBreakBefore w:val="0"/>
              <w:widowControl/>
              <w:numPr>
                <w:ilvl w:val="0"/>
                <w:numId w:val="9"/>
              </w:numPr>
              <w:kinsoku/>
              <w:overflowPunct/>
              <w:topLinePunct w:val="0"/>
              <w:autoSpaceDE/>
              <w:autoSpaceDN/>
              <w:bidi w:val="0"/>
              <w:adjustRightInd/>
              <w:snapToGrid/>
              <w:spacing w:beforeAutospacing="0" w:afterAutospacing="0" w:line="260" w:lineRule="exact"/>
              <w:ind w:left="638" w:leftChars="88" w:right="0" w:rightChars="0" w:hanging="453" w:hangingChars="349"/>
              <w:jc w:val="center"/>
              <w:textAlignment w:val="center"/>
              <w:rPr>
                <w:rFonts w:ascii="仿宋_GB2312" w:hAnsi="宋体" w:eastAsia="仿宋_GB2312"/>
                <w:color w:val="auto"/>
                <w:kern w:val="0"/>
                <w:sz w:val="13"/>
                <w:szCs w:val="13"/>
                <w:highlight w:val="none"/>
              </w:rPr>
            </w:pPr>
          </w:p>
        </w:tc>
        <w:tc>
          <w:tcPr>
            <w:tcW w:w="1550" w:type="dxa"/>
            <w:vMerge w:val="continue"/>
            <w:tcBorders>
              <w:tl2br w:val="nil"/>
              <w:tr2bl w:val="nil"/>
            </w:tcBorders>
            <w:vAlign w:val="center"/>
          </w:tcPr>
          <w:p w14:paraId="5D1E8CB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52DA546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olor w:val="auto"/>
                <w:kern w:val="0"/>
                <w:sz w:val="13"/>
                <w:szCs w:val="13"/>
                <w:highlight w:val="none"/>
              </w:rPr>
            </w:pPr>
          </w:p>
        </w:tc>
        <w:tc>
          <w:tcPr>
            <w:tcW w:w="823" w:type="dxa"/>
            <w:tcBorders>
              <w:tl2br w:val="nil"/>
              <w:tr2bl w:val="nil"/>
            </w:tcBorders>
            <w:tcMar>
              <w:top w:w="15" w:type="dxa"/>
              <w:left w:w="15" w:type="dxa"/>
              <w:bottom w:w="15" w:type="dxa"/>
              <w:right w:w="15" w:type="dxa"/>
            </w:tcMar>
            <w:vAlign w:val="center"/>
          </w:tcPr>
          <w:p w14:paraId="3C1D65B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从重情节</w:t>
            </w:r>
          </w:p>
        </w:tc>
        <w:tc>
          <w:tcPr>
            <w:tcW w:w="3437" w:type="dxa"/>
            <w:gridSpan w:val="2"/>
            <w:tcBorders>
              <w:tl2br w:val="nil"/>
              <w:tr2bl w:val="nil"/>
            </w:tcBorders>
            <w:tcMar>
              <w:top w:w="15" w:type="dxa"/>
              <w:left w:w="15" w:type="dxa"/>
              <w:bottom w:w="15" w:type="dxa"/>
              <w:right w:w="15" w:type="dxa"/>
            </w:tcMar>
            <w:vAlign w:val="center"/>
          </w:tcPr>
          <w:p w14:paraId="5B09876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违法所得30万元以上的。</w:t>
            </w:r>
          </w:p>
        </w:tc>
        <w:tc>
          <w:tcPr>
            <w:tcW w:w="3058" w:type="dxa"/>
            <w:tcBorders>
              <w:tl2br w:val="nil"/>
              <w:tr2bl w:val="nil"/>
            </w:tcBorders>
            <w:tcMar>
              <w:top w:w="15" w:type="dxa"/>
              <w:left w:w="15" w:type="dxa"/>
              <w:bottom w:w="15" w:type="dxa"/>
              <w:right w:w="15" w:type="dxa"/>
            </w:tcMar>
            <w:vAlign w:val="center"/>
          </w:tcPr>
          <w:p w14:paraId="1C141B8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没收违法所得，并处2.5万元以上3万元以下的罚款。</w:t>
            </w:r>
          </w:p>
        </w:tc>
      </w:tr>
      <w:tr w14:paraId="273E369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616" w:hRule="atLeast"/>
          <w:jc w:val="center"/>
        </w:trPr>
        <w:tc>
          <w:tcPr>
            <w:tcW w:w="443" w:type="dxa"/>
            <w:gridSpan w:val="2"/>
            <w:vMerge w:val="restart"/>
            <w:tcBorders>
              <w:tl2br w:val="nil"/>
              <w:tr2bl w:val="nil"/>
            </w:tcBorders>
            <w:vAlign w:val="center"/>
          </w:tcPr>
          <w:p w14:paraId="2D5FEE10">
            <w:pPr>
              <w:keepNext w:val="0"/>
              <w:keepLines w:val="0"/>
              <w:pageBreakBefore w:val="0"/>
              <w:widowControl/>
              <w:numPr>
                <w:ilvl w:val="0"/>
                <w:numId w:val="6"/>
              </w:numPr>
              <w:suppressLineNumbers w:val="0"/>
              <w:tabs>
                <w:tab w:val="clear" w:pos="397"/>
              </w:tabs>
              <w:kinsoku/>
              <w:overflowPunct/>
              <w:topLinePunct w:val="0"/>
              <w:autoSpaceDE/>
              <w:autoSpaceDN/>
              <w:bidi w:val="0"/>
              <w:adjustRightInd/>
              <w:snapToGrid/>
              <w:spacing w:beforeAutospacing="0" w:afterAutospacing="0" w:line="260" w:lineRule="exact"/>
              <w:ind w:left="638" w:leftChars="88" w:right="0" w:rightChars="0" w:hanging="453" w:hangingChars="349"/>
              <w:jc w:val="center"/>
              <w:textAlignment w:val="center"/>
              <w:rPr>
                <w:rFonts w:hint="default" w:ascii="仿宋_GB2312" w:hAnsi="宋体" w:eastAsia="仿宋_GB2312"/>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291</w:t>
            </w:r>
          </w:p>
        </w:tc>
        <w:tc>
          <w:tcPr>
            <w:tcW w:w="1550" w:type="dxa"/>
            <w:vMerge w:val="restart"/>
            <w:tcBorders>
              <w:tl2br w:val="nil"/>
              <w:tr2bl w:val="nil"/>
            </w:tcBorders>
            <w:vAlign w:val="center"/>
          </w:tcPr>
          <w:p w14:paraId="53B7460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olor w:val="auto"/>
                <w:kern w:val="0"/>
                <w:sz w:val="13"/>
                <w:szCs w:val="13"/>
                <w:highlight w:val="none"/>
              </w:rPr>
            </w:pPr>
            <w:r>
              <w:rPr>
                <w:rFonts w:ascii="仿宋_GB2312" w:hAnsi="宋体" w:eastAsia="仿宋_GB2312"/>
                <w:color w:val="auto"/>
                <w:kern w:val="0"/>
                <w:sz w:val="13"/>
                <w:szCs w:val="13"/>
                <w:highlight w:val="none"/>
              </w:rPr>
              <w:t>将已购公有住房和经济适用住房上市出售后，该户家庭又以非法手段按照成本价（或者标准价）购买公有住房或者政府提供优惠政策建设的住房的</w:t>
            </w:r>
          </w:p>
        </w:tc>
        <w:tc>
          <w:tcPr>
            <w:tcW w:w="4820" w:type="dxa"/>
            <w:vMerge w:val="restart"/>
            <w:tcBorders>
              <w:tl2br w:val="nil"/>
              <w:tr2bl w:val="nil"/>
            </w:tcBorders>
            <w:vAlign w:val="center"/>
          </w:tcPr>
          <w:p w14:paraId="7C06534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《已购公有住房和经济适用住房上市出售管理暂行办法》</w:t>
            </w:r>
            <w:r>
              <w:rPr>
                <w:rFonts w:hint="eastAsia" w:ascii="仿宋_GB2312" w:hAnsi="宋体" w:eastAsia="仿宋_GB2312"/>
                <w:b/>
                <w:bCs/>
                <w:color w:val="auto"/>
                <w:kern w:val="0"/>
                <w:sz w:val="13"/>
                <w:szCs w:val="13"/>
                <w:highlight w:val="none"/>
              </w:rPr>
              <w:t>第十五条</w:t>
            </w:r>
            <w:r>
              <w:rPr>
                <w:rFonts w:hint="eastAsia" w:ascii="仿宋_GB2312" w:hAnsi="宋体" w:eastAsia="仿宋_GB2312"/>
                <w:b/>
                <w:bCs/>
                <w:color w:val="auto"/>
                <w:kern w:val="0"/>
                <w:sz w:val="13"/>
                <w:szCs w:val="13"/>
                <w:highlight w:val="none"/>
                <w:lang w:eastAsia="zh-CN"/>
              </w:rPr>
              <w:t>：</w:t>
            </w:r>
            <w:r>
              <w:rPr>
                <w:rFonts w:ascii="仿宋_GB2312" w:hAnsi="宋体" w:eastAsia="仿宋_GB2312"/>
                <w:color w:val="auto"/>
                <w:kern w:val="0"/>
                <w:sz w:val="13"/>
                <w:szCs w:val="13"/>
                <w:highlight w:val="none"/>
              </w:rPr>
              <w:t>违反本办法第十三条的规定，将已购公有住房和经济适用住房上市出售后，该户家庭又以非法手段按照成本价（或者标准价）购买公有住房或者政府提供优惠政策建设的住房的，由房地产行政主管部门责令退回所购房屋，不予办理产权登记手续，并处以10000元以上30000元以下罚款；或者按照商品房市场价格补齐房价款，并处以10000元以上30000元以下罚款。</w:t>
            </w:r>
          </w:p>
          <w:p w14:paraId="2B1BADE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《已购公有住房和经济适用住房上市出售管理暂行办法》</w:t>
            </w:r>
            <w:r>
              <w:rPr>
                <w:rFonts w:ascii="仿宋_GB2312" w:hAnsi="宋体" w:eastAsia="仿宋_GB2312"/>
                <w:b/>
                <w:bCs/>
                <w:color w:val="auto"/>
                <w:kern w:val="0"/>
                <w:sz w:val="13"/>
                <w:szCs w:val="13"/>
                <w:highlight w:val="none"/>
              </w:rPr>
              <w:t>第十三条</w:t>
            </w:r>
            <w:bookmarkStart w:id="26" w:name="tiao_13_kuan_1"/>
            <w:bookmarkEnd w:id="26"/>
            <w:r>
              <w:rPr>
                <w:rFonts w:hint="eastAsia" w:ascii="仿宋_GB2312" w:hAnsi="宋体" w:eastAsia="仿宋_GB2312"/>
                <w:b/>
                <w:bCs/>
                <w:color w:val="auto"/>
                <w:kern w:val="0"/>
                <w:sz w:val="13"/>
                <w:szCs w:val="13"/>
                <w:highlight w:val="none"/>
                <w:lang w:eastAsia="zh-CN"/>
              </w:rPr>
              <w:t>：</w:t>
            </w:r>
            <w:r>
              <w:rPr>
                <w:rFonts w:ascii="仿宋_GB2312" w:hAnsi="宋体" w:eastAsia="仿宋_GB2312"/>
                <w:color w:val="auto"/>
                <w:kern w:val="0"/>
                <w:sz w:val="13"/>
                <w:szCs w:val="13"/>
                <w:highlight w:val="none"/>
              </w:rPr>
              <w:t>已购公有住房和经济适用住房上市出售后，该户家庭不得再按照成本价或者标准价购买公有住房，也不得再购买经济适用住房等政府提供优惠政策建设的住房。</w:t>
            </w:r>
          </w:p>
        </w:tc>
        <w:tc>
          <w:tcPr>
            <w:tcW w:w="823" w:type="dxa"/>
            <w:tcBorders>
              <w:tl2br w:val="nil"/>
              <w:tr2bl w:val="nil"/>
            </w:tcBorders>
            <w:tcMar>
              <w:top w:w="15" w:type="dxa"/>
              <w:left w:w="15" w:type="dxa"/>
              <w:bottom w:w="15" w:type="dxa"/>
              <w:right w:w="15" w:type="dxa"/>
            </w:tcMar>
            <w:vAlign w:val="center"/>
          </w:tcPr>
          <w:p w14:paraId="345FB21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bookmarkStart w:id="27" w:name="tiao_15_kuan_1"/>
            <w:bookmarkEnd w:id="27"/>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tcMar>
              <w:top w:w="15" w:type="dxa"/>
              <w:left w:w="15" w:type="dxa"/>
              <w:bottom w:w="15" w:type="dxa"/>
              <w:right w:w="15" w:type="dxa"/>
            </w:tcMar>
            <w:vAlign w:val="center"/>
          </w:tcPr>
          <w:p w14:paraId="5258CD2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ascii="仿宋_GB2312" w:hAnsi="宋体" w:eastAsia="仿宋_GB2312"/>
                <w:color w:val="auto"/>
                <w:kern w:val="0"/>
                <w:sz w:val="13"/>
                <w:szCs w:val="13"/>
                <w:highlight w:val="none"/>
              </w:rPr>
              <w:t>住房</w:t>
            </w:r>
            <w:r>
              <w:rPr>
                <w:rFonts w:hint="eastAsia" w:ascii="仿宋_GB2312" w:hAnsi="宋体" w:eastAsia="仿宋_GB2312"/>
                <w:color w:val="auto"/>
                <w:kern w:val="0"/>
                <w:sz w:val="13"/>
                <w:szCs w:val="13"/>
                <w:highlight w:val="none"/>
              </w:rPr>
              <w:t>的市场价格与购买（建设）价格之间的价差在10万</w:t>
            </w:r>
            <w:r>
              <w:rPr>
                <w:rFonts w:ascii="仿宋_GB2312" w:hAnsi="宋体" w:eastAsia="仿宋_GB2312"/>
                <w:color w:val="auto"/>
                <w:kern w:val="0"/>
                <w:sz w:val="13"/>
                <w:szCs w:val="13"/>
                <w:highlight w:val="none"/>
              </w:rPr>
              <w:t>元</w:t>
            </w:r>
            <w:r>
              <w:rPr>
                <w:rFonts w:hint="eastAsia" w:ascii="仿宋_GB2312" w:hAnsi="宋体" w:eastAsia="仿宋_GB2312"/>
                <w:color w:val="auto"/>
                <w:kern w:val="0"/>
                <w:sz w:val="13"/>
                <w:szCs w:val="13"/>
                <w:highlight w:val="none"/>
              </w:rPr>
              <w:t>以下的。</w:t>
            </w:r>
          </w:p>
        </w:tc>
        <w:tc>
          <w:tcPr>
            <w:tcW w:w="3058" w:type="dxa"/>
            <w:tcBorders>
              <w:tl2br w:val="nil"/>
              <w:tr2bl w:val="nil"/>
            </w:tcBorders>
            <w:tcMar>
              <w:top w:w="15" w:type="dxa"/>
              <w:left w:w="15" w:type="dxa"/>
              <w:bottom w:w="15" w:type="dxa"/>
              <w:right w:w="15" w:type="dxa"/>
            </w:tcMar>
            <w:vAlign w:val="center"/>
          </w:tcPr>
          <w:p w14:paraId="368C9E4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ascii="仿宋_GB2312" w:hAnsi="宋体" w:eastAsia="仿宋_GB2312"/>
                <w:color w:val="auto"/>
                <w:kern w:val="0"/>
                <w:sz w:val="13"/>
                <w:szCs w:val="13"/>
                <w:highlight w:val="none"/>
              </w:rPr>
              <w:t>责令退回所购房屋，不予办理产权登记手续</w:t>
            </w:r>
            <w:r>
              <w:rPr>
                <w:rFonts w:hint="eastAsia" w:ascii="仿宋_GB2312" w:hAnsi="宋体" w:eastAsia="仿宋_GB2312"/>
                <w:color w:val="auto"/>
                <w:kern w:val="0"/>
                <w:sz w:val="13"/>
                <w:szCs w:val="13"/>
                <w:highlight w:val="none"/>
              </w:rPr>
              <w:t>，</w:t>
            </w:r>
            <w:r>
              <w:rPr>
                <w:rFonts w:ascii="仿宋_GB2312" w:hAnsi="宋体" w:eastAsia="仿宋_GB2312"/>
                <w:color w:val="auto"/>
                <w:kern w:val="0"/>
                <w:sz w:val="13"/>
                <w:szCs w:val="13"/>
                <w:highlight w:val="none"/>
              </w:rPr>
              <w:t>处</w:t>
            </w:r>
            <w:r>
              <w:rPr>
                <w:rFonts w:hint="eastAsia" w:ascii="仿宋_GB2312" w:hAnsi="宋体" w:eastAsia="仿宋_GB2312"/>
                <w:color w:val="auto"/>
                <w:kern w:val="0"/>
                <w:sz w:val="13"/>
                <w:szCs w:val="13"/>
                <w:highlight w:val="none"/>
              </w:rPr>
              <w:t>1万</w:t>
            </w:r>
            <w:r>
              <w:rPr>
                <w:rFonts w:ascii="仿宋_GB2312" w:hAnsi="宋体" w:eastAsia="仿宋_GB2312"/>
                <w:color w:val="auto"/>
                <w:kern w:val="0"/>
                <w:sz w:val="13"/>
                <w:szCs w:val="13"/>
                <w:highlight w:val="none"/>
              </w:rPr>
              <w:t>元以上</w:t>
            </w:r>
            <w:r>
              <w:rPr>
                <w:rFonts w:hint="eastAsia" w:ascii="仿宋_GB2312" w:hAnsi="宋体" w:eastAsia="仿宋_GB2312"/>
                <w:color w:val="auto"/>
                <w:kern w:val="0"/>
                <w:sz w:val="13"/>
                <w:szCs w:val="13"/>
                <w:highlight w:val="none"/>
              </w:rPr>
              <w:t>1.5万</w:t>
            </w:r>
            <w:r>
              <w:rPr>
                <w:rFonts w:ascii="仿宋_GB2312" w:hAnsi="宋体" w:eastAsia="仿宋_GB2312"/>
                <w:color w:val="auto"/>
                <w:kern w:val="0"/>
                <w:sz w:val="13"/>
                <w:szCs w:val="13"/>
                <w:highlight w:val="none"/>
              </w:rPr>
              <w:t>元以下的罚款</w:t>
            </w:r>
            <w:r>
              <w:rPr>
                <w:rFonts w:hint="eastAsia" w:ascii="仿宋_GB2312" w:hAnsi="宋体" w:eastAsia="仿宋_GB2312"/>
                <w:color w:val="auto"/>
                <w:kern w:val="0"/>
                <w:sz w:val="13"/>
                <w:szCs w:val="13"/>
                <w:highlight w:val="none"/>
              </w:rPr>
              <w:t>；</w:t>
            </w:r>
            <w:r>
              <w:rPr>
                <w:rFonts w:ascii="仿宋_GB2312" w:hAnsi="宋体" w:eastAsia="仿宋_GB2312"/>
                <w:color w:val="auto"/>
                <w:kern w:val="0"/>
                <w:sz w:val="13"/>
                <w:szCs w:val="13"/>
                <w:highlight w:val="none"/>
              </w:rPr>
              <w:t>或者按照商品房市场价格补交房价款，并处以1</w:t>
            </w:r>
            <w:r>
              <w:rPr>
                <w:rFonts w:hint="eastAsia" w:ascii="仿宋_GB2312" w:hAnsi="宋体" w:eastAsia="仿宋_GB2312"/>
                <w:color w:val="auto"/>
                <w:kern w:val="0"/>
                <w:sz w:val="13"/>
                <w:szCs w:val="13"/>
                <w:highlight w:val="none"/>
              </w:rPr>
              <w:t>万</w:t>
            </w:r>
            <w:r>
              <w:rPr>
                <w:rFonts w:ascii="仿宋_GB2312" w:hAnsi="宋体" w:eastAsia="仿宋_GB2312"/>
                <w:color w:val="auto"/>
                <w:kern w:val="0"/>
                <w:sz w:val="13"/>
                <w:szCs w:val="13"/>
                <w:highlight w:val="none"/>
              </w:rPr>
              <w:t>元以上</w:t>
            </w:r>
            <w:r>
              <w:rPr>
                <w:rFonts w:hint="eastAsia" w:ascii="仿宋_GB2312" w:hAnsi="宋体" w:eastAsia="仿宋_GB2312"/>
                <w:color w:val="auto"/>
                <w:kern w:val="0"/>
                <w:sz w:val="13"/>
                <w:szCs w:val="13"/>
                <w:highlight w:val="none"/>
              </w:rPr>
              <w:t>1.5万</w:t>
            </w:r>
            <w:r>
              <w:rPr>
                <w:rFonts w:ascii="仿宋_GB2312" w:hAnsi="宋体" w:eastAsia="仿宋_GB2312"/>
                <w:color w:val="auto"/>
                <w:kern w:val="0"/>
                <w:sz w:val="13"/>
                <w:szCs w:val="13"/>
                <w:highlight w:val="none"/>
              </w:rPr>
              <w:t>元以下罚款</w:t>
            </w:r>
            <w:r>
              <w:rPr>
                <w:rFonts w:hint="eastAsia" w:ascii="仿宋_GB2312" w:hAnsi="宋体" w:eastAsia="仿宋_GB2312"/>
                <w:color w:val="auto"/>
                <w:kern w:val="0"/>
                <w:sz w:val="13"/>
                <w:szCs w:val="13"/>
                <w:highlight w:val="none"/>
              </w:rPr>
              <w:t>。</w:t>
            </w:r>
          </w:p>
        </w:tc>
      </w:tr>
      <w:tr w14:paraId="0B9F01A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616" w:hRule="atLeast"/>
          <w:jc w:val="center"/>
        </w:trPr>
        <w:tc>
          <w:tcPr>
            <w:tcW w:w="443" w:type="dxa"/>
            <w:gridSpan w:val="2"/>
            <w:vMerge w:val="continue"/>
            <w:tcBorders>
              <w:tl2br w:val="nil"/>
              <w:tr2bl w:val="nil"/>
            </w:tcBorders>
            <w:vAlign w:val="center"/>
          </w:tcPr>
          <w:p w14:paraId="03B023F3">
            <w:pPr>
              <w:pStyle w:val="37"/>
              <w:keepNext w:val="0"/>
              <w:keepLines w:val="0"/>
              <w:pageBreakBefore w:val="0"/>
              <w:widowControl/>
              <w:numPr>
                <w:ilvl w:val="0"/>
                <w:numId w:val="9"/>
              </w:numPr>
              <w:kinsoku/>
              <w:overflowPunct/>
              <w:topLinePunct w:val="0"/>
              <w:autoSpaceDE/>
              <w:autoSpaceDN/>
              <w:bidi w:val="0"/>
              <w:adjustRightInd/>
              <w:snapToGrid/>
              <w:spacing w:beforeAutospacing="0" w:afterAutospacing="0" w:line="260" w:lineRule="exact"/>
              <w:ind w:left="0" w:leftChars="0" w:right="0" w:rightChars="0" w:firstLineChars="0"/>
              <w:jc w:val="center"/>
              <w:textAlignment w:val="center"/>
              <w:rPr>
                <w:color w:val="auto"/>
                <w:sz w:val="13"/>
                <w:szCs w:val="13"/>
                <w:highlight w:val="none"/>
              </w:rPr>
            </w:pPr>
          </w:p>
        </w:tc>
        <w:tc>
          <w:tcPr>
            <w:tcW w:w="1550" w:type="dxa"/>
            <w:vMerge w:val="continue"/>
            <w:tcBorders>
              <w:tl2br w:val="nil"/>
              <w:tr2bl w:val="nil"/>
            </w:tcBorders>
            <w:vAlign w:val="center"/>
          </w:tcPr>
          <w:p w14:paraId="1DA803F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3E59812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olor w:val="auto"/>
                <w:kern w:val="0"/>
                <w:sz w:val="13"/>
                <w:szCs w:val="13"/>
                <w:highlight w:val="none"/>
              </w:rPr>
            </w:pPr>
          </w:p>
        </w:tc>
        <w:tc>
          <w:tcPr>
            <w:tcW w:w="823" w:type="dxa"/>
            <w:tcBorders>
              <w:tl2br w:val="nil"/>
              <w:tr2bl w:val="nil"/>
            </w:tcBorders>
            <w:tcMar>
              <w:top w:w="15" w:type="dxa"/>
              <w:left w:w="15" w:type="dxa"/>
              <w:bottom w:w="15" w:type="dxa"/>
              <w:right w:w="15" w:type="dxa"/>
            </w:tcMar>
            <w:vAlign w:val="center"/>
          </w:tcPr>
          <w:p w14:paraId="6E9947F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一般情节</w:t>
            </w:r>
          </w:p>
        </w:tc>
        <w:tc>
          <w:tcPr>
            <w:tcW w:w="3437" w:type="dxa"/>
            <w:gridSpan w:val="2"/>
            <w:tcBorders>
              <w:tl2br w:val="nil"/>
              <w:tr2bl w:val="nil"/>
            </w:tcBorders>
            <w:tcMar>
              <w:top w:w="15" w:type="dxa"/>
              <w:left w:w="15" w:type="dxa"/>
              <w:bottom w:w="15" w:type="dxa"/>
              <w:right w:w="15" w:type="dxa"/>
            </w:tcMar>
            <w:vAlign w:val="center"/>
          </w:tcPr>
          <w:p w14:paraId="6438B33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ascii="仿宋_GB2312" w:hAnsi="宋体" w:eastAsia="仿宋_GB2312"/>
                <w:color w:val="auto"/>
                <w:kern w:val="0"/>
                <w:sz w:val="13"/>
                <w:szCs w:val="13"/>
                <w:highlight w:val="none"/>
              </w:rPr>
              <w:t>住房</w:t>
            </w:r>
            <w:r>
              <w:rPr>
                <w:rFonts w:hint="eastAsia" w:ascii="仿宋_GB2312" w:hAnsi="宋体" w:eastAsia="仿宋_GB2312"/>
                <w:color w:val="auto"/>
                <w:kern w:val="0"/>
                <w:sz w:val="13"/>
                <w:szCs w:val="13"/>
                <w:highlight w:val="none"/>
              </w:rPr>
              <w:t>的市场价格与购买（建设）价格之间的价差在10万以上20万</w:t>
            </w:r>
            <w:r>
              <w:rPr>
                <w:rFonts w:ascii="仿宋_GB2312" w:hAnsi="宋体" w:eastAsia="仿宋_GB2312"/>
                <w:color w:val="auto"/>
                <w:kern w:val="0"/>
                <w:sz w:val="13"/>
                <w:szCs w:val="13"/>
                <w:highlight w:val="none"/>
              </w:rPr>
              <w:t>元</w:t>
            </w:r>
            <w:r>
              <w:rPr>
                <w:rFonts w:hint="eastAsia" w:ascii="仿宋_GB2312" w:hAnsi="宋体" w:eastAsia="仿宋_GB2312"/>
                <w:color w:val="auto"/>
                <w:kern w:val="0"/>
                <w:sz w:val="13"/>
                <w:szCs w:val="13"/>
                <w:highlight w:val="none"/>
              </w:rPr>
              <w:t>以下的。</w:t>
            </w:r>
          </w:p>
        </w:tc>
        <w:tc>
          <w:tcPr>
            <w:tcW w:w="3058" w:type="dxa"/>
            <w:tcBorders>
              <w:tl2br w:val="nil"/>
              <w:tr2bl w:val="nil"/>
            </w:tcBorders>
            <w:tcMar>
              <w:top w:w="15" w:type="dxa"/>
              <w:left w:w="15" w:type="dxa"/>
              <w:bottom w:w="15" w:type="dxa"/>
              <w:right w:w="15" w:type="dxa"/>
            </w:tcMar>
            <w:vAlign w:val="center"/>
          </w:tcPr>
          <w:p w14:paraId="34A7F7F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ascii="仿宋_GB2312" w:hAnsi="宋体" w:eastAsia="仿宋_GB2312"/>
                <w:color w:val="auto"/>
                <w:kern w:val="0"/>
                <w:sz w:val="13"/>
                <w:szCs w:val="13"/>
                <w:highlight w:val="none"/>
              </w:rPr>
              <w:t>责令退回所购房屋，不予办理产权登记手续</w:t>
            </w:r>
            <w:r>
              <w:rPr>
                <w:rFonts w:hint="eastAsia" w:ascii="仿宋_GB2312" w:hAnsi="宋体" w:eastAsia="仿宋_GB2312"/>
                <w:color w:val="auto"/>
                <w:kern w:val="0"/>
                <w:sz w:val="13"/>
                <w:szCs w:val="13"/>
                <w:highlight w:val="none"/>
              </w:rPr>
              <w:t>，</w:t>
            </w:r>
            <w:r>
              <w:rPr>
                <w:rFonts w:ascii="仿宋_GB2312" w:hAnsi="宋体" w:eastAsia="仿宋_GB2312"/>
                <w:color w:val="auto"/>
                <w:kern w:val="0"/>
                <w:sz w:val="13"/>
                <w:szCs w:val="13"/>
                <w:highlight w:val="none"/>
              </w:rPr>
              <w:t>处</w:t>
            </w:r>
            <w:r>
              <w:rPr>
                <w:rFonts w:hint="eastAsia" w:ascii="仿宋_GB2312" w:hAnsi="宋体" w:eastAsia="仿宋_GB2312"/>
                <w:color w:val="auto"/>
                <w:kern w:val="0"/>
                <w:sz w:val="13"/>
                <w:szCs w:val="13"/>
                <w:highlight w:val="none"/>
              </w:rPr>
              <w:t>1.5万</w:t>
            </w:r>
            <w:r>
              <w:rPr>
                <w:rFonts w:ascii="仿宋_GB2312" w:hAnsi="宋体" w:eastAsia="仿宋_GB2312"/>
                <w:color w:val="auto"/>
                <w:kern w:val="0"/>
                <w:sz w:val="13"/>
                <w:szCs w:val="13"/>
                <w:highlight w:val="none"/>
              </w:rPr>
              <w:t>元以上</w:t>
            </w:r>
            <w:r>
              <w:rPr>
                <w:rFonts w:hint="eastAsia" w:ascii="仿宋_GB2312" w:hAnsi="宋体" w:eastAsia="仿宋_GB2312"/>
                <w:color w:val="auto"/>
                <w:kern w:val="0"/>
                <w:sz w:val="13"/>
                <w:szCs w:val="13"/>
                <w:highlight w:val="none"/>
              </w:rPr>
              <w:t>2.5万</w:t>
            </w:r>
            <w:r>
              <w:rPr>
                <w:rFonts w:ascii="仿宋_GB2312" w:hAnsi="宋体" w:eastAsia="仿宋_GB2312"/>
                <w:color w:val="auto"/>
                <w:kern w:val="0"/>
                <w:sz w:val="13"/>
                <w:szCs w:val="13"/>
                <w:highlight w:val="none"/>
              </w:rPr>
              <w:t>元以下的罚款</w:t>
            </w:r>
            <w:r>
              <w:rPr>
                <w:rFonts w:hint="eastAsia" w:ascii="仿宋_GB2312" w:hAnsi="宋体" w:eastAsia="仿宋_GB2312"/>
                <w:color w:val="auto"/>
                <w:kern w:val="0"/>
                <w:sz w:val="13"/>
                <w:szCs w:val="13"/>
                <w:highlight w:val="none"/>
              </w:rPr>
              <w:t>；</w:t>
            </w:r>
            <w:r>
              <w:rPr>
                <w:rFonts w:ascii="仿宋_GB2312" w:hAnsi="宋体" w:eastAsia="仿宋_GB2312"/>
                <w:color w:val="auto"/>
                <w:kern w:val="0"/>
                <w:sz w:val="13"/>
                <w:szCs w:val="13"/>
                <w:highlight w:val="none"/>
              </w:rPr>
              <w:t>或者按照商品房市场价格补交房价款，并处以1</w:t>
            </w:r>
            <w:r>
              <w:rPr>
                <w:rFonts w:hint="eastAsia" w:ascii="仿宋_GB2312" w:hAnsi="宋体" w:eastAsia="仿宋_GB2312"/>
                <w:color w:val="auto"/>
                <w:kern w:val="0"/>
                <w:sz w:val="13"/>
                <w:szCs w:val="13"/>
                <w:highlight w:val="none"/>
              </w:rPr>
              <w:t>.5万</w:t>
            </w:r>
            <w:r>
              <w:rPr>
                <w:rFonts w:ascii="仿宋_GB2312" w:hAnsi="宋体" w:eastAsia="仿宋_GB2312"/>
                <w:color w:val="auto"/>
                <w:kern w:val="0"/>
                <w:sz w:val="13"/>
                <w:szCs w:val="13"/>
                <w:highlight w:val="none"/>
              </w:rPr>
              <w:t>元以上</w:t>
            </w:r>
            <w:r>
              <w:rPr>
                <w:rFonts w:hint="eastAsia" w:ascii="仿宋_GB2312" w:hAnsi="宋体" w:eastAsia="仿宋_GB2312"/>
                <w:color w:val="auto"/>
                <w:kern w:val="0"/>
                <w:sz w:val="13"/>
                <w:szCs w:val="13"/>
                <w:highlight w:val="none"/>
              </w:rPr>
              <w:t>2.5万</w:t>
            </w:r>
            <w:r>
              <w:rPr>
                <w:rFonts w:ascii="仿宋_GB2312" w:hAnsi="宋体" w:eastAsia="仿宋_GB2312"/>
                <w:color w:val="auto"/>
                <w:kern w:val="0"/>
                <w:sz w:val="13"/>
                <w:szCs w:val="13"/>
                <w:highlight w:val="none"/>
              </w:rPr>
              <w:t>元以下罚款</w:t>
            </w:r>
            <w:r>
              <w:rPr>
                <w:rFonts w:hint="eastAsia" w:ascii="仿宋_GB2312" w:hAnsi="宋体" w:eastAsia="仿宋_GB2312"/>
                <w:color w:val="auto"/>
                <w:kern w:val="0"/>
                <w:sz w:val="13"/>
                <w:szCs w:val="13"/>
                <w:highlight w:val="none"/>
              </w:rPr>
              <w:t>。</w:t>
            </w:r>
          </w:p>
        </w:tc>
      </w:tr>
      <w:tr w14:paraId="3196C81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616" w:hRule="atLeast"/>
          <w:jc w:val="center"/>
        </w:trPr>
        <w:tc>
          <w:tcPr>
            <w:tcW w:w="443" w:type="dxa"/>
            <w:gridSpan w:val="2"/>
            <w:vMerge w:val="continue"/>
            <w:tcBorders>
              <w:tl2br w:val="nil"/>
              <w:tr2bl w:val="nil"/>
            </w:tcBorders>
            <w:vAlign w:val="center"/>
          </w:tcPr>
          <w:p w14:paraId="2036D17F">
            <w:pPr>
              <w:pStyle w:val="37"/>
              <w:keepNext w:val="0"/>
              <w:keepLines w:val="0"/>
              <w:pageBreakBefore w:val="0"/>
              <w:widowControl/>
              <w:numPr>
                <w:ilvl w:val="0"/>
                <w:numId w:val="9"/>
              </w:numPr>
              <w:kinsoku/>
              <w:overflowPunct/>
              <w:topLinePunct w:val="0"/>
              <w:autoSpaceDE/>
              <w:autoSpaceDN/>
              <w:bidi w:val="0"/>
              <w:adjustRightInd/>
              <w:snapToGrid/>
              <w:spacing w:beforeAutospacing="0" w:afterAutospacing="0" w:line="260" w:lineRule="exact"/>
              <w:ind w:left="0" w:leftChars="0" w:right="0" w:rightChars="0" w:firstLineChars="0"/>
              <w:jc w:val="center"/>
              <w:textAlignment w:val="center"/>
              <w:rPr>
                <w:rFonts w:ascii="仿宋_GB2312" w:hAnsi="宋体" w:eastAsia="仿宋_GB2312"/>
                <w:color w:val="auto"/>
                <w:kern w:val="0"/>
                <w:sz w:val="13"/>
                <w:szCs w:val="13"/>
                <w:highlight w:val="none"/>
              </w:rPr>
            </w:pPr>
          </w:p>
        </w:tc>
        <w:tc>
          <w:tcPr>
            <w:tcW w:w="1550" w:type="dxa"/>
            <w:vMerge w:val="continue"/>
            <w:tcBorders>
              <w:tl2br w:val="nil"/>
              <w:tr2bl w:val="nil"/>
            </w:tcBorders>
            <w:vAlign w:val="center"/>
          </w:tcPr>
          <w:p w14:paraId="380DB63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4B92DC9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olor w:val="auto"/>
                <w:kern w:val="0"/>
                <w:sz w:val="13"/>
                <w:szCs w:val="13"/>
                <w:highlight w:val="none"/>
              </w:rPr>
            </w:pPr>
          </w:p>
        </w:tc>
        <w:tc>
          <w:tcPr>
            <w:tcW w:w="823" w:type="dxa"/>
            <w:tcBorders>
              <w:tl2br w:val="nil"/>
              <w:tr2bl w:val="nil"/>
            </w:tcBorders>
            <w:tcMar>
              <w:top w:w="15" w:type="dxa"/>
              <w:left w:w="15" w:type="dxa"/>
              <w:bottom w:w="15" w:type="dxa"/>
              <w:right w:w="15" w:type="dxa"/>
            </w:tcMar>
            <w:vAlign w:val="center"/>
          </w:tcPr>
          <w:p w14:paraId="1EA4097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从重情节</w:t>
            </w:r>
          </w:p>
        </w:tc>
        <w:tc>
          <w:tcPr>
            <w:tcW w:w="3437" w:type="dxa"/>
            <w:gridSpan w:val="2"/>
            <w:tcBorders>
              <w:tl2br w:val="nil"/>
              <w:tr2bl w:val="nil"/>
            </w:tcBorders>
            <w:tcMar>
              <w:top w:w="15" w:type="dxa"/>
              <w:left w:w="15" w:type="dxa"/>
              <w:bottom w:w="15" w:type="dxa"/>
              <w:right w:w="15" w:type="dxa"/>
            </w:tcMar>
            <w:vAlign w:val="center"/>
          </w:tcPr>
          <w:p w14:paraId="5C50098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ascii="仿宋_GB2312" w:hAnsi="宋体" w:eastAsia="仿宋_GB2312"/>
                <w:color w:val="auto"/>
                <w:kern w:val="0"/>
                <w:sz w:val="13"/>
                <w:szCs w:val="13"/>
                <w:highlight w:val="none"/>
              </w:rPr>
              <w:t>住房</w:t>
            </w:r>
            <w:r>
              <w:rPr>
                <w:rFonts w:hint="eastAsia" w:ascii="仿宋_GB2312" w:hAnsi="宋体" w:eastAsia="仿宋_GB2312"/>
                <w:color w:val="auto"/>
                <w:kern w:val="0"/>
                <w:sz w:val="13"/>
                <w:szCs w:val="13"/>
                <w:highlight w:val="none"/>
              </w:rPr>
              <w:t>的市场价格与购买（建设）价格之间的价差在20万</w:t>
            </w:r>
            <w:r>
              <w:rPr>
                <w:rFonts w:ascii="仿宋_GB2312" w:hAnsi="宋体" w:eastAsia="仿宋_GB2312"/>
                <w:color w:val="auto"/>
                <w:kern w:val="0"/>
                <w:sz w:val="13"/>
                <w:szCs w:val="13"/>
                <w:highlight w:val="none"/>
              </w:rPr>
              <w:t>元</w:t>
            </w:r>
            <w:r>
              <w:rPr>
                <w:rFonts w:hint="eastAsia" w:ascii="仿宋_GB2312" w:hAnsi="宋体" w:eastAsia="仿宋_GB2312"/>
                <w:color w:val="auto"/>
                <w:kern w:val="0"/>
                <w:sz w:val="13"/>
                <w:szCs w:val="13"/>
                <w:highlight w:val="none"/>
              </w:rPr>
              <w:t>以上的。</w:t>
            </w:r>
          </w:p>
        </w:tc>
        <w:tc>
          <w:tcPr>
            <w:tcW w:w="3058" w:type="dxa"/>
            <w:tcBorders>
              <w:tl2br w:val="nil"/>
              <w:tr2bl w:val="nil"/>
            </w:tcBorders>
            <w:tcMar>
              <w:top w:w="15" w:type="dxa"/>
              <w:left w:w="15" w:type="dxa"/>
              <w:bottom w:w="15" w:type="dxa"/>
              <w:right w:w="15" w:type="dxa"/>
            </w:tcMar>
            <w:vAlign w:val="center"/>
          </w:tcPr>
          <w:p w14:paraId="7F18B1F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p>
          <w:p w14:paraId="56957FF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p>
          <w:p w14:paraId="0D99405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ascii="仿宋_GB2312" w:hAnsi="宋体" w:eastAsia="仿宋_GB2312"/>
                <w:color w:val="auto"/>
                <w:kern w:val="0"/>
                <w:sz w:val="13"/>
                <w:szCs w:val="13"/>
                <w:highlight w:val="none"/>
              </w:rPr>
              <w:t>责令退回所购房屋，不予办理产权登记手续</w:t>
            </w:r>
            <w:r>
              <w:rPr>
                <w:rFonts w:hint="eastAsia" w:ascii="仿宋_GB2312" w:hAnsi="宋体" w:eastAsia="仿宋_GB2312"/>
                <w:color w:val="auto"/>
                <w:kern w:val="0"/>
                <w:sz w:val="13"/>
                <w:szCs w:val="13"/>
                <w:highlight w:val="none"/>
              </w:rPr>
              <w:t>，</w:t>
            </w:r>
            <w:r>
              <w:rPr>
                <w:rFonts w:ascii="仿宋_GB2312" w:hAnsi="宋体" w:eastAsia="仿宋_GB2312"/>
                <w:color w:val="auto"/>
                <w:kern w:val="0"/>
                <w:sz w:val="13"/>
                <w:szCs w:val="13"/>
                <w:highlight w:val="none"/>
              </w:rPr>
              <w:t>处</w:t>
            </w:r>
            <w:r>
              <w:rPr>
                <w:rFonts w:hint="eastAsia" w:ascii="仿宋_GB2312" w:hAnsi="宋体" w:eastAsia="仿宋_GB2312"/>
                <w:color w:val="auto"/>
                <w:kern w:val="0"/>
                <w:sz w:val="13"/>
                <w:szCs w:val="13"/>
                <w:highlight w:val="none"/>
              </w:rPr>
              <w:t>2.5万</w:t>
            </w:r>
            <w:r>
              <w:rPr>
                <w:rFonts w:ascii="仿宋_GB2312" w:hAnsi="宋体" w:eastAsia="仿宋_GB2312"/>
                <w:color w:val="auto"/>
                <w:kern w:val="0"/>
                <w:sz w:val="13"/>
                <w:szCs w:val="13"/>
                <w:highlight w:val="none"/>
              </w:rPr>
              <w:t>元以上</w:t>
            </w:r>
            <w:r>
              <w:rPr>
                <w:rFonts w:hint="eastAsia" w:ascii="仿宋_GB2312" w:hAnsi="宋体" w:eastAsia="仿宋_GB2312"/>
                <w:color w:val="auto"/>
                <w:kern w:val="0"/>
                <w:sz w:val="13"/>
                <w:szCs w:val="13"/>
                <w:highlight w:val="none"/>
              </w:rPr>
              <w:t>3万</w:t>
            </w:r>
            <w:r>
              <w:rPr>
                <w:rFonts w:ascii="仿宋_GB2312" w:hAnsi="宋体" w:eastAsia="仿宋_GB2312"/>
                <w:color w:val="auto"/>
                <w:kern w:val="0"/>
                <w:sz w:val="13"/>
                <w:szCs w:val="13"/>
                <w:highlight w:val="none"/>
              </w:rPr>
              <w:t>元以下的罚款</w:t>
            </w:r>
            <w:r>
              <w:rPr>
                <w:rFonts w:hint="eastAsia" w:ascii="仿宋_GB2312" w:hAnsi="宋体" w:eastAsia="仿宋_GB2312"/>
                <w:color w:val="auto"/>
                <w:kern w:val="0"/>
                <w:sz w:val="13"/>
                <w:szCs w:val="13"/>
                <w:highlight w:val="none"/>
              </w:rPr>
              <w:t>；</w:t>
            </w:r>
            <w:r>
              <w:rPr>
                <w:rFonts w:ascii="仿宋_GB2312" w:hAnsi="宋体" w:eastAsia="仿宋_GB2312"/>
                <w:color w:val="auto"/>
                <w:kern w:val="0"/>
                <w:sz w:val="13"/>
                <w:szCs w:val="13"/>
                <w:highlight w:val="none"/>
              </w:rPr>
              <w:t>或者按照商品房市场价格补交房价款，并处以</w:t>
            </w:r>
            <w:r>
              <w:rPr>
                <w:rFonts w:hint="eastAsia" w:ascii="仿宋_GB2312" w:hAnsi="宋体" w:eastAsia="仿宋_GB2312"/>
                <w:color w:val="auto"/>
                <w:kern w:val="0"/>
                <w:sz w:val="13"/>
                <w:szCs w:val="13"/>
                <w:highlight w:val="none"/>
              </w:rPr>
              <w:t>2.5万</w:t>
            </w:r>
            <w:r>
              <w:rPr>
                <w:rFonts w:ascii="仿宋_GB2312" w:hAnsi="宋体" w:eastAsia="仿宋_GB2312"/>
                <w:color w:val="auto"/>
                <w:kern w:val="0"/>
                <w:sz w:val="13"/>
                <w:szCs w:val="13"/>
                <w:highlight w:val="none"/>
              </w:rPr>
              <w:t>元以上3</w:t>
            </w:r>
            <w:r>
              <w:rPr>
                <w:rFonts w:hint="eastAsia" w:ascii="仿宋_GB2312" w:hAnsi="宋体" w:eastAsia="仿宋_GB2312"/>
                <w:color w:val="auto"/>
                <w:kern w:val="0"/>
                <w:sz w:val="13"/>
                <w:szCs w:val="13"/>
                <w:highlight w:val="none"/>
              </w:rPr>
              <w:t>万</w:t>
            </w:r>
            <w:r>
              <w:rPr>
                <w:rFonts w:ascii="仿宋_GB2312" w:hAnsi="宋体" w:eastAsia="仿宋_GB2312"/>
                <w:color w:val="auto"/>
                <w:kern w:val="0"/>
                <w:sz w:val="13"/>
                <w:szCs w:val="13"/>
                <w:highlight w:val="none"/>
              </w:rPr>
              <w:t>元以下罚款</w:t>
            </w:r>
            <w:r>
              <w:rPr>
                <w:rFonts w:hint="eastAsia" w:ascii="仿宋_GB2312" w:hAnsi="宋体" w:eastAsia="仿宋_GB2312"/>
                <w:color w:val="auto"/>
                <w:kern w:val="0"/>
                <w:sz w:val="13"/>
                <w:szCs w:val="13"/>
                <w:highlight w:val="none"/>
              </w:rPr>
              <w:t>。</w:t>
            </w:r>
          </w:p>
          <w:p w14:paraId="40727FA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p>
          <w:p w14:paraId="7250008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olor w:val="auto"/>
                <w:kern w:val="0"/>
                <w:sz w:val="13"/>
                <w:szCs w:val="13"/>
                <w:highlight w:val="none"/>
              </w:rPr>
            </w:pPr>
          </w:p>
        </w:tc>
      </w:tr>
      <w:tr w14:paraId="768CF46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13" w:hRule="atLeast"/>
          <w:jc w:val="center"/>
        </w:trPr>
        <w:tc>
          <w:tcPr>
            <w:tcW w:w="14131" w:type="dxa"/>
            <w:gridSpan w:val="8"/>
            <w:tcBorders>
              <w:tl2br w:val="nil"/>
              <w:tr2bl w:val="nil"/>
            </w:tcBorders>
            <w:tcMar>
              <w:top w:w="15" w:type="dxa"/>
              <w:left w:w="15" w:type="dxa"/>
              <w:bottom w:w="15" w:type="dxa"/>
              <w:right w:w="15" w:type="dxa"/>
            </w:tcMar>
            <w:vAlign w:val="center"/>
          </w:tcPr>
          <w:p w14:paraId="78329A56">
            <w:pPr>
              <w:pStyle w:val="10"/>
              <w:bidi w:val="0"/>
              <w:jc w:val="center"/>
              <w:rPr>
                <w:rFonts w:hint="eastAsia"/>
                <w:color w:val="auto"/>
              </w:rPr>
            </w:pPr>
            <w:bookmarkStart w:id="28" w:name="_Toc31625"/>
            <w:bookmarkStart w:id="29" w:name="_Toc1509"/>
            <w:r>
              <w:rPr>
                <w:rFonts w:hint="eastAsia"/>
                <w:color w:val="auto"/>
                <w:lang w:val="en-US" w:eastAsia="zh-CN"/>
              </w:rPr>
              <w:t>八、</w:t>
            </w:r>
            <w:r>
              <w:rPr>
                <w:rFonts w:hint="eastAsia"/>
                <w:color w:val="auto"/>
              </w:rPr>
              <w:t>住房公积金类（2项）</w:t>
            </w:r>
            <w:bookmarkEnd w:id="28"/>
            <w:bookmarkEnd w:id="29"/>
          </w:p>
        </w:tc>
      </w:tr>
      <w:tr w14:paraId="2F5BA92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9" w:hRule="atLeast"/>
          <w:jc w:val="center"/>
        </w:trPr>
        <w:tc>
          <w:tcPr>
            <w:tcW w:w="443" w:type="dxa"/>
            <w:gridSpan w:val="2"/>
            <w:vMerge w:val="restart"/>
            <w:tcBorders>
              <w:tl2br w:val="nil"/>
              <w:tr2bl w:val="nil"/>
            </w:tcBorders>
            <w:tcMar>
              <w:top w:w="15" w:type="dxa"/>
              <w:left w:w="15" w:type="dxa"/>
              <w:bottom w:w="15" w:type="dxa"/>
              <w:right w:w="15" w:type="dxa"/>
            </w:tcMar>
            <w:vAlign w:val="center"/>
          </w:tcPr>
          <w:p w14:paraId="537F0D7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rPr>
                <w:rFonts w:hint="default" w:ascii="仿宋_GB2312" w:hAnsi="宋体" w:eastAsia="仿宋_GB2312"/>
                <w:color w:val="auto"/>
                <w:sz w:val="13"/>
                <w:szCs w:val="13"/>
                <w:highlight w:val="none"/>
                <w:lang w:val="en-US" w:eastAsia="zh-CN"/>
              </w:rPr>
            </w:pPr>
            <w:r>
              <w:rPr>
                <w:rFonts w:hint="eastAsia" w:ascii="仿宋_GB2312" w:hAnsi="宋体" w:eastAsia="仿宋_GB2312"/>
                <w:color w:val="auto"/>
                <w:sz w:val="13"/>
                <w:szCs w:val="13"/>
                <w:highlight w:val="none"/>
                <w:lang w:val="en-US" w:eastAsia="zh-CN"/>
              </w:rPr>
              <w:t>293</w:t>
            </w:r>
          </w:p>
        </w:tc>
        <w:tc>
          <w:tcPr>
            <w:tcW w:w="1550" w:type="dxa"/>
            <w:vMerge w:val="restart"/>
            <w:tcBorders>
              <w:tl2br w:val="nil"/>
              <w:tr2bl w:val="nil"/>
            </w:tcBorders>
            <w:tcMar>
              <w:top w:w="15" w:type="dxa"/>
              <w:left w:w="15" w:type="dxa"/>
              <w:bottom w:w="15" w:type="dxa"/>
              <w:right w:w="15" w:type="dxa"/>
            </w:tcMar>
            <w:vAlign w:val="center"/>
          </w:tcPr>
          <w:p w14:paraId="76EC301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单位不办理住房公积金缴存登记</w:t>
            </w:r>
          </w:p>
        </w:tc>
        <w:tc>
          <w:tcPr>
            <w:tcW w:w="4820" w:type="dxa"/>
            <w:vMerge w:val="restart"/>
            <w:tcBorders>
              <w:tl2br w:val="nil"/>
              <w:tr2bl w:val="nil"/>
            </w:tcBorders>
            <w:tcMar>
              <w:top w:w="15" w:type="dxa"/>
              <w:left w:w="15" w:type="dxa"/>
              <w:bottom w:w="15" w:type="dxa"/>
              <w:right w:w="15" w:type="dxa"/>
            </w:tcMar>
            <w:vAlign w:val="center"/>
          </w:tcPr>
          <w:p w14:paraId="253A495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《住房公积金管理条例》</w:t>
            </w:r>
            <w:r>
              <w:rPr>
                <w:rFonts w:hint="eastAsia" w:ascii="仿宋_GB2312" w:hAnsi="宋体" w:eastAsia="仿宋_GB2312"/>
                <w:b/>
                <w:bCs/>
                <w:color w:val="auto"/>
                <w:kern w:val="0"/>
                <w:sz w:val="13"/>
                <w:szCs w:val="13"/>
                <w:highlight w:val="none"/>
              </w:rPr>
              <w:t>第三十七条</w:t>
            </w:r>
            <w:r>
              <w:rPr>
                <w:rFonts w:hint="eastAsia" w:ascii="仿宋_GB2312" w:hAnsi="宋体" w:eastAsia="仿宋_GB2312"/>
                <w:b/>
                <w:bCs/>
                <w:color w:val="auto"/>
                <w:kern w:val="0"/>
                <w:sz w:val="13"/>
                <w:szCs w:val="13"/>
                <w:highlight w:val="none"/>
                <w:lang w:eastAsia="zh-CN"/>
              </w:rPr>
              <w:t>：</w:t>
            </w:r>
            <w:r>
              <w:rPr>
                <w:rFonts w:hint="eastAsia" w:ascii="仿宋_GB2312" w:hAnsi="宋体" w:eastAsia="仿宋_GB2312"/>
                <w:color w:val="auto"/>
                <w:kern w:val="0"/>
                <w:sz w:val="13"/>
                <w:szCs w:val="13"/>
                <w:highlight w:val="none"/>
              </w:rPr>
              <w:t>违反本条例的规定，单位不办理住房公积金缴存登记或者不为本单位职工办理住房公积金账户设立手续的，由住房公积金管理中心责令限期办理；逾期不办理的，处1万元以上5万元以下的罚款</w:t>
            </w:r>
          </w:p>
          <w:p w14:paraId="150CA47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《住房公积金管理条例》</w:t>
            </w:r>
            <w:r>
              <w:rPr>
                <w:rFonts w:hint="eastAsia" w:ascii="仿宋_GB2312" w:hAnsi="宋体" w:eastAsia="仿宋_GB2312"/>
                <w:b/>
                <w:bCs/>
                <w:color w:val="auto"/>
                <w:kern w:val="0"/>
                <w:sz w:val="13"/>
                <w:szCs w:val="13"/>
                <w:highlight w:val="none"/>
              </w:rPr>
              <w:t>第十三条第二款</w:t>
            </w:r>
            <w:r>
              <w:rPr>
                <w:rFonts w:hint="eastAsia" w:ascii="仿宋_GB2312" w:hAnsi="宋体" w:eastAsia="仿宋_GB2312"/>
                <w:color w:val="auto"/>
                <w:kern w:val="0"/>
                <w:sz w:val="13"/>
                <w:szCs w:val="13"/>
                <w:highlight w:val="none"/>
                <w:lang w:eastAsia="zh-CN"/>
              </w:rPr>
              <w:t>：</w:t>
            </w:r>
            <w:r>
              <w:rPr>
                <w:rFonts w:hint="eastAsia" w:ascii="仿宋_GB2312" w:hAnsi="宋体" w:eastAsia="仿宋_GB2312"/>
                <w:color w:val="auto"/>
                <w:kern w:val="0"/>
                <w:sz w:val="13"/>
                <w:szCs w:val="13"/>
                <w:highlight w:val="none"/>
              </w:rPr>
              <w:t>单位应当向住房公积金管理中心办理住房公积金缴存登记，并为本单位职工办理住房公积金账户设立手续。每个职工只能有一个住房公积金账户。</w:t>
            </w:r>
          </w:p>
        </w:tc>
        <w:tc>
          <w:tcPr>
            <w:tcW w:w="823" w:type="dxa"/>
            <w:vMerge w:val="restart"/>
            <w:tcBorders>
              <w:tl2br w:val="nil"/>
              <w:tr2bl w:val="nil"/>
            </w:tcBorders>
            <w:tcMar>
              <w:top w:w="15" w:type="dxa"/>
              <w:left w:w="15" w:type="dxa"/>
              <w:bottom w:w="15" w:type="dxa"/>
              <w:right w:w="15" w:type="dxa"/>
            </w:tcMar>
            <w:vAlign w:val="center"/>
          </w:tcPr>
          <w:p w14:paraId="6D30CA9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tcMar>
              <w:top w:w="15" w:type="dxa"/>
              <w:left w:w="15" w:type="dxa"/>
              <w:bottom w:w="15" w:type="dxa"/>
              <w:right w:w="15" w:type="dxa"/>
            </w:tcMar>
            <w:vAlign w:val="center"/>
          </w:tcPr>
          <w:p w14:paraId="34B3FED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单位设立时间3年以下的，经住房公积金管理中心责令限期办理,逾期不办理的。</w:t>
            </w:r>
          </w:p>
        </w:tc>
        <w:tc>
          <w:tcPr>
            <w:tcW w:w="3058" w:type="dxa"/>
            <w:tcBorders>
              <w:tl2br w:val="nil"/>
              <w:tr2bl w:val="nil"/>
            </w:tcBorders>
            <w:tcMar>
              <w:top w:w="15" w:type="dxa"/>
              <w:left w:w="15" w:type="dxa"/>
              <w:bottom w:w="15" w:type="dxa"/>
              <w:right w:w="15" w:type="dxa"/>
            </w:tcMar>
            <w:vAlign w:val="center"/>
          </w:tcPr>
          <w:p w14:paraId="5C8AFD2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对单位处以1万元罚款。</w:t>
            </w:r>
          </w:p>
        </w:tc>
      </w:tr>
      <w:tr w14:paraId="0DA37E3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47" w:hRule="atLeast"/>
          <w:jc w:val="center"/>
        </w:trPr>
        <w:tc>
          <w:tcPr>
            <w:tcW w:w="443" w:type="dxa"/>
            <w:gridSpan w:val="2"/>
            <w:vMerge w:val="continue"/>
            <w:tcBorders>
              <w:tl2br w:val="nil"/>
              <w:tr2bl w:val="nil"/>
            </w:tcBorders>
            <w:vAlign w:val="center"/>
          </w:tcPr>
          <w:p w14:paraId="44DC9CD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rPr>
                <w:rFonts w:ascii="仿宋_GB2312" w:hAnsi="宋体" w:eastAsia="仿宋_GB2312"/>
                <w:color w:val="auto"/>
                <w:sz w:val="13"/>
                <w:szCs w:val="13"/>
                <w:highlight w:val="none"/>
              </w:rPr>
            </w:pPr>
          </w:p>
        </w:tc>
        <w:tc>
          <w:tcPr>
            <w:tcW w:w="1550" w:type="dxa"/>
            <w:vMerge w:val="continue"/>
            <w:tcBorders>
              <w:tl2br w:val="nil"/>
              <w:tr2bl w:val="nil"/>
            </w:tcBorders>
            <w:vAlign w:val="center"/>
          </w:tcPr>
          <w:p w14:paraId="1733E04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6342883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olor w:val="auto"/>
                <w:sz w:val="13"/>
                <w:szCs w:val="13"/>
                <w:highlight w:val="none"/>
              </w:rPr>
            </w:pPr>
          </w:p>
        </w:tc>
        <w:tc>
          <w:tcPr>
            <w:tcW w:w="823" w:type="dxa"/>
            <w:vMerge w:val="continue"/>
            <w:tcBorders>
              <w:tl2br w:val="nil"/>
              <w:tr2bl w:val="nil"/>
            </w:tcBorders>
            <w:vAlign w:val="center"/>
          </w:tcPr>
          <w:p w14:paraId="21AA5E7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p>
        </w:tc>
        <w:tc>
          <w:tcPr>
            <w:tcW w:w="3437" w:type="dxa"/>
            <w:gridSpan w:val="2"/>
            <w:tcBorders>
              <w:tl2br w:val="nil"/>
              <w:tr2bl w:val="nil"/>
            </w:tcBorders>
            <w:tcMar>
              <w:top w:w="15" w:type="dxa"/>
              <w:left w:w="15" w:type="dxa"/>
              <w:bottom w:w="15" w:type="dxa"/>
              <w:right w:w="15" w:type="dxa"/>
            </w:tcMar>
            <w:vAlign w:val="center"/>
          </w:tcPr>
          <w:p w14:paraId="50A69A1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单位设立时间3年以上5年以下的，经住房公积金管理中心责令限期办理,逾期仍不办理的。</w:t>
            </w:r>
          </w:p>
        </w:tc>
        <w:tc>
          <w:tcPr>
            <w:tcW w:w="3058" w:type="dxa"/>
            <w:tcBorders>
              <w:tl2br w:val="nil"/>
              <w:tr2bl w:val="nil"/>
            </w:tcBorders>
            <w:tcMar>
              <w:top w:w="15" w:type="dxa"/>
              <w:left w:w="15" w:type="dxa"/>
              <w:bottom w:w="15" w:type="dxa"/>
              <w:right w:w="15" w:type="dxa"/>
            </w:tcMar>
            <w:vAlign w:val="center"/>
          </w:tcPr>
          <w:p w14:paraId="4E02684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对单位处以1万元以上2万元以下罚款。</w:t>
            </w:r>
          </w:p>
        </w:tc>
      </w:tr>
      <w:tr w14:paraId="363CDE7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47" w:hRule="atLeast"/>
          <w:jc w:val="center"/>
        </w:trPr>
        <w:tc>
          <w:tcPr>
            <w:tcW w:w="443" w:type="dxa"/>
            <w:gridSpan w:val="2"/>
            <w:vMerge w:val="continue"/>
            <w:tcBorders>
              <w:tl2br w:val="nil"/>
              <w:tr2bl w:val="nil"/>
            </w:tcBorders>
            <w:vAlign w:val="center"/>
          </w:tcPr>
          <w:p w14:paraId="7311445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rPr>
                <w:rFonts w:ascii="仿宋_GB2312" w:hAnsi="宋体" w:eastAsia="仿宋_GB2312"/>
                <w:color w:val="auto"/>
                <w:sz w:val="13"/>
                <w:szCs w:val="13"/>
                <w:highlight w:val="none"/>
              </w:rPr>
            </w:pPr>
          </w:p>
        </w:tc>
        <w:tc>
          <w:tcPr>
            <w:tcW w:w="1550" w:type="dxa"/>
            <w:vMerge w:val="continue"/>
            <w:tcBorders>
              <w:tl2br w:val="nil"/>
              <w:tr2bl w:val="nil"/>
            </w:tcBorders>
            <w:vAlign w:val="center"/>
          </w:tcPr>
          <w:p w14:paraId="0F8527E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29754E2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olor w:val="auto"/>
                <w:sz w:val="13"/>
                <w:szCs w:val="13"/>
                <w:highlight w:val="none"/>
              </w:rPr>
            </w:pPr>
          </w:p>
        </w:tc>
        <w:tc>
          <w:tcPr>
            <w:tcW w:w="823" w:type="dxa"/>
            <w:vMerge w:val="restart"/>
            <w:tcBorders>
              <w:tl2br w:val="nil"/>
              <w:tr2bl w:val="nil"/>
            </w:tcBorders>
            <w:tcMar>
              <w:top w:w="15" w:type="dxa"/>
              <w:left w:w="15" w:type="dxa"/>
              <w:bottom w:w="15" w:type="dxa"/>
              <w:right w:w="15" w:type="dxa"/>
            </w:tcMar>
            <w:vAlign w:val="center"/>
          </w:tcPr>
          <w:p w14:paraId="625E2D6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一般情节</w:t>
            </w:r>
          </w:p>
        </w:tc>
        <w:tc>
          <w:tcPr>
            <w:tcW w:w="3437" w:type="dxa"/>
            <w:gridSpan w:val="2"/>
            <w:tcBorders>
              <w:tl2br w:val="nil"/>
              <w:tr2bl w:val="nil"/>
            </w:tcBorders>
            <w:tcMar>
              <w:top w:w="15" w:type="dxa"/>
              <w:left w:w="15" w:type="dxa"/>
              <w:bottom w:w="15" w:type="dxa"/>
              <w:right w:w="15" w:type="dxa"/>
            </w:tcMar>
            <w:vAlign w:val="center"/>
          </w:tcPr>
          <w:p w14:paraId="7836F49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单位设立时间</w:t>
            </w:r>
            <w:r>
              <w:rPr>
                <w:rFonts w:hint="eastAsia" w:ascii="仿宋_GB2312" w:hAnsi="宋体" w:eastAsia="仿宋_GB2312"/>
                <w:color w:val="auto"/>
                <w:kern w:val="0"/>
                <w:sz w:val="13"/>
                <w:szCs w:val="13"/>
                <w:highlight w:val="none"/>
                <w:lang w:val="en-US" w:eastAsia="zh-CN"/>
              </w:rPr>
              <w:t>5</w:t>
            </w:r>
            <w:r>
              <w:rPr>
                <w:rFonts w:hint="eastAsia" w:ascii="仿宋_GB2312" w:hAnsi="宋体" w:eastAsia="仿宋_GB2312"/>
                <w:color w:val="auto"/>
                <w:kern w:val="0"/>
                <w:sz w:val="13"/>
                <w:szCs w:val="13"/>
                <w:highlight w:val="none"/>
              </w:rPr>
              <w:t>年以上10年以下的，经住房公积金管理中心责令限期办理,逾期仍不办理的。</w:t>
            </w:r>
          </w:p>
        </w:tc>
        <w:tc>
          <w:tcPr>
            <w:tcW w:w="3058" w:type="dxa"/>
            <w:tcBorders>
              <w:tl2br w:val="nil"/>
              <w:tr2bl w:val="nil"/>
            </w:tcBorders>
            <w:tcMar>
              <w:top w:w="15" w:type="dxa"/>
              <w:left w:w="15" w:type="dxa"/>
              <w:bottom w:w="15" w:type="dxa"/>
              <w:right w:w="15" w:type="dxa"/>
            </w:tcMar>
            <w:vAlign w:val="center"/>
          </w:tcPr>
          <w:p w14:paraId="06A7BBD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对单位处以2万元以上3万元以下罚款。</w:t>
            </w:r>
          </w:p>
        </w:tc>
      </w:tr>
      <w:tr w14:paraId="5E73180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47" w:hRule="atLeast"/>
          <w:jc w:val="center"/>
        </w:trPr>
        <w:tc>
          <w:tcPr>
            <w:tcW w:w="443" w:type="dxa"/>
            <w:gridSpan w:val="2"/>
            <w:vMerge w:val="continue"/>
            <w:tcBorders>
              <w:tl2br w:val="nil"/>
              <w:tr2bl w:val="nil"/>
            </w:tcBorders>
            <w:vAlign w:val="center"/>
          </w:tcPr>
          <w:p w14:paraId="39A3C5B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rPr>
                <w:rFonts w:ascii="仿宋_GB2312" w:hAnsi="宋体" w:eastAsia="仿宋_GB2312"/>
                <w:color w:val="auto"/>
                <w:sz w:val="13"/>
                <w:szCs w:val="13"/>
                <w:highlight w:val="none"/>
              </w:rPr>
            </w:pPr>
          </w:p>
        </w:tc>
        <w:tc>
          <w:tcPr>
            <w:tcW w:w="1550" w:type="dxa"/>
            <w:vMerge w:val="continue"/>
            <w:tcBorders>
              <w:tl2br w:val="nil"/>
              <w:tr2bl w:val="nil"/>
            </w:tcBorders>
            <w:vAlign w:val="center"/>
          </w:tcPr>
          <w:p w14:paraId="3859A18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738D680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olor w:val="auto"/>
                <w:sz w:val="13"/>
                <w:szCs w:val="13"/>
                <w:highlight w:val="none"/>
              </w:rPr>
            </w:pPr>
          </w:p>
        </w:tc>
        <w:tc>
          <w:tcPr>
            <w:tcW w:w="823" w:type="dxa"/>
            <w:vMerge w:val="continue"/>
            <w:tcBorders>
              <w:tl2br w:val="nil"/>
              <w:tr2bl w:val="nil"/>
            </w:tcBorders>
            <w:vAlign w:val="center"/>
          </w:tcPr>
          <w:p w14:paraId="36CCF73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jc w:val="center"/>
              <w:textAlignment w:val="center"/>
              <w:rPr>
                <w:rFonts w:ascii="仿宋_GB2312" w:hAnsi="宋体" w:eastAsia="仿宋_GB2312"/>
                <w:color w:val="auto"/>
                <w:kern w:val="0"/>
                <w:sz w:val="13"/>
                <w:szCs w:val="13"/>
                <w:highlight w:val="none"/>
              </w:rPr>
            </w:pPr>
          </w:p>
        </w:tc>
        <w:tc>
          <w:tcPr>
            <w:tcW w:w="3437" w:type="dxa"/>
            <w:gridSpan w:val="2"/>
            <w:tcBorders>
              <w:tl2br w:val="nil"/>
              <w:tr2bl w:val="nil"/>
            </w:tcBorders>
            <w:tcMar>
              <w:top w:w="15" w:type="dxa"/>
              <w:left w:w="15" w:type="dxa"/>
              <w:bottom w:w="15" w:type="dxa"/>
              <w:right w:w="15" w:type="dxa"/>
            </w:tcMar>
            <w:vAlign w:val="center"/>
          </w:tcPr>
          <w:p w14:paraId="3B25E8A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单位设立时间1</w:t>
            </w:r>
            <w:r>
              <w:rPr>
                <w:rFonts w:hint="eastAsia" w:ascii="仿宋_GB2312" w:hAnsi="宋体" w:eastAsia="仿宋_GB2312"/>
                <w:color w:val="auto"/>
                <w:kern w:val="0"/>
                <w:sz w:val="13"/>
                <w:szCs w:val="13"/>
                <w:highlight w:val="none"/>
                <w:lang w:val="en-US" w:eastAsia="zh-CN"/>
              </w:rPr>
              <w:t>0</w:t>
            </w:r>
            <w:r>
              <w:rPr>
                <w:rFonts w:hint="eastAsia" w:ascii="仿宋_GB2312" w:hAnsi="宋体" w:eastAsia="仿宋_GB2312"/>
                <w:color w:val="auto"/>
                <w:kern w:val="0"/>
                <w:sz w:val="13"/>
                <w:szCs w:val="13"/>
                <w:highlight w:val="none"/>
              </w:rPr>
              <w:t>年以上15年以下的，经住房公积金管理中心责令限期办理,逾期仍不办理的。</w:t>
            </w:r>
          </w:p>
        </w:tc>
        <w:tc>
          <w:tcPr>
            <w:tcW w:w="3058" w:type="dxa"/>
            <w:tcBorders>
              <w:tl2br w:val="nil"/>
              <w:tr2bl w:val="nil"/>
            </w:tcBorders>
            <w:tcMar>
              <w:top w:w="15" w:type="dxa"/>
              <w:left w:w="15" w:type="dxa"/>
              <w:bottom w:w="15" w:type="dxa"/>
              <w:right w:w="15" w:type="dxa"/>
            </w:tcMar>
            <w:vAlign w:val="center"/>
          </w:tcPr>
          <w:p w14:paraId="1F03D7F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对单位处以3万元以上4万元以下罚款。</w:t>
            </w:r>
          </w:p>
        </w:tc>
      </w:tr>
      <w:tr w14:paraId="4A93C06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47" w:hRule="atLeast"/>
          <w:jc w:val="center"/>
        </w:trPr>
        <w:tc>
          <w:tcPr>
            <w:tcW w:w="443" w:type="dxa"/>
            <w:gridSpan w:val="2"/>
            <w:vMerge w:val="continue"/>
            <w:tcBorders>
              <w:tl2br w:val="nil"/>
              <w:tr2bl w:val="nil"/>
            </w:tcBorders>
            <w:vAlign w:val="center"/>
          </w:tcPr>
          <w:p w14:paraId="160C7AC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rPr>
                <w:rFonts w:ascii="仿宋_GB2312" w:hAnsi="宋体" w:eastAsia="仿宋_GB2312"/>
                <w:color w:val="auto"/>
                <w:sz w:val="13"/>
                <w:szCs w:val="13"/>
                <w:highlight w:val="none"/>
              </w:rPr>
            </w:pPr>
          </w:p>
        </w:tc>
        <w:tc>
          <w:tcPr>
            <w:tcW w:w="1550" w:type="dxa"/>
            <w:vMerge w:val="continue"/>
            <w:tcBorders>
              <w:tl2br w:val="nil"/>
              <w:tr2bl w:val="nil"/>
            </w:tcBorders>
            <w:vAlign w:val="center"/>
          </w:tcPr>
          <w:p w14:paraId="20FDD7D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443BD07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4AAB191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从重情节</w:t>
            </w:r>
          </w:p>
        </w:tc>
        <w:tc>
          <w:tcPr>
            <w:tcW w:w="3437" w:type="dxa"/>
            <w:gridSpan w:val="2"/>
            <w:tcBorders>
              <w:tl2br w:val="nil"/>
              <w:tr2bl w:val="nil"/>
            </w:tcBorders>
            <w:tcMar>
              <w:top w:w="15" w:type="dxa"/>
              <w:left w:w="15" w:type="dxa"/>
              <w:bottom w:w="15" w:type="dxa"/>
              <w:right w:w="15" w:type="dxa"/>
            </w:tcMar>
            <w:vAlign w:val="center"/>
          </w:tcPr>
          <w:p w14:paraId="6284DB6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单位设立时间在以15年以上的，经住房公积金管理中心责令限期办理,逾期仍不办理的。</w:t>
            </w:r>
          </w:p>
        </w:tc>
        <w:tc>
          <w:tcPr>
            <w:tcW w:w="3058" w:type="dxa"/>
            <w:tcBorders>
              <w:tl2br w:val="nil"/>
              <w:tr2bl w:val="nil"/>
            </w:tcBorders>
            <w:tcMar>
              <w:top w:w="15" w:type="dxa"/>
              <w:left w:w="15" w:type="dxa"/>
              <w:bottom w:w="15" w:type="dxa"/>
              <w:right w:w="15" w:type="dxa"/>
            </w:tcMar>
            <w:vAlign w:val="center"/>
          </w:tcPr>
          <w:p w14:paraId="115CBCE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对单位处以4万元以上5万元以下罚款。</w:t>
            </w:r>
          </w:p>
        </w:tc>
      </w:tr>
      <w:tr w14:paraId="5206A1C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13" w:hRule="atLeast"/>
          <w:jc w:val="center"/>
        </w:trPr>
        <w:tc>
          <w:tcPr>
            <w:tcW w:w="443" w:type="dxa"/>
            <w:gridSpan w:val="2"/>
            <w:vMerge w:val="restart"/>
            <w:tcBorders>
              <w:tl2br w:val="nil"/>
              <w:tr2bl w:val="nil"/>
            </w:tcBorders>
            <w:tcMar>
              <w:top w:w="15" w:type="dxa"/>
              <w:left w:w="15" w:type="dxa"/>
              <w:bottom w:w="15" w:type="dxa"/>
              <w:right w:w="15" w:type="dxa"/>
            </w:tcMar>
            <w:vAlign w:val="center"/>
          </w:tcPr>
          <w:p w14:paraId="4BF50F5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olor w:val="auto"/>
                <w:sz w:val="13"/>
                <w:szCs w:val="13"/>
                <w:highlight w:val="none"/>
                <w:lang w:val="en-US" w:eastAsia="zh-CN"/>
              </w:rPr>
            </w:pPr>
            <w:r>
              <w:rPr>
                <w:rFonts w:hint="eastAsia" w:ascii="仿宋_GB2312" w:hAnsi="宋体" w:eastAsia="仿宋_GB2312"/>
                <w:color w:val="auto"/>
                <w:kern w:val="0"/>
                <w:sz w:val="13"/>
                <w:szCs w:val="13"/>
                <w:highlight w:val="none"/>
                <w:lang w:val="en-US" w:eastAsia="zh-CN"/>
              </w:rPr>
              <w:t>294</w:t>
            </w:r>
          </w:p>
        </w:tc>
        <w:tc>
          <w:tcPr>
            <w:tcW w:w="1550" w:type="dxa"/>
            <w:vMerge w:val="restart"/>
            <w:tcBorders>
              <w:tl2br w:val="nil"/>
              <w:tr2bl w:val="nil"/>
            </w:tcBorders>
            <w:tcMar>
              <w:top w:w="15" w:type="dxa"/>
              <w:left w:w="15" w:type="dxa"/>
              <w:bottom w:w="15" w:type="dxa"/>
              <w:right w:w="15" w:type="dxa"/>
            </w:tcMar>
            <w:vAlign w:val="center"/>
          </w:tcPr>
          <w:p w14:paraId="3E0FB86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不为本单位职工办理住房公积金帐户设立手续的</w:t>
            </w:r>
          </w:p>
        </w:tc>
        <w:tc>
          <w:tcPr>
            <w:tcW w:w="4820" w:type="dxa"/>
            <w:vMerge w:val="restart"/>
            <w:tcBorders>
              <w:tl2br w:val="nil"/>
              <w:tr2bl w:val="nil"/>
            </w:tcBorders>
            <w:tcMar>
              <w:top w:w="15" w:type="dxa"/>
              <w:left w:w="15" w:type="dxa"/>
              <w:bottom w:w="15" w:type="dxa"/>
              <w:right w:w="15" w:type="dxa"/>
            </w:tcMar>
            <w:vAlign w:val="center"/>
          </w:tcPr>
          <w:p w14:paraId="7C79640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《住房公积金管理条例》</w:t>
            </w:r>
            <w:r>
              <w:rPr>
                <w:rFonts w:hint="eastAsia" w:ascii="仿宋_GB2312" w:hAnsi="宋体" w:eastAsia="仿宋_GB2312"/>
                <w:b/>
                <w:bCs/>
                <w:color w:val="auto"/>
                <w:kern w:val="0"/>
                <w:sz w:val="13"/>
                <w:szCs w:val="13"/>
                <w:highlight w:val="none"/>
              </w:rPr>
              <w:t>第三十七条</w:t>
            </w:r>
            <w:r>
              <w:rPr>
                <w:rFonts w:hint="eastAsia" w:ascii="仿宋_GB2312" w:hAnsi="宋体" w:eastAsia="仿宋_GB2312"/>
                <w:b/>
                <w:bCs/>
                <w:color w:val="auto"/>
                <w:kern w:val="0"/>
                <w:sz w:val="13"/>
                <w:szCs w:val="13"/>
                <w:highlight w:val="none"/>
                <w:lang w:eastAsia="zh-CN"/>
              </w:rPr>
              <w:t>：</w:t>
            </w:r>
            <w:r>
              <w:rPr>
                <w:rFonts w:hint="eastAsia" w:ascii="仿宋_GB2312" w:hAnsi="宋体" w:eastAsia="仿宋_GB2312"/>
                <w:color w:val="auto"/>
                <w:kern w:val="0"/>
                <w:sz w:val="13"/>
                <w:szCs w:val="13"/>
                <w:highlight w:val="none"/>
              </w:rPr>
              <w:t>违反本条例的规定，单位不办理住房公积金缴存登记或者不为本单位职工办理住房公积金账户设立手续的，由住房公积金管理中心责令限期办理；逾期不办理的，处1万元以上5万元以下的罚款。</w:t>
            </w:r>
          </w:p>
          <w:p w14:paraId="3944E15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olor w:val="auto"/>
                <w:sz w:val="13"/>
                <w:szCs w:val="13"/>
                <w:highlight w:val="none"/>
              </w:rPr>
            </w:pPr>
            <w:r>
              <w:rPr>
                <w:rFonts w:hint="eastAsia" w:ascii="仿宋_GB2312" w:hAnsi="宋体" w:eastAsia="仿宋_GB2312"/>
                <w:color w:val="auto"/>
                <w:kern w:val="0"/>
                <w:sz w:val="13"/>
                <w:szCs w:val="13"/>
                <w:highlight w:val="none"/>
              </w:rPr>
              <w:t>《住房公积金管理条例》</w:t>
            </w:r>
            <w:r>
              <w:rPr>
                <w:rFonts w:hint="eastAsia" w:ascii="仿宋_GB2312" w:hAnsi="宋体" w:eastAsia="仿宋_GB2312"/>
                <w:b/>
                <w:bCs/>
                <w:color w:val="auto"/>
                <w:kern w:val="0"/>
                <w:sz w:val="13"/>
                <w:szCs w:val="13"/>
                <w:highlight w:val="none"/>
              </w:rPr>
              <w:t>第十三条第二款</w:t>
            </w:r>
            <w:r>
              <w:rPr>
                <w:rFonts w:hint="eastAsia" w:ascii="仿宋_GB2312" w:hAnsi="宋体" w:eastAsia="仿宋_GB2312"/>
                <w:b/>
                <w:bCs/>
                <w:color w:val="auto"/>
                <w:kern w:val="0"/>
                <w:sz w:val="13"/>
                <w:szCs w:val="13"/>
                <w:highlight w:val="none"/>
                <w:lang w:eastAsia="zh-CN"/>
              </w:rPr>
              <w:t>：</w:t>
            </w:r>
            <w:r>
              <w:rPr>
                <w:rFonts w:hint="eastAsia" w:ascii="仿宋_GB2312" w:hAnsi="宋体" w:eastAsia="仿宋_GB2312"/>
                <w:color w:val="auto"/>
                <w:kern w:val="0"/>
                <w:sz w:val="13"/>
                <w:szCs w:val="13"/>
                <w:highlight w:val="none"/>
              </w:rPr>
              <w:t>单位应当向住房公积金管理中心办理住房公积金缴存登记，并为本单位职工办理住房公积金账户设立手续。每个职工只能有一个住房公积金账户。</w:t>
            </w:r>
          </w:p>
        </w:tc>
        <w:tc>
          <w:tcPr>
            <w:tcW w:w="823" w:type="dxa"/>
            <w:vMerge w:val="restart"/>
            <w:tcBorders>
              <w:tl2br w:val="nil"/>
              <w:tr2bl w:val="nil"/>
            </w:tcBorders>
            <w:tcMar>
              <w:top w:w="15" w:type="dxa"/>
              <w:left w:w="15" w:type="dxa"/>
              <w:bottom w:w="15" w:type="dxa"/>
              <w:right w:w="15" w:type="dxa"/>
            </w:tcMar>
            <w:vAlign w:val="center"/>
          </w:tcPr>
          <w:p w14:paraId="5C568BB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tcMar>
              <w:top w:w="15" w:type="dxa"/>
              <w:left w:w="15" w:type="dxa"/>
              <w:bottom w:w="15" w:type="dxa"/>
              <w:right w:w="15" w:type="dxa"/>
            </w:tcMar>
            <w:vAlign w:val="center"/>
          </w:tcPr>
          <w:p w14:paraId="01D8BFF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单位应缴未缴职工不足50人的，经住房公积金管理中心责令限期办理,逾期仍不办理的。</w:t>
            </w:r>
          </w:p>
        </w:tc>
        <w:tc>
          <w:tcPr>
            <w:tcW w:w="3058" w:type="dxa"/>
            <w:tcBorders>
              <w:tl2br w:val="nil"/>
              <w:tr2bl w:val="nil"/>
            </w:tcBorders>
            <w:tcMar>
              <w:top w:w="15" w:type="dxa"/>
              <w:left w:w="15" w:type="dxa"/>
              <w:bottom w:w="15" w:type="dxa"/>
              <w:right w:w="15" w:type="dxa"/>
            </w:tcMar>
            <w:vAlign w:val="center"/>
          </w:tcPr>
          <w:p w14:paraId="1BA3851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对单位处以1万元罚款。</w:t>
            </w:r>
          </w:p>
        </w:tc>
      </w:tr>
      <w:tr w14:paraId="3580FF7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47" w:hRule="atLeast"/>
          <w:jc w:val="center"/>
        </w:trPr>
        <w:tc>
          <w:tcPr>
            <w:tcW w:w="443" w:type="dxa"/>
            <w:gridSpan w:val="2"/>
            <w:vMerge w:val="continue"/>
            <w:tcBorders>
              <w:tl2br w:val="nil"/>
              <w:tr2bl w:val="nil"/>
            </w:tcBorders>
            <w:vAlign w:val="center"/>
          </w:tcPr>
          <w:p w14:paraId="4816320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rPr>
                <w:rFonts w:ascii="仿宋_GB2312" w:hAnsi="宋体" w:eastAsia="仿宋_GB2312"/>
                <w:color w:val="auto"/>
                <w:sz w:val="13"/>
                <w:szCs w:val="13"/>
                <w:highlight w:val="none"/>
              </w:rPr>
            </w:pPr>
          </w:p>
        </w:tc>
        <w:tc>
          <w:tcPr>
            <w:tcW w:w="1550" w:type="dxa"/>
            <w:vMerge w:val="continue"/>
            <w:tcBorders>
              <w:tl2br w:val="nil"/>
              <w:tr2bl w:val="nil"/>
            </w:tcBorders>
            <w:vAlign w:val="center"/>
          </w:tcPr>
          <w:p w14:paraId="3DA45D2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0F5F99C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olor w:val="auto"/>
                <w:sz w:val="13"/>
                <w:szCs w:val="13"/>
                <w:highlight w:val="none"/>
              </w:rPr>
            </w:pPr>
          </w:p>
        </w:tc>
        <w:tc>
          <w:tcPr>
            <w:tcW w:w="823" w:type="dxa"/>
            <w:vMerge w:val="continue"/>
            <w:tcBorders>
              <w:tl2br w:val="nil"/>
              <w:tr2bl w:val="nil"/>
            </w:tcBorders>
            <w:vAlign w:val="center"/>
          </w:tcPr>
          <w:p w14:paraId="6037E67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p>
        </w:tc>
        <w:tc>
          <w:tcPr>
            <w:tcW w:w="3437" w:type="dxa"/>
            <w:gridSpan w:val="2"/>
            <w:tcBorders>
              <w:tl2br w:val="nil"/>
              <w:tr2bl w:val="nil"/>
            </w:tcBorders>
            <w:tcMar>
              <w:top w:w="15" w:type="dxa"/>
              <w:left w:w="15" w:type="dxa"/>
              <w:bottom w:w="15" w:type="dxa"/>
              <w:right w:w="15" w:type="dxa"/>
            </w:tcMar>
            <w:vAlign w:val="center"/>
          </w:tcPr>
          <w:p w14:paraId="340B1BA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单位应缴未缴职工50（含）人以上不足100人的，经住房公积金管理中心责令限期办理,逾期仍不办理的。</w:t>
            </w:r>
          </w:p>
        </w:tc>
        <w:tc>
          <w:tcPr>
            <w:tcW w:w="3058" w:type="dxa"/>
            <w:tcBorders>
              <w:tl2br w:val="nil"/>
              <w:tr2bl w:val="nil"/>
            </w:tcBorders>
            <w:tcMar>
              <w:top w:w="15" w:type="dxa"/>
              <w:left w:w="15" w:type="dxa"/>
              <w:bottom w:w="15" w:type="dxa"/>
              <w:right w:w="15" w:type="dxa"/>
            </w:tcMar>
            <w:vAlign w:val="center"/>
          </w:tcPr>
          <w:p w14:paraId="25275FB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对单位处以1万元以上2万元以下罚款。</w:t>
            </w:r>
          </w:p>
        </w:tc>
      </w:tr>
      <w:tr w14:paraId="6D22560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47" w:hRule="atLeast"/>
          <w:jc w:val="center"/>
        </w:trPr>
        <w:tc>
          <w:tcPr>
            <w:tcW w:w="443" w:type="dxa"/>
            <w:gridSpan w:val="2"/>
            <w:vMerge w:val="continue"/>
            <w:tcBorders>
              <w:tl2br w:val="nil"/>
              <w:tr2bl w:val="nil"/>
            </w:tcBorders>
            <w:vAlign w:val="center"/>
          </w:tcPr>
          <w:p w14:paraId="3700BB2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rPr>
                <w:rFonts w:ascii="仿宋_GB2312" w:hAnsi="宋体" w:eastAsia="仿宋_GB2312"/>
                <w:color w:val="auto"/>
                <w:sz w:val="13"/>
                <w:szCs w:val="13"/>
                <w:highlight w:val="none"/>
              </w:rPr>
            </w:pPr>
          </w:p>
        </w:tc>
        <w:tc>
          <w:tcPr>
            <w:tcW w:w="1550" w:type="dxa"/>
            <w:vMerge w:val="continue"/>
            <w:tcBorders>
              <w:tl2br w:val="nil"/>
              <w:tr2bl w:val="nil"/>
            </w:tcBorders>
            <w:vAlign w:val="center"/>
          </w:tcPr>
          <w:p w14:paraId="76005B5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520A67B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olor w:val="auto"/>
                <w:sz w:val="13"/>
                <w:szCs w:val="13"/>
                <w:highlight w:val="none"/>
              </w:rPr>
            </w:pPr>
          </w:p>
        </w:tc>
        <w:tc>
          <w:tcPr>
            <w:tcW w:w="823" w:type="dxa"/>
            <w:vMerge w:val="restart"/>
            <w:tcBorders>
              <w:tl2br w:val="nil"/>
              <w:tr2bl w:val="nil"/>
            </w:tcBorders>
            <w:tcMar>
              <w:top w:w="15" w:type="dxa"/>
              <w:left w:w="15" w:type="dxa"/>
              <w:bottom w:w="15" w:type="dxa"/>
              <w:right w:w="15" w:type="dxa"/>
            </w:tcMar>
            <w:vAlign w:val="center"/>
          </w:tcPr>
          <w:p w14:paraId="666D8AA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一般情节</w:t>
            </w:r>
          </w:p>
        </w:tc>
        <w:tc>
          <w:tcPr>
            <w:tcW w:w="3437" w:type="dxa"/>
            <w:gridSpan w:val="2"/>
            <w:tcBorders>
              <w:tl2br w:val="nil"/>
              <w:tr2bl w:val="nil"/>
            </w:tcBorders>
            <w:tcMar>
              <w:top w:w="15" w:type="dxa"/>
              <w:left w:w="15" w:type="dxa"/>
              <w:bottom w:w="15" w:type="dxa"/>
              <w:right w:w="15" w:type="dxa"/>
            </w:tcMar>
            <w:vAlign w:val="center"/>
          </w:tcPr>
          <w:p w14:paraId="6AAC72D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单位应缴未缴职工100（含）人以上不足300人的，经住房公积金管理中心责令限期办理,逾期仍不办理的。</w:t>
            </w:r>
          </w:p>
        </w:tc>
        <w:tc>
          <w:tcPr>
            <w:tcW w:w="3058" w:type="dxa"/>
            <w:tcBorders>
              <w:tl2br w:val="nil"/>
              <w:tr2bl w:val="nil"/>
            </w:tcBorders>
            <w:tcMar>
              <w:top w:w="15" w:type="dxa"/>
              <w:left w:w="15" w:type="dxa"/>
              <w:bottom w:w="15" w:type="dxa"/>
              <w:right w:w="15" w:type="dxa"/>
            </w:tcMar>
            <w:vAlign w:val="center"/>
          </w:tcPr>
          <w:p w14:paraId="12E4632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对单位处以2万元以上3万元以下罚款。</w:t>
            </w:r>
          </w:p>
        </w:tc>
      </w:tr>
      <w:tr w14:paraId="41ED111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47" w:hRule="atLeast"/>
          <w:jc w:val="center"/>
        </w:trPr>
        <w:tc>
          <w:tcPr>
            <w:tcW w:w="443" w:type="dxa"/>
            <w:gridSpan w:val="2"/>
            <w:vMerge w:val="continue"/>
            <w:tcBorders>
              <w:tl2br w:val="nil"/>
              <w:tr2bl w:val="nil"/>
            </w:tcBorders>
            <w:vAlign w:val="center"/>
          </w:tcPr>
          <w:p w14:paraId="39EEC2B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rPr>
                <w:rFonts w:ascii="仿宋_GB2312" w:hAnsi="宋体" w:eastAsia="仿宋_GB2312"/>
                <w:color w:val="auto"/>
                <w:sz w:val="13"/>
                <w:szCs w:val="13"/>
                <w:highlight w:val="none"/>
              </w:rPr>
            </w:pPr>
          </w:p>
        </w:tc>
        <w:tc>
          <w:tcPr>
            <w:tcW w:w="1550" w:type="dxa"/>
            <w:vMerge w:val="continue"/>
            <w:tcBorders>
              <w:tl2br w:val="nil"/>
              <w:tr2bl w:val="nil"/>
            </w:tcBorders>
            <w:vAlign w:val="center"/>
          </w:tcPr>
          <w:p w14:paraId="4653833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0D33A9C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olor w:val="auto"/>
                <w:sz w:val="13"/>
                <w:szCs w:val="13"/>
                <w:highlight w:val="none"/>
              </w:rPr>
            </w:pPr>
          </w:p>
        </w:tc>
        <w:tc>
          <w:tcPr>
            <w:tcW w:w="823" w:type="dxa"/>
            <w:vMerge w:val="continue"/>
            <w:tcBorders>
              <w:tl2br w:val="nil"/>
              <w:tr2bl w:val="nil"/>
            </w:tcBorders>
            <w:vAlign w:val="center"/>
          </w:tcPr>
          <w:p w14:paraId="511D1B1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jc w:val="center"/>
              <w:textAlignment w:val="center"/>
              <w:rPr>
                <w:rFonts w:ascii="仿宋_GB2312" w:hAnsi="宋体" w:eastAsia="仿宋_GB2312"/>
                <w:color w:val="auto"/>
                <w:kern w:val="0"/>
                <w:sz w:val="13"/>
                <w:szCs w:val="13"/>
                <w:highlight w:val="none"/>
              </w:rPr>
            </w:pPr>
          </w:p>
        </w:tc>
        <w:tc>
          <w:tcPr>
            <w:tcW w:w="3437" w:type="dxa"/>
            <w:gridSpan w:val="2"/>
            <w:tcBorders>
              <w:tl2br w:val="nil"/>
              <w:tr2bl w:val="nil"/>
            </w:tcBorders>
            <w:tcMar>
              <w:top w:w="15" w:type="dxa"/>
              <w:left w:w="15" w:type="dxa"/>
              <w:bottom w:w="15" w:type="dxa"/>
              <w:right w:w="15" w:type="dxa"/>
            </w:tcMar>
            <w:vAlign w:val="center"/>
          </w:tcPr>
          <w:p w14:paraId="7A655B6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单位应缴未缴职工300（含）人以上不足500人的，经住房公积金管理中心责令限期办理,逾期仍不办理的。</w:t>
            </w:r>
          </w:p>
        </w:tc>
        <w:tc>
          <w:tcPr>
            <w:tcW w:w="3058" w:type="dxa"/>
            <w:tcBorders>
              <w:tl2br w:val="nil"/>
              <w:tr2bl w:val="nil"/>
            </w:tcBorders>
            <w:tcMar>
              <w:top w:w="15" w:type="dxa"/>
              <w:left w:w="15" w:type="dxa"/>
              <w:bottom w:w="15" w:type="dxa"/>
              <w:right w:w="15" w:type="dxa"/>
            </w:tcMar>
            <w:vAlign w:val="center"/>
          </w:tcPr>
          <w:p w14:paraId="44176A6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对单位处以3万元以上4万元以下罚款。</w:t>
            </w:r>
          </w:p>
        </w:tc>
      </w:tr>
      <w:tr w14:paraId="20073F8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47" w:hRule="atLeast"/>
          <w:jc w:val="center"/>
        </w:trPr>
        <w:tc>
          <w:tcPr>
            <w:tcW w:w="443" w:type="dxa"/>
            <w:gridSpan w:val="2"/>
            <w:vMerge w:val="continue"/>
            <w:tcBorders>
              <w:tl2br w:val="nil"/>
              <w:tr2bl w:val="nil"/>
            </w:tcBorders>
            <w:vAlign w:val="center"/>
          </w:tcPr>
          <w:p w14:paraId="1D2C9CD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rPr>
                <w:rFonts w:ascii="仿宋_GB2312" w:hAnsi="宋体" w:eastAsia="仿宋_GB2312"/>
                <w:color w:val="auto"/>
                <w:sz w:val="13"/>
                <w:szCs w:val="13"/>
                <w:highlight w:val="none"/>
              </w:rPr>
            </w:pPr>
          </w:p>
        </w:tc>
        <w:tc>
          <w:tcPr>
            <w:tcW w:w="1550" w:type="dxa"/>
            <w:vMerge w:val="continue"/>
            <w:tcBorders>
              <w:tl2br w:val="nil"/>
              <w:tr2bl w:val="nil"/>
            </w:tcBorders>
            <w:vAlign w:val="center"/>
          </w:tcPr>
          <w:p w14:paraId="44C4387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4518EE0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648AC87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从重情节</w:t>
            </w:r>
          </w:p>
        </w:tc>
        <w:tc>
          <w:tcPr>
            <w:tcW w:w="3437" w:type="dxa"/>
            <w:gridSpan w:val="2"/>
            <w:tcBorders>
              <w:tl2br w:val="nil"/>
              <w:tr2bl w:val="nil"/>
            </w:tcBorders>
            <w:tcMar>
              <w:top w:w="15" w:type="dxa"/>
              <w:left w:w="15" w:type="dxa"/>
              <w:bottom w:w="15" w:type="dxa"/>
              <w:right w:w="15" w:type="dxa"/>
            </w:tcMar>
            <w:vAlign w:val="center"/>
          </w:tcPr>
          <w:p w14:paraId="08F9C83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单位应缴未缴职工500（含）人以上的，经住房公积金管理中心责令限期办理,逾期仍不办理的。</w:t>
            </w:r>
          </w:p>
        </w:tc>
        <w:tc>
          <w:tcPr>
            <w:tcW w:w="3058" w:type="dxa"/>
            <w:tcBorders>
              <w:tl2br w:val="nil"/>
              <w:tr2bl w:val="nil"/>
            </w:tcBorders>
            <w:tcMar>
              <w:top w:w="15" w:type="dxa"/>
              <w:left w:w="15" w:type="dxa"/>
              <w:bottom w:w="15" w:type="dxa"/>
              <w:right w:w="15" w:type="dxa"/>
            </w:tcMar>
            <w:vAlign w:val="center"/>
          </w:tcPr>
          <w:p w14:paraId="0C6606B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对单位处以4万元以上5万元以下罚款。</w:t>
            </w:r>
          </w:p>
        </w:tc>
      </w:tr>
      <w:tr w14:paraId="7F2BE11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192" w:hRule="atLeast"/>
          <w:jc w:val="center"/>
        </w:trPr>
        <w:tc>
          <w:tcPr>
            <w:tcW w:w="14116" w:type="dxa"/>
            <w:gridSpan w:val="7"/>
            <w:tcBorders>
              <w:tl2br w:val="nil"/>
              <w:tr2bl w:val="nil"/>
            </w:tcBorders>
            <w:tcMar>
              <w:top w:w="15" w:type="dxa"/>
              <w:left w:w="15" w:type="dxa"/>
              <w:bottom w:w="15" w:type="dxa"/>
              <w:right w:w="15" w:type="dxa"/>
            </w:tcMar>
            <w:vAlign w:val="center"/>
          </w:tcPr>
          <w:p w14:paraId="229A6178">
            <w:pPr>
              <w:pStyle w:val="10"/>
              <w:bidi w:val="0"/>
              <w:jc w:val="center"/>
              <w:rPr>
                <w:rFonts w:hint="eastAsia"/>
                <w:color w:val="auto"/>
              </w:rPr>
            </w:pPr>
            <w:bookmarkStart w:id="30" w:name="_Toc4442"/>
            <w:bookmarkStart w:id="31" w:name="_Toc5485"/>
            <w:r>
              <w:rPr>
                <w:rFonts w:hint="eastAsia"/>
                <w:color w:val="auto"/>
                <w:lang w:val="en-US" w:eastAsia="zh-CN"/>
              </w:rPr>
              <w:t>九、</w:t>
            </w:r>
            <w:r>
              <w:rPr>
                <w:rFonts w:hint="eastAsia"/>
                <w:color w:val="auto"/>
              </w:rPr>
              <w:t>城市建设</w:t>
            </w:r>
            <w:r>
              <w:rPr>
                <w:rFonts w:hint="eastAsia"/>
                <w:color w:val="auto"/>
                <w:lang w:val="en-US" w:eastAsia="zh-CN"/>
              </w:rPr>
              <w:t>管理</w:t>
            </w:r>
            <w:r>
              <w:rPr>
                <w:rFonts w:hint="eastAsia"/>
                <w:color w:val="auto"/>
              </w:rPr>
              <w:t>与</w:t>
            </w:r>
            <w:r>
              <w:rPr>
                <w:rFonts w:hint="eastAsia"/>
                <w:color w:val="auto"/>
                <w:lang w:val="en-US" w:eastAsia="zh-CN"/>
              </w:rPr>
              <w:t>公用事业</w:t>
            </w:r>
            <w:r>
              <w:rPr>
                <w:rFonts w:hint="eastAsia"/>
                <w:color w:val="auto"/>
              </w:rPr>
              <w:t>管理类（</w:t>
            </w:r>
            <w:r>
              <w:rPr>
                <w:rFonts w:hint="eastAsia"/>
                <w:color w:val="auto"/>
                <w:lang w:val="en-US" w:eastAsia="zh-CN"/>
              </w:rPr>
              <w:t>82</w:t>
            </w:r>
            <w:r>
              <w:rPr>
                <w:rFonts w:hint="eastAsia"/>
                <w:color w:val="auto"/>
              </w:rPr>
              <w:t>项）</w:t>
            </w:r>
            <w:bookmarkEnd w:id="30"/>
            <w:bookmarkEnd w:id="31"/>
          </w:p>
        </w:tc>
      </w:tr>
      <w:tr w14:paraId="643BB91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169" w:hRule="atLeast"/>
          <w:jc w:val="center"/>
        </w:trPr>
        <w:tc>
          <w:tcPr>
            <w:tcW w:w="428" w:type="dxa"/>
            <w:vMerge w:val="restart"/>
            <w:tcBorders>
              <w:tl2br w:val="nil"/>
              <w:tr2bl w:val="nil"/>
            </w:tcBorders>
            <w:tcMar>
              <w:top w:w="15" w:type="dxa"/>
              <w:left w:w="15" w:type="dxa"/>
              <w:bottom w:w="15" w:type="dxa"/>
              <w:right w:w="15" w:type="dxa"/>
            </w:tcMar>
            <w:vAlign w:val="center"/>
          </w:tcPr>
          <w:p w14:paraId="56D0B7E9">
            <w:pPr>
              <w:keepNext w:val="0"/>
              <w:keepLines w:val="0"/>
              <w:pageBreakBefore w:val="0"/>
              <w:widowControl/>
              <w:numPr>
                <w:ilvl w:val="0"/>
                <w:numId w:val="11"/>
              </w:numPr>
              <w:suppressLineNumbers w:val="0"/>
              <w:tabs>
                <w:tab w:val="clear" w:pos="397"/>
              </w:tabs>
              <w:kinsoku/>
              <w:overflowPunct/>
              <w:topLinePunct w:val="0"/>
              <w:autoSpaceDE/>
              <w:autoSpaceDN/>
              <w:bidi w:val="0"/>
              <w:adjustRightInd/>
              <w:snapToGrid/>
              <w:spacing w:beforeAutospacing="0" w:afterAutospacing="0" w:line="260" w:lineRule="exact"/>
              <w:ind w:left="638" w:leftChars="88" w:right="0" w:rightChars="0" w:hanging="453" w:hangingChars="349"/>
              <w:jc w:val="center"/>
              <w:textAlignment w:val="center"/>
              <w:rPr>
                <w:rFonts w:hint="default" w:ascii="仿宋_GB2312" w:hAnsi="宋体" w:eastAsia="仿宋_GB2312" w:cs="宋体"/>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294</w:t>
            </w:r>
          </w:p>
        </w:tc>
        <w:tc>
          <w:tcPr>
            <w:tcW w:w="1550" w:type="dxa"/>
            <w:vMerge w:val="restart"/>
            <w:tcBorders>
              <w:tl2br w:val="nil"/>
              <w:tr2bl w:val="nil"/>
            </w:tcBorders>
            <w:tcMar>
              <w:top w:w="15" w:type="dxa"/>
              <w:left w:w="15" w:type="dxa"/>
              <w:bottom w:w="15" w:type="dxa"/>
              <w:right w:w="15" w:type="dxa"/>
            </w:tcMar>
            <w:vAlign w:val="center"/>
          </w:tcPr>
          <w:p w14:paraId="3EDAF96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在城市绿地范围内进行拦河截溪、取土采石、设置垃圾堆场、排放污水以及其他对城市生态环境造成破坏活动的</w:t>
            </w:r>
          </w:p>
        </w:tc>
        <w:tc>
          <w:tcPr>
            <w:tcW w:w="4820" w:type="dxa"/>
            <w:vMerge w:val="restart"/>
            <w:tcBorders>
              <w:tl2br w:val="nil"/>
              <w:tr2bl w:val="nil"/>
            </w:tcBorders>
            <w:tcMar>
              <w:top w:w="15" w:type="dxa"/>
              <w:left w:w="15" w:type="dxa"/>
              <w:bottom w:w="15" w:type="dxa"/>
              <w:right w:w="15" w:type="dxa"/>
            </w:tcMar>
            <w:vAlign w:val="center"/>
          </w:tcPr>
          <w:p w14:paraId="35A19D8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kern w:val="0"/>
                <w:sz w:val="13"/>
                <w:szCs w:val="13"/>
                <w:highlight w:val="none"/>
              </w:rPr>
            </w:pPr>
            <w:r>
              <w:rPr>
                <w:rFonts w:hint="eastAsia" w:ascii="仿宋_GB2312" w:hAnsi="宋体" w:eastAsia="仿宋_GB2312" w:cs="宋体"/>
                <w:color w:val="auto"/>
                <w:kern w:val="0"/>
                <w:sz w:val="13"/>
                <w:szCs w:val="13"/>
                <w:highlight w:val="none"/>
              </w:rPr>
              <w:t>《城市绿线管理办法》</w:t>
            </w:r>
            <w:r>
              <w:rPr>
                <w:rFonts w:hint="eastAsia" w:ascii="仿宋_GB2312" w:hAnsi="宋体" w:eastAsia="仿宋_GB2312" w:cs="宋体"/>
                <w:b/>
                <w:bCs/>
                <w:color w:val="auto"/>
                <w:kern w:val="0"/>
                <w:sz w:val="13"/>
                <w:szCs w:val="13"/>
                <w:highlight w:val="none"/>
              </w:rPr>
              <w:t>第十七条</w:t>
            </w:r>
            <w:r>
              <w:rPr>
                <w:rFonts w:hint="eastAsia" w:ascii="仿宋_GB2312" w:hAnsi="宋体" w:eastAsia="仿宋_GB2312" w:cs="宋体"/>
                <w:b/>
                <w:bCs/>
                <w:color w:val="auto"/>
                <w:kern w:val="0"/>
                <w:sz w:val="13"/>
                <w:szCs w:val="13"/>
                <w:highlight w:val="none"/>
                <w:lang w:eastAsia="zh-CN"/>
              </w:rPr>
              <w:t>：</w:t>
            </w:r>
            <w:r>
              <w:rPr>
                <w:rFonts w:hint="eastAsia" w:ascii="仿宋_GB2312" w:hAnsi="宋体" w:eastAsia="仿宋_GB2312" w:cs="宋体"/>
                <w:color w:val="auto"/>
                <w:kern w:val="0"/>
                <w:sz w:val="13"/>
                <w:szCs w:val="13"/>
                <w:highlight w:val="none"/>
              </w:rPr>
              <w:t>违反本办法规定，在城市绿地范围内进行拦河截溪、取土采石、设置垃圾堆场、排放污水以及其他对城市生态环境造成破坏活动的，由城市园林绿化行政主管部门责令改正，并处一万元以上三万元以下的罚款。</w:t>
            </w:r>
          </w:p>
          <w:p w14:paraId="068C354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0944C55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从轻情节</w:t>
            </w:r>
          </w:p>
        </w:tc>
        <w:tc>
          <w:tcPr>
            <w:tcW w:w="3437" w:type="dxa"/>
            <w:gridSpan w:val="2"/>
            <w:tcBorders>
              <w:tl2br w:val="nil"/>
              <w:tr2bl w:val="nil"/>
            </w:tcBorders>
            <w:tcMar>
              <w:top w:w="15" w:type="dxa"/>
              <w:left w:w="15" w:type="dxa"/>
              <w:bottom w:w="15" w:type="dxa"/>
              <w:right w:w="15" w:type="dxa"/>
            </w:tcMar>
            <w:vAlign w:val="center"/>
          </w:tcPr>
          <w:p w14:paraId="72A02B4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strike/>
                <w:color w:val="auto"/>
                <w:kern w:val="0"/>
                <w:sz w:val="13"/>
                <w:szCs w:val="13"/>
                <w:highlight w:val="none"/>
              </w:rPr>
            </w:pPr>
            <w:r>
              <w:rPr>
                <w:rFonts w:hint="eastAsia" w:ascii="仿宋_GB2312" w:hAnsi="宋体" w:eastAsia="仿宋_GB2312" w:cs="宋体"/>
                <w:color w:val="auto"/>
                <w:kern w:val="0"/>
                <w:sz w:val="13"/>
                <w:szCs w:val="13"/>
                <w:highlight w:val="none"/>
              </w:rPr>
              <w:t>初次违法，危害后果轻微，主动采取措施消除或减轻违法行为危害后果的。</w:t>
            </w:r>
          </w:p>
        </w:tc>
        <w:tc>
          <w:tcPr>
            <w:tcW w:w="3058" w:type="dxa"/>
            <w:tcBorders>
              <w:tl2br w:val="nil"/>
              <w:tr2bl w:val="nil"/>
            </w:tcBorders>
            <w:tcMar>
              <w:top w:w="15" w:type="dxa"/>
              <w:left w:w="15" w:type="dxa"/>
              <w:bottom w:w="15" w:type="dxa"/>
              <w:right w:w="15" w:type="dxa"/>
            </w:tcMar>
            <w:vAlign w:val="center"/>
          </w:tcPr>
          <w:p w14:paraId="490AD21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责令改正，并处1万元罚款。</w:t>
            </w:r>
          </w:p>
        </w:tc>
      </w:tr>
      <w:tr w14:paraId="3D49ACF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192" w:hRule="atLeast"/>
          <w:jc w:val="center"/>
        </w:trPr>
        <w:tc>
          <w:tcPr>
            <w:tcW w:w="428" w:type="dxa"/>
            <w:vMerge w:val="continue"/>
            <w:tcBorders>
              <w:tl2br w:val="nil"/>
              <w:tr2bl w:val="nil"/>
            </w:tcBorders>
            <w:vAlign w:val="center"/>
          </w:tcPr>
          <w:p w14:paraId="780FD687">
            <w:pPr>
              <w:pStyle w:val="37"/>
              <w:keepNext w:val="0"/>
              <w:keepLines w:val="0"/>
              <w:pageBreakBefore w:val="0"/>
              <w:widowControl/>
              <w:numPr>
                <w:ilvl w:val="0"/>
                <w:numId w:val="12"/>
              </w:numPr>
              <w:kinsoku/>
              <w:overflowPunct/>
              <w:topLinePunct w:val="0"/>
              <w:autoSpaceDE/>
              <w:autoSpaceDN/>
              <w:bidi w:val="0"/>
              <w:adjustRightInd/>
              <w:snapToGrid/>
              <w:spacing w:beforeAutospacing="0" w:afterAutospacing="0" w:line="260" w:lineRule="exact"/>
              <w:ind w:left="638" w:leftChars="88" w:right="0" w:rightChars="0" w:hanging="453" w:hangingChars="349"/>
              <w:jc w:val="center"/>
              <w:rPr>
                <w:rFonts w:ascii="仿宋_GB2312" w:hAnsi="宋体" w:eastAsia="仿宋_GB2312" w:cs="宋体"/>
                <w:color w:val="auto"/>
                <w:sz w:val="13"/>
                <w:szCs w:val="13"/>
                <w:highlight w:val="none"/>
              </w:rPr>
            </w:pPr>
          </w:p>
        </w:tc>
        <w:tc>
          <w:tcPr>
            <w:tcW w:w="1550" w:type="dxa"/>
            <w:vMerge w:val="continue"/>
            <w:tcBorders>
              <w:tl2br w:val="nil"/>
              <w:tr2bl w:val="nil"/>
            </w:tcBorders>
            <w:vAlign w:val="center"/>
          </w:tcPr>
          <w:p w14:paraId="58C2AE9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sz w:val="13"/>
                <w:szCs w:val="13"/>
                <w:highlight w:val="none"/>
              </w:rPr>
            </w:pPr>
          </w:p>
        </w:tc>
        <w:tc>
          <w:tcPr>
            <w:tcW w:w="4820" w:type="dxa"/>
            <w:vMerge w:val="continue"/>
            <w:tcBorders>
              <w:tl2br w:val="nil"/>
              <w:tr2bl w:val="nil"/>
            </w:tcBorders>
            <w:vAlign w:val="center"/>
          </w:tcPr>
          <w:p w14:paraId="61F01C4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22E4B32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一般情节</w:t>
            </w:r>
          </w:p>
        </w:tc>
        <w:tc>
          <w:tcPr>
            <w:tcW w:w="3437" w:type="dxa"/>
            <w:gridSpan w:val="2"/>
            <w:tcBorders>
              <w:tl2br w:val="nil"/>
              <w:tr2bl w:val="nil"/>
            </w:tcBorders>
            <w:tcMar>
              <w:top w:w="15" w:type="dxa"/>
              <w:left w:w="15" w:type="dxa"/>
              <w:bottom w:w="15" w:type="dxa"/>
              <w:right w:w="15" w:type="dxa"/>
            </w:tcMar>
            <w:vAlign w:val="center"/>
          </w:tcPr>
          <w:p w14:paraId="03B0FB0C">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rPr>
                <w:rFonts w:ascii="仿宋_GB2312" w:hAnsi="宋体" w:eastAsia="仿宋_GB2312" w:cs="宋体"/>
                <w:color w:val="auto"/>
                <w:sz w:val="13"/>
                <w:szCs w:val="13"/>
                <w:highlight w:val="none"/>
              </w:rPr>
            </w:pPr>
            <w:r>
              <w:rPr>
                <w:rFonts w:hint="eastAsia" w:ascii="仿宋_GB2312" w:hAnsi="宋体" w:eastAsia="仿宋_GB2312" w:cs="宋体"/>
                <w:color w:val="auto"/>
                <w:sz w:val="13"/>
                <w:szCs w:val="13"/>
                <w:highlight w:val="none"/>
              </w:rPr>
              <w:t>不具有从轻、</w:t>
            </w:r>
            <w:r>
              <w:rPr>
                <w:rFonts w:hint="eastAsia" w:ascii="仿宋_GB2312" w:hAnsi="宋体" w:eastAsia="仿宋_GB2312" w:cs="宋体"/>
                <w:color w:val="auto"/>
                <w:sz w:val="13"/>
                <w:szCs w:val="13"/>
                <w:highlight w:val="none"/>
                <w:lang w:eastAsia="zh-CN"/>
              </w:rPr>
              <w:t>从重情节</w:t>
            </w:r>
            <w:r>
              <w:rPr>
                <w:rFonts w:hint="eastAsia" w:ascii="仿宋_GB2312" w:hAnsi="宋体" w:eastAsia="仿宋_GB2312" w:cs="宋体"/>
                <w:color w:val="auto"/>
                <w:sz w:val="13"/>
                <w:szCs w:val="13"/>
                <w:highlight w:val="none"/>
              </w:rPr>
              <w:t>的。</w:t>
            </w:r>
          </w:p>
        </w:tc>
        <w:tc>
          <w:tcPr>
            <w:tcW w:w="3058" w:type="dxa"/>
            <w:tcBorders>
              <w:tl2br w:val="nil"/>
              <w:tr2bl w:val="nil"/>
            </w:tcBorders>
            <w:tcMar>
              <w:top w:w="15" w:type="dxa"/>
              <w:left w:w="15" w:type="dxa"/>
              <w:bottom w:w="15" w:type="dxa"/>
              <w:right w:w="15" w:type="dxa"/>
            </w:tcMar>
            <w:vAlign w:val="center"/>
          </w:tcPr>
          <w:p w14:paraId="49A3EF0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责令改正，并处1万元以上2万元以下罚款。</w:t>
            </w:r>
          </w:p>
        </w:tc>
      </w:tr>
      <w:tr w14:paraId="37B07A8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515" w:hRule="atLeast"/>
          <w:jc w:val="center"/>
        </w:trPr>
        <w:tc>
          <w:tcPr>
            <w:tcW w:w="428" w:type="dxa"/>
            <w:vMerge w:val="continue"/>
            <w:tcBorders>
              <w:tl2br w:val="nil"/>
              <w:tr2bl w:val="nil"/>
            </w:tcBorders>
            <w:vAlign w:val="center"/>
          </w:tcPr>
          <w:p w14:paraId="3FD7B035">
            <w:pPr>
              <w:pStyle w:val="37"/>
              <w:keepNext w:val="0"/>
              <w:keepLines w:val="0"/>
              <w:pageBreakBefore w:val="0"/>
              <w:widowControl/>
              <w:numPr>
                <w:ilvl w:val="0"/>
                <w:numId w:val="12"/>
              </w:numPr>
              <w:kinsoku/>
              <w:overflowPunct/>
              <w:topLinePunct w:val="0"/>
              <w:autoSpaceDE/>
              <w:autoSpaceDN/>
              <w:bidi w:val="0"/>
              <w:adjustRightInd/>
              <w:snapToGrid/>
              <w:spacing w:beforeAutospacing="0" w:afterAutospacing="0" w:line="260" w:lineRule="exact"/>
              <w:ind w:left="638" w:leftChars="88" w:right="0" w:rightChars="0" w:hanging="453" w:hangingChars="349"/>
              <w:jc w:val="center"/>
              <w:rPr>
                <w:rFonts w:ascii="仿宋_GB2312" w:hAnsi="宋体" w:eastAsia="仿宋_GB2312" w:cs="宋体"/>
                <w:color w:val="auto"/>
                <w:sz w:val="13"/>
                <w:szCs w:val="13"/>
                <w:highlight w:val="none"/>
              </w:rPr>
            </w:pPr>
          </w:p>
        </w:tc>
        <w:tc>
          <w:tcPr>
            <w:tcW w:w="1550" w:type="dxa"/>
            <w:vMerge w:val="continue"/>
            <w:tcBorders>
              <w:tl2br w:val="nil"/>
              <w:tr2bl w:val="nil"/>
            </w:tcBorders>
            <w:vAlign w:val="center"/>
          </w:tcPr>
          <w:p w14:paraId="7C7BDF3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sz w:val="13"/>
                <w:szCs w:val="13"/>
                <w:highlight w:val="none"/>
              </w:rPr>
            </w:pPr>
          </w:p>
        </w:tc>
        <w:tc>
          <w:tcPr>
            <w:tcW w:w="4820" w:type="dxa"/>
            <w:vMerge w:val="continue"/>
            <w:tcBorders>
              <w:tl2br w:val="nil"/>
              <w:tr2bl w:val="nil"/>
            </w:tcBorders>
            <w:vAlign w:val="center"/>
          </w:tcPr>
          <w:p w14:paraId="3D58E30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46271D0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从重情节</w:t>
            </w:r>
          </w:p>
        </w:tc>
        <w:tc>
          <w:tcPr>
            <w:tcW w:w="3437" w:type="dxa"/>
            <w:gridSpan w:val="2"/>
            <w:tcBorders>
              <w:tl2br w:val="nil"/>
              <w:tr2bl w:val="nil"/>
            </w:tcBorders>
            <w:tcMar>
              <w:top w:w="15" w:type="dxa"/>
              <w:left w:w="15" w:type="dxa"/>
              <w:bottom w:w="15" w:type="dxa"/>
              <w:right w:w="15" w:type="dxa"/>
            </w:tcMar>
            <w:vAlign w:val="center"/>
          </w:tcPr>
          <w:p w14:paraId="57C5187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kern w:val="0"/>
                <w:sz w:val="13"/>
                <w:szCs w:val="13"/>
                <w:highlight w:val="none"/>
              </w:rPr>
            </w:pPr>
            <w:r>
              <w:rPr>
                <w:rFonts w:hint="eastAsia" w:ascii="仿宋_GB2312" w:hAnsi="宋体" w:eastAsia="仿宋_GB2312" w:cs="宋体"/>
                <w:color w:val="auto"/>
                <w:kern w:val="0"/>
                <w:sz w:val="13"/>
                <w:szCs w:val="13"/>
                <w:highlight w:val="none"/>
                <w:lang w:val="en-US" w:eastAsia="zh-CN"/>
              </w:rPr>
              <w:t>有下列情形之一的：</w:t>
            </w:r>
            <w:r>
              <w:rPr>
                <w:rFonts w:hint="eastAsia" w:ascii="仿宋_GB2312" w:hAnsi="宋体" w:eastAsia="仿宋_GB2312" w:cs="宋体"/>
                <w:color w:val="auto"/>
                <w:kern w:val="0"/>
                <w:sz w:val="13"/>
                <w:szCs w:val="13"/>
                <w:highlight w:val="none"/>
              </w:rPr>
              <w:t>（1）经责令停止违法行为后，继续实施该违法行为的；（2）不在规定期限内恢复原状或采取补救措施的；（3）对城市生态环境造成破坏，难以恢复的；（4）造成重大社会影响的。</w:t>
            </w:r>
          </w:p>
        </w:tc>
        <w:tc>
          <w:tcPr>
            <w:tcW w:w="3058" w:type="dxa"/>
            <w:tcBorders>
              <w:tl2br w:val="nil"/>
              <w:tr2bl w:val="nil"/>
            </w:tcBorders>
            <w:tcMar>
              <w:top w:w="15" w:type="dxa"/>
              <w:left w:w="15" w:type="dxa"/>
              <w:bottom w:w="15" w:type="dxa"/>
              <w:right w:w="15" w:type="dxa"/>
            </w:tcMar>
            <w:vAlign w:val="center"/>
          </w:tcPr>
          <w:p w14:paraId="1C57D4C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kern w:val="0"/>
                <w:sz w:val="13"/>
                <w:szCs w:val="13"/>
                <w:highlight w:val="none"/>
              </w:rPr>
            </w:pPr>
            <w:r>
              <w:rPr>
                <w:rFonts w:hint="eastAsia" w:ascii="仿宋_GB2312" w:hAnsi="宋体" w:eastAsia="仿宋_GB2312" w:cs="宋体"/>
                <w:color w:val="auto"/>
                <w:kern w:val="0"/>
                <w:sz w:val="13"/>
                <w:szCs w:val="13"/>
                <w:highlight w:val="none"/>
              </w:rPr>
              <w:t>责令改正，并处2万元以上3万元以下罚款。</w:t>
            </w:r>
          </w:p>
        </w:tc>
      </w:tr>
      <w:tr w14:paraId="743022D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91" w:hRule="atLeast"/>
          <w:jc w:val="center"/>
        </w:trPr>
        <w:tc>
          <w:tcPr>
            <w:tcW w:w="428" w:type="dxa"/>
            <w:vMerge w:val="restart"/>
            <w:tcBorders>
              <w:tl2br w:val="nil"/>
              <w:tr2bl w:val="nil"/>
            </w:tcBorders>
            <w:tcMar>
              <w:top w:w="15" w:type="dxa"/>
              <w:left w:w="15" w:type="dxa"/>
              <w:bottom w:w="15" w:type="dxa"/>
              <w:right w:w="15" w:type="dxa"/>
            </w:tcMar>
            <w:vAlign w:val="center"/>
          </w:tcPr>
          <w:p w14:paraId="205919C3">
            <w:pPr>
              <w:keepNext w:val="0"/>
              <w:keepLines w:val="0"/>
              <w:pageBreakBefore w:val="0"/>
              <w:widowControl/>
              <w:numPr>
                <w:ilvl w:val="0"/>
                <w:numId w:val="11"/>
              </w:numPr>
              <w:suppressLineNumbers w:val="0"/>
              <w:tabs>
                <w:tab w:val="clear" w:pos="397"/>
              </w:tabs>
              <w:kinsoku/>
              <w:overflowPunct/>
              <w:topLinePunct w:val="0"/>
              <w:autoSpaceDE/>
              <w:autoSpaceDN/>
              <w:bidi w:val="0"/>
              <w:adjustRightInd/>
              <w:snapToGrid/>
              <w:spacing w:beforeAutospacing="0" w:afterAutospacing="0" w:line="260" w:lineRule="exact"/>
              <w:ind w:left="638" w:leftChars="88" w:right="0" w:rightChars="0" w:hanging="453" w:hangingChars="349"/>
              <w:jc w:val="center"/>
              <w:textAlignment w:val="center"/>
              <w:rPr>
                <w:rFonts w:hint="default" w:ascii="仿宋_GB2312" w:hAnsi="宋体" w:eastAsia="仿宋_GB2312" w:cs="宋体"/>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295</w:t>
            </w:r>
          </w:p>
        </w:tc>
        <w:tc>
          <w:tcPr>
            <w:tcW w:w="1550" w:type="dxa"/>
            <w:vMerge w:val="restart"/>
            <w:tcBorders>
              <w:tl2br w:val="nil"/>
              <w:tr2bl w:val="nil"/>
            </w:tcBorders>
            <w:tcMar>
              <w:top w:w="15" w:type="dxa"/>
              <w:left w:w="15" w:type="dxa"/>
              <w:bottom w:w="15" w:type="dxa"/>
              <w:right w:w="15" w:type="dxa"/>
            </w:tcMar>
            <w:vAlign w:val="center"/>
          </w:tcPr>
          <w:p w14:paraId="27DFCD0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擅自在动物园内摆摊设点的</w:t>
            </w:r>
          </w:p>
        </w:tc>
        <w:tc>
          <w:tcPr>
            <w:tcW w:w="4820" w:type="dxa"/>
            <w:vMerge w:val="restart"/>
            <w:tcBorders>
              <w:tl2br w:val="nil"/>
              <w:tr2bl w:val="nil"/>
            </w:tcBorders>
            <w:tcMar>
              <w:top w:w="15" w:type="dxa"/>
              <w:left w:w="15" w:type="dxa"/>
              <w:bottom w:w="15" w:type="dxa"/>
              <w:right w:w="15" w:type="dxa"/>
            </w:tcMar>
            <w:vAlign w:val="center"/>
          </w:tcPr>
          <w:p w14:paraId="2A93B75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kern w:val="0"/>
                <w:sz w:val="13"/>
                <w:szCs w:val="13"/>
                <w:highlight w:val="none"/>
              </w:rPr>
            </w:pPr>
            <w:r>
              <w:rPr>
                <w:rFonts w:hint="eastAsia" w:ascii="仿宋_GB2312" w:hAnsi="宋体" w:eastAsia="仿宋_GB2312" w:cs="宋体"/>
                <w:color w:val="auto"/>
                <w:kern w:val="0"/>
                <w:sz w:val="13"/>
                <w:szCs w:val="13"/>
                <w:highlight w:val="none"/>
              </w:rPr>
              <w:t>《城市动物园管理规定》</w:t>
            </w:r>
            <w:r>
              <w:rPr>
                <w:rFonts w:hint="eastAsia" w:ascii="仿宋_GB2312" w:hAnsi="宋体" w:eastAsia="仿宋_GB2312" w:cs="宋体"/>
                <w:b/>
                <w:bCs/>
                <w:color w:val="auto"/>
                <w:kern w:val="0"/>
                <w:sz w:val="13"/>
                <w:szCs w:val="13"/>
                <w:highlight w:val="none"/>
              </w:rPr>
              <w:t>第三十条</w:t>
            </w:r>
            <w:r>
              <w:rPr>
                <w:rFonts w:hint="eastAsia" w:ascii="仿宋_GB2312" w:hAnsi="宋体" w:eastAsia="仿宋_GB2312" w:cs="宋体"/>
                <w:b/>
                <w:bCs/>
                <w:color w:val="auto"/>
                <w:kern w:val="0"/>
                <w:sz w:val="13"/>
                <w:szCs w:val="13"/>
                <w:highlight w:val="none"/>
                <w:lang w:eastAsia="zh-CN"/>
              </w:rPr>
              <w:t>：</w:t>
            </w:r>
            <w:r>
              <w:rPr>
                <w:rFonts w:hint="eastAsia" w:ascii="仿宋_GB2312" w:hAnsi="宋体" w:eastAsia="仿宋_GB2312" w:cs="宋体"/>
                <w:color w:val="auto"/>
                <w:kern w:val="0"/>
                <w:sz w:val="13"/>
                <w:szCs w:val="13"/>
                <w:highlight w:val="none"/>
              </w:rPr>
              <w:t>擅自在动物园内摆摊设点的，由城市人民政府园林行政主管部门责令限期改正，可以并处1000元以下的罚款；造成损失的，应当承担赔偿责任。</w:t>
            </w:r>
          </w:p>
        </w:tc>
        <w:tc>
          <w:tcPr>
            <w:tcW w:w="823" w:type="dxa"/>
            <w:tcBorders>
              <w:tl2br w:val="nil"/>
              <w:tr2bl w:val="nil"/>
            </w:tcBorders>
            <w:tcMar>
              <w:top w:w="15" w:type="dxa"/>
              <w:left w:w="15" w:type="dxa"/>
              <w:bottom w:w="15" w:type="dxa"/>
              <w:right w:w="15" w:type="dxa"/>
            </w:tcMar>
            <w:vAlign w:val="center"/>
          </w:tcPr>
          <w:p w14:paraId="19BE3D0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从轻情节</w:t>
            </w:r>
          </w:p>
        </w:tc>
        <w:tc>
          <w:tcPr>
            <w:tcW w:w="3437" w:type="dxa"/>
            <w:gridSpan w:val="2"/>
            <w:tcBorders>
              <w:tl2br w:val="nil"/>
              <w:tr2bl w:val="nil"/>
            </w:tcBorders>
            <w:tcMar>
              <w:top w:w="15" w:type="dxa"/>
              <w:left w:w="15" w:type="dxa"/>
              <w:bottom w:w="15" w:type="dxa"/>
              <w:right w:w="15" w:type="dxa"/>
            </w:tcMar>
            <w:vAlign w:val="center"/>
          </w:tcPr>
          <w:p w14:paraId="6CC51D3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占用面积2平方米以下的。</w:t>
            </w:r>
          </w:p>
        </w:tc>
        <w:tc>
          <w:tcPr>
            <w:tcW w:w="3058" w:type="dxa"/>
            <w:tcBorders>
              <w:tl2br w:val="nil"/>
              <w:tr2bl w:val="nil"/>
            </w:tcBorders>
            <w:tcMar>
              <w:top w:w="15" w:type="dxa"/>
              <w:left w:w="15" w:type="dxa"/>
              <w:bottom w:w="15" w:type="dxa"/>
              <w:right w:w="15" w:type="dxa"/>
            </w:tcMar>
            <w:vAlign w:val="center"/>
          </w:tcPr>
          <w:p w14:paraId="019425C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责令限期改正，可以并处200元以下罚款。</w:t>
            </w:r>
          </w:p>
        </w:tc>
      </w:tr>
      <w:tr w14:paraId="6647233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91" w:hRule="atLeast"/>
          <w:jc w:val="center"/>
        </w:trPr>
        <w:tc>
          <w:tcPr>
            <w:tcW w:w="428" w:type="dxa"/>
            <w:vMerge w:val="continue"/>
            <w:tcBorders>
              <w:tl2br w:val="nil"/>
              <w:tr2bl w:val="nil"/>
            </w:tcBorders>
            <w:vAlign w:val="center"/>
          </w:tcPr>
          <w:p w14:paraId="46221947">
            <w:pPr>
              <w:pStyle w:val="37"/>
              <w:keepNext w:val="0"/>
              <w:keepLines w:val="0"/>
              <w:pageBreakBefore w:val="0"/>
              <w:widowControl/>
              <w:numPr>
                <w:ilvl w:val="0"/>
                <w:numId w:val="12"/>
              </w:numPr>
              <w:kinsoku/>
              <w:overflowPunct/>
              <w:topLinePunct w:val="0"/>
              <w:autoSpaceDE/>
              <w:autoSpaceDN/>
              <w:bidi w:val="0"/>
              <w:adjustRightInd/>
              <w:snapToGrid/>
              <w:spacing w:beforeAutospacing="0" w:afterAutospacing="0" w:line="260" w:lineRule="exact"/>
              <w:ind w:left="638" w:leftChars="88" w:right="0" w:rightChars="0" w:hanging="453" w:hangingChars="349"/>
              <w:jc w:val="center"/>
              <w:rPr>
                <w:rFonts w:ascii="仿宋_GB2312" w:hAnsi="宋体" w:eastAsia="仿宋_GB2312" w:cs="宋体"/>
                <w:color w:val="auto"/>
                <w:sz w:val="13"/>
                <w:szCs w:val="13"/>
                <w:highlight w:val="none"/>
              </w:rPr>
            </w:pPr>
          </w:p>
        </w:tc>
        <w:tc>
          <w:tcPr>
            <w:tcW w:w="1550" w:type="dxa"/>
            <w:vMerge w:val="continue"/>
            <w:tcBorders>
              <w:tl2br w:val="nil"/>
              <w:tr2bl w:val="nil"/>
            </w:tcBorders>
            <w:vAlign w:val="center"/>
          </w:tcPr>
          <w:p w14:paraId="5223641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sz w:val="13"/>
                <w:szCs w:val="13"/>
                <w:highlight w:val="none"/>
              </w:rPr>
            </w:pPr>
          </w:p>
        </w:tc>
        <w:tc>
          <w:tcPr>
            <w:tcW w:w="4820" w:type="dxa"/>
            <w:vMerge w:val="continue"/>
            <w:tcBorders>
              <w:tl2br w:val="nil"/>
              <w:tr2bl w:val="nil"/>
            </w:tcBorders>
            <w:vAlign w:val="center"/>
          </w:tcPr>
          <w:p w14:paraId="1EB3B56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1167844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一般情节</w:t>
            </w:r>
          </w:p>
        </w:tc>
        <w:tc>
          <w:tcPr>
            <w:tcW w:w="3437" w:type="dxa"/>
            <w:gridSpan w:val="2"/>
            <w:tcBorders>
              <w:tl2br w:val="nil"/>
              <w:tr2bl w:val="nil"/>
            </w:tcBorders>
            <w:tcMar>
              <w:top w:w="15" w:type="dxa"/>
              <w:left w:w="15" w:type="dxa"/>
              <w:bottom w:w="15" w:type="dxa"/>
              <w:right w:w="15" w:type="dxa"/>
            </w:tcMar>
            <w:vAlign w:val="center"/>
          </w:tcPr>
          <w:p w14:paraId="290E02F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占用面积2平方米以上5平方米以下的。</w:t>
            </w:r>
          </w:p>
        </w:tc>
        <w:tc>
          <w:tcPr>
            <w:tcW w:w="3058" w:type="dxa"/>
            <w:tcBorders>
              <w:tl2br w:val="nil"/>
              <w:tr2bl w:val="nil"/>
            </w:tcBorders>
            <w:tcMar>
              <w:top w:w="15" w:type="dxa"/>
              <w:left w:w="15" w:type="dxa"/>
              <w:bottom w:w="15" w:type="dxa"/>
              <w:right w:w="15" w:type="dxa"/>
            </w:tcMar>
            <w:vAlign w:val="center"/>
          </w:tcPr>
          <w:p w14:paraId="1CE7180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责令限期改正，可以并处200元以上500元以下罚款。</w:t>
            </w:r>
          </w:p>
        </w:tc>
      </w:tr>
      <w:tr w14:paraId="5BEB00D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213" w:hRule="atLeast"/>
          <w:jc w:val="center"/>
        </w:trPr>
        <w:tc>
          <w:tcPr>
            <w:tcW w:w="428" w:type="dxa"/>
            <w:vMerge w:val="continue"/>
            <w:tcBorders>
              <w:tl2br w:val="nil"/>
              <w:tr2bl w:val="nil"/>
            </w:tcBorders>
            <w:vAlign w:val="center"/>
          </w:tcPr>
          <w:p w14:paraId="0E8C0A3D">
            <w:pPr>
              <w:pStyle w:val="37"/>
              <w:keepNext w:val="0"/>
              <w:keepLines w:val="0"/>
              <w:pageBreakBefore w:val="0"/>
              <w:widowControl/>
              <w:numPr>
                <w:ilvl w:val="0"/>
                <w:numId w:val="12"/>
              </w:numPr>
              <w:kinsoku/>
              <w:overflowPunct/>
              <w:topLinePunct w:val="0"/>
              <w:autoSpaceDE/>
              <w:autoSpaceDN/>
              <w:bidi w:val="0"/>
              <w:adjustRightInd/>
              <w:snapToGrid/>
              <w:spacing w:beforeAutospacing="0" w:afterAutospacing="0" w:line="260" w:lineRule="exact"/>
              <w:ind w:left="638" w:leftChars="88" w:right="0" w:rightChars="0" w:hanging="453" w:hangingChars="349"/>
              <w:jc w:val="center"/>
              <w:rPr>
                <w:rFonts w:ascii="仿宋_GB2312" w:hAnsi="宋体" w:eastAsia="仿宋_GB2312" w:cs="宋体"/>
                <w:color w:val="auto"/>
                <w:sz w:val="13"/>
                <w:szCs w:val="13"/>
                <w:highlight w:val="none"/>
              </w:rPr>
            </w:pPr>
          </w:p>
        </w:tc>
        <w:tc>
          <w:tcPr>
            <w:tcW w:w="1550" w:type="dxa"/>
            <w:vMerge w:val="continue"/>
            <w:tcBorders>
              <w:tl2br w:val="nil"/>
              <w:tr2bl w:val="nil"/>
            </w:tcBorders>
            <w:vAlign w:val="center"/>
          </w:tcPr>
          <w:p w14:paraId="0254272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sz w:val="13"/>
                <w:szCs w:val="13"/>
                <w:highlight w:val="none"/>
              </w:rPr>
            </w:pPr>
          </w:p>
        </w:tc>
        <w:tc>
          <w:tcPr>
            <w:tcW w:w="4820" w:type="dxa"/>
            <w:vMerge w:val="continue"/>
            <w:tcBorders>
              <w:tl2br w:val="nil"/>
              <w:tr2bl w:val="nil"/>
            </w:tcBorders>
            <w:vAlign w:val="center"/>
          </w:tcPr>
          <w:p w14:paraId="53C6F95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1ABE99A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从重情节</w:t>
            </w:r>
          </w:p>
        </w:tc>
        <w:tc>
          <w:tcPr>
            <w:tcW w:w="3437" w:type="dxa"/>
            <w:gridSpan w:val="2"/>
            <w:tcBorders>
              <w:tl2br w:val="nil"/>
              <w:tr2bl w:val="nil"/>
            </w:tcBorders>
            <w:tcMar>
              <w:top w:w="15" w:type="dxa"/>
              <w:left w:w="15" w:type="dxa"/>
              <w:bottom w:w="15" w:type="dxa"/>
              <w:right w:w="15" w:type="dxa"/>
            </w:tcMar>
            <w:vAlign w:val="center"/>
          </w:tcPr>
          <w:p w14:paraId="2FC98E9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占用面积5平方米以上的</w:t>
            </w:r>
            <w:r>
              <w:rPr>
                <w:rFonts w:hint="eastAsia" w:ascii="仿宋_GB2312" w:hAnsi="宋体" w:eastAsia="仿宋_GB2312" w:cs="宋体"/>
                <w:color w:val="auto"/>
                <w:kern w:val="0"/>
                <w:sz w:val="13"/>
                <w:szCs w:val="13"/>
                <w:highlight w:val="none"/>
                <w:lang w:eastAsia="zh-CN"/>
              </w:rPr>
              <w:t>，</w:t>
            </w:r>
            <w:r>
              <w:rPr>
                <w:rFonts w:hint="eastAsia" w:ascii="仿宋_GB2312" w:hAnsi="宋体" w:eastAsia="仿宋_GB2312" w:cs="宋体"/>
                <w:color w:val="auto"/>
                <w:kern w:val="0"/>
                <w:sz w:val="13"/>
                <w:szCs w:val="13"/>
                <w:highlight w:val="none"/>
                <w:lang w:val="en-US" w:eastAsia="zh-CN"/>
              </w:rPr>
              <w:t>或</w:t>
            </w:r>
            <w:r>
              <w:rPr>
                <w:rFonts w:hint="eastAsia" w:ascii="仿宋_GB2312" w:hAnsi="宋体" w:eastAsia="仿宋_GB2312" w:cs="宋体"/>
                <w:color w:val="auto"/>
                <w:kern w:val="0"/>
                <w:sz w:val="13"/>
                <w:szCs w:val="13"/>
                <w:highlight w:val="none"/>
              </w:rPr>
              <w:t>经责令限期改正后不予配合的</w:t>
            </w:r>
            <w:r>
              <w:rPr>
                <w:rFonts w:hint="eastAsia" w:ascii="仿宋_GB2312" w:hAnsi="宋体" w:eastAsia="仿宋_GB2312" w:cs="宋体"/>
                <w:color w:val="auto"/>
                <w:kern w:val="0"/>
                <w:sz w:val="13"/>
                <w:szCs w:val="13"/>
                <w:highlight w:val="none"/>
                <w:lang w:eastAsia="zh-CN"/>
              </w:rPr>
              <w:t>，</w:t>
            </w:r>
            <w:r>
              <w:rPr>
                <w:rFonts w:hint="eastAsia" w:ascii="仿宋_GB2312" w:hAnsi="宋体" w:eastAsia="仿宋_GB2312" w:cs="宋体"/>
                <w:color w:val="auto"/>
                <w:kern w:val="0"/>
                <w:sz w:val="13"/>
                <w:szCs w:val="13"/>
                <w:highlight w:val="none"/>
                <w:lang w:val="en-US" w:eastAsia="zh-CN"/>
              </w:rPr>
              <w:t>或</w:t>
            </w:r>
            <w:r>
              <w:rPr>
                <w:rFonts w:hint="eastAsia" w:ascii="仿宋_GB2312" w:hAnsi="宋体" w:eastAsia="仿宋_GB2312" w:cs="宋体"/>
                <w:color w:val="auto"/>
                <w:kern w:val="0"/>
                <w:sz w:val="13"/>
                <w:szCs w:val="13"/>
                <w:highlight w:val="none"/>
              </w:rPr>
              <w:t>曾因此被查处过，再次实施该违法行为的。</w:t>
            </w:r>
          </w:p>
        </w:tc>
        <w:tc>
          <w:tcPr>
            <w:tcW w:w="3058" w:type="dxa"/>
            <w:tcBorders>
              <w:tl2br w:val="nil"/>
              <w:tr2bl w:val="nil"/>
            </w:tcBorders>
            <w:tcMar>
              <w:top w:w="15" w:type="dxa"/>
              <w:left w:w="15" w:type="dxa"/>
              <w:bottom w:w="15" w:type="dxa"/>
              <w:right w:w="15" w:type="dxa"/>
            </w:tcMar>
            <w:vAlign w:val="center"/>
          </w:tcPr>
          <w:p w14:paraId="1B1EEED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责令限期改正，可以并处500元以上1000元以下罚款。</w:t>
            </w:r>
          </w:p>
        </w:tc>
      </w:tr>
      <w:tr w14:paraId="1F0D1B3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169" w:hRule="atLeast"/>
          <w:jc w:val="center"/>
        </w:trPr>
        <w:tc>
          <w:tcPr>
            <w:tcW w:w="428" w:type="dxa"/>
            <w:vMerge w:val="restart"/>
            <w:tcBorders>
              <w:tl2br w:val="nil"/>
              <w:tr2bl w:val="nil"/>
            </w:tcBorders>
            <w:tcMar>
              <w:top w:w="15" w:type="dxa"/>
              <w:left w:w="15" w:type="dxa"/>
              <w:bottom w:w="15" w:type="dxa"/>
              <w:right w:w="15" w:type="dxa"/>
            </w:tcMar>
            <w:vAlign w:val="center"/>
          </w:tcPr>
          <w:p w14:paraId="2EC80557">
            <w:pPr>
              <w:keepNext w:val="0"/>
              <w:keepLines w:val="0"/>
              <w:pageBreakBefore w:val="0"/>
              <w:widowControl/>
              <w:numPr>
                <w:ilvl w:val="0"/>
                <w:numId w:val="11"/>
              </w:numPr>
              <w:suppressLineNumbers w:val="0"/>
              <w:tabs>
                <w:tab w:val="clear" w:pos="397"/>
              </w:tabs>
              <w:kinsoku/>
              <w:overflowPunct/>
              <w:topLinePunct w:val="0"/>
              <w:autoSpaceDE/>
              <w:autoSpaceDN/>
              <w:bidi w:val="0"/>
              <w:adjustRightInd/>
              <w:snapToGrid/>
              <w:spacing w:beforeAutospacing="0" w:afterAutospacing="0" w:line="260" w:lineRule="exact"/>
              <w:ind w:left="638" w:leftChars="88" w:right="0" w:rightChars="0" w:hanging="453" w:hangingChars="349"/>
              <w:jc w:val="center"/>
              <w:textAlignment w:val="center"/>
              <w:rPr>
                <w:rFonts w:hint="default" w:ascii="仿宋_GB2312" w:hAnsi="宋体" w:eastAsia="仿宋_GB2312" w:cs="宋体"/>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296</w:t>
            </w:r>
          </w:p>
        </w:tc>
        <w:tc>
          <w:tcPr>
            <w:tcW w:w="1550" w:type="dxa"/>
            <w:vMerge w:val="restart"/>
            <w:tcBorders>
              <w:tl2br w:val="nil"/>
              <w:tr2bl w:val="nil"/>
            </w:tcBorders>
            <w:tcMar>
              <w:top w:w="15" w:type="dxa"/>
              <w:left w:w="15" w:type="dxa"/>
              <w:bottom w:w="15" w:type="dxa"/>
              <w:right w:w="15" w:type="dxa"/>
            </w:tcMar>
            <w:vAlign w:val="center"/>
          </w:tcPr>
          <w:p w14:paraId="3AC805C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城市自来水供水企业和自建设施对外供水的企业，有下列行为之一的：(1)新建、改建、扩建的饮用水供水工程项目未经建设行政主管部门设计审查和竣工验收而擅自建设并投入使用的；(2)未按规定进行日常性水质检验工作的</w:t>
            </w:r>
          </w:p>
        </w:tc>
        <w:tc>
          <w:tcPr>
            <w:tcW w:w="4820" w:type="dxa"/>
            <w:vMerge w:val="restart"/>
            <w:tcBorders>
              <w:tl2br w:val="nil"/>
              <w:tr2bl w:val="nil"/>
            </w:tcBorders>
            <w:tcMar>
              <w:top w:w="15" w:type="dxa"/>
              <w:left w:w="15" w:type="dxa"/>
              <w:bottom w:w="15" w:type="dxa"/>
              <w:right w:w="15" w:type="dxa"/>
            </w:tcMar>
            <w:vAlign w:val="center"/>
          </w:tcPr>
          <w:p w14:paraId="0432DFB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kern w:val="0"/>
                <w:sz w:val="13"/>
                <w:szCs w:val="13"/>
                <w:highlight w:val="none"/>
              </w:rPr>
            </w:pPr>
            <w:r>
              <w:rPr>
                <w:rFonts w:hint="eastAsia" w:ascii="仿宋_GB2312" w:hAnsi="宋体" w:eastAsia="仿宋_GB2312" w:cs="宋体"/>
                <w:color w:val="auto"/>
                <w:kern w:val="0"/>
                <w:sz w:val="13"/>
                <w:szCs w:val="13"/>
                <w:highlight w:val="none"/>
              </w:rPr>
              <w:t>《生活饮用水卫生监督管理办法》</w:t>
            </w:r>
            <w:r>
              <w:rPr>
                <w:rFonts w:hint="eastAsia" w:ascii="仿宋_GB2312" w:hAnsi="宋体" w:eastAsia="仿宋_GB2312" w:cs="宋体"/>
                <w:b/>
                <w:bCs/>
                <w:color w:val="auto"/>
                <w:kern w:val="0"/>
                <w:sz w:val="13"/>
                <w:szCs w:val="13"/>
                <w:highlight w:val="none"/>
              </w:rPr>
              <w:t>第二十八条</w:t>
            </w:r>
            <w:r>
              <w:rPr>
                <w:rFonts w:hint="eastAsia" w:ascii="仿宋_GB2312" w:hAnsi="宋体" w:eastAsia="仿宋_GB2312" w:cs="宋体"/>
                <w:b/>
                <w:bCs/>
                <w:color w:val="auto"/>
                <w:kern w:val="0"/>
                <w:sz w:val="13"/>
                <w:szCs w:val="13"/>
                <w:highlight w:val="none"/>
                <w:lang w:eastAsia="zh-CN"/>
              </w:rPr>
              <w:t>：</w:t>
            </w:r>
            <w:r>
              <w:rPr>
                <w:rFonts w:hint="eastAsia" w:ascii="仿宋_GB2312" w:hAnsi="宋体" w:eastAsia="仿宋_GB2312" w:cs="宋体"/>
                <w:color w:val="auto"/>
                <w:kern w:val="0"/>
                <w:sz w:val="13"/>
                <w:szCs w:val="13"/>
                <w:highlight w:val="none"/>
              </w:rPr>
              <w:t>城市自来水供水企业和自建设施对外供水的企业，有下列行为之一的，由建设行政主管部门责令限期改进，并可处以违法所得3倍以下的罚款，但最高不超过3万元，没有违法所得的可处以1万元以下罚款：</w:t>
            </w:r>
          </w:p>
          <w:p w14:paraId="33D8F85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kern w:val="0"/>
                <w:sz w:val="13"/>
                <w:szCs w:val="13"/>
                <w:highlight w:val="none"/>
              </w:rPr>
            </w:pPr>
            <w:r>
              <w:rPr>
                <w:rFonts w:hint="eastAsia" w:ascii="仿宋_GB2312" w:hAnsi="宋体" w:eastAsia="仿宋_GB2312" w:cs="宋体"/>
                <w:color w:val="auto"/>
                <w:kern w:val="0"/>
                <w:sz w:val="13"/>
                <w:szCs w:val="13"/>
                <w:highlight w:val="none"/>
              </w:rPr>
              <w:t>（一）新建、改建、扩建的饮用水供水工程项目未经建设行政主管部门设计审查和竣工验收而擅自建设并投入使用的；</w:t>
            </w:r>
          </w:p>
          <w:p w14:paraId="14CC420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kern w:val="0"/>
                <w:sz w:val="13"/>
                <w:szCs w:val="13"/>
                <w:highlight w:val="none"/>
              </w:rPr>
            </w:pPr>
            <w:r>
              <w:rPr>
                <w:rFonts w:hint="eastAsia" w:ascii="仿宋_GB2312" w:hAnsi="宋体" w:eastAsia="仿宋_GB2312" w:cs="宋体"/>
                <w:color w:val="auto"/>
                <w:kern w:val="0"/>
                <w:sz w:val="13"/>
                <w:szCs w:val="13"/>
                <w:highlight w:val="none"/>
              </w:rPr>
              <w:t>（二）未按规定进行日常性水质检验工作的。</w:t>
            </w:r>
          </w:p>
        </w:tc>
        <w:tc>
          <w:tcPr>
            <w:tcW w:w="823" w:type="dxa"/>
            <w:tcBorders>
              <w:tl2br w:val="nil"/>
              <w:tr2bl w:val="nil"/>
            </w:tcBorders>
            <w:tcMar>
              <w:top w:w="15" w:type="dxa"/>
              <w:left w:w="15" w:type="dxa"/>
              <w:bottom w:w="15" w:type="dxa"/>
              <w:right w:w="15" w:type="dxa"/>
            </w:tcMar>
            <w:vAlign w:val="center"/>
          </w:tcPr>
          <w:p w14:paraId="1B29651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从轻情节</w:t>
            </w:r>
          </w:p>
        </w:tc>
        <w:tc>
          <w:tcPr>
            <w:tcW w:w="3437" w:type="dxa"/>
            <w:gridSpan w:val="2"/>
            <w:tcBorders>
              <w:tl2br w:val="nil"/>
              <w:tr2bl w:val="nil"/>
            </w:tcBorders>
            <w:tcMar>
              <w:top w:w="15" w:type="dxa"/>
              <w:left w:w="15" w:type="dxa"/>
              <w:bottom w:w="15" w:type="dxa"/>
              <w:right w:w="15" w:type="dxa"/>
            </w:tcMar>
            <w:vAlign w:val="center"/>
          </w:tcPr>
          <w:p w14:paraId="75A3CC8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初次违法，危害后果轻微，主动采取措施消除或减轻违法行为危害后果的。</w:t>
            </w:r>
          </w:p>
        </w:tc>
        <w:tc>
          <w:tcPr>
            <w:tcW w:w="3058" w:type="dxa"/>
            <w:tcBorders>
              <w:tl2br w:val="nil"/>
              <w:tr2bl w:val="nil"/>
            </w:tcBorders>
            <w:tcMar>
              <w:top w:w="15" w:type="dxa"/>
              <w:left w:w="15" w:type="dxa"/>
              <w:bottom w:w="15" w:type="dxa"/>
              <w:right w:w="15" w:type="dxa"/>
            </w:tcMar>
            <w:vAlign w:val="center"/>
          </w:tcPr>
          <w:p w14:paraId="427567D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责令限期改进，并可处以违法所得1倍以下的罚款，但最高不超过1万元，无违法所得的，可处以1千元以下的罚款。</w:t>
            </w:r>
          </w:p>
        </w:tc>
      </w:tr>
      <w:tr w14:paraId="7AF3C42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247" w:hRule="atLeast"/>
          <w:jc w:val="center"/>
        </w:trPr>
        <w:tc>
          <w:tcPr>
            <w:tcW w:w="428" w:type="dxa"/>
            <w:vMerge w:val="continue"/>
            <w:tcBorders>
              <w:tl2br w:val="nil"/>
              <w:tr2bl w:val="nil"/>
            </w:tcBorders>
            <w:vAlign w:val="center"/>
          </w:tcPr>
          <w:p w14:paraId="0D9A439C">
            <w:pPr>
              <w:pStyle w:val="37"/>
              <w:keepNext w:val="0"/>
              <w:keepLines w:val="0"/>
              <w:pageBreakBefore w:val="0"/>
              <w:widowControl/>
              <w:numPr>
                <w:ilvl w:val="0"/>
                <w:numId w:val="12"/>
              </w:numPr>
              <w:kinsoku/>
              <w:overflowPunct/>
              <w:topLinePunct w:val="0"/>
              <w:autoSpaceDE/>
              <w:autoSpaceDN/>
              <w:bidi w:val="0"/>
              <w:adjustRightInd/>
              <w:snapToGrid/>
              <w:spacing w:beforeAutospacing="0" w:afterAutospacing="0" w:line="260" w:lineRule="exact"/>
              <w:ind w:left="638" w:leftChars="88" w:right="0" w:rightChars="0" w:hanging="453" w:hangingChars="349"/>
              <w:jc w:val="center"/>
              <w:rPr>
                <w:rFonts w:ascii="仿宋_GB2312" w:hAnsi="宋体" w:eastAsia="仿宋_GB2312" w:cs="宋体"/>
                <w:color w:val="auto"/>
                <w:sz w:val="13"/>
                <w:szCs w:val="13"/>
                <w:highlight w:val="none"/>
              </w:rPr>
            </w:pPr>
          </w:p>
        </w:tc>
        <w:tc>
          <w:tcPr>
            <w:tcW w:w="1550" w:type="dxa"/>
            <w:vMerge w:val="continue"/>
            <w:tcBorders>
              <w:tl2br w:val="nil"/>
              <w:tr2bl w:val="nil"/>
            </w:tcBorders>
            <w:vAlign w:val="center"/>
          </w:tcPr>
          <w:p w14:paraId="0BE8671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sz w:val="13"/>
                <w:szCs w:val="13"/>
                <w:highlight w:val="none"/>
              </w:rPr>
            </w:pPr>
          </w:p>
        </w:tc>
        <w:tc>
          <w:tcPr>
            <w:tcW w:w="4820" w:type="dxa"/>
            <w:vMerge w:val="continue"/>
            <w:tcBorders>
              <w:tl2br w:val="nil"/>
              <w:tr2bl w:val="nil"/>
            </w:tcBorders>
            <w:vAlign w:val="center"/>
          </w:tcPr>
          <w:p w14:paraId="215F97B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0722EF1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一般情节</w:t>
            </w:r>
          </w:p>
        </w:tc>
        <w:tc>
          <w:tcPr>
            <w:tcW w:w="3437" w:type="dxa"/>
            <w:gridSpan w:val="2"/>
            <w:tcBorders>
              <w:tl2br w:val="nil"/>
              <w:tr2bl w:val="nil"/>
            </w:tcBorders>
            <w:tcMar>
              <w:top w:w="15" w:type="dxa"/>
              <w:left w:w="15" w:type="dxa"/>
              <w:bottom w:w="15" w:type="dxa"/>
              <w:right w:w="15" w:type="dxa"/>
            </w:tcMar>
            <w:vAlign w:val="center"/>
          </w:tcPr>
          <w:p w14:paraId="45A3A3C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kern w:val="0"/>
                <w:sz w:val="13"/>
                <w:szCs w:val="13"/>
                <w:highlight w:val="none"/>
              </w:rPr>
            </w:pPr>
            <w:r>
              <w:rPr>
                <w:rFonts w:hint="eastAsia" w:ascii="仿宋_GB2312" w:hAnsi="宋体" w:eastAsia="仿宋_GB2312" w:cs="宋体"/>
                <w:color w:val="auto"/>
                <w:kern w:val="0"/>
                <w:sz w:val="13"/>
                <w:szCs w:val="13"/>
                <w:highlight w:val="none"/>
              </w:rPr>
              <w:t>不具有从轻、</w:t>
            </w:r>
            <w:r>
              <w:rPr>
                <w:rFonts w:hint="eastAsia" w:ascii="仿宋_GB2312" w:hAnsi="宋体" w:eastAsia="仿宋_GB2312" w:cs="宋体"/>
                <w:color w:val="auto"/>
                <w:kern w:val="0"/>
                <w:sz w:val="13"/>
                <w:szCs w:val="13"/>
                <w:highlight w:val="none"/>
                <w:lang w:eastAsia="zh-CN"/>
              </w:rPr>
              <w:t>从重情节</w:t>
            </w:r>
            <w:r>
              <w:rPr>
                <w:rFonts w:hint="eastAsia" w:ascii="仿宋_GB2312" w:hAnsi="宋体" w:eastAsia="仿宋_GB2312" w:cs="宋体"/>
                <w:color w:val="auto"/>
                <w:kern w:val="0"/>
                <w:sz w:val="13"/>
                <w:szCs w:val="13"/>
                <w:highlight w:val="none"/>
              </w:rPr>
              <w:t>的。</w:t>
            </w:r>
          </w:p>
        </w:tc>
        <w:tc>
          <w:tcPr>
            <w:tcW w:w="3058" w:type="dxa"/>
            <w:tcBorders>
              <w:tl2br w:val="nil"/>
              <w:tr2bl w:val="nil"/>
            </w:tcBorders>
            <w:tcMar>
              <w:top w:w="15" w:type="dxa"/>
              <w:left w:w="15" w:type="dxa"/>
              <w:bottom w:w="15" w:type="dxa"/>
              <w:right w:w="15" w:type="dxa"/>
            </w:tcMar>
            <w:vAlign w:val="center"/>
          </w:tcPr>
          <w:p w14:paraId="60F6053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责令限期改进，并可处以违法所得1倍以上2倍以下的罚款，但最高不超过2万元，无违法所得的，可处以1千元以上3千元以下的罚款。</w:t>
            </w:r>
          </w:p>
        </w:tc>
      </w:tr>
      <w:tr w14:paraId="074BFC1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379" w:hRule="atLeast"/>
          <w:jc w:val="center"/>
        </w:trPr>
        <w:tc>
          <w:tcPr>
            <w:tcW w:w="428" w:type="dxa"/>
            <w:vMerge w:val="continue"/>
            <w:tcBorders>
              <w:tl2br w:val="nil"/>
              <w:tr2bl w:val="nil"/>
            </w:tcBorders>
            <w:vAlign w:val="center"/>
          </w:tcPr>
          <w:p w14:paraId="1AA8A816">
            <w:pPr>
              <w:pStyle w:val="37"/>
              <w:keepNext w:val="0"/>
              <w:keepLines w:val="0"/>
              <w:pageBreakBefore w:val="0"/>
              <w:widowControl/>
              <w:numPr>
                <w:ilvl w:val="0"/>
                <w:numId w:val="12"/>
              </w:numPr>
              <w:kinsoku/>
              <w:overflowPunct/>
              <w:topLinePunct w:val="0"/>
              <w:autoSpaceDE/>
              <w:autoSpaceDN/>
              <w:bidi w:val="0"/>
              <w:adjustRightInd/>
              <w:snapToGrid/>
              <w:spacing w:beforeAutospacing="0" w:afterAutospacing="0" w:line="260" w:lineRule="exact"/>
              <w:ind w:left="638" w:leftChars="88" w:right="0" w:rightChars="0" w:hanging="453" w:hangingChars="349"/>
              <w:jc w:val="center"/>
              <w:rPr>
                <w:rFonts w:ascii="仿宋_GB2312" w:hAnsi="宋体" w:eastAsia="仿宋_GB2312" w:cs="宋体"/>
                <w:color w:val="auto"/>
                <w:sz w:val="13"/>
                <w:szCs w:val="13"/>
                <w:highlight w:val="none"/>
              </w:rPr>
            </w:pPr>
          </w:p>
        </w:tc>
        <w:tc>
          <w:tcPr>
            <w:tcW w:w="1550" w:type="dxa"/>
            <w:vMerge w:val="continue"/>
            <w:tcBorders>
              <w:tl2br w:val="nil"/>
              <w:tr2bl w:val="nil"/>
            </w:tcBorders>
            <w:vAlign w:val="center"/>
          </w:tcPr>
          <w:p w14:paraId="299D4C0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sz w:val="13"/>
                <w:szCs w:val="13"/>
                <w:highlight w:val="none"/>
              </w:rPr>
            </w:pPr>
          </w:p>
        </w:tc>
        <w:tc>
          <w:tcPr>
            <w:tcW w:w="4820" w:type="dxa"/>
            <w:vMerge w:val="continue"/>
            <w:tcBorders>
              <w:tl2br w:val="nil"/>
              <w:tr2bl w:val="nil"/>
            </w:tcBorders>
            <w:vAlign w:val="center"/>
          </w:tcPr>
          <w:p w14:paraId="3E71765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3244CF8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从重情节</w:t>
            </w:r>
          </w:p>
        </w:tc>
        <w:tc>
          <w:tcPr>
            <w:tcW w:w="3437" w:type="dxa"/>
            <w:gridSpan w:val="2"/>
            <w:tcBorders>
              <w:tl2br w:val="nil"/>
              <w:tr2bl w:val="nil"/>
            </w:tcBorders>
            <w:tcMar>
              <w:top w:w="15" w:type="dxa"/>
              <w:left w:w="15" w:type="dxa"/>
              <w:bottom w:w="15" w:type="dxa"/>
              <w:right w:w="15" w:type="dxa"/>
            </w:tcMar>
            <w:vAlign w:val="center"/>
          </w:tcPr>
          <w:p w14:paraId="4081B5B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经责令停止违法行为后，继续实施违法行为的</w:t>
            </w:r>
            <w:r>
              <w:rPr>
                <w:rFonts w:hint="eastAsia" w:ascii="仿宋_GB2312" w:hAnsi="宋体" w:eastAsia="仿宋_GB2312" w:cs="宋体"/>
                <w:color w:val="auto"/>
                <w:kern w:val="0"/>
                <w:sz w:val="13"/>
                <w:szCs w:val="13"/>
                <w:highlight w:val="none"/>
                <w:lang w:eastAsia="zh-CN"/>
              </w:rPr>
              <w:t>，</w:t>
            </w:r>
            <w:r>
              <w:rPr>
                <w:rFonts w:hint="eastAsia" w:ascii="仿宋_GB2312" w:hAnsi="宋体" w:eastAsia="仿宋_GB2312" w:cs="宋体"/>
                <w:color w:val="auto"/>
                <w:kern w:val="0"/>
                <w:sz w:val="13"/>
                <w:szCs w:val="13"/>
                <w:highlight w:val="none"/>
                <w:lang w:val="en-US" w:eastAsia="zh-CN"/>
              </w:rPr>
              <w:t>或</w:t>
            </w:r>
            <w:r>
              <w:rPr>
                <w:rFonts w:hint="eastAsia" w:ascii="仿宋_GB2312" w:hAnsi="宋体" w:eastAsia="仿宋_GB2312" w:cs="宋体"/>
                <w:color w:val="auto"/>
                <w:kern w:val="0"/>
                <w:sz w:val="13"/>
                <w:szCs w:val="13"/>
                <w:highlight w:val="none"/>
              </w:rPr>
              <w:t>曾因实施该违法行为被查处，再次实施该违法行为的</w:t>
            </w:r>
            <w:r>
              <w:rPr>
                <w:rFonts w:hint="eastAsia" w:ascii="仿宋_GB2312" w:hAnsi="宋体" w:eastAsia="仿宋_GB2312" w:cs="宋体"/>
                <w:color w:val="auto"/>
                <w:kern w:val="0"/>
                <w:sz w:val="13"/>
                <w:szCs w:val="13"/>
                <w:highlight w:val="none"/>
                <w:lang w:eastAsia="zh-CN"/>
              </w:rPr>
              <w:t>，</w:t>
            </w:r>
            <w:r>
              <w:rPr>
                <w:rFonts w:hint="eastAsia" w:ascii="仿宋_GB2312" w:hAnsi="宋体" w:eastAsia="仿宋_GB2312" w:cs="宋体"/>
                <w:color w:val="auto"/>
                <w:kern w:val="0"/>
                <w:sz w:val="13"/>
                <w:szCs w:val="13"/>
                <w:highlight w:val="none"/>
                <w:lang w:val="en-US" w:eastAsia="zh-CN"/>
              </w:rPr>
              <w:t>或</w:t>
            </w:r>
            <w:r>
              <w:rPr>
                <w:rFonts w:hint="eastAsia" w:ascii="仿宋_GB2312" w:hAnsi="宋体" w:eastAsia="仿宋_GB2312" w:cs="宋体"/>
                <w:color w:val="auto"/>
                <w:kern w:val="0"/>
                <w:sz w:val="13"/>
                <w:szCs w:val="13"/>
                <w:highlight w:val="none"/>
              </w:rPr>
              <w:t>造成重大社会影响的。</w:t>
            </w:r>
          </w:p>
        </w:tc>
        <w:tc>
          <w:tcPr>
            <w:tcW w:w="3058" w:type="dxa"/>
            <w:tcBorders>
              <w:tl2br w:val="nil"/>
              <w:tr2bl w:val="nil"/>
            </w:tcBorders>
            <w:tcMar>
              <w:top w:w="15" w:type="dxa"/>
              <w:left w:w="15" w:type="dxa"/>
              <w:bottom w:w="15" w:type="dxa"/>
              <w:right w:w="15" w:type="dxa"/>
            </w:tcMar>
            <w:vAlign w:val="center"/>
          </w:tcPr>
          <w:p w14:paraId="6CBE032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责令限期改进，可处以违法所得2倍以上3倍以下的罚款，但最高不超过3万元，无违法所得的，可处以3千元以上1万元以下的罚款。</w:t>
            </w:r>
          </w:p>
        </w:tc>
      </w:tr>
      <w:tr w14:paraId="07A68C4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245" w:hRule="atLeast"/>
          <w:jc w:val="center"/>
        </w:trPr>
        <w:tc>
          <w:tcPr>
            <w:tcW w:w="428" w:type="dxa"/>
            <w:vMerge w:val="restart"/>
            <w:tcBorders>
              <w:tl2br w:val="nil"/>
              <w:tr2bl w:val="nil"/>
            </w:tcBorders>
            <w:vAlign w:val="center"/>
          </w:tcPr>
          <w:p w14:paraId="0A05A31E">
            <w:pPr>
              <w:keepNext w:val="0"/>
              <w:keepLines w:val="0"/>
              <w:pageBreakBefore w:val="0"/>
              <w:widowControl/>
              <w:numPr>
                <w:ilvl w:val="0"/>
                <w:numId w:val="11"/>
              </w:numPr>
              <w:suppressLineNumbers w:val="0"/>
              <w:tabs>
                <w:tab w:val="clear" w:pos="397"/>
              </w:tabs>
              <w:kinsoku/>
              <w:overflowPunct/>
              <w:topLinePunct w:val="0"/>
              <w:autoSpaceDE/>
              <w:autoSpaceDN/>
              <w:bidi w:val="0"/>
              <w:adjustRightInd/>
              <w:snapToGrid/>
              <w:spacing w:beforeAutospacing="0" w:afterAutospacing="0" w:line="260" w:lineRule="exact"/>
              <w:ind w:left="638" w:leftChars="88" w:right="0" w:rightChars="0" w:hanging="453" w:hangingChars="349"/>
              <w:jc w:val="center"/>
              <w:textAlignment w:val="center"/>
              <w:rPr>
                <w:rFonts w:hint="default" w:ascii="仿宋_GB2312" w:hAnsi="宋体" w:eastAsia="仿宋_GB2312" w:cs="宋体"/>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297</w:t>
            </w:r>
          </w:p>
        </w:tc>
        <w:tc>
          <w:tcPr>
            <w:tcW w:w="1550" w:type="dxa"/>
            <w:vMerge w:val="restart"/>
            <w:tcBorders>
              <w:tl2br w:val="nil"/>
              <w:tr2bl w:val="nil"/>
            </w:tcBorders>
            <w:vAlign w:val="center"/>
          </w:tcPr>
          <w:p w14:paraId="15AFD6C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rPr>
                <w:rFonts w:ascii="仿宋_GB2312" w:hAnsi="宋体" w:eastAsia="仿宋_GB2312" w:cs="宋体"/>
                <w:color w:val="auto"/>
                <w:sz w:val="13"/>
                <w:szCs w:val="13"/>
                <w:highlight w:val="none"/>
              </w:rPr>
            </w:pPr>
            <w:r>
              <w:rPr>
                <w:rFonts w:hint="eastAsia" w:ascii="仿宋_GB2312" w:hAnsi="宋体" w:eastAsia="仿宋_GB2312" w:cs="宋体"/>
                <w:color w:val="auto"/>
                <w:sz w:val="13"/>
                <w:szCs w:val="13"/>
                <w:highlight w:val="none"/>
              </w:rPr>
              <w:t>饮用水供水单位供水水质不符合国家规定标准的</w:t>
            </w:r>
          </w:p>
          <w:p w14:paraId="7EAB4A6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sz w:val="13"/>
                <w:szCs w:val="13"/>
                <w:highlight w:val="none"/>
              </w:rPr>
            </w:pPr>
          </w:p>
        </w:tc>
        <w:tc>
          <w:tcPr>
            <w:tcW w:w="4820" w:type="dxa"/>
            <w:vMerge w:val="restart"/>
            <w:tcBorders>
              <w:tl2br w:val="nil"/>
              <w:tr2bl w:val="nil"/>
            </w:tcBorders>
            <w:vAlign w:val="center"/>
          </w:tcPr>
          <w:p w14:paraId="366D718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sz w:val="13"/>
                <w:szCs w:val="13"/>
                <w:highlight w:val="none"/>
              </w:rPr>
              <w:t>《中华人民共和国水污染防治法》</w:t>
            </w:r>
            <w:r>
              <w:rPr>
                <w:rFonts w:hint="eastAsia" w:ascii="仿宋_GB2312" w:hAnsi="宋体" w:eastAsia="仿宋_GB2312" w:cs="宋体"/>
                <w:b/>
                <w:bCs/>
                <w:color w:val="auto"/>
                <w:sz w:val="13"/>
                <w:szCs w:val="13"/>
                <w:highlight w:val="none"/>
              </w:rPr>
              <w:t>第九十二条</w:t>
            </w:r>
            <w:r>
              <w:rPr>
                <w:rFonts w:hint="eastAsia" w:ascii="仿宋_GB2312" w:hAnsi="宋体" w:eastAsia="仿宋_GB2312" w:cs="宋体"/>
                <w:b/>
                <w:bCs/>
                <w:color w:val="auto"/>
                <w:sz w:val="13"/>
                <w:szCs w:val="13"/>
                <w:highlight w:val="none"/>
                <w:lang w:eastAsia="zh-CN"/>
              </w:rPr>
              <w:t>：</w:t>
            </w:r>
          </w:p>
          <w:p w14:paraId="62A95F5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sz w:val="13"/>
                <w:szCs w:val="13"/>
                <w:highlight w:val="none"/>
              </w:rPr>
            </w:pPr>
            <w:r>
              <w:rPr>
                <w:rFonts w:hint="eastAsia" w:ascii="仿宋_GB2312" w:hAnsi="宋体" w:eastAsia="仿宋_GB2312" w:cs="宋体"/>
                <w:color w:val="auto"/>
                <w:sz w:val="13"/>
                <w:szCs w:val="13"/>
                <w:highlight w:val="none"/>
              </w:rPr>
              <w:t>饮用水供水单位供水水质不符合国家规定标准的，由所在地市、县级人民政府供水主管部门责令改正，处二万元以上二十万元以下的罚款；情节严重的，报经有批准权的人民政府批准，可以责令停业整顿；对直接负责的主管人员和其他直接责任人员依法给予处分。</w:t>
            </w:r>
          </w:p>
          <w:p w14:paraId="3E4C524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rPr>
                <w:rFonts w:ascii="仿宋_GB2312" w:hAnsi="宋体" w:eastAsia="仿宋_GB2312" w:cs="宋体"/>
                <w:color w:val="auto"/>
                <w:sz w:val="13"/>
                <w:szCs w:val="13"/>
                <w:highlight w:val="none"/>
              </w:rPr>
            </w:pPr>
          </w:p>
          <w:p w14:paraId="76B9909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6709D9F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sz w:val="13"/>
                <w:szCs w:val="13"/>
                <w:highlight w:val="none"/>
                <w:lang w:eastAsia="zh-CN"/>
              </w:rPr>
              <w:t>从轻情节</w:t>
            </w:r>
          </w:p>
        </w:tc>
        <w:tc>
          <w:tcPr>
            <w:tcW w:w="3437" w:type="dxa"/>
            <w:gridSpan w:val="2"/>
            <w:tcBorders>
              <w:tl2br w:val="nil"/>
              <w:tr2bl w:val="nil"/>
            </w:tcBorders>
            <w:tcMar>
              <w:top w:w="15" w:type="dxa"/>
              <w:left w:w="15" w:type="dxa"/>
              <w:bottom w:w="15" w:type="dxa"/>
              <w:right w:w="15" w:type="dxa"/>
            </w:tcMar>
            <w:vAlign w:val="center"/>
          </w:tcPr>
          <w:p w14:paraId="3FC6611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初次违法，危害后果轻微，主动采取措施消除或减轻违法行为危害后果。</w:t>
            </w:r>
          </w:p>
        </w:tc>
        <w:tc>
          <w:tcPr>
            <w:tcW w:w="3058" w:type="dxa"/>
            <w:tcBorders>
              <w:tl2br w:val="nil"/>
              <w:tr2bl w:val="nil"/>
            </w:tcBorders>
            <w:tcMar>
              <w:top w:w="15" w:type="dxa"/>
              <w:left w:w="15" w:type="dxa"/>
              <w:bottom w:w="15" w:type="dxa"/>
              <w:right w:w="15" w:type="dxa"/>
            </w:tcMar>
            <w:vAlign w:val="center"/>
          </w:tcPr>
          <w:p w14:paraId="4C30892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rPr>
                <w:rFonts w:ascii="仿宋_GB2312" w:hAnsi="宋体" w:eastAsia="仿宋_GB2312" w:cs="宋体"/>
                <w:color w:val="auto"/>
                <w:sz w:val="13"/>
                <w:szCs w:val="13"/>
                <w:highlight w:val="none"/>
              </w:rPr>
            </w:pPr>
            <w:r>
              <w:rPr>
                <w:rFonts w:hint="eastAsia" w:ascii="仿宋_GB2312" w:hAnsi="宋体" w:eastAsia="仿宋_GB2312" w:cs="宋体"/>
                <w:color w:val="auto"/>
                <w:sz w:val="13"/>
                <w:szCs w:val="13"/>
                <w:highlight w:val="none"/>
              </w:rPr>
              <w:t>责令改正，处2万元以上8万元以下罚款。</w:t>
            </w:r>
          </w:p>
        </w:tc>
      </w:tr>
      <w:tr w14:paraId="61A0459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137" w:hRule="atLeast"/>
          <w:jc w:val="center"/>
        </w:trPr>
        <w:tc>
          <w:tcPr>
            <w:tcW w:w="428" w:type="dxa"/>
            <w:vMerge w:val="continue"/>
            <w:tcBorders>
              <w:tl2br w:val="nil"/>
              <w:tr2bl w:val="nil"/>
            </w:tcBorders>
            <w:vAlign w:val="center"/>
          </w:tcPr>
          <w:p w14:paraId="73CDAE98">
            <w:pPr>
              <w:pStyle w:val="37"/>
              <w:keepNext w:val="0"/>
              <w:keepLines w:val="0"/>
              <w:pageBreakBefore w:val="0"/>
              <w:widowControl/>
              <w:numPr>
                <w:ilvl w:val="0"/>
                <w:numId w:val="12"/>
              </w:numPr>
              <w:kinsoku/>
              <w:overflowPunct/>
              <w:topLinePunct w:val="0"/>
              <w:autoSpaceDE/>
              <w:autoSpaceDN/>
              <w:bidi w:val="0"/>
              <w:adjustRightInd/>
              <w:snapToGrid/>
              <w:spacing w:beforeAutospacing="0" w:afterAutospacing="0" w:line="260" w:lineRule="exact"/>
              <w:ind w:left="638" w:leftChars="88" w:right="0" w:rightChars="0" w:hanging="453" w:hangingChars="349"/>
              <w:jc w:val="center"/>
              <w:textAlignment w:val="center"/>
              <w:rPr>
                <w:rFonts w:ascii="仿宋_GB2312" w:hAnsi="宋体" w:eastAsia="仿宋_GB2312" w:cs="宋体"/>
                <w:color w:val="auto"/>
                <w:sz w:val="13"/>
                <w:szCs w:val="13"/>
                <w:highlight w:val="none"/>
              </w:rPr>
            </w:pPr>
          </w:p>
        </w:tc>
        <w:tc>
          <w:tcPr>
            <w:tcW w:w="1550" w:type="dxa"/>
            <w:vMerge w:val="continue"/>
            <w:tcBorders>
              <w:tl2br w:val="nil"/>
              <w:tr2bl w:val="nil"/>
            </w:tcBorders>
            <w:vAlign w:val="center"/>
          </w:tcPr>
          <w:p w14:paraId="58E2773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sz w:val="13"/>
                <w:szCs w:val="13"/>
                <w:highlight w:val="none"/>
              </w:rPr>
            </w:pPr>
          </w:p>
        </w:tc>
        <w:tc>
          <w:tcPr>
            <w:tcW w:w="4820" w:type="dxa"/>
            <w:vMerge w:val="continue"/>
            <w:tcBorders>
              <w:tl2br w:val="nil"/>
              <w:tr2bl w:val="nil"/>
            </w:tcBorders>
            <w:vAlign w:val="center"/>
          </w:tcPr>
          <w:p w14:paraId="4EBB000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0C6F668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一般情节</w:t>
            </w:r>
          </w:p>
        </w:tc>
        <w:tc>
          <w:tcPr>
            <w:tcW w:w="3437" w:type="dxa"/>
            <w:gridSpan w:val="2"/>
            <w:tcBorders>
              <w:tl2br w:val="nil"/>
              <w:tr2bl w:val="nil"/>
            </w:tcBorders>
            <w:tcMar>
              <w:top w:w="15" w:type="dxa"/>
              <w:left w:w="15" w:type="dxa"/>
              <w:bottom w:w="15" w:type="dxa"/>
              <w:right w:w="15" w:type="dxa"/>
            </w:tcMar>
            <w:vAlign w:val="center"/>
          </w:tcPr>
          <w:p w14:paraId="122AEAA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不具有从轻、</w:t>
            </w:r>
            <w:r>
              <w:rPr>
                <w:rFonts w:hint="eastAsia" w:ascii="仿宋_GB2312" w:hAnsi="宋体" w:eastAsia="仿宋_GB2312" w:cs="宋体"/>
                <w:color w:val="auto"/>
                <w:kern w:val="0"/>
                <w:sz w:val="13"/>
                <w:szCs w:val="13"/>
                <w:highlight w:val="none"/>
                <w:lang w:eastAsia="zh-CN"/>
              </w:rPr>
              <w:t>从重情节</w:t>
            </w:r>
            <w:r>
              <w:rPr>
                <w:rFonts w:hint="eastAsia" w:ascii="仿宋_GB2312" w:hAnsi="宋体" w:eastAsia="仿宋_GB2312" w:cs="宋体"/>
                <w:color w:val="auto"/>
                <w:kern w:val="0"/>
                <w:sz w:val="13"/>
                <w:szCs w:val="13"/>
                <w:highlight w:val="none"/>
              </w:rPr>
              <w:t>的。</w:t>
            </w:r>
          </w:p>
        </w:tc>
        <w:tc>
          <w:tcPr>
            <w:tcW w:w="3058" w:type="dxa"/>
            <w:tcBorders>
              <w:tl2br w:val="nil"/>
              <w:tr2bl w:val="nil"/>
            </w:tcBorders>
            <w:tcMar>
              <w:top w:w="15" w:type="dxa"/>
              <w:left w:w="15" w:type="dxa"/>
              <w:bottom w:w="15" w:type="dxa"/>
              <w:right w:w="15" w:type="dxa"/>
            </w:tcMar>
            <w:vAlign w:val="center"/>
          </w:tcPr>
          <w:p w14:paraId="30967D5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sz w:val="13"/>
                <w:szCs w:val="13"/>
                <w:highlight w:val="none"/>
              </w:rPr>
              <w:t>责令改正，</w:t>
            </w:r>
            <w:r>
              <w:rPr>
                <w:rFonts w:hint="eastAsia" w:ascii="仿宋_GB2312" w:hAnsi="宋体" w:eastAsia="仿宋_GB2312" w:cs="宋体"/>
                <w:color w:val="auto"/>
                <w:kern w:val="0"/>
                <w:sz w:val="13"/>
                <w:szCs w:val="13"/>
                <w:highlight w:val="none"/>
              </w:rPr>
              <w:t>处8万元以上14万元以下罚款。</w:t>
            </w:r>
          </w:p>
        </w:tc>
      </w:tr>
      <w:tr w14:paraId="0D85760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325" w:hRule="atLeast"/>
          <w:jc w:val="center"/>
        </w:trPr>
        <w:tc>
          <w:tcPr>
            <w:tcW w:w="428" w:type="dxa"/>
            <w:vMerge w:val="continue"/>
            <w:tcBorders>
              <w:tl2br w:val="nil"/>
              <w:tr2bl w:val="nil"/>
            </w:tcBorders>
            <w:vAlign w:val="center"/>
          </w:tcPr>
          <w:p w14:paraId="677A2C89">
            <w:pPr>
              <w:pStyle w:val="37"/>
              <w:keepNext w:val="0"/>
              <w:keepLines w:val="0"/>
              <w:pageBreakBefore w:val="0"/>
              <w:widowControl/>
              <w:numPr>
                <w:ilvl w:val="0"/>
                <w:numId w:val="12"/>
              </w:numPr>
              <w:kinsoku/>
              <w:overflowPunct/>
              <w:topLinePunct w:val="0"/>
              <w:autoSpaceDE/>
              <w:autoSpaceDN/>
              <w:bidi w:val="0"/>
              <w:adjustRightInd/>
              <w:snapToGrid/>
              <w:spacing w:beforeAutospacing="0" w:afterAutospacing="0" w:line="260" w:lineRule="exact"/>
              <w:ind w:left="638" w:leftChars="88" w:right="0" w:rightChars="0" w:hanging="453" w:hangingChars="349"/>
              <w:jc w:val="center"/>
              <w:textAlignment w:val="center"/>
              <w:rPr>
                <w:rFonts w:ascii="仿宋_GB2312" w:hAnsi="宋体" w:eastAsia="仿宋_GB2312" w:cs="宋体"/>
                <w:color w:val="auto"/>
                <w:kern w:val="0"/>
                <w:sz w:val="13"/>
                <w:szCs w:val="13"/>
                <w:highlight w:val="none"/>
              </w:rPr>
            </w:pPr>
          </w:p>
        </w:tc>
        <w:tc>
          <w:tcPr>
            <w:tcW w:w="1550" w:type="dxa"/>
            <w:vMerge w:val="continue"/>
            <w:tcBorders>
              <w:tl2br w:val="nil"/>
              <w:tr2bl w:val="nil"/>
            </w:tcBorders>
            <w:vAlign w:val="center"/>
          </w:tcPr>
          <w:p w14:paraId="7AC3696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kern w:val="0"/>
                <w:sz w:val="13"/>
                <w:szCs w:val="13"/>
                <w:highlight w:val="none"/>
              </w:rPr>
            </w:pPr>
          </w:p>
        </w:tc>
        <w:tc>
          <w:tcPr>
            <w:tcW w:w="4820" w:type="dxa"/>
            <w:vMerge w:val="continue"/>
            <w:tcBorders>
              <w:tl2br w:val="nil"/>
              <w:tr2bl w:val="nil"/>
            </w:tcBorders>
            <w:vAlign w:val="center"/>
          </w:tcPr>
          <w:p w14:paraId="52BBE85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kern w:val="0"/>
                <w:sz w:val="13"/>
                <w:szCs w:val="13"/>
                <w:highlight w:val="none"/>
              </w:rPr>
            </w:pPr>
          </w:p>
        </w:tc>
        <w:tc>
          <w:tcPr>
            <w:tcW w:w="823" w:type="dxa"/>
            <w:tcBorders>
              <w:tl2br w:val="nil"/>
              <w:tr2bl w:val="nil"/>
            </w:tcBorders>
            <w:tcMar>
              <w:top w:w="15" w:type="dxa"/>
              <w:left w:w="15" w:type="dxa"/>
              <w:bottom w:w="15" w:type="dxa"/>
              <w:right w:w="15" w:type="dxa"/>
            </w:tcMar>
            <w:vAlign w:val="center"/>
          </w:tcPr>
          <w:p w14:paraId="7BF29B5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从重情节</w:t>
            </w:r>
          </w:p>
        </w:tc>
        <w:tc>
          <w:tcPr>
            <w:tcW w:w="3437" w:type="dxa"/>
            <w:gridSpan w:val="2"/>
            <w:tcBorders>
              <w:tl2br w:val="nil"/>
              <w:tr2bl w:val="nil"/>
            </w:tcBorders>
            <w:tcMar>
              <w:top w:w="15" w:type="dxa"/>
              <w:left w:w="15" w:type="dxa"/>
              <w:bottom w:w="15" w:type="dxa"/>
              <w:right w:w="15" w:type="dxa"/>
            </w:tcMar>
            <w:vAlign w:val="center"/>
          </w:tcPr>
          <w:p w14:paraId="7A2DACB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经责令停止违法行为后，继续实施违法行为的</w:t>
            </w:r>
            <w:r>
              <w:rPr>
                <w:rFonts w:hint="eastAsia" w:ascii="仿宋_GB2312" w:hAnsi="宋体" w:eastAsia="仿宋_GB2312" w:cs="宋体"/>
                <w:color w:val="auto"/>
                <w:kern w:val="0"/>
                <w:sz w:val="13"/>
                <w:szCs w:val="13"/>
                <w:highlight w:val="none"/>
                <w:lang w:eastAsia="zh-CN"/>
              </w:rPr>
              <w:t>，</w:t>
            </w:r>
            <w:r>
              <w:rPr>
                <w:rFonts w:hint="eastAsia" w:ascii="仿宋_GB2312" w:hAnsi="宋体" w:eastAsia="仿宋_GB2312" w:cs="宋体"/>
                <w:color w:val="auto"/>
                <w:kern w:val="0"/>
                <w:sz w:val="13"/>
                <w:szCs w:val="13"/>
                <w:highlight w:val="none"/>
                <w:lang w:val="en-US" w:eastAsia="zh-CN"/>
              </w:rPr>
              <w:t>或</w:t>
            </w:r>
            <w:r>
              <w:rPr>
                <w:rFonts w:hint="eastAsia" w:ascii="仿宋_GB2312" w:hAnsi="宋体" w:eastAsia="仿宋_GB2312" w:cs="宋体"/>
                <w:color w:val="auto"/>
                <w:kern w:val="0"/>
                <w:sz w:val="13"/>
                <w:szCs w:val="13"/>
                <w:highlight w:val="none"/>
              </w:rPr>
              <w:t>曾因实施该违法行为被查处，再次实施该违法行为的</w:t>
            </w:r>
            <w:r>
              <w:rPr>
                <w:rFonts w:hint="eastAsia" w:ascii="仿宋_GB2312" w:hAnsi="宋体" w:eastAsia="仿宋_GB2312" w:cs="宋体"/>
                <w:color w:val="auto"/>
                <w:kern w:val="0"/>
                <w:sz w:val="13"/>
                <w:szCs w:val="13"/>
                <w:highlight w:val="none"/>
                <w:lang w:eastAsia="zh-CN"/>
              </w:rPr>
              <w:t>，</w:t>
            </w:r>
            <w:r>
              <w:rPr>
                <w:rFonts w:hint="eastAsia" w:ascii="仿宋_GB2312" w:hAnsi="宋体" w:eastAsia="仿宋_GB2312" w:cs="宋体"/>
                <w:color w:val="auto"/>
                <w:kern w:val="0"/>
                <w:sz w:val="13"/>
                <w:szCs w:val="13"/>
                <w:highlight w:val="none"/>
                <w:lang w:val="en-US" w:eastAsia="zh-CN"/>
              </w:rPr>
              <w:t>或</w:t>
            </w:r>
            <w:r>
              <w:rPr>
                <w:rFonts w:hint="eastAsia" w:ascii="仿宋_GB2312" w:hAnsi="宋体" w:eastAsia="仿宋_GB2312" w:cs="宋体"/>
                <w:color w:val="auto"/>
                <w:kern w:val="0"/>
                <w:sz w:val="13"/>
                <w:szCs w:val="13"/>
                <w:highlight w:val="none"/>
              </w:rPr>
              <w:t>造成严重危害后果或重大社会影响的。</w:t>
            </w:r>
          </w:p>
        </w:tc>
        <w:tc>
          <w:tcPr>
            <w:tcW w:w="3058" w:type="dxa"/>
            <w:tcBorders>
              <w:tl2br w:val="nil"/>
              <w:tr2bl w:val="nil"/>
            </w:tcBorders>
            <w:tcMar>
              <w:top w:w="15" w:type="dxa"/>
              <w:left w:w="15" w:type="dxa"/>
              <w:bottom w:w="15" w:type="dxa"/>
              <w:right w:w="15" w:type="dxa"/>
            </w:tcMar>
            <w:vAlign w:val="center"/>
          </w:tcPr>
          <w:p w14:paraId="72037F2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sz w:val="13"/>
                <w:szCs w:val="13"/>
                <w:highlight w:val="none"/>
              </w:rPr>
              <w:t>责令改正，</w:t>
            </w:r>
            <w:r>
              <w:rPr>
                <w:rFonts w:hint="eastAsia" w:ascii="仿宋_GB2312" w:hAnsi="宋体" w:eastAsia="仿宋_GB2312" w:cs="宋体"/>
                <w:color w:val="auto"/>
                <w:kern w:val="0"/>
                <w:sz w:val="13"/>
                <w:szCs w:val="13"/>
                <w:highlight w:val="none"/>
              </w:rPr>
              <w:t>处14万元以上20万元以下罚款</w:t>
            </w:r>
            <w:r>
              <w:rPr>
                <w:rFonts w:hint="eastAsia" w:ascii="仿宋_GB2312" w:hAnsi="宋体" w:eastAsia="仿宋_GB2312" w:cs="宋体"/>
                <w:color w:val="auto"/>
                <w:sz w:val="13"/>
                <w:szCs w:val="13"/>
                <w:highlight w:val="none"/>
              </w:rPr>
              <w:t>；报经有批准权的人民政府批准，可以责令停业整顿。</w:t>
            </w:r>
          </w:p>
        </w:tc>
      </w:tr>
      <w:tr w14:paraId="5BF0C99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259" w:hRule="atLeast"/>
          <w:jc w:val="center"/>
        </w:trPr>
        <w:tc>
          <w:tcPr>
            <w:tcW w:w="428" w:type="dxa"/>
            <w:vMerge w:val="restart"/>
            <w:tcBorders>
              <w:tl2br w:val="nil"/>
              <w:tr2bl w:val="nil"/>
            </w:tcBorders>
            <w:tcMar>
              <w:top w:w="15" w:type="dxa"/>
              <w:left w:w="15" w:type="dxa"/>
              <w:bottom w:w="15" w:type="dxa"/>
              <w:right w:w="15" w:type="dxa"/>
            </w:tcMar>
            <w:vAlign w:val="center"/>
          </w:tcPr>
          <w:p w14:paraId="32B7496F">
            <w:pPr>
              <w:keepNext w:val="0"/>
              <w:keepLines w:val="0"/>
              <w:pageBreakBefore w:val="0"/>
              <w:widowControl/>
              <w:numPr>
                <w:ilvl w:val="0"/>
                <w:numId w:val="11"/>
              </w:numPr>
              <w:suppressLineNumbers w:val="0"/>
              <w:tabs>
                <w:tab w:val="clear" w:pos="397"/>
              </w:tabs>
              <w:kinsoku/>
              <w:overflowPunct/>
              <w:topLinePunct w:val="0"/>
              <w:autoSpaceDE/>
              <w:autoSpaceDN/>
              <w:bidi w:val="0"/>
              <w:adjustRightInd/>
              <w:snapToGrid/>
              <w:spacing w:beforeAutospacing="0" w:afterAutospacing="0" w:line="260" w:lineRule="exact"/>
              <w:ind w:left="638" w:leftChars="88" w:right="0" w:rightChars="0" w:hanging="453" w:hangingChars="349"/>
              <w:jc w:val="center"/>
              <w:textAlignment w:val="center"/>
              <w:rPr>
                <w:rFonts w:hint="default" w:ascii="仿宋_GB2312" w:hAnsi="宋体" w:eastAsia="仿宋_GB2312" w:cs="宋体"/>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298</w:t>
            </w:r>
          </w:p>
        </w:tc>
        <w:tc>
          <w:tcPr>
            <w:tcW w:w="1550" w:type="dxa"/>
            <w:vMerge w:val="restart"/>
            <w:tcBorders>
              <w:tl2br w:val="nil"/>
              <w:tr2bl w:val="nil"/>
            </w:tcBorders>
            <w:tcMar>
              <w:top w:w="15" w:type="dxa"/>
              <w:left w:w="15" w:type="dxa"/>
              <w:bottom w:w="15" w:type="dxa"/>
              <w:right w:w="15" w:type="dxa"/>
            </w:tcMar>
            <w:vAlign w:val="center"/>
          </w:tcPr>
          <w:p w14:paraId="674D1C4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有下列行为之一的：（1）城市供水单位未制定城市供水水质突发事件应急预案的；（2）城市供水单位未按规定上报水质报表的</w:t>
            </w:r>
          </w:p>
        </w:tc>
        <w:tc>
          <w:tcPr>
            <w:tcW w:w="4820" w:type="dxa"/>
            <w:vMerge w:val="restart"/>
            <w:tcBorders>
              <w:tl2br w:val="nil"/>
              <w:tr2bl w:val="nil"/>
            </w:tcBorders>
            <w:tcMar>
              <w:top w:w="15" w:type="dxa"/>
              <w:left w:w="15" w:type="dxa"/>
              <w:bottom w:w="15" w:type="dxa"/>
              <w:right w:w="15" w:type="dxa"/>
            </w:tcMar>
            <w:vAlign w:val="center"/>
          </w:tcPr>
          <w:p w14:paraId="1C2F3A4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《城市供水水质管理规定》</w:t>
            </w:r>
            <w:r>
              <w:rPr>
                <w:rFonts w:hint="eastAsia" w:ascii="仿宋_GB2312" w:hAnsi="宋体" w:eastAsia="仿宋_GB2312" w:cs="宋体"/>
                <w:b/>
                <w:bCs/>
                <w:color w:val="auto"/>
                <w:kern w:val="0"/>
                <w:sz w:val="13"/>
                <w:szCs w:val="13"/>
                <w:highlight w:val="none"/>
              </w:rPr>
              <w:t>第三十条</w:t>
            </w:r>
            <w:r>
              <w:rPr>
                <w:rFonts w:hint="eastAsia" w:ascii="仿宋_GB2312" w:hAnsi="宋体" w:eastAsia="仿宋_GB2312" w:cs="宋体"/>
                <w:b/>
                <w:bCs/>
                <w:color w:val="auto"/>
                <w:kern w:val="0"/>
                <w:sz w:val="13"/>
                <w:szCs w:val="13"/>
                <w:highlight w:val="none"/>
                <w:lang w:eastAsia="zh-CN"/>
              </w:rPr>
              <w:t>：</w:t>
            </w:r>
            <w:r>
              <w:rPr>
                <w:rFonts w:hint="eastAsia" w:ascii="仿宋_GB2312" w:hAnsi="宋体" w:eastAsia="仿宋_GB2312" w:cs="宋体"/>
                <w:color w:val="auto"/>
                <w:sz w:val="13"/>
                <w:szCs w:val="13"/>
                <w:highlight w:val="none"/>
              </w:rPr>
              <w:t>违反本规定，有下列行为之一的，由直辖市、市、县人民政府城市供水主管部门给予警告，并处以5000元以上2万元以下的罚款：（一）城市供水单位未制定城市供水水质突发事件应急预案的；（二）城市供水单位未按规定上报水质报表的。</w:t>
            </w:r>
          </w:p>
        </w:tc>
        <w:tc>
          <w:tcPr>
            <w:tcW w:w="823" w:type="dxa"/>
            <w:tcBorders>
              <w:tl2br w:val="nil"/>
              <w:tr2bl w:val="nil"/>
            </w:tcBorders>
            <w:tcMar>
              <w:top w:w="15" w:type="dxa"/>
              <w:left w:w="15" w:type="dxa"/>
              <w:bottom w:w="15" w:type="dxa"/>
              <w:right w:w="15" w:type="dxa"/>
            </w:tcMar>
            <w:vAlign w:val="center"/>
          </w:tcPr>
          <w:p w14:paraId="63EEAC4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从轻情节</w:t>
            </w:r>
          </w:p>
        </w:tc>
        <w:tc>
          <w:tcPr>
            <w:tcW w:w="3437" w:type="dxa"/>
            <w:gridSpan w:val="2"/>
            <w:tcBorders>
              <w:tl2br w:val="nil"/>
              <w:tr2bl w:val="nil"/>
            </w:tcBorders>
            <w:tcMar>
              <w:top w:w="15" w:type="dxa"/>
              <w:left w:w="15" w:type="dxa"/>
              <w:bottom w:w="15" w:type="dxa"/>
              <w:right w:w="15" w:type="dxa"/>
            </w:tcMar>
            <w:vAlign w:val="center"/>
          </w:tcPr>
          <w:p w14:paraId="66685C3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初次违法，危害后果轻微，主动采取措施消除或减轻违法行为危害后果的。</w:t>
            </w:r>
          </w:p>
        </w:tc>
        <w:tc>
          <w:tcPr>
            <w:tcW w:w="3058" w:type="dxa"/>
            <w:tcBorders>
              <w:tl2br w:val="nil"/>
              <w:tr2bl w:val="nil"/>
            </w:tcBorders>
            <w:tcMar>
              <w:top w:w="15" w:type="dxa"/>
              <w:left w:w="15" w:type="dxa"/>
              <w:bottom w:w="15" w:type="dxa"/>
              <w:right w:w="15" w:type="dxa"/>
            </w:tcMar>
            <w:vAlign w:val="center"/>
          </w:tcPr>
          <w:p w14:paraId="0520E46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sz w:val="13"/>
                <w:szCs w:val="13"/>
                <w:highlight w:val="none"/>
              </w:rPr>
              <w:t>给予警告，</w:t>
            </w:r>
            <w:r>
              <w:rPr>
                <w:rFonts w:hint="eastAsia" w:ascii="仿宋_GB2312" w:hAnsi="宋体" w:eastAsia="仿宋_GB2312" w:cs="宋体"/>
                <w:color w:val="auto"/>
                <w:kern w:val="0"/>
                <w:sz w:val="13"/>
                <w:szCs w:val="13"/>
                <w:highlight w:val="none"/>
              </w:rPr>
              <w:t>并处以5千元罚款。</w:t>
            </w:r>
          </w:p>
        </w:tc>
      </w:tr>
      <w:tr w14:paraId="7355F5D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91" w:hRule="atLeast"/>
          <w:jc w:val="center"/>
        </w:trPr>
        <w:tc>
          <w:tcPr>
            <w:tcW w:w="428" w:type="dxa"/>
            <w:vMerge w:val="continue"/>
            <w:tcBorders>
              <w:tl2br w:val="nil"/>
              <w:tr2bl w:val="nil"/>
            </w:tcBorders>
            <w:vAlign w:val="center"/>
          </w:tcPr>
          <w:p w14:paraId="34FBBC53">
            <w:pPr>
              <w:pStyle w:val="37"/>
              <w:keepNext w:val="0"/>
              <w:keepLines w:val="0"/>
              <w:pageBreakBefore w:val="0"/>
              <w:widowControl/>
              <w:numPr>
                <w:ilvl w:val="0"/>
                <w:numId w:val="12"/>
              </w:numPr>
              <w:kinsoku/>
              <w:overflowPunct/>
              <w:topLinePunct w:val="0"/>
              <w:autoSpaceDE/>
              <w:autoSpaceDN/>
              <w:bidi w:val="0"/>
              <w:adjustRightInd/>
              <w:snapToGrid/>
              <w:spacing w:beforeAutospacing="0" w:afterAutospacing="0" w:line="260" w:lineRule="exact"/>
              <w:ind w:left="638" w:leftChars="88" w:right="0" w:rightChars="0" w:hanging="453" w:hangingChars="349"/>
              <w:jc w:val="center"/>
              <w:rPr>
                <w:rFonts w:ascii="仿宋_GB2312" w:hAnsi="宋体" w:eastAsia="仿宋_GB2312" w:cs="宋体"/>
                <w:color w:val="auto"/>
                <w:sz w:val="13"/>
                <w:szCs w:val="13"/>
                <w:highlight w:val="none"/>
              </w:rPr>
            </w:pPr>
          </w:p>
        </w:tc>
        <w:tc>
          <w:tcPr>
            <w:tcW w:w="1550" w:type="dxa"/>
            <w:vMerge w:val="continue"/>
            <w:tcBorders>
              <w:tl2br w:val="nil"/>
              <w:tr2bl w:val="nil"/>
            </w:tcBorders>
            <w:vAlign w:val="center"/>
          </w:tcPr>
          <w:p w14:paraId="1B32999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sz w:val="13"/>
                <w:szCs w:val="13"/>
                <w:highlight w:val="none"/>
              </w:rPr>
            </w:pPr>
          </w:p>
        </w:tc>
        <w:tc>
          <w:tcPr>
            <w:tcW w:w="4820" w:type="dxa"/>
            <w:vMerge w:val="continue"/>
            <w:tcBorders>
              <w:tl2br w:val="nil"/>
              <w:tr2bl w:val="nil"/>
            </w:tcBorders>
            <w:vAlign w:val="center"/>
          </w:tcPr>
          <w:p w14:paraId="599F548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4B717F3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一般情节</w:t>
            </w:r>
          </w:p>
        </w:tc>
        <w:tc>
          <w:tcPr>
            <w:tcW w:w="3437" w:type="dxa"/>
            <w:gridSpan w:val="2"/>
            <w:tcBorders>
              <w:tl2br w:val="nil"/>
              <w:tr2bl w:val="nil"/>
            </w:tcBorders>
            <w:tcMar>
              <w:top w:w="15" w:type="dxa"/>
              <w:left w:w="15" w:type="dxa"/>
              <w:bottom w:w="15" w:type="dxa"/>
              <w:right w:w="15" w:type="dxa"/>
            </w:tcMar>
            <w:vAlign w:val="center"/>
          </w:tcPr>
          <w:p w14:paraId="32BA890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strike/>
                <w:color w:val="auto"/>
                <w:kern w:val="0"/>
                <w:sz w:val="13"/>
                <w:szCs w:val="13"/>
                <w:highlight w:val="none"/>
              </w:rPr>
            </w:pPr>
            <w:r>
              <w:rPr>
                <w:rFonts w:hint="eastAsia" w:ascii="仿宋_GB2312" w:hAnsi="宋体" w:eastAsia="仿宋_GB2312" w:cs="宋体"/>
                <w:color w:val="auto"/>
                <w:kern w:val="0"/>
                <w:sz w:val="13"/>
                <w:szCs w:val="13"/>
                <w:highlight w:val="none"/>
              </w:rPr>
              <w:t>不具有从轻、</w:t>
            </w:r>
            <w:r>
              <w:rPr>
                <w:rFonts w:hint="eastAsia" w:ascii="仿宋_GB2312" w:hAnsi="宋体" w:eastAsia="仿宋_GB2312" w:cs="宋体"/>
                <w:color w:val="auto"/>
                <w:kern w:val="0"/>
                <w:sz w:val="13"/>
                <w:szCs w:val="13"/>
                <w:highlight w:val="none"/>
                <w:lang w:eastAsia="zh-CN"/>
              </w:rPr>
              <w:t>从重情节</w:t>
            </w:r>
            <w:r>
              <w:rPr>
                <w:rFonts w:hint="eastAsia" w:ascii="仿宋_GB2312" w:hAnsi="宋体" w:eastAsia="仿宋_GB2312" w:cs="宋体"/>
                <w:color w:val="auto"/>
                <w:kern w:val="0"/>
                <w:sz w:val="13"/>
                <w:szCs w:val="13"/>
                <w:highlight w:val="none"/>
              </w:rPr>
              <w:t>的。</w:t>
            </w:r>
          </w:p>
        </w:tc>
        <w:tc>
          <w:tcPr>
            <w:tcW w:w="3058" w:type="dxa"/>
            <w:tcBorders>
              <w:tl2br w:val="nil"/>
              <w:tr2bl w:val="nil"/>
            </w:tcBorders>
            <w:tcMar>
              <w:top w:w="15" w:type="dxa"/>
              <w:left w:w="15" w:type="dxa"/>
              <w:bottom w:w="15" w:type="dxa"/>
              <w:right w:w="15" w:type="dxa"/>
            </w:tcMar>
            <w:vAlign w:val="center"/>
          </w:tcPr>
          <w:p w14:paraId="647E713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sz w:val="13"/>
                <w:szCs w:val="13"/>
                <w:highlight w:val="none"/>
              </w:rPr>
              <w:t>给予警告，</w:t>
            </w:r>
            <w:r>
              <w:rPr>
                <w:rFonts w:hint="eastAsia" w:ascii="仿宋_GB2312" w:hAnsi="宋体" w:eastAsia="仿宋_GB2312" w:cs="宋体"/>
                <w:color w:val="auto"/>
                <w:kern w:val="0"/>
                <w:sz w:val="13"/>
                <w:szCs w:val="13"/>
                <w:highlight w:val="none"/>
              </w:rPr>
              <w:t>并处以5千元以上1万元以下罚款。</w:t>
            </w:r>
          </w:p>
        </w:tc>
      </w:tr>
      <w:tr w14:paraId="3054105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325" w:hRule="atLeast"/>
          <w:jc w:val="center"/>
        </w:trPr>
        <w:tc>
          <w:tcPr>
            <w:tcW w:w="428" w:type="dxa"/>
            <w:vMerge w:val="continue"/>
            <w:tcBorders>
              <w:tl2br w:val="nil"/>
              <w:tr2bl w:val="nil"/>
            </w:tcBorders>
            <w:vAlign w:val="center"/>
          </w:tcPr>
          <w:p w14:paraId="0C941194">
            <w:pPr>
              <w:pStyle w:val="37"/>
              <w:keepNext w:val="0"/>
              <w:keepLines w:val="0"/>
              <w:pageBreakBefore w:val="0"/>
              <w:widowControl/>
              <w:numPr>
                <w:ilvl w:val="0"/>
                <w:numId w:val="12"/>
              </w:numPr>
              <w:kinsoku/>
              <w:overflowPunct/>
              <w:topLinePunct w:val="0"/>
              <w:autoSpaceDE/>
              <w:autoSpaceDN/>
              <w:bidi w:val="0"/>
              <w:adjustRightInd/>
              <w:snapToGrid/>
              <w:spacing w:beforeAutospacing="0" w:afterAutospacing="0" w:line="260" w:lineRule="exact"/>
              <w:ind w:left="638" w:leftChars="88" w:right="0" w:rightChars="0" w:hanging="453" w:hangingChars="349"/>
              <w:jc w:val="center"/>
              <w:rPr>
                <w:rFonts w:ascii="仿宋_GB2312" w:hAnsi="宋体" w:eastAsia="仿宋_GB2312" w:cs="宋体"/>
                <w:color w:val="auto"/>
                <w:sz w:val="13"/>
                <w:szCs w:val="13"/>
                <w:highlight w:val="none"/>
              </w:rPr>
            </w:pPr>
          </w:p>
        </w:tc>
        <w:tc>
          <w:tcPr>
            <w:tcW w:w="1550" w:type="dxa"/>
            <w:vMerge w:val="continue"/>
            <w:tcBorders>
              <w:tl2br w:val="nil"/>
              <w:tr2bl w:val="nil"/>
            </w:tcBorders>
            <w:vAlign w:val="center"/>
          </w:tcPr>
          <w:p w14:paraId="6E16D5A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sz w:val="13"/>
                <w:szCs w:val="13"/>
                <w:highlight w:val="none"/>
              </w:rPr>
            </w:pPr>
          </w:p>
        </w:tc>
        <w:tc>
          <w:tcPr>
            <w:tcW w:w="4820" w:type="dxa"/>
            <w:vMerge w:val="continue"/>
            <w:tcBorders>
              <w:tl2br w:val="nil"/>
              <w:tr2bl w:val="nil"/>
            </w:tcBorders>
            <w:vAlign w:val="center"/>
          </w:tcPr>
          <w:p w14:paraId="2D69F7B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329A78F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从重情节</w:t>
            </w:r>
          </w:p>
        </w:tc>
        <w:tc>
          <w:tcPr>
            <w:tcW w:w="3437" w:type="dxa"/>
            <w:gridSpan w:val="2"/>
            <w:tcBorders>
              <w:tl2br w:val="nil"/>
              <w:tr2bl w:val="nil"/>
            </w:tcBorders>
            <w:tcMar>
              <w:top w:w="15" w:type="dxa"/>
              <w:left w:w="15" w:type="dxa"/>
              <w:bottom w:w="15" w:type="dxa"/>
              <w:right w:w="15" w:type="dxa"/>
            </w:tcMar>
            <w:vAlign w:val="center"/>
          </w:tcPr>
          <w:p w14:paraId="56A52ED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kern w:val="0"/>
                <w:sz w:val="13"/>
                <w:szCs w:val="13"/>
                <w:highlight w:val="none"/>
              </w:rPr>
            </w:pPr>
            <w:r>
              <w:rPr>
                <w:rFonts w:hint="eastAsia" w:ascii="仿宋_GB2312" w:hAnsi="宋体" w:eastAsia="仿宋_GB2312" w:cs="宋体"/>
                <w:color w:val="auto"/>
                <w:kern w:val="0"/>
                <w:sz w:val="13"/>
                <w:szCs w:val="13"/>
                <w:highlight w:val="none"/>
              </w:rPr>
              <w:t>经责令停止违法行为后，继续实施违法行为的</w:t>
            </w:r>
            <w:r>
              <w:rPr>
                <w:rFonts w:hint="eastAsia" w:ascii="仿宋_GB2312" w:hAnsi="宋体" w:eastAsia="仿宋_GB2312" w:cs="宋体"/>
                <w:color w:val="auto"/>
                <w:kern w:val="0"/>
                <w:sz w:val="13"/>
                <w:szCs w:val="13"/>
                <w:highlight w:val="none"/>
                <w:lang w:eastAsia="zh-CN"/>
              </w:rPr>
              <w:t>，</w:t>
            </w:r>
            <w:r>
              <w:rPr>
                <w:rFonts w:hint="eastAsia" w:ascii="仿宋_GB2312" w:hAnsi="宋体" w:eastAsia="仿宋_GB2312" w:cs="宋体"/>
                <w:color w:val="auto"/>
                <w:kern w:val="0"/>
                <w:sz w:val="13"/>
                <w:szCs w:val="13"/>
                <w:highlight w:val="none"/>
                <w:lang w:val="en-US" w:eastAsia="zh-CN"/>
              </w:rPr>
              <w:t>或</w:t>
            </w:r>
            <w:r>
              <w:rPr>
                <w:rFonts w:hint="eastAsia" w:ascii="仿宋_GB2312" w:hAnsi="宋体" w:eastAsia="仿宋_GB2312" w:cs="宋体"/>
                <w:color w:val="auto"/>
                <w:kern w:val="0"/>
                <w:sz w:val="13"/>
                <w:szCs w:val="13"/>
                <w:highlight w:val="none"/>
              </w:rPr>
              <w:t>曾因实施该违法行为被查处，再次实施该违法行为的</w:t>
            </w:r>
            <w:r>
              <w:rPr>
                <w:rFonts w:hint="eastAsia" w:ascii="仿宋_GB2312" w:hAnsi="宋体" w:eastAsia="仿宋_GB2312" w:cs="宋体"/>
                <w:color w:val="auto"/>
                <w:kern w:val="0"/>
                <w:sz w:val="13"/>
                <w:szCs w:val="13"/>
                <w:highlight w:val="none"/>
                <w:lang w:eastAsia="zh-CN"/>
              </w:rPr>
              <w:t>，</w:t>
            </w:r>
            <w:r>
              <w:rPr>
                <w:rFonts w:hint="eastAsia" w:ascii="仿宋_GB2312" w:hAnsi="宋体" w:eastAsia="仿宋_GB2312" w:cs="宋体"/>
                <w:color w:val="auto"/>
                <w:kern w:val="0"/>
                <w:sz w:val="13"/>
                <w:szCs w:val="13"/>
                <w:highlight w:val="none"/>
                <w:lang w:val="en-US" w:eastAsia="zh-CN"/>
              </w:rPr>
              <w:t>或</w:t>
            </w:r>
            <w:r>
              <w:rPr>
                <w:rFonts w:hint="eastAsia" w:ascii="仿宋_GB2312" w:hAnsi="宋体" w:eastAsia="仿宋_GB2312" w:cs="宋体"/>
                <w:color w:val="auto"/>
                <w:kern w:val="0"/>
                <w:sz w:val="13"/>
                <w:szCs w:val="13"/>
                <w:highlight w:val="none"/>
              </w:rPr>
              <w:t>造成严重危害后果或社会影响的。</w:t>
            </w:r>
          </w:p>
        </w:tc>
        <w:tc>
          <w:tcPr>
            <w:tcW w:w="3058" w:type="dxa"/>
            <w:tcBorders>
              <w:tl2br w:val="nil"/>
              <w:tr2bl w:val="nil"/>
            </w:tcBorders>
            <w:tcMar>
              <w:top w:w="15" w:type="dxa"/>
              <w:left w:w="15" w:type="dxa"/>
              <w:bottom w:w="15" w:type="dxa"/>
              <w:right w:w="15" w:type="dxa"/>
            </w:tcMar>
            <w:vAlign w:val="center"/>
          </w:tcPr>
          <w:p w14:paraId="15FB12D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kern w:val="0"/>
                <w:sz w:val="13"/>
                <w:szCs w:val="13"/>
                <w:highlight w:val="none"/>
              </w:rPr>
            </w:pPr>
            <w:r>
              <w:rPr>
                <w:rFonts w:hint="eastAsia" w:ascii="仿宋_GB2312" w:hAnsi="宋体" w:eastAsia="仿宋_GB2312" w:cs="宋体"/>
                <w:color w:val="auto"/>
                <w:sz w:val="13"/>
                <w:szCs w:val="13"/>
                <w:highlight w:val="none"/>
              </w:rPr>
              <w:t>给予警告，并</w:t>
            </w:r>
            <w:r>
              <w:rPr>
                <w:rFonts w:hint="eastAsia" w:ascii="仿宋_GB2312" w:hAnsi="宋体" w:eastAsia="仿宋_GB2312" w:cs="宋体"/>
                <w:color w:val="auto"/>
                <w:kern w:val="0"/>
                <w:sz w:val="13"/>
                <w:szCs w:val="13"/>
                <w:highlight w:val="none"/>
              </w:rPr>
              <w:t>处1万元以上2万元以下罚款。</w:t>
            </w:r>
          </w:p>
        </w:tc>
      </w:tr>
      <w:tr w14:paraId="68D2D75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169" w:hRule="atLeast"/>
          <w:jc w:val="center"/>
        </w:trPr>
        <w:tc>
          <w:tcPr>
            <w:tcW w:w="428" w:type="dxa"/>
            <w:vMerge w:val="restart"/>
            <w:tcBorders>
              <w:tl2br w:val="nil"/>
              <w:tr2bl w:val="nil"/>
            </w:tcBorders>
            <w:tcMar>
              <w:top w:w="15" w:type="dxa"/>
              <w:left w:w="15" w:type="dxa"/>
              <w:bottom w:w="15" w:type="dxa"/>
              <w:right w:w="15" w:type="dxa"/>
            </w:tcMar>
            <w:vAlign w:val="center"/>
          </w:tcPr>
          <w:p w14:paraId="4E681F66">
            <w:pPr>
              <w:keepNext w:val="0"/>
              <w:keepLines w:val="0"/>
              <w:pageBreakBefore w:val="0"/>
              <w:widowControl/>
              <w:numPr>
                <w:ilvl w:val="0"/>
                <w:numId w:val="11"/>
              </w:numPr>
              <w:suppressLineNumbers w:val="0"/>
              <w:tabs>
                <w:tab w:val="clear" w:pos="397"/>
              </w:tabs>
              <w:kinsoku/>
              <w:overflowPunct/>
              <w:topLinePunct w:val="0"/>
              <w:autoSpaceDE/>
              <w:autoSpaceDN/>
              <w:bidi w:val="0"/>
              <w:adjustRightInd/>
              <w:snapToGrid/>
              <w:spacing w:beforeAutospacing="0" w:afterAutospacing="0" w:line="260" w:lineRule="exact"/>
              <w:ind w:left="638" w:leftChars="88" w:right="0" w:rightChars="0" w:hanging="453" w:hangingChars="349"/>
              <w:jc w:val="center"/>
              <w:textAlignment w:val="center"/>
              <w:rPr>
                <w:rFonts w:hint="default" w:ascii="仿宋_GB2312" w:hAnsi="宋体" w:eastAsia="仿宋_GB2312" w:cs="宋体"/>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299</w:t>
            </w:r>
          </w:p>
        </w:tc>
        <w:tc>
          <w:tcPr>
            <w:tcW w:w="1550" w:type="dxa"/>
            <w:vMerge w:val="restart"/>
            <w:tcBorders>
              <w:tl2br w:val="nil"/>
              <w:tr2bl w:val="nil"/>
            </w:tcBorders>
            <w:tcMar>
              <w:top w:w="15" w:type="dxa"/>
              <w:left w:w="15" w:type="dxa"/>
              <w:bottom w:w="15" w:type="dxa"/>
              <w:right w:w="15" w:type="dxa"/>
            </w:tcMar>
            <w:vAlign w:val="center"/>
          </w:tcPr>
          <w:p w14:paraId="206471D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在雨水、污水分流地区，建设单位、施工单位将雨水管网、污水管网相互混接的</w:t>
            </w:r>
          </w:p>
        </w:tc>
        <w:tc>
          <w:tcPr>
            <w:tcW w:w="4820" w:type="dxa"/>
            <w:vMerge w:val="restart"/>
            <w:tcBorders>
              <w:tl2br w:val="nil"/>
              <w:tr2bl w:val="nil"/>
            </w:tcBorders>
            <w:tcMar>
              <w:top w:w="15" w:type="dxa"/>
              <w:left w:w="15" w:type="dxa"/>
              <w:bottom w:w="15" w:type="dxa"/>
              <w:right w:w="15" w:type="dxa"/>
            </w:tcMar>
            <w:vAlign w:val="center"/>
          </w:tcPr>
          <w:p w14:paraId="2536E86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kern w:val="0"/>
                <w:sz w:val="13"/>
                <w:szCs w:val="13"/>
                <w:highlight w:val="none"/>
              </w:rPr>
            </w:pPr>
            <w:r>
              <w:rPr>
                <w:rFonts w:hint="eastAsia" w:ascii="仿宋_GB2312" w:hAnsi="宋体" w:eastAsia="仿宋_GB2312" w:cs="宋体"/>
                <w:color w:val="auto"/>
                <w:kern w:val="0"/>
                <w:sz w:val="13"/>
                <w:szCs w:val="13"/>
                <w:highlight w:val="none"/>
              </w:rPr>
              <w:t>《城镇排水与污水处理条例》</w:t>
            </w:r>
            <w:r>
              <w:rPr>
                <w:rFonts w:hint="eastAsia" w:ascii="仿宋_GB2312" w:hAnsi="宋体" w:eastAsia="仿宋_GB2312" w:cs="宋体"/>
                <w:b/>
                <w:bCs/>
                <w:color w:val="auto"/>
                <w:kern w:val="0"/>
                <w:sz w:val="13"/>
                <w:szCs w:val="13"/>
                <w:highlight w:val="none"/>
              </w:rPr>
              <w:t>第四十八条</w:t>
            </w:r>
            <w:r>
              <w:rPr>
                <w:rFonts w:hint="eastAsia" w:ascii="仿宋_GB2312" w:hAnsi="宋体" w:eastAsia="仿宋_GB2312" w:cs="宋体"/>
                <w:b/>
                <w:bCs/>
                <w:color w:val="auto"/>
                <w:kern w:val="0"/>
                <w:sz w:val="13"/>
                <w:szCs w:val="13"/>
                <w:highlight w:val="none"/>
                <w:lang w:eastAsia="zh-CN"/>
              </w:rPr>
              <w:t>：</w:t>
            </w:r>
            <w:r>
              <w:rPr>
                <w:rFonts w:hint="eastAsia" w:ascii="仿宋_GB2312" w:hAnsi="宋体" w:eastAsia="仿宋_GB2312" w:cs="宋体"/>
                <w:color w:val="auto"/>
                <w:kern w:val="0"/>
                <w:sz w:val="13"/>
                <w:szCs w:val="13"/>
                <w:highlight w:val="none"/>
              </w:rPr>
              <w:t>违反本条例规定，在雨水、污水分流地区，建设单位、施工单位将雨水管网、污水管网相互混接的，由城镇排水主管部门责令改正，处5万元以上10万元以下的罚款；造成损失的，依法承担赔偿责任。</w:t>
            </w:r>
          </w:p>
        </w:tc>
        <w:tc>
          <w:tcPr>
            <w:tcW w:w="823" w:type="dxa"/>
            <w:tcBorders>
              <w:tl2br w:val="nil"/>
              <w:tr2bl w:val="nil"/>
            </w:tcBorders>
            <w:tcMar>
              <w:top w:w="15" w:type="dxa"/>
              <w:left w:w="15" w:type="dxa"/>
              <w:bottom w:w="15" w:type="dxa"/>
              <w:right w:w="15" w:type="dxa"/>
            </w:tcMar>
            <w:vAlign w:val="center"/>
          </w:tcPr>
          <w:p w14:paraId="6BC5610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从轻情节</w:t>
            </w:r>
          </w:p>
        </w:tc>
        <w:tc>
          <w:tcPr>
            <w:tcW w:w="3437" w:type="dxa"/>
            <w:gridSpan w:val="2"/>
            <w:tcBorders>
              <w:tl2br w:val="nil"/>
              <w:tr2bl w:val="nil"/>
            </w:tcBorders>
            <w:tcMar>
              <w:top w:w="15" w:type="dxa"/>
              <w:left w:w="15" w:type="dxa"/>
              <w:bottom w:w="15" w:type="dxa"/>
              <w:right w:w="15" w:type="dxa"/>
            </w:tcMar>
            <w:vAlign w:val="center"/>
          </w:tcPr>
          <w:p w14:paraId="4998212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初次违法，危害后果轻微，主动采取措施消除或减轻违法行为危害后果的。</w:t>
            </w:r>
          </w:p>
        </w:tc>
        <w:tc>
          <w:tcPr>
            <w:tcW w:w="3058" w:type="dxa"/>
            <w:tcBorders>
              <w:tl2br w:val="nil"/>
              <w:tr2bl w:val="nil"/>
            </w:tcBorders>
            <w:tcMar>
              <w:top w:w="15" w:type="dxa"/>
              <w:left w:w="15" w:type="dxa"/>
              <w:bottom w:w="15" w:type="dxa"/>
              <w:right w:w="15" w:type="dxa"/>
            </w:tcMar>
            <w:vAlign w:val="center"/>
          </w:tcPr>
          <w:p w14:paraId="3A0920C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责令改正，处5万元罚款。</w:t>
            </w:r>
          </w:p>
        </w:tc>
      </w:tr>
      <w:tr w14:paraId="255D943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192" w:hRule="atLeast"/>
          <w:jc w:val="center"/>
        </w:trPr>
        <w:tc>
          <w:tcPr>
            <w:tcW w:w="428" w:type="dxa"/>
            <w:vMerge w:val="continue"/>
            <w:tcBorders>
              <w:tl2br w:val="nil"/>
              <w:tr2bl w:val="nil"/>
            </w:tcBorders>
            <w:vAlign w:val="center"/>
          </w:tcPr>
          <w:p w14:paraId="639B413F">
            <w:pPr>
              <w:pStyle w:val="37"/>
              <w:keepNext w:val="0"/>
              <w:keepLines w:val="0"/>
              <w:pageBreakBefore w:val="0"/>
              <w:widowControl/>
              <w:numPr>
                <w:ilvl w:val="0"/>
                <w:numId w:val="12"/>
              </w:numPr>
              <w:kinsoku/>
              <w:overflowPunct/>
              <w:topLinePunct w:val="0"/>
              <w:autoSpaceDE/>
              <w:autoSpaceDN/>
              <w:bidi w:val="0"/>
              <w:adjustRightInd/>
              <w:snapToGrid/>
              <w:spacing w:beforeAutospacing="0" w:afterAutospacing="0" w:line="260" w:lineRule="exact"/>
              <w:ind w:left="638" w:leftChars="88" w:right="0" w:rightChars="0" w:hanging="453" w:hangingChars="349"/>
              <w:jc w:val="center"/>
              <w:rPr>
                <w:rFonts w:ascii="仿宋_GB2312" w:hAnsi="宋体" w:eastAsia="仿宋_GB2312" w:cs="宋体"/>
                <w:color w:val="auto"/>
                <w:sz w:val="13"/>
                <w:szCs w:val="13"/>
                <w:highlight w:val="none"/>
              </w:rPr>
            </w:pPr>
          </w:p>
        </w:tc>
        <w:tc>
          <w:tcPr>
            <w:tcW w:w="1550" w:type="dxa"/>
            <w:vMerge w:val="continue"/>
            <w:tcBorders>
              <w:tl2br w:val="nil"/>
              <w:tr2bl w:val="nil"/>
            </w:tcBorders>
            <w:vAlign w:val="center"/>
          </w:tcPr>
          <w:p w14:paraId="25FF66F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sz w:val="13"/>
                <w:szCs w:val="13"/>
                <w:highlight w:val="none"/>
              </w:rPr>
            </w:pPr>
          </w:p>
        </w:tc>
        <w:tc>
          <w:tcPr>
            <w:tcW w:w="4820" w:type="dxa"/>
            <w:vMerge w:val="continue"/>
            <w:tcBorders>
              <w:tl2br w:val="nil"/>
              <w:tr2bl w:val="nil"/>
            </w:tcBorders>
            <w:vAlign w:val="center"/>
          </w:tcPr>
          <w:p w14:paraId="0D81CC1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67C1765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一般情节</w:t>
            </w:r>
          </w:p>
        </w:tc>
        <w:tc>
          <w:tcPr>
            <w:tcW w:w="3437" w:type="dxa"/>
            <w:gridSpan w:val="2"/>
            <w:tcBorders>
              <w:tl2br w:val="nil"/>
              <w:tr2bl w:val="nil"/>
            </w:tcBorders>
            <w:tcMar>
              <w:top w:w="15" w:type="dxa"/>
              <w:left w:w="15" w:type="dxa"/>
              <w:bottom w:w="15" w:type="dxa"/>
              <w:right w:w="15" w:type="dxa"/>
            </w:tcMar>
            <w:vAlign w:val="center"/>
          </w:tcPr>
          <w:p w14:paraId="317A863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不具有从轻、</w:t>
            </w:r>
            <w:r>
              <w:rPr>
                <w:rFonts w:hint="eastAsia" w:ascii="仿宋_GB2312" w:hAnsi="宋体" w:eastAsia="仿宋_GB2312" w:cs="宋体"/>
                <w:color w:val="auto"/>
                <w:kern w:val="0"/>
                <w:sz w:val="13"/>
                <w:szCs w:val="13"/>
                <w:highlight w:val="none"/>
                <w:lang w:eastAsia="zh-CN"/>
              </w:rPr>
              <w:t>从重情节</w:t>
            </w:r>
            <w:r>
              <w:rPr>
                <w:rFonts w:hint="eastAsia" w:ascii="仿宋_GB2312" w:hAnsi="宋体" w:eastAsia="仿宋_GB2312" w:cs="宋体"/>
                <w:color w:val="auto"/>
                <w:kern w:val="0"/>
                <w:sz w:val="13"/>
                <w:szCs w:val="13"/>
                <w:highlight w:val="none"/>
              </w:rPr>
              <w:t>的。</w:t>
            </w:r>
          </w:p>
        </w:tc>
        <w:tc>
          <w:tcPr>
            <w:tcW w:w="3058" w:type="dxa"/>
            <w:tcBorders>
              <w:tl2br w:val="nil"/>
              <w:tr2bl w:val="nil"/>
            </w:tcBorders>
            <w:tcMar>
              <w:top w:w="15" w:type="dxa"/>
              <w:left w:w="15" w:type="dxa"/>
              <w:bottom w:w="15" w:type="dxa"/>
              <w:right w:w="15" w:type="dxa"/>
            </w:tcMar>
            <w:vAlign w:val="center"/>
          </w:tcPr>
          <w:p w14:paraId="3186A49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责令改正，处5万元以上7万元以下罚款。</w:t>
            </w:r>
          </w:p>
        </w:tc>
      </w:tr>
      <w:tr w14:paraId="44468D7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560" w:hRule="atLeast"/>
          <w:jc w:val="center"/>
        </w:trPr>
        <w:tc>
          <w:tcPr>
            <w:tcW w:w="428" w:type="dxa"/>
            <w:vMerge w:val="continue"/>
            <w:tcBorders>
              <w:tl2br w:val="nil"/>
              <w:tr2bl w:val="nil"/>
            </w:tcBorders>
            <w:vAlign w:val="center"/>
          </w:tcPr>
          <w:p w14:paraId="20EB9698">
            <w:pPr>
              <w:pStyle w:val="37"/>
              <w:keepNext w:val="0"/>
              <w:keepLines w:val="0"/>
              <w:pageBreakBefore w:val="0"/>
              <w:widowControl/>
              <w:numPr>
                <w:ilvl w:val="0"/>
                <w:numId w:val="12"/>
              </w:numPr>
              <w:kinsoku/>
              <w:overflowPunct/>
              <w:topLinePunct w:val="0"/>
              <w:autoSpaceDE/>
              <w:autoSpaceDN/>
              <w:bidi w:val="0"/>
              <w:adjustRightInd/>
              <w:snapToGrid/>
              <w:spacing w:beforeAutospacing="0" w:afterAutospacing="0" w:line="260" w:lineRule="exact"/>
              <w:ind w:left="638" w:leftChars="88" w:right="0" w:rightChars="0" w:hanging="453" w:hangingChars="349"/>
              <w:jc w:val="center"/>
              <w:rPr>
                <w:rFonts w:ascii="仿宋_GB2312" w:hAnsi="宋体" w:eastAsia="仿宋_GB2312" w:cs="宋体"/>
                <w:color w:val="auto"/>
                <w:sz w:val="13"/>
                <w:szCs w:val="13"/>
                <w:highlight w:val="none"/>
              </w:rPr>
            </w:pPr>
          </w:p>
        </w:tc>
        <w:tc>
          <w:tcPr>
            <w:tcW w:w="1550" w:type="dxa"/>
            <w:vMerge w:val="continue"/>
            <w:tcBorders>
              <w:tl2br w:val="nil"/>
              <w:tr2bl w:val="nil"/>
            </w:tcBorders>
            <w:vAlign w:val="center"/>
          </w:tcPr>
          <w:p w14:paraId="5E562AB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sz w:val="13"/>
                <w:szCs w:val="13"/>
                <w:highlight w:val="none"/>
              </w:rPr>
            </w:pPr>
          </w:p>
        </w:tc>
        <w:tc>
          <w:tcPr>
            <w:tcW w:w="4820" w:type="dxa"/>
            <w:vMerge w:val="continue"/>
            <w:tcBorders>
              <w:tl2br w:val="nil"/>
              <w:tr2bl w:val="nil"/>
            </w:tcBorders>
            <w:vAlign w:val="center"/>
          </w:tcPr>
          <w:p w14:paraId="7B84987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5646A10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从重情节</w:t>
            </w:r>
          </w:p>
        </w:tc>
        <w:tc>
          <w:tcPr>
            <w:tcW w:w="3437" w:type="dxa"/>
            <w:gridSpan w:val="2"/>
            <w:tcBorders>
              <w:tl2br w:val="nil"/>
              <w:tr2bl w:val="nil"/>
            </w:tcBorders>
            <w:tcMar>
              <w:top w:w="15" w:type="dxa"/>
              <w:left w:w="15" w:type="dxa"/>
              <w:bottom w:w="15" w:type="dxa"/>
              <w:right w:w="15" w:type="dxa"/>
            </w:tcMar>
            <w:vAlign w:val="center"/>
          </w:tcPr>
          <w:p w14:paraId="259AADC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Times New Roman"/>
                <w:color w:val="auto"/>
                <w:kern w:val="0"/>
                <w:sz w:val="13"/>
                <w:szCs w:val="13"/>
                <w:highlight w:val="none"/>
                <w:lang w:val="en-US" w:eastAsia="zh-CN"/>
              </w:rPr>
              <w:t>有下列情形之一的：</w:t>
            </w:r>
            <w:r>
              <w:rPr>
                <w:rFonts w:hint="eastAsia" w:ascii="仿宋_GB2312" w:hAnsi="宋体" w:eastAsia="仿宋_GB2312" w:cs="宋体"/>
                <w:color w:val="auto"/>
                <w:kern w:val="0"/>
                <w:sz w:val="13"/>
                <w:szCs w:val="13"/>
                <w:highlight w:val="none"/>
              </w:rPr>
              <w:t>（1）已造成水体污染的；（2）已造成雨水排放不畅，导致道路积水的；（3）经责令停止违法行为后，继续实施违法行为的；（4）曾因实施该违法行为被查处，再次实施该违法行为的；（5）造成其他严重危害后果或社会影响的。</w:t>
            </w:r>
          </w:p>
        </w:tc>
        <w:tc>
          <w:tcPr>
            <w:tcW w:w="3058" w:type="dxa"/>
            <w:tcBorders>
              <w:tl2br w:val="nil"/>
              <w:tr2bl w:val="nil"/>
            </w:tcBorders>
            <w:tcMar>
              <w:top w:w="15" w:type="dxa"/>
              <w:left w:w="15" w:type="dxa"/>
              <w:bottom w:w="15" w:type="dxa"/>
              <w:right w:w="15" w:type="dxa"/>
            </w:tcMar>
            <w:vAlign w:val="center"/>
          </w:tcPr>
          <w:p w14:paraId="6707D81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责令改正，处7万元以上10万元以下罚款。</w:t>
            </w:r>
          </w:p>
        </w:tc>
      </w:tr>
      <w:tr w14:paraId="17CF739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686" w:hRule="atLeast"/>
          <w:jc w:val="center"/>
        </w:trPr>
        <w:tc>
          <w:tcPr>
            <w:tcW w:w="428" w:type="dxa"/>
            <w:vMerge w:val="restart"/>
            <w:tcBorders>
              <w:tl2br w:val="nil"/>
              <w:tr2bl w:val="nil"/>
            </w:tcBorders>
            <w:tcMar>
              <w:top w:w="15" w:type="dxa"/>
              <w:left w:w="15" w:type="dxa"/>
              <w:bottom w:w="15" w:type="dxa"/>
              <w:right w:w="15" w:type="dxa"/>
            </w:tcMar>
            <w:vAlign w:val="center"/>
          </w:tcPr>
          <w:p w14:paraId="0126666C">
            <w:pPr>
              <w:keepNext w:val="0"/>
              <w:keepLines w:val="0"/>
              <w:pageBreakBefore w:val="0"/>
              <w:widowControl/>
              <w:numPr>
                <w:ilvl w:val="0"/>
                <w:numId w:val="11"/>
              </w:numPr>
              <w:suppressLineNumbers w:val="0"/>
              <w:tabs>
                <w:tab w:val="clear" w:pos="397"/>
              </w:tabs>
              <w:kinsoku/>
              <w:overflowPunct/>
              <w:topLinePunct w:val="0"/>
              <w:autoSpaceDE/>
              <w:autoSpaceDN/>
              <w:bidi w:val="0"/>
              <w:adjustRightInd/>
              <w:snapToGrid/>
              <w:spacing w:beforeAutospacing="0" w:afterAutospacing="0" w:line="260" w:lineRule="exact"/>
              <w:ind w:left="638" w:leftChars="88" w:right="0" w:rightChars="0" w:hanging="453" w:hangingChars="349"/>
              <w:jc w:val="center"/>
              <w:textAlignment w:val="center"/>
              <w:rPr>
                <w:rFonts w:hint="default" w:ascii="仿宋_GB2312" w:hAnsi="宋体" w:eastAsia="仿宋_GB2312" w:cs="宋体"/>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300</w:t>
            </w:r>
          </w:p>
        </w:tc>
        <w:tc>
          <w:tcPr>
            <w:tcW w:w="1550" w:type="dxa"/>
            <w:vMerge w:val="restart"/>
            <w:tcBorders>
              <w:tl2br w:val="nil"/>
              <w:tr2bl w:val="nil"/>
            </w:tcBorders>
            <w:tcMar>
              <w:top w:w="15" w:type="dxa"/>
              <w:left w:w="15" w:type="dxa"/>
              <w:bottom w:w="15" w:type="dxa"/>
              <w:right w:w="15" w:type="dxa"/>
            </w:tcMar>
            <w:vAlign w:val="center"/>
          </w:tcPr>
          <w:p w14:paraId="4CF5C1B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城镇排水与污水处理设施覆盖范围内的排水单位和个人，未按照国家有关规定将污水排入城镇排水设施，或者在雨水、污水分流地区将污水排入雨水管网的</w:t>
            </w:r>
          </w:p>
        </w:tc>
        <w:tc>
          <w:tcPr>
            <w:tcW w:w="4820" w:type="dxa"/>
            <w:vMerge w:val="restart"/>
            <w:tcBorders>
              <w:tl2br w:val="nil"/>
              <w:tr2bl w:val="nil"/>
            </w:tcBorders>
            <w:tcMar>
              <w:top w:w="15" w:type="dxa"/>
              <w:left w:w="15" w:type="dxa"/>
              <w:bottom w:w="15" w:type="dxa"/>
              <w:right w:w="15" w:type="dxa"/>
            </w:tcMar>
            <w:vAlign w:val="center"/>
          </w:tcPr>
          <w:p w14:paraId="7927096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hint="eastAsia" w:ascii="仿宋_GB2312" w:hAnsi="宋体" w:eastAsia="仿宋_GB2312" w:cs="宋体"/>
                <w:color w:val="auto"/>
                <w:kern w:val="0"/>
                <w:sz w:val="13"/>
                <w:szCs w:val="13"/>
                <w:highlight w:val="none"/>
              </w:rPr>
            </w:pPr>
            <w:r>
              <w:rPr>
                <w:rFonts w:hint="eastAsia" w:ascii="仿宋_GB2312" w:hAnsi="宋体" w:eastAsia="仿宋_GB2312" w:cs="宋体"/>
                <w:color w:val="auto"/>
                <w:kern w:val="0"/>
                <w:sz w:val="13"/>
                <w:szCs w:val="13"/>
                <w:highlight w:val="none"/>
              </w:rPr>
              <w:t>《城镇排水与污水处理条例》</w:t>
            </w:r>
            <w:r>
              <w:rPr>
                <w:rFonts w:hint="eastAsia" w:ascii="仿宋_GB2312" w:hAnsi="宋体" w:eastAsia="仿宋_GB2312" w:cs="宋体"/>
                <w:b/>
                <w:bCs/>
                <w:color w:val="auto"/>
                <w:kern w:val="0"/>
                <w:sz w:val="13"/>
                <w:szCs w:val="13"/>
                <w:highlight w:val="none"/>
              </w:rPr>
              <w:t>第四十九条</w:t>
            </w:r>
            <w:r>
              <w:rPr>
                <w:rFonts w:hint="eastAsia" w:ascii="仿宋_GB2312" w:hAnsi="宋体" w:eastAsia="仿宋_GB2312" w:cs="宋体"/>
                <w:b/>
                <w:bCs/>
                <w:color w:val="auto"/>
                <w:kern w:val="0"/>
                <w:sz w:val="13"/>
                <w:szCs w:val="13"/>
                <w:highlight w:val="none"/>
                <w:lang w:eastAsia="zh-CN"/>
              </w:rPr>
              <w:t>：</w:t>
            </w:r>
            <w:r>
              <w:rPr>
                <w:rFonts w:hint="eastAsia" w:ascii="仿宋_GB2312" w:hAnsi="宋体" w:eastAsia="仿宋_GB2312" w:cs="宋体"/>
                <w:color w:val="auto"/>
                <w:kern w:val="0"/>
                <w:sz w:val="13"/>
                <w:szCs w:val="13"/>
                <w:highlight w:val="none"/>
              </w:rPr>
              <w:t>违反本条例规定，城镇排水与污水处理设施覆盖范围内的排水单位和个人，未按照国家有关规定将污水排入城镇排水设施，或者在雨水、污水分流地区将污水排入雨水管网的，由城镇排水主管部门责令改正，给予警告；逾期不改正或者造成严重后果的，对单位处10万元以上20万元以下罚款，对个人处2万元以上10万元以下罚款；造成损失的，依法承担赔偿责任。</w:t>
            </w:r>
          </w:p>
          <w:p w14:paraId="1B809B8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hint="eastAsia" w:ascii="仿宋_GB2312" w:hAnsi="宋体" w:eastAsia="仿宋_GB2312" w:cs="宋体"/>
                <w:color w:val="auto"/>
                <w:kern w:val="0"/>
                <w:sz w:val="13"/>
                <w:szCs w:val="13"/>
                <w:highlight w:val="none"/>
              </w:rPr>
            </w:pPr>
          </w:p>
          <w:p w14:paraId="3506281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kern w:val="0"/>
                <w:sz w:val="13"/>
                <w:szCs w:val="13"/>
                <w:highlight w:val="none"/>
              </w:rPr>
            </w:pPr>
            <w:r>
              <w:rPr>
                <w:rFonts w:hint="eastAsia" w:ascii="仿宋_GB2312" w:hAnsi="宋体" w:eastAsia="仿宋_GB2312" w:cs="宋体"/>
                <w:color w:val="auto"/>
                <w:sz w:val="13"/>
                <w:szCs w:val="13"/>
                <w:highlight w:val="none"/>
              </w:rPr>
              <w:t>《城镇污水排入排水管网许可管理办法》</w:t>
            </w:r>
            <w:r>
              <w:rPr>
                <w:rFonts w:hint="eastAsia" w:ascii="仿宋_GB2312" w:hAnsi="宋体" w:eastAsia="仿宋_GB2312" w:cs="宋体"/>
                <w:b/>
                <w:bCs/>
                <w:color w:val="auto"/>
                <w:kern w:val="0"/>
                <w:sz w:val="13"/>
                <w:szCs w:val="13"/>
                <w:highlight w:val="none"/>
              </w:rPr>
              <w:t>第二十</w:t>
            </w:r>
            <w:r>
              <w:rPr>
                <w:rFonts w:hint="eastAsia" w:ascii="仿宋_GB2312" w:hAnsi="宋体" w:eastAsia="仿宋_GB2312" w:cs="宋体"/>
                <w:b/>
                <w:bCs/>
                <w:color w:val="auto"/>
                <w:kern w:val="0"/>
                <w:sz w:val="13"/>
                <w:szCs w:val="13"/>
                <w:highlight w:val="none"/>
                <w:lang w:val="en-US" w:eastAsia="zh-CN"/>
              </w:rPr>
              <w:t>六</w:t>
            </w:r>
            <w:r>
              <w:rPr>
                <w:rFonts w:hint="eastAsia" w:ascii="仿宋_GB2312" w:hAnsi="宋体" w:eastAsia="仿宋_GB2312" w:cs="宋体"/>
                <w:b/>
                <w:bCs/>
                <w:color w:val="auto"/>
                <w:kern w:val="0"/>
                <w:sz w:val="13"/>
                <w:szCs w:val="13"/>
                <w:highlight w:val="none"/>
              </w:rPr>
              <w:t>条</w:t>
            </w:r>
            <w:r>
              <w:rPr>
                <w:rFonts w:hint="eastAsia" w:ascii="仿宋_GB2312" w:hAnsi="宋体" w:eastAsia="仿宋_GB2312" w:cs="宋体"/>
                <w:b/>
                <w:bCs/>
                <w:color w:val="auto"/>
                <w:kern w:val="0"/>
                <w:sz w:val="13"/>
                <w:szCs w:val="13"/>
                <w:highlight w:val="none"/>
                <w:lang w:eastAsia="zh-CN"/>
              </w:rPr>
              <w:t>：</w:t>
            </w:r>
            <w:r>
              <w:rPr>
                <w:rFonts w:hint="eastAsia" w:ascii="仿宋_GB2312" w:hAnsi="宋体" w:eastAsia="仿宋_GB2312" w:cs="宋体"/>
                <w:color w:val="auto"/>
                <w:kern w:val="0"/>
                <w:sz w:val="13"/>
                <w:szCs w:val="13"/>
                <w:highlight w:val="none"/>
              </w:rPr>
              <w:t>违反本办法规定，在城镇排水与污水处理设施覆盖范围内，未按照国家有关规定将污水排入城镇排水设施，或者在雨水、污水分流地区将污水排入雨水管网的，由城镇排水主管部门责令改正，给予警告；逾期不改正或者造成严重后果的，对单位处10万元以上20万元以下罚款；对个人处2万元以上10万元以下罚款，造成损失的，依法承担赔偿责任。</w:t>
            </w:r>
          </w:p>
        </w:tc>
        <w:tc>
          <w:tcPr>
            <w:tcW w:w="823" w:type="dxa"/>
            <w:tcBorders>
              <w:tl2br w:val="nil"/>
              <w:tr2bl w:val="nil"/>
            </w:tcBorders>
            <w:tcMar>
              <w:top w:w="15" w:type="dxa"/>
              <w:left w:w="15" w:type="dxa"/>
              <w:bottom w:w="15" w:type="dxa"/>
              <w:right w:w="15" w:type="dxa"/>
            </w:tcMar>
            <w:vAlign w:val="center"/>
          </w:tcPr>
          <w:p w14:paraId="5B3E65B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从轻情节</w:t>
            </w:r>
          </w:p>
        </w:tc>
        <w:tc>
          <w:tcPr>
            <w:tcW w:w="3437" w:type="dxa"/>
            <w:gridSpan w:val="2"/>
            <w:tcBorders>
              <w:tl2br w:val="nil"/>
              <w:tr2bl w:val="nil"/>
            </w:tcBorders>
            <w:tcMar>
              <w:top w:w="15" w:type="dxa"/>
              <w:left w:w="15" w:type="dxa"/>
              <w:bottom w:w="15" w:type="dxa"/>
              <w:right w:w="15" w:type="dxa"/>
            </w:tcMar>
            <w:vAlign w:val="center"/>
          </w:tcPr>
          <w:p w14:paraId="504FBEE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初次违法，及时改正，未造成严重后果的。</w:t>
            </w:r>
          </w:p>
        </w:tc>
        <w:tc>
          <w:tcPr>
            <w:tcW w:w="3058" w:type="dxa"/>
            <w:tcBorders>
              <w:tl2br w:val="nil"/>
              <w:tr2bl w:val="nil"/>
            </w:tcBorders>
            <w:tcMar>
              <w:top w:w="15" w:type="dxa"/>
              <w:left w:w="15" w:type="dxa"/>
              <w:bottom w:w="15" w:type="dxa"/>
              <w:right w:w="15" w:type="dxa"/>
            </w:tcMar>
            <w:vAlign w:val="center"/>
          </w:tcPr>
          <w:p w14:paraId="1492646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责令改正，给予警告。</w:t>
            </w:r>
          </w:p>
        </w:tc>
      </w:tr>
      <w:tr w14:paraId="2C07E50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542" w:hRule="atLeast"/>
          <w:jc w:val="center"/>
        </w:trPr>
        <w:tc>
          <w:tcPr>
            <w:tcW w:w="428" w:type="dxa"/>
            <w:vMerge w:val="continue"/>
            <w:tcBorders>
              <w:tl2br w:val="nil"/>
              <w:tr2bl w:val="nil"/>
            </w:tcBorders>
            <w:vAlign w:val="center"/>
          </w:tcPr>
          <w:p w14:paraId="53A87A56">
            <w:pPr>
              <w:pStyle w:val="37"/>
              <w:keepNext w:val="0"/>
              <w:keepLines w:val="0"/>
              <w:pageBreakBefore w:val="0"/>
              <w:widowControl/>
              <w:numPr>
                <w:ilvl w:val="0"/>
                <w:numId w:val="12"/>
              </w:numPr>
              <w:kinsoku/>
              <w:overflowPunct/>
              <w:topLinePunct w:val="0"/>
              <w:autoSpaceDE/>
              <w:autoSpaceDN/>
              <w:bidi w:val="0"/>
              <w:adjustRightInd/>
              <w:snapToGrid/>
              <w:spacing w:beforeAutospacing="0" w:afterAutospacing="0" w:line="260" w:lineRule="exact"/>
              <w:ind w:left="638" w:leftChars="88" w:right="0" w:rightChars="0" w:hanging="453" w:hangingChars="349"/>
              <w:jc w:val="center"/>
              <w:rPr>
                <w:rFonts w:ascii="仿宋_GB2312" w:hAnsi="宋体" w:eastAsia="仿宋_GB2312" w:cs="宋体"/>
                <w:color w:val="auto"/>
                <w:sz w:val="13"/>
                <w:szCs w:val="13"/>
                <w:highlight w:val="none"/>
              </w:rPr>
            </w:pPr>
          </w:p>
        </w:tc>
        <w:tc>
          <w:tcPr>
            <w:tcW w:w="1550" w:type="dxa"/>
            <w:vMerge w:val="continue"/>
            <w:tcBorders>
              <w:tl2br w:val="nil"/>
              <w:tr2bl w:val="nil"/>
            </w:tcBorders>
            <w:vAlign w:val="center"/>
          </w:tcPr>
          <w:p w14:paraId="35D82BD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sz w:val="13"/>
                <w:szCs w:val="13"/>
                <w:highlight w:val="none"/>
              </w:rPr>
            </w:pPr>
          </w:p>
        </w:tc>
        <w:tc>
          <w:tcPr>
            <w:tcW w:w="4820" w:type="dxa"/>
            <w:vMerge w:val="continue"/>
            <w:tcBorders>
              <w:tl2br w:val="nil"/>
              <w:tr2bl w:val="nil"/>
            </w:tcBorders>
            <w:vAlign w:val="center"/>
          </w:tcPr>
          <w:p w14:paraId="10BEE83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34B1818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一般情节</w:t>
            </w:r>
          </w:p>
        </w:tc>
        <w:tc>
          <w:tcPr>
            <w:tcW w:w="3437" w:type="dxa"/>
            <w:gridSpan w:val="2"/>
            <w:tcBorders>
              <w:tl2br w:val="nil"/>
              <w:tr2bl w:val="nil"/>
            </w:tcBorders>
            <w:tcMar>
              <w:top w:w="15" w:type="dxa"/>
              <w:left w:w="15" w:type="dxa"/>
              <w:bottom w:w="15" w:type="dxa"/>
              <w:right w:w="15" w:type="dxa"/>
            </w:tcMar>
            <w:vAlign w:val="center"/>
          </w:tcPr>
          <w:p w14:paraId="660EA7B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逾期不改正但尚未造成严重后果的</w:t>
            </w:r>
            <w:r>
              <w:rPr>
                <w:rFonts w:hint="eastAsia" w:ascii="仿宋_GB2312" w:hAnsi="宋体" w:eastAsia="仿宋_GB2312" w:cs="宋体"/>
                <w:color w:val="auto"/>
                <w:kern w:val="0"/>
                <w:sz w:val="13"/>
                <w:szCs w:val="13"/>
                <w:highlight w:val="none"/>
                <w:lang w:eastAsia="zh-CN"/>
              </w:rPr>
              <w:t>，</w:t>
            </w:r>
            <w:r>
              <w:rPr>
                <w:rFonts w:hint="eastAsia" w:ascii="仿宋_GB2312" w:hAnsi="宋体" w:eastAsia="仿宋_GB2312" w:cs="宋体"/>
                <w:color w:val="auto"/>
                <w:kern w:val="0"/>
                <w:sz w:val="13"/>
                <w:szCs w:val="13"/>
                <w:highlight w:val="none"/>
                <w:lang w:val="en-US" w:eastAsia="zh-CN"/>
              </w:rPr>
              <w:t>或</w:t>
            </w:r>
            <w:r>
              <w:rPr>
                <w:rFonts w:hint="eastAsia" w:ascii="仿宋_GB2312" w:hAnsi="宋体" w:eastAsia="仿宋_GB2312" w:cs="宋体"/>
                <w:color w:val="auto"/>
                <w:kern w:val="0"/>
                <w:sz w:val="13"/>
                <w:szCs w:val="13"/>
                <w:highlight w:val="none"/>
              </w:rPr>
              <w:t>及时改正违法行为但仍造成严重后果的。</w:t>
            </w:r>
          </w:p>
        </w:tc>
        <w:tc>
          <w:tcPr>
            <w:tcW w:w="3058" w:type="dxa"/>
            <w:tcBorders>
              <w:tl2br w:val="nil"/>
              <w:tr2bl w:val="nil"/>
            </w:tcBorders>
            <w:tcMar>
              <w:top w:w="15" w:type="dxa"/>
              <w:left w:w="15" w:type="dxa"/>
              <w:bottom w:w="15" w:type="dxa"/>
              <w:right w:w="15" w:type="dxa"/>
            </w:tcMar>
            <w:vAlign w:val="center"/>
          </w:tcPr>
          <w:p w14:paraId="0632765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责令改正，对单位处10万元以上15万元以下罚款，对个人处2万元以上5万元以下罚款。</w:t>
            </w:r>
          </w:p>
        </w:tc>
      </w:tr>
      <w:tr w14:paraId="024EE54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247" w:hRule="atLeast"/>
          <w:jc w:val="center"/>
        </w:trPr>
        <w:tc>
          <w:tcPr>
            <w:tcW w:w="428" w:type="dxa"/>
            <w:vMerge w:val="continue"/>
            <w:tcBorders>
              <w:tl2br w:val="nil"/>
              <w:tr2bl w:val="nil"/>
            </w:tcBorders>
            <w:vAlign w:val="center"/>
          </w:tcPr>
          <w:p w14:paraId="5B391F17">
            <w:pPr>
              <w:pStyle w:val="37"/>
              <w:keepNext w:val="0"/>
              <w:keepLines w:val="0"/>
              <w:pageBreakBefore w:val="0"/>
              <w:widowControl/>
              <w:numPr>
                <w:ilvl w:val="0"/>
                <w:numId w:val="12"/>
              </w:numPr>
              <w:kinsoku/>
              <w:overflowPunct/>
              <w:topLinePunct w:val="0"/>
              <w:autoSpaceDE/>
              <w:autoSpaceDN/>
              <w:bidi w:val="0"/>
              <w:adjustRightInd/>
              <w:snapToGrid/>
              <w:spacing w:beforeAutospacing="0" w:afterAutospacing="0" w:line="260" w:lineRule="exact"/>
              <w:ind w:left="638" w:leftChars="88" w:right="0" w:rightChars="0" w:hanging="453" w:hangingChars="349"/>
              <w:jc w:val="center"/>
              <w:rPr>
                <w:rFonts w:ascii="仿宋_GB2312" w:hAnsi="宋体" w:eastAsia="仿宋_GB2312" w:cs="宋体"/>
                <w:color w:val="auto"/>
                <w:sz w:val="13"/>
                <w:szCs w:val="13"/>
                <w:highlight w:val="none"/>
              </w:rPr>
            </w:pPr>
          </w:p>
        </w:tc>
        <w:tc>
          <w:tcPr>
            <w:tcW w:w="1550" w:type="dxa"/>
            <w:vMerge w:val="continue"/>
            <w:tcBorders>
              <w:tl2br w:val="nil"/>
              <w:tr2bl w:val="nil"/>
            </w:tcBorders>
            <w:vAlign w:val="center"/>
          </w:tcPr>
          <w:p w14:paraId="6BC9BFC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sz w:val="13"/>
                <w:szCs w:val="13"/>
                <w:highlight w:val="none"/>
              </w:rPr>
            </w:pPr>
          </w:p>
        </w:tc>
        <w:tc>
          <w:tcPr>
            <w:tcW w:w="4820" w:type="dxa"/>
            <w:vMerge w:val="continue"/>
            <w:tcBorders>
              <w:tl2br w:val="nil"/>
              <w:tr2bl w:val="nil"/>
            </w:tcBorders>
            <w:vAlign w:val="center"/>
          </w:tcPr>
          <w:p w14:paraId="2FBCEFB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0ACB488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从重情节</w:t>
            </w:r>
          </w:p>
        </w:tc>
        <w:tc>
          <w:tcPr>
            <w:tcW w:w="3437" w:type="dxa"/>
            <w:gridSpan w:val="2"/>
            <w:tcBorders>
              <w:tl2br w:val="nil"/>
              <w:tr2bl w:val="nil"/>
            </w:tcBorders>
            <w:tcMar>
              <w:top w:w="15" w:type="dxa"/>
              <w:left w:w="15" w:type="dxa"/>
              <w:bottom w:w="15" w:type="dxa"/>
              <w:right w:w="15" w:type="dxa"/>
            </w:tcMar>
            <w:vAlign w:val="center"/>
          </w:tcPr>
          <w:p w14:paraId="6B37ABB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逾期不改正且造成严重后果的</w:t>
            </w:r>
            <w:r>
              <w:rPr>
                <w:rFonts w:hint="eastAsia" w:ascii="仿宋_GB2312" w:hAnsi="宋体" w:eastAsia="仿宋_GB2312" w:cs="宋体"/>
                <w:color w:val="auto"/>
                <w:kern w:val="0"/>
                <w:sz w:val="13"/>
                <w:szCs w:val="13"/>
                <w:highlight w:val="none"/>
                <w:lang w:eastAsia="zh-CN"/>
              </w:rPr>
              <w:t>，</w:t>
            </w:r>
            <w:r>
              <w:rPr>
                <w:rFonts w:hint="eastAsia" w:ascii="仿宋_GB2312" w:hAnsi="宋体" w:eastAsia="仿宋_GB2312" w:cs="宋体"/>
                <w:color w:val="auto"/>
                <w:kern w:val="0"/>
                <w:sz w:val="13"/>
                <w:szCs w:val="13"/>
                <w:highlight w:val="none"/>
                <w:lang w:val="en-US" w:eastAsia="zh-CN"/>
              </w:rPr>
              <w:t>或</w:t>
            </w:r>
            <w:r>
              <w:rPr>
                <w:rFonts w:hint="eastAsia" w:ascii="仿宋_GB2312" w:hAnsi="宋体" w:eastAsia="仿宋_GB2312" w:cs="宋体"/>
                <w:color w:val="auto"/>
                <w:kern w:val="0"/>
                <w:sz w:val="13"/>
                <w:szCs w:val="13"/>
                <w:highlight w:val="none"/>
              </w:rPr>
              <w:t>曾因此被查处过，再次实施违法行为，且造成严重后果的。</w:t>
            </w:r>
          </w:p>
        </w:tc>
        <w:tc>
          <w:tcPr>
            <w:tcW w:w="3058" w:type="dxa"/>
            <w:tcBorders>
              <w:tl2br w:val="nil"/>
              <w:tr2bl w:val="nil"/>
            </w:tcBorders>
            <w:tcMar>
              <w:top w:w="15" w:type="dxa"/>
              <w:left w:w="15" w:type="dxa"/>
              <w:bottom w:w="15" w:type="dxa"/>
              <w:right w:w="15" w:type="dxa"/>
            </w:tcMar>
            <w:vAlign w:val="center"/>
          </w:tcPr>
          <w:p w14:paraId="0D8DD52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责令改正，对单位处15万元以上20万元以下罚款，对个人处5万元以上10万元以下罚款。</w:t>
            </w:r>
          </w:p>
        </w:tc>
      </w:tr>
      <w:tr w14:paraId="56AF161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247" w:hRule="atLeast"/>
          <w:jc w:val="center"/>
        </w:trPr>
        <w:tc>
          <w:tcPr>
            <w:tcW w:w="428" w:type="dxa"/>
            <w:vMerge w:val="restart"/>
            <w:tcBorders>
              <w:tl2br w:val="nil"/>
              <w:tr2bl w:val="nil"/>
            </w:tcBorders>
            <w:tcMar>
              <w:top w:w="15" w:type="dxa"/>
              <w:left w:w="15" w:type="dxa"/>
              <w:bottom w:w="15" w:type="dxa"/>
              <w:right w:w="15" w:type="dxa"/>
            </w:tcMar>
            <w:vAlign w:val="center"/>
          </w:tcPr>
          <w:p w14:paraId="10353B52">
            <w:pPr>
              <w:keepNext w:val="0"/>
              <w:keepLines w:val="0"/>
              <w:pageBreakBefore w:val="0"/>
              <w:widowControl/>
              <w:numPr>
                <w:ilvl w:val="0"/>
                <w:numId w:val="11"/>
              </w:numPr>
              <w:suppressLineNumbers w:val="0"/>
              <w:tabs>
                <w:tab w:val="clear" w:pos="397"/>
              </w:tabs>
              <w:kinsoku/>
              <w:overflowPunct/>
              <w:topLinePunct w:val="0"/>
              <w:autoSpaceDE/>
              <w:autoSpaceDN/>
              <w:bidi w:val="0"/>
              <w:adjustRightInd/>
              <w:snapToGrid/>
              <w:spacing w:beforeAutospacing="0" w:afterAutospacing="0" w:line="260" w:lineRule="exact"/>
              <w:ind w:left="638" w:leftChars="88" w:right="0" w:rightChars="0" w:hanging="453" w:hangingChars="349"/>
              <w:jc w:val="center"/>
              <w:textAlignment w:val="center"/>
              <w:rPr>
                <w:rFonts w:hint="default" w:ascii="仿宋_GB2312" w:hAnsi="宋体" w:eastAsia="仿宋_GB2312" w:cs="宋体"/>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301</w:t>
            </w:r>
          </w:p>
        </w:tc>
        <w:tc>
          <w:tcPr>
            <w:tcW w:w="1550" w:type="dxa"/>
            <w:vMerge w:val="restart"/>
            <w:tcBorders>
              <w:tl2br w:val="nil"/>
              <w:tr2bl w:val="nil"/>
            </w:tcBorders>
            <w:tcMar>
              <w:top w:w="15" w:type="dxa"/>
              <w:left w:w="15" w:type="dxa"/>
              <w:bottom w:w="15" w:type="dxa"/>
              <w:right w:w="15" w:type="dxa"/>
            </w:tcMar>
            <w:vAlign w:val="center"/>
          </w:tcPr>
          <w:p w14:paraId="79D1FCF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排水户未取得污水排入排水管网许可证向城镇排水设施排放污水的</w:t>
            </w:r>
          </w:p>
        </w:tc>
        <w:tc>
          <w:tcPr>
            <w:tcW w:w="4820" w:type="dxa"/>
            <w:vMerge w:val="restart"/>
            <w:tcBorders>
              <w:tl2br w:val="nil"/>
              <w:tr2bl w:val="nil"/>
            </w:tcBorders>
            <w:tcMar>
              <w:top w:w="15" w:type="dxa"/>
              <w:left w:w="15" w:type="dxa"/>
              <w:bottom w:w="15" w:type="dxa"/>
              <w:right w:w="15" w:type="dxa"/>
            </w:tcMar>
            <w:vAlign w:val="center"/>
          </w:tcPr>
          <w:p w14:paraId="29C2332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hint="eastAsia" w:ascii="仿宋_GB2312" w:hAnsi="宋体" w:eastAsia="仿宋_GB2312" w:cs="宋体"/>
                <w:color w:val="auto"/>
                <w:kern w:val="0"/>
                <w:sz w:val="13"/>
                <w:szCs w:val="13"/>
                <w:highlight w:val="none"/>
              </w:rPr>
            </w:pPr>
            <w:r>
              <w:rPr>
                <w:rFonts w:hint="eastAsia" w:ascii="仿宋_GB2312" w:hAnsi="宋体" w:eastAsia="仿宋_GB2312" w:cs="宋体"/>
                <w:color w:val="auto"/>
                <w:kern w:val="0"/>
                <w:sz w:val="13"/>
                <w:szCs w:val="13"/>
                <w:highlight w:val="none"/>
              </w:rPr>
              <w:t>《城镇排水与污水处理条例》</w:t>
            </w:r>
            <w:r>
              <w:rPr>
                <w:rFonts w:hint="eastAsia" w:ascii="仿宋_GB2312" w:hAnsi="宋体" w:eastAsia="仿宋_GB2312" w:cs="宋体"/>
                <w:b/>
                <w:bCs/>
                <w:color w:val="auto"/>
                <w:kern w:val="0"/>
                <w:sz w:val="13"/>
                <w:szCs w:val="13"/>
                <w:highlight w:val="none"/>
              </w:rPr>
              <w:t>第五十条第一款</w:t>
            </w:r>
            <w:r>
              <w:rPr>
                <w:rFonts w:hint="eastAsia" w:ascii="仿宋_GB2312" w:hAnsi="宋体" w:eastAsia="仿宋_GB2312" w:cs="宋体"/>
                <w:b/>
                <w:bCs/>
                <w:color w:val="auto"/>
                <w:kern w:val="0"/>
                <w:sz w:val="13"/>
                <w:szCs w:val="13"/>
                <w:highlight w:val="none"/>
                <w:lang w:eastAsia="zh-CN"/>
              </w:rPr>
              <w:t>：</w:t>
            </w:r>
            <w:r>
              <w:rPr>
                <w:rFonts w:hint="eastAsia" w:ascii="仿宋_GB2312" w:hAnsi="宋体" w:eastAsia="仿宋_GB2312" w:cs="宋体"/>
                <w:color w:val="auto"/>
                <w:kern w:val="0"/>
                <w:sz w:val="13"/>
                <w:szCs w:val="13"/>
                <w:highlight w:val="none"/>
              </w:rPr>
              <w:t>违反本条例规定，排水户未取得污水排入排水管网许可证向城镇排水设施排放污水的，由城镇排水主管部门责令停止违法行为，限期采取治理措施，补办污水排入排水管网许可证，可以处50万元以下罚款；造成损失的，依法承担赔偿责任；构成犯罪的，依法追究刑事责任。</w:t>
            </w:r>
          </w:p>
          <w:p w14:paraId="2E69B9E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hint="eastAsia" w:ascii="仿宋_GB2312" w:hAnsi="宋体" w:eastAsia="仿宋_GB2312" w:cs="宋体"/>
                <w:color w:val="auto"/>
                <w:kern w:val="0"/>
                <w:sz w:val="13"/>
                <w:szCs w:val="13"/>
                <w:highlight w:val="none"/>
              </w:rPr>
            </w:pPr>
          </w:p>
          <w:p w14:paraId="65A5DA3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kern w:val="0"/>
                <w:sz w:val="13"/>
                <w:szCs w:val="13"/>
                <w:highlight w:val="none"/>
              </w:rPr>
            </w:pPr>
            <w:r>
              <w:rPr>
                <w:rFonts w:hint="eastAsia" w:ascii="仿宋_GB2312" w:hAnsi="宋体" w:eastAsia="仿宋_GB2312" w:cs="宋体"/>
                <w:color w:val="auto"/>
                <w:sz w:val="13"/>
                <w:szCs w:val="13"/>
                <w:highlight w:val="none"/>
              </w:rPr>
              <w:t>《城镇污水排入排水管网许可管理办法》</w:t>
            </w:r>
            <w:r>
              <w:rPr>
                <w:rFonts w:hint="eastAsia" w:ascii="仿宋_GB2312" w:hAnsi="宋体" w:eastAsia="仿宋_GB2312" w:cs="宋体"/>
                <w:b/>
                <w:bCs/>
                <w:color w:val="auto"/>
                <w:sz w:val="13"/>
                <w:szCs w:val="13"/>
                <w:highlight w:val="none"/>
              </w:rPr>
              <w:t>第二十</w:t>
            </w:r>
            <w:r>
              <w:rPr>
                <w:rFonts w:hint="eastAsia" w:ascii="仿宋_GB2312" w:hAnsi="宋体" w:eastAsia="仿宋_GB2312" w:cs="宋体"/>
                <w:b/>
                <w:bCs/>
                <w:color w:val="auto"/>
                <w:sz w:val="13"/>
                <w:szCs w:val="13"/>
                <w:highlight w:val="none"/>
                <w:lang w:val="en-US" w:eastAsia="zh-CN"/>
              </w:rPr>
              <w:t>七</w:t>
            </w:r>
            <w:r>
              <w:rPr>
                <w:rFonts w:hint="eastAsia" w:ascii="仿宋_GB2312" w:hAnsi="宋体" w:eastAsia="仿宋_GB2312" w:cs="宋体"/>
                <w:b/>
                <w:bCs/>
                <w:color w:val="auto"/>
                <w:sz w:val="13"/>
                <w:szCs w:val="13"/>
                <w:highlight w:val="none"/>
              </w:rPr>
              <w:t>条</w:t>
            </w:r>
            <w:r>
              <w:rPr>
                <w:rFonts w:hint="eastAsia" w:ascii="仿宋_GB2312" w:hAnsi="宋体" w:eastAsia="仿宋_GB2312" w:cs="宋体"/>
                <w:b/>
                <w:bCs/>
                <w:color w:val="auto"/>
                <w:sz w:val="13"/>
                <w:szCs w:val="13"/>
                <w:highlight w:val="none"/>
                <w:lang w:eastAsia="zh-CN"/>
              </w:rPr>
              <w:t>：</w:t>
            </w:r>
            <w:r>
              <w:rPr>
                <w:rFonts w:hint="eastAsia" w:ascii="仿宋_GB2312" w:hAnsi="宋体" w:eastAsia="仿宋_GB2312" w:cs="宋体"/>
                <w:color w:val="auto"/>
                <w:kern w:val="0"/>
                <w:sz w:val="13"/>
                <w:szCs w:val="13"/>
                <w:highlight w:val="none"/>
              </w:rPr>
              <w:t>违反本办法规定，排水户未取得排水许可，向城镇排水设施排放污水的，由城镇排水主管部门责令停止违法行为，限期采取治理措施，补办排水许可证，可以处50万元以下罚款；对列入重点排污单位名录的排水户，可以处30万元以上50万元以下罚款；造成损失的，依法承担赔偿责任；构成犯罪的，依法追究刑事责任。</w:t>
            </w:r>
          </w:p>
        </w:tc>
        <w:tc>
          <w:tcPr>
            <w:tcW w:w="823" w:type="dxa"/>
            <w:tcBorders>
              <w:tl2br w:val="nil"/>
              <w:tr2bl w:val="nil"/>
            </w:tcBorders>
            <w:tcMar>
              <w:top w:w="15" w:type="dxa"/>
              <w:left w:w="15" w:type="dxa"/>
              <w:bottom w:w="15" w:type="dxa"/>
              <w:right w:w="15" w:type="dxa"/>
            </w:tcMar>
            <w:vAlign w:val="center"/>
          </w:tcPr>
          <w:p w14:paraId="7757EE8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从轻情节</w:t>
            </w:r>
          </w:p>
        </w:tc>
        <w:tc>
          <w:tcPr>
            <w:tcW w:w="3437" w:type="dxa"/>
            <w:gridSpan w:val="2"/>
            <w:tcBorders>
              <w:tl2br w:val="nil"/>
              <w:tr2bl w:val="nil"/>
            </w:tcBorders>
            <w:tcMar>
              <w:top w:w="15" w:type="dxa"/>
              <w:left w:w="15" w:type="dxa"/>
              <w:bottom w:w="15" w:type="dxa"/>
              <w:right w:w="15" w:type="dxa"/>
            </w:tcMar>
            <w:vAlign w:val="center"/>
          </w:tcPr>
          <w:p w14:paraId="0999A8F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kern w:val="0"/>
                <w:sz w:val="13"/>
                <w:szCs w:val="13"/>
                <w:highlight w:val="none"/>
              </w:rPr>
            </w:pPr>
            <w:r>
              <w:rPr>
                <w:rFonts w:hint="eastAsia" w:ascii="仿宋_GB2312" w:hAnsi="宋体" w:eastAsia="仿宋_GB2312" w:cs="宋体"/>
                <w:color w:val="auto"/>
                <w:kern w:val="0"/>
                <w:sz w:val="13"/>
                <w:szCs w:val="13"/>
                <w:highlight w:val="none"/>
              </w:rPr>
              <w:t>初次违法，危害后果轻微，及时改正的。</w:t>
            </w:r>
          </w:p>
        </w:tc>
        <w:tc>
          <w:tcPr>
            <w:tcW w:w="3058" w:type="dxa"/>
            <w:tcBorders>
              <w:tl2br w:val="nil"/>
              <w:tr2bl w:val="nil"/>
            </w:tcBorders>
            <w:tcMar>
              <w:top w:w="15" w:type="dxa"/>
              <w:left w:w="15" w:type="dxa"/>
              <w:bottom w:w="15" w:type="dxa"/>
              <w:right w:w="15" w:type="dxa"/>
            </w:tcMar>
            <w:vAlign w:val="center"/>
          </w:tcPr>
          <w:p w14:paraId="0EAE769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kern w:val="0"/>
                <w:sz w:val="13"/>
                <w:szCs w:val="13"/>
                <w:highlight w:val="none"/>
              </w:rPr>
            </w:pPr>
            <w:r>
              <w:rPr>
                <w:rFonts w:hint="eastAsia" w:ascii="仿宋_GB2312" w:hAnsi="宋体" w:eastAsia="仿宋_GB2312" w:cs="宋体"/>
                <w:color w:val="auto"/>
                <w:kern w:val="0"/>
                <w:sz w:val="13"/>
                <w:szCs w:val="13"/>
                <w:highlight w:val="none"/>
              </w:rPr>
              <w:t>责令停止违法行为，限期采取治理措施，补办污水排入排水管网许可证，可以处10万元以下罚款；对列入重点排污单位名录的排水户，可以处30万元罚款。</w:t>
            </w:r>
          </w:p>
        </w:tc>
      </w:tr>
      <w:tr w14:paraId="6253D15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657" w:hRule="atLeast"/>
          <w:jc w:val="center"/>
        </w:trPr>
        <w:tc>
          <w:tcPr>
            <w:tcW w:w="428" w:type="dxa"/>
            <w:vMerge w:val="continue"/>
            <w:tcBorders>
              <w:tl2br w:val="nil"/>
              <w:tr2bl w:val="nil"/>
            </w:tcBorders>
            <w:vAlign w:val="center"/>
          </w:tcPr>
          <w:p w14:paraId="7EE01552">
            <w:pPr>
              <w:pStyle w:val="37"/>
              <w:keepNext w:val="0"/>
              <w:keepLines w:val="0"/>
              <w:pageBreakBefore w:val="0"/>
              <w:widowControl/>
              <w:numPr>
                <w:ilvl w:val="0"/>
                <w:numId w:val="12"/>
              </w:numPr>
              <w:kinsoku/>
              <w:overflowPunct/>
              <w:topLinePunct w:val="0"/>
              <w:autoSpaceDE/>
              <w:autoSpaceDN/>
              <w:bidi w:val="0"/>
              <w:adjustRightInd/>
              <w:snapToGrid/>
              <w:spacing w:beforeAutospacing="0" w:afterAutospacing="0" w:line="260" w:lineRule="exact"/>
              <w:ind w:left="638" w:leftChars="88" w:right="0" w:rightChars="0" w:hanging="453" w:hangingChars="349"/>
              <w:jc w:val="center"/>
              <w:rPr>
                <w:rFonts w:ascii="仿宋_GB2312" w:hAnsi="宋体" w:eastAsia="仿宋_GB2312" w:cs="宋体"/>
                <w:color w:val="auto"/>
                <w:sz w:val="13"/>
                <w:szCs w:val="13"/>
                <w:highlight w:val="none"/>
              </w:rPr>
            </w:pPr>
          </w:p>
        </w:tc>
        <w:tc>
          <w:tcPr>
            <w:tcW w:w="1550" w:type="dxa"/>
            <w:vMerge w:val="continue"/>
            <w:tcBorders>
              <w:tl2br w:val="nil"/>
              <w:tr2bl w:val="nil"/>
            </w:tcBorders>
            <w:vAlign w:val="center"/>
          </w:tcPr>
          <w:p w14:paraId="56193E3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sz w:val="13"/>
                <w:szCs w:val="13"/>
                <w:highlight w:val="none"/>
              </w:rPr>
            </w:pPr>
          </w:p>
        </w:tc>
        <w:tc>
          <w:tcPr>
            <w:tcW w:w="4820" w:type="dxa"/>
            <w:vMerge w:val="continue"/>
            <w:tcBorders>
              <w:tl2br w:val="nil"/>
              <w:tr2bl w:val="nil"/>
            </w:tcBorders>
            <w:vAlign w:val="center"/>
          </w:tcPr>
          <w:p w14:paraId="5A123FA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67F7498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一般情节</w:t>
            </w:r>
          </w:p>
        </w:tc>
        <w:tc>
          <w:tcPr>
            <w:tcW w:w="3437" w:type="dxa"/>
            <w:gridSpan w:val="2"/>
            <w:tcBorders>
              <w:tl2br w:val="nil"/>
              <w:tr2bl w:val="nil"/>
            </w:tcBorders>
            <w:tcMar>
              <w:top w:w="15" w:type="dxa"/>
              <w:left w:w="15" w:type="dxa"/>
              <w:bottom w:w="15" w:type="dxa"/>
              <w:right w:w="15" w:type="dxa"/>
            </w:tcMar>
            <w:vAlign w:val="center"/>
          </w:tcPr>
          <w:p w14:paraId="646F951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kern w:val="0"/>
                <w:sz w:val="13"/>
                <w:szCs w:val="13"/>
                <w:highlight w:val="none"/>
              </w:rPr>
            </w:pPr>
            <w:r>
              <w:rPr>
                <w:rFonts w:hint="eastAsia" w:ascii="仿宋_GB2312" w:hAnsi="宋体" w:eastAsia="仿宋_GB2312" w:cs="宋体"/>
                <w:color w:val="auto"/>
                <w:kern w:val="0"/>
                <w:sz w:val="13"/>
                <w:szCs w:val="13"/>
                <w:highlight w:val="none"/>
              </w:rPr>
              <w:t>不具有从轻、</w:t>
            </w:r>
            <w:r>
              <w:rPr>
                <w:rFonts w:hint="eastAsia" w:ascii="仿宋_GB2312" w:hAnsi="宋体" w:eastAsia="仿宋_GB2312" w:cs="宋体"/>
                <w:color w:val="auto"/>
                <w:kern w:val="0"/>
                <w:sz w:val="13"/>
                <w:szCs w:val="13"/>
                <w:highlight w:val="none"/>
                <w:lang w:eastAsia="zh-CN"/>
              </w:rPr>
              <w:t>从重情节</w:t>
            </w:r>
            <w:r>
              <w:rPr>
                <w:rFonts w:hint="eastAsia" w:ascii="仿宋_GB2312" w:hAnsi="宋体" w:eastAsia="仿宋_GB2312" w:cs="宋体"/>
                <w:color w:val="auto"/>
                <w:kern w:val="0"/>
                <w:sz w:val="13"/>
                <w:szCs w:val="13"/>
                <w:highlight w:val="none"/>
              </w:rPr>
              <w:t>的。</w:t>
            </w:r>
          </w:p>
        </w:tc>
        <w:tc>
          <w:tcPr>
            <w:tcW w:w="3058" w:type="dxa"/>
            <w:tcBorders>
              <w:tl2br w:val="nil"/>
              <w:tr2bl w:val="nil"/>
            </w:tcBorders>
            <w:tcMar>
              <w:top w:w="15" w:type="dxa"/>
              <w:left w:w="15" w:type="dxa"/>
              <w:bottom w:w="15" w:type="dxa"/>
              <w:right w:w="15" w:type="dxa"/>
            </w:tcMar>
            <w:vAlign w:val="center"/>
          </w:tcPr>
          <w:p w14:paraId="08BC5F9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kern w:val="0"/>
                <w:sz w:val="13"/>
                <w:szCs w:val="13"/>
                <w:highlight w:val="none"/>
              </w:rPr>
            </w:pPr>
            <w:r>
              <w:rPr>
                <w:rFonts w:hint="eastAsia" w:ascii="仿宋_GB2312" w:hAnsi="宋体" w:eastAsia="仿宋_GB2312" w:cs="宋体"/>
                <w:color w:val="auto"/>
                <w:kern w:val="0"/>
                <w:sz w:val="13"/>
                <w:szCs w:val="13"/>
                <w:highlight w:val="none"/>
              </w:rPr>
              <w:t>责令停止违法行为，限期采取治理措施，补办污水排入排水管网许可证，可以处10万元以上30万元以下罚款；对列入重点排污单位名录的排水户，可以处30万元以上40万元以下罚款。</w:t>
            </w:r>
          </w:p>
        </w:tc>
      </w:tr>
      <w:tr w14:paraId="69B099C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325" w:hRule="atLeast"/>
          <w:jc w:val="center"/>
        </w:trPr>
        <w:tc>
          <w:tcPr>
            <w:tcW w:w="428" w:type="dxa"/>
            <w:vMerge w:val="continue"/>
            <w:tcBorders>
              <w:tl2br w:val="nil"/>
              <w:tr2bl w:val="nil"/>
            </w:tcBorders>
            <w:vAlign w:val="center"/>
          </w:tcPr>
          <w:p w14:paraId="0A46A732">
            <w:pPr>
              <w:pStyle w:val="37"/>
              <w:keepNext w:val="0"/>
              <w:keepLines w:val="0"/>
              <w:pageBreakBefore w:val="0"/>
              <w:widowControl/>
              <w:numPr>
                <w:ilvl w:val="0"/>
                <w:numId w:val="12"/>
              </w:numPr>
              <w:kinsoku/>
              <w:overflowPunct/>
              <w:topLinePunct w:val="0"/>
              <w:autoSpaceDE/>
              <w:autoSpaceDN/>
              <w:bidi w:val="0"/>
              <w:adjustRightInd/>
              <w:snapToGrid/>
              <w:spacing w:beforeAutospacing="0" w:afterAutospacing="0" w:line="260" w:lineRule="exact"/>
              <w:ind w:left="638" w:leftChars="88" w:right="0" w:rightChars="0" w:hanging="453" w:hangingChars="349"/>
              <w:jc w:val="center"/>
              <w:rPr>
                <w:rFonts w:ascii="仿宋_GB2312" w:hAnsi="宋体" w:eastAsia="仿宋_GB2312" w:cs="宋体"/>
                <w:color w:val="auto"/>
                <w:sz w:val="13"/>
                <w:szCs w:val="13"/>
                <w:highlight w:val="none"/>
              </w:rPr>
            </w:pPr>
          </w:p>
        </w:tc>
        <w:tc>
          <w:tcPr>
            <w:tcW w:w="1550" w:type="dxa"/>
            <w:vMerge w:val="continue"/>
            <w:tcBorders>
              <w:tl2br w:val="nil"/>
              <w:tr2bl w:val="nil"/>
            </w:tcBorders>
            <w:vAlign w:val="center"/>
          </w:tcPr>
          <w:p w14:paraId="20AFA90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sz w:val="13"/>
                <w:szCs w:val="13"/>
                <w:highlight w:val="none"/>
              </w:rPr>
            </w:pPr>
          </w:p>
        </w:tc>
        <w:tc>
          <w:tcPr>
            <w:tcW w:w="4820" w:type="dxa"/>
            <w:vMerge w:val="continue"/>
            <w:tcBorders>
              <w:tl2br w:val="nil"/>
              <w:tr2bl w:val="nil"/>
            </w:tcBorders>
            <w:vAlign w:val="center"/>
          </w:tcPr>
          <w:p w14:paraId="5DEF1F6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4C29AFC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从重情节</w:t>
            </w:r>
          </w:p>
        </w:tc>
        <w:tc>
          <w:tcPr>
            <w:tcW w:w="3437" w:type="dxa"/>
            <w:gridSpan w:val="2"/>
            <w:tcBorders>
              <w:tl2br w:val="nil"/>
              <w:tr2bl w:val="nil"/>
            </w:tcBorders>
            <w:tcMar>
              <w:top w:w="15" w:type="dxa"/>
              <w:left w:w="15" w:type="dxa"/>
              <w:bottom w:w="15" w:type="dxa"/>
              <w:right w:w="15" w:type="dxa"/>
            </w:tcMar>
            <w:vAlign w:val="center"/>
          </w:tcPr>
          <w:p w14:paraId="6BADF99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kern w:val="0"/>
                <w:sz w:val="13"/>
                <w:szCs w:val="13"/>
                <w:highlight w:val="none"/>
              </w:rPr>
            </w:pPr>
            <w:r>
              <w:rPr>
                <w:rFonts w:hint="eastAsia" w:ascii="仿宋_GB2312" w:hAnsi="宋体" w:eastAsia="仿宋_GB2312" w:cs="宋体"/>
                <w:color w:val="auto"/>
                <w:kern w:val="0"/>
                <w:sz w:val="13"/>
                <w:szCs w:val="13"/>
                <w:highlight w:val="none"/>
              </w:rPr>
              <w:t>逾期不办排水许可的</w:t>
            </w:r>
            <w:r>
              <w:rPr>
                <w:rFonts w:hint="eastAsia" w:ascii="仿宋_GB2312" w:hAnsi="宋体" w:eastAsia="仿宋_GB2312" w:cs="宋体"/>
                <w:color w:val="auto"/>
                <w:kern w:val="0"/>
                <w:sz w:val="13"/>
                <w:szCs w:val="13"/>
                <w:highlight w:val="none"/>
                <w:lang w:eastAsia="zh-CN"/>
              </w:rPr>
              <w:t>，</w:t>
            </w:r>
            <w:r>
              <w:rPr>
                <w:rFonts w:hint="eastAsia" w:ascii="仿宋_GB2312" w:hAnsi="宋体" w:eastAsia="仿宋_GB2312" w:cs="宋体"/>
                <w:color w:val="auto"/>
                <w:kern w:val="0"/>
                <w:sz w:val="13"/>
                <w:szCs w:val="13"/>
                <w:highlight w:val="none"/>
                <w:lang w:val="en-US" w:eastAsia="zh-CN"/>
              </w:rPr>
              <w:t>或</w:t>
            </w:r>
            <w:r>
              <w:rPr>
                <w:rFonts w:hint="eastAsia" w:ascii="仿宋_GB2312" w:hAnsi="宋体" w:eastAsia="仿宋_GB2312" w:cs="宋体"/>
                <w:color w:val="auto"/>
                <w:kern w:val="0"/>
                <w:sz w:val="13"/>
                <w:szCs w:val="13"/>
                <w:highlight w:val="none"/>
              </w:rPr>
              <w:t>已造成严重危害后果或社会影响的。</w:t>
            </w:r>
          </w:p>
        </w:tc>
        <w:tc>
          <w:tcPr>
            <w:tcW w:w="3058" w:type="dxa"/>
            <w:tcBorders>
              <w:tl2br w:val="nil"/>
              <w:tr2bl w:val="nil"/>
            </w:tcBorders>
            <w:tcMar>
              <w:top w:w="15" w:type="dxa"/>
              <w:left w:w="15" w:type="dxa"/>
              <w:bottom w:w="15" w:type="dxa"/>
              <w:right w:w="15" w:type="dxa"/>
            </w:tcMar>
            <w:vAlign w:val="center"/>
          </w:tcPr>
          <w:p w14:paraId="179ED20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kern w:val="0"/>
                <w:sz w:val="13"/>
                <w:szCs w:val="13"/>
                <w:highlight w:val="none"/>
              </w:rPr>
            </w:pPr>
            <w:r>
              <w:rPr>
                <w:rFonts w:hint="eastAsia" w:ascii="仿宋_GB2312" w:hAnsi="宋体" w:eastAsia="仿宋_GB2312" w:cs="宋体"/>
                <w:color w:val="auto"/>
                <w:kern w:val="0"/>
                <w:sz w:val="13"/>
                <w:szCs w:val="13"/>
                <w:highlight w:val="none"/>
              </w:rPr>
              <w:t>责令停止违法行为，限期采取治理措施，补办污水排入排水管网许可证，可以处30万元以上50万元以下罚款；对列入重点排污单位名录的排水户，可以处40万元以上50万元以下罚款。</w:t>
            </w:r>
          </w:p>
        </w:tc>
      </w:tr>
      <w:tr w14:paraId="2781C2C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943" w:hRule="atLeast"/>
          <w:jc w:val="center"/>
        </w:trPr>
        <w:tc>
          <w:tcPr>
            <w:tcW w:w="428" w:type="dxa"/>
            <w:vMerge w:val="restart"/>
            <w:tcBorders>
              <w:tl2br w:val="nil"/>
              <w:tr2bl w:val="nil"/>
            </w:tcBorders>
            <w:tcMar>
              <w:top w:w="15" w:type="dxa"/>
              <w:left w:w="15" w:type="dxa"/>
              <w:bottom w:w="15" w:type="dxa"/>
              <w:right w:w="15" w:type="dxa"/>
            </w:tcMar>
            <w:vAlign w:val="center"/>
          </w:tcPr>
          <w:p w14:paraId="3837255E">
            <w:pPr>
              <w:keepNext w:val="0"/>
              <w:keepLines w:val="0"/>
              <w:pageBreakBefore w:val="0"/>
              <w:widowControl/>
              <w:numPr>
                <w:ilvl w:val="0"/>
                <w:numId w:val="11"/>
              </w:numPr>
              <w:suppressLineNumbers w:val="0"/>
              <w:tabs>
                <w:tab w:val="clear" w:pos="397"/>
              </w:tabs>
              <w:kinsoku/>
              <w:overflowPunct/>
              <w:topLinePunct w:val="0"/>
              <w:autoSpaceDE/>
              <w:autoSpaceDN/>
              <w:bidi w:val="0"/>
              <w:adjustRightInd/>
              <w:snapToGrid/>
              <w:spacing w:beforeAutospacing="0" w:afterAutospacing="0" w:line="260" w:lineRule="exact"/>
              <w:ind w:left="638" w:leftChars="88" w:right="0" w:rightChars="0" w:hanging="453" w:hangingChars="349"/>
              <w:jc w:val="center"/>
              <w:textAlignment w:val="center"/>
              <w:rPr>
                <w:rFonts w:hint="default" w:ascii="仿宋_GB2312" w:hAnsi="宋体" w:eastAsia="仿宋_GB2312" w:cs="宋体"/>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302</w:t>
            </w:r>
          </w:p>
        </w:tc>
        <w:tc>
          <w:tcPr>
            <w:tcW w:w="1550" w:type="dxa"/>
            <w:vMerge w:val="restart"/>
            <w:tcBorders>
              <w:tl2br w:val="nil"/>
              <w:tr2bl w:val="nil"/>
            </w:tcBorders>
            <w:tcMar>
              <w:top w:w="15" w:type="dxa"/>
              <w:left w:w="15" w:type="dxa"/>
              <w:bottom w:w="15" w:type="dxa"/>
              <w:right w:w="15" w:type="dxa"/>
            </w:tcMar>
            <w:vAlign w:val="center"/>
          </w:tcPr>
          <w:p w14:paraId="29B7427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kern w:val="0"/>
                <w:sz w:val="13"/>
                <w:szCs w:val="13"/>
                <w:highlight w:val="none"/>
              </w:rPr>
            </w:pPr>
          </w:p>
          <w:p w14:paraId="2C3F0A2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kern w:val="0"/>
                <w:sz w:val="13"/>
                <w:szCs w:val="13"/>
                <w:highlight w:val="none"/>
              </w:rPr>
            </w:pPr>
            <w:r>
              <w:rPr>
                <w:rFonts w:hint="eastAsia" w:ascii="仿宋_GB2312" w:hAnsi="宋体" w:eastAsia="仿宋_GB2312" w:cs="宋体"/>
                <w:color w:val="auto"/>
                <w:kern w:val="0"/>
                <w:sz w:val="13"/>
                <w:szCs w:val="13"/>
                <w:highlight w:val="none"/>
              </w:rPr>
              <w:t>排水户不按照污水排入排水管网许可证的要求排放污水的</w:t>
            </w:r>
          </w:p>
          <w:p w14:paraId="6DB2917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kern w:val="0"/>
                <w:sz w:val="13"/>
                <w:szCs w:val="13"/>
                <w:highlight w:val="none"/>
              </w:rPr>
            </w:pPr>
          </w:p>
        </w:tc>
        <w:tc>
          <w:tcPr>
            <w:tcW w:w="4820" w:type="dxa"/>
            <w:vMerge w:val="restart"/>
            <w:tcBorders>
              <w:tl2br w:val="nil"/>
              <w:tr2bl w:val="nil"/>
            </w:tcBorders>
            <w:tcMar>
              <w:top w:w="15" w:type="dxa"/>
              <w:left w:w="15" w:type="dxa"/>
              <w:bottom w:w="15" w:type="dxa"/>
              <w:right w:w="15" w:type="dxa"/>
            </w:tcMar>
            <w:vAlign w:val="center"/>
          </w:tcPr>
          <w:p w14:paraId="62EFBA6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hint="eastAsia" w:ascii="仿宋_GB2312" w:hAnsi="宋体" w:eastAsia="仿宋_GB2312" w:cs="宋体"/>
                <w:color w:val="auto"/>
                <w:kern w:val="0"/>
                <w:sz w:val="13"/>
                <w:szCs w:val="13"/>
                <w:highlight w:val="none"/>
              </w:rPr>
            </w:pPr>
            <w:r>
              <w:rPr>
                <w:rFonts w:hint="eastAsia" w:ascii="仿宋_GB2312" w:hAnsi="宋体" w:eastAsia="仿宋_GB2312" w:cs="宋体"/>
                <w:color w:val="auto"/>
                <w:kern w:val="0"/>
                <w:sz w:val="13"/>
                <w:szCs w:val="13"/>
                <w:highlight w:val="none"/>
              </w:rPr>
              <w:t>《城镇排水与污水处理条例》</w:t>
            </w:r>
            <w:r>
              <w:rPr>
                <w:rFonts w:hint="eastAsia" w:ascii="仿宋_GB2312" w:hAnsi="宋体" w:eastAsia="仿宋_GB2312" w:cs="宋体"/>
                <w:b/>
                <w:bCs/>
                <w:color w:val="auto"/>
                <w:kern w:val="0"/>
                <w:sz w:val="13"/>
                <w:szCs w:val="13"/>
                <w:highlight w:val="none"/>
              </w:rPr>
              <w:t>第五十条第二款</w:t>
            </w:r>
            <w:r>
              <w:rPr>
                <w:rFonts w:hint="eastAsia" w:ascii="仿宋_GB2312" w:hAnsi="宋体" w:eastAsia="仿宋_GB2312" w:cs="宋体"/>
                <w:b/>
                <w:bCs/>
                <w:color w:val="auto"/>
                <w:kern w:val="0"/>
                <w:sz w:val="13"/>
                <w:szCs w:val="13"/>
                <w:highlight w:val="none"/>
                <w:lang w:eastAsia="zh-CN"/>
              </w:rPr>
              <w:t>：</w:t>
            </w:r>
            <w:r>
              <w:rPr>
                <w:rFonts w:hint="eastAsia" w:ascii="仿宋_GB2312" w:hAnsi="宋体" w:eastAsia="仿宋_GB2312" w:cs="宋体"/>
                <w:color w:val="auto"/>
                <w:kern w:val="0"/>
                <w:sz w:val="13"/>
                <w:szCs w:val="13"/>
                <w:highlight w:val="none"/>
              </w:rPr>
              <w:t>违反本条例规定，排水户不按照污水排入排水管网许可证的要求排放污水的，由城镇排水主管部门责令停止违法行为，限期改正，可以处5万元以下罚款；造成严重后果的，吊销污水排入排水管网许可证，并处5万元以上50万元以下罚款，可以向社会予以通报；造成损失的，依法承担赔偿责任；构成犯罪的，依法追究刑事责任。</w:t>
            </w:r>
          </w:p>
          <w:p w14:paraId="0AF70B9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hint="eastAsia" w:ascii="仿宋_GB2312" w:hAnsi="宋体" w:eastAsia="仿宋_GB2312" w:cs="宋体"/>
                <w:color w:val="auto"/>
                <w:kern w:val="0"/>
                <w:sz w:val="13"/>
                <w:szCs w:val="13"/>
                <w:highlight w:val="none"/>
              </w:rPr>
            </w:pPr>
          </w:p>
          <w:p w14:paraId="1F9650A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kern w:val="0"/>
                <w:sz w:val="13"/>
                <w:szCs w:val="13"/>
                <w:highlight w:val="none"/>
              </w:rPr>
            </w:pPr>
            <w:r>
              <w:rPr>
                <w:rFonts w:hint="eastAsia" w:ascii="仿宋_GB2312" w:hAnsi="宋体" w:eastAsia="仿宋_GB2312" w:cs="宋体"/>
                <w:color w:val="auto"/>
                <w:sz w:val="13"/>
                <w:szCs w:val="13"/>
                <w:highlight w:val="none"/>
              </w:rPr>
              <w:t>《城镇污水排入排水管网许可管理办法》</w:t>
            </w:r>
            <w:r>
              <w:rPr>
                <w:rFonts w:hint="eastAsia" w:ascii="仿宋_GB2312" w:hAnsi="宋体" w:eastAsia="仿宋_GB2312" w:cs="宋体"/>
                <w:b/>
                <w:bCs/>
                <w:color w:val="auto"/>
                <w:sz w:val="13"/>
                <w:szCs w:val="13"/>
                <w:highlight w:val="none"/>
              </w:rPr>
              <w:t>第二十</w:t>
            </w:r>
            <w:r>
              <w:rPr>
                <w:rFonts w:hint="eastAsia" w:ascii="仿宋_GB2312" w:hAnsi="宋体" w:eastAsia="仿宋_GB2312" w:cs="宋体"/>
                <w:b/>
                <w:bCs/>
                <w:color w:val="auto"/>
                <w:sz w:val="13"/>
                <w:szCs w:val="13"/>
                <w:highlight w:val="none"/>
                <w:lang w:val="en-US" w:eastAsia="zh-CN"/>
              </w:rPr>
              <w:t>八</w:t>
            </w:r>
            <w:r>
              <w:rPr>
                <w:rFonts w:hint="eastAsia" w:ascii="仿宋_GB2312" w:hAnsi="宋体" w:eastAsia="仿宋_GB2312" w:cs="宋体"/>
                <w:b/>
                <w:bCs/>
                <w:color w:val="auto"/>
                <w:sz w:val="13"/>
                <w:szCs w:val="13"/>
                <w:highlight w:val="none"/>
              </w:rPr>
              <w:t>条</w:t>
            </w:r>
            <w:r>
              <w:rPr>
                <w:rFonts w:hint="eastAsia" w:ascii="仿宋_GB2312" w:hAnsi="宋体" w:eastAsia="仿宋_GB2312" w:cs="宋体"/>
                <w:b/>
                <w:bCs/>
                <w:color w:val="auto"/>
                <w:sz w:val="13"/>
                <w:szCs w:val="13"/>
                <w:highlight w:val="none"/>
                <w:lang w:eastAsia="zh-CN"/>
              </w:rPr>
              <w:t>：</w:t>
            </w:r>
            <w:r>
              <w:rPr>
                <w:rFonts w:hint="eastAsia" w:ascii="仿宋_GB2312" w:hAnsi="宋体" w:eastAsia="仿宋_GB2312" w:cs="宋体"/>
                <w:color w:val="auto"/>
                <w:sz w:val="13"/>
                <w:szCs w:val="13"/>
                <w:highlight w:val="none"/>
              </w:rPr>
              <w:t>排水户未按照排水许可证的要求，向城镇排水设施排放污水的，由城镇排水主管部门责令停止违法行为，限期改正，可以处5万元以下罚款；造成严重后果的，吊销排水许可证，并处5万元以上50万元以下罚款，对列入重点排污单位名录的排水户，处30万元以上50万元以下罚款，并将有关情况通知同级环境保护主管部门，可以向社会予以通报；造成损失的，依法承担赔偿责任；构成犯罪的，依法追究刑事责任。</w:t>
            </w:r>
          </w:p>
        </w:tc>
        <w:tc>
          <w:tcPr>
            <w:tcW w:w="823" w:type="dxa"/>
            <w:tcBorders>
              <w:tl2br w:val="nil"/>
              <w:tr2bl w:val="nil"/>
            </w:tcBorders>
            <w:tcMar>
              <w:top w:w="15" w:type="dxa"/>
              <w:left w:w="15" w:type="dxa"/>
              <w:bottom w:w="15" w:type="dxa"/>
              <w:right w:w="15" w:type="dxa"/>
            </w:tcMar>
            <w:vAlign w:val="center"/>
          </w:tcPr>
          <w:p w14:paraId="18D3C09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从轻情节</w:t>
            </w:r>
          </w:p>
        </w:tc>
        <w:tc>
          <w:tcPr>
            <w:tcW w:w="3437" w:type="dxa"/>
            <w:gridSpan w:val="2"/>
            <w:tcBorders>
              <w:tl2br w:val="nil"/>
              <w:tr2bl w:val="nil"/>
            </w:tcBorders>
            <w:tcMar>
              <w:top w:w="15" w:type="dxa"/>
              <w:left w:w="15" w:type="dxa"/>
              <w:bottom w:w="15" w:type="dxa"/>
              <w:right w:w="15" w:type="dxa"/>
            </w:tcMar>
            <w:vAlign w:val="center"/>
          </w:tcPr>
          <w:p w14:paraId="665504F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初次违法，未造成严重后果的。</w:t>
            </w:r>
          </w:p>
        </w:tc>
        <w:tc>
          <w:tcPr>
            <w:tcW w:w="3058" w:type="dxa"/>
            <w:tcBorders>
              <w:tl2br w:val="nil"/>
              <w:tr2bl w:val="nil"/>
            </w:tcBorders>
            <w:tcMar>
              <w:top w:w="15" w:type="dxa"/>
              <w:left w:w="15" w:type="dxa"/>
              <w:bottom w:w="15" w:type="dxa"/>
              <w:right w:w="15" w:type="dxa"/>
            </w:tcMar>
            <w:vAlign w:val="center"/>
          </w:tcPr>
          <w:p w14:paraId="449B237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strike/>
                <w:color w:val="auto"/>
                <w:kern w:val="0"/>
                <w:sz w:val="13"/>
                <w:szCs w:val="13"/>
                <w:highlight w:val="none"/>
              </w:rPr>
            </w:pPr>
            <w:r>
              <w:rPr>
                <w:rFonts w:hint="eastAsia" w:ascii="仿宋_GB2312" w:hAnsi="宋体" w:eastAsia="仿宋_GB2312" w:cs="宋体"/>
                <w:color w:val="auto"/>
                <w:kern w:val="0"/>
                <w:sz w:val="13"/>
                <w:szCs w:val="13"/>
                <w:highlight w:val="none"/>
              </w:rPr>
              <w:t>责令停止违法行为，限期改正，可以处5万元以下罚款。</w:t>
            </w:r>
          </w:p>
        </w:tc>
      </w:tr>
      <w:tr w14:paraId="3B1ECE1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325" w:hRule="atLeast"/>
          <w:jc w:val="center"/>
        </w:trPr>
        <w:tc>
          <w:tcPr>
            <w:tcW w:w="428" w:type="dxa"/>
            <w:vMerge w:val="continue"/>
            <w:tcBorders>
              <w:tl2br w:val="nil"/>
              <w:tr2bl w:val="nil"/>
            </w:tcBorders>
            <w:vAlign w:val="center"/>
          </w:tcPr>
          <w:p w14:paraId="163820FA">
            <w:pPr>
              <w:pStyle w:val="37"/>
              <w:keepNext w:val="0"/>
              <w:keepLines w:val="0"/>
              <w:pageBreakBefore w:val="0"/>
              <w:widowControl/>
              <w:numPr>
                <w:ilvl w:val="0"/>
                <w:numId w:val="12"/>
              </w:numPr>
              <w:kinsoku/>
              <w:overflowPunct/>
              <w:topLinePunct w:val="0"/>
              <w:autoSpaceDE/>
              <w:autoSpaceDN/>
              <w:bidi w:val="0"/>
              <w:adjustRightInd/>
              <w:snapToGrid/>
              <w:spacing w:beforeAutospacing="0" w:afterAutospacing="0" w:line="260" w:lineRule="exact"/>
              <w:ind w:left="638" w:leftChars="88" w:right="0" w:rightChars="0" w:hanging="453" w:hangingChars="349"/>
              <w:jc w:val="center"/>
              <w:rPr>
                <w:rFonts w:ascii="仿宋_GB2312" w:hAnsi="宋体" w:eastAsia="仿宋_GB2312" w:cs="宋体"/>
                <w:color w:val="auto"/>
                <w:sz w:val="13"/>
                <w:szCs w:val="13"/>
                <w:highlight w:val="none"/>
              </w:rPr>
            </w:pPr>
          </w:p>
        </w:tc>
        <w:tc>
          <w:tcPr>
            <w:tcW w:w="1550" w:type="dxa"/>
            <w:vMerge w:val="continue"/>
            <w:tcBorders>
              <w:tl2br w:val="nil"/>
              <w:tr2bl w:val="nil"/>
            </w:tcBorders>
            <w:vAlign w:val="center"/>
          </w:tcPr>
          <w:p w14:paraId="42071DB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sz w:val="13"/>
                <w:szCs w:val="13"/>
                <w:highlight w:val="none"/>
              </w:rPr>
            </w:pPr>
          </w:p>
        </w:tc>
        <w:tc>
          <w:tcPr>
            <w:tcW w:w="4820" w:type="dxa"/>
            <w:vMerge w:val="continue"/>
            <w:tcBorders>
              <w:tl2br w:val="nil"/>
              <w:tr2bl w:val="nil"/>
            </w:tcBorders>
            <w:vAlign w:val="center"/>
          </w:tcPr>
          <w:p w14:paraId="7140527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7E2819E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一般情节</w:t>
            </w:r>
          </w:p>
        </w:tc>
        <w:tc>
          <w:tcPr>
            <w:tcW w:w="3437" w:type="dxa"/>
            <w:gridSpan w:val="2"/>
            <w:tcBorders>
              <w:tl2br w:val="nil"/>
              <w:tr2bl w:val="nil"/>
            </w:tcBorders>
            <w:tcMar>
              <w:top w:w="15" w:type="dxa"/>
              <w:left w:w="15" w:type="dxa"/>
              <w:bottom w:w="15" w:type="dxa"/>
              <w:right w:w="15" w:type="dxa"/>
            </w:tcMar>
            <w:vAlign w:val="center"/>
          </w:tcPr>
          <w:p w14:paraId="327319E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kern w:val="0"/>
                <w:sz w:val="13"/>
                <w:szCs w:val="13"/>
                <w:highlight w:val="none"/>
              </w:rPr>
            </w:pPr>
            <w:r>
              <w:rPr>
                <w:rFonts w:hint="eastAsia" w:ascii="仿宋_GB2312" w:hAnsi="宋体" w:eastAsia="仿宋_GB2312" w:cs="宋体"/>
                <w:color w:val="auto"/>
                <w:kern w:val="0"/>
                <w:sz w:val="13"/>
                <w:szCs w:val="13"/>
                <w:highlight w:val="none"/>
              </w:rPr>
              <w:t>造成严重后果，但不具有</w:t>
            </w:r>
            <w:r>
              <w:rPr>
                <w:rFonts w:hint="eastAsia" w:ascii="仿宋_GB2312" w:hAnsi="宋体" w:eastAsia="仿宋_GB2312" w:cs="宋体"/>
                <w:color w:val="auto"/>
                <w:kern w:val="0"/>
                <w:sz w:val="13"/>
                <w:szCs w:val="13"/>
                <w:highlight w:val="none"/>
                <w:lang w:eastAsia="zh-CN"/>
              </w:rPr>
              <w:t>从重情节</w:t>
            </w:r>
            <w:r>
              <w:rPr>
                <w:rFonts w:hint="eastAsia" w:ascii="仿宋_GB2312" w:hAnsi="宋体" w:eastAsia="仿宋_GB2312" w:cs="宋体"/>
                <w:color w:val="auto"/>
                <w:kern w:val="0"/>
                <w:sz w:val="13"/>
                <w:szCs w:val="13"/>
                <w:highlight w:val="none"/>
              </w:rPr>
              <w:t>的。</w:t>
            </w:r>
          </w:p>
        </w:tc>
        <w:tc>
          <w:tcPr>
            <w:tcW w:w="3058" w:type="dxa"/>
            <w:tcBorders>
              <w:tl2br w:val="nil"/>
              <w:tr2bl w:val="nil"/>
            </w:tcBorders>
            <w:tcMar>
              <w:top w:w="15" w:type="dxa"/>
              <w:left w:w="15" w:type="dxa"/>
              <w:bottom w:w="15" w:type="dxa"/>
              <w:right w:w="15" w:type="dxa"/>
            </w:tcMar>
            <w:vAlign w:val="center"/>
          </w:tcPr>
          <w:p w14:paraId="14B3D1A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kern w:val="0"/>
                <w:sz w:val="13"/>
                <w:szCs w:val="13"/>
                <w:highlight w:val="none"/>
              </w:rPr>
            </w:pPr>
            <w:r>
              <w:rPr>
                <w:rFonts w:hint="eastAsia" w:ascii="仿宋_GB2312" w:hAnsi="宋体" w:eastAsia="仿宋_GB2312" w:cs="宋体"/>
                <w:color w:val="auto"/>
                <w:kern w:val="0"/>
                <w:sz w:val="13"/>
                <w:szCs w:val="13"/>
                <w:highlight w:val="none"/>
              </w:rPr>
              <w:t>吊销污水排入排水管网许可证，并处5万元以上30万元以下罚款，对列入重点排污单位名录的排水户，处30万元以上40万元以下罚款，并将有关情况通知同级环境保护主管部门，可以向社会予以通报。</w:t>
            </w:r>
          </w:p>
        </w:tc>
      </w:tr>
      <w:tr w14:paraId="2ED8A7E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1107" w:hRule="atLeast"/>
          <w:jc w:val="center"/>
        </w:trPr>
        <w:tc>
          <w:tcPr>
            <w:tcW w:w="428" w:type="dxa"/>
            <w:vMerge w:val="continue"/>
            <w:tcBorders>
              <w:tl2br w:val="nil"/>
              <w:tr2bl w:val="nil"/>
            </w:tcBorders>
            <w:vAlign w:val="center"/>
          </w:tcPr>
          <w:p w14:paraId="22361CD0">
            <w:pPr>
              <w:pStyle w:val="37"/>
              <w:keepNext w:val="0"/>
              <w:keepLines w:val="0"/>
              <w:pageBreakBefore w:val="0"/>
              <w:widowControl/>
              <w:numPr>
                <w:ilvl w:val="0"/>
                <w:numId w:val="12"/>
              </w:numPr>
              <w:kinsoku/>
              <w:overflowPunct/>
              <w:topLinePunct w:val="0"/>
              <w:autoSpaceDE/>
              <w:autoSpaceDN/>
              <w:bidi w:val="0"/>
              <w:adjustRightInd/>
              <w:snapToGrid/>
              <w:spacing w:beforeAutospacing="0" w:afterAutospacing="0" w:line="260" w:lineRule="exact"/>
              <w:ind w:left="638" w:leftChars="88" w:right="0" w:rightChars="0" w:hanging="453" w:hangingChars="349"/>
              <w:jc w:val="center"/>
              <w:rPr>
                <w:rFonts w:ascii="仿宋_GB2312" w:hAnsi="宋体" w:eastAsia="仿宋_GB2312" w:cs="宋体"/>
                <w:color w:val="auto"/>
                <w:sz w:val="13"/>
                <w:szCs w:val="13"/>
                <w:highlight w:val="none"/>
              </w:rPr>
            </w:pPr>
          </w:p>
        </w:tc>
        <w:tc>
          <w:tcPr>
            <w:tcW w:w="1550" w:type="dxa"/>
            <w:vMerge w:val="continue"/>
            <w:tcBorders>
              <w:tl2br w:val="nil"/>
              <w:tr2bl w:val="nil"/>
            </w:tcBorders>
            <w:vAlign w:val="center"/>
          </w:tcPr>
          <w:p w14:paraId="01262F3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sz w:val="13"/>
                <w:szCs w:val="13"/>
                <w:highlight w:val="none"/>
              </w:rPr>
            </w:pPr>
          </w:p>
        </w:tc>
        <w:tc>
          <w:tcPr>
            <w:tcW w:w="4820" w:type="dxa"/>
            <w:vMerge w:val="continue"/>
            <w:tcBorders>
              <w:tl2br w:val="nil"/>
              <w:tr2bl w:val="nil"/>
            </w:tcBorders>
            <w:vAlign w:val="center"/>
          </w:tcPr>
          <w:p w14:paraId="3CFF7CB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3995ED1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从重情节</w:t>
            </w:r>
          </w:p>
        </w:tc>
        <w:tc>
          <w:tcPr>
            <w:tcW w:w="3437" w:type="dxa"/>
            <w:gridSpan w:val="2"/>
            <w:tcBorders>
              <w:tl2br w:val="nil"/>
              <w:tr2bl w:val="nil"/>
            </w:tcBorders>
            <w:tcMar>
              <w:top w:w="15" w:type="dxa"/>
              <w:left w:w="15" w:type="dxa"/>
              <w:bottom w:w="15" w:type="dxa"/>
              <w:right w:w="15" w:type="dxa"/>
            </w:tcMar>
            <w:vAlign w:val="center"/>
          </w:tcPr>
          <w:p w14:paraId="6760BA9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kern w:val="0"/>
                <w:sz w:val="13"/>
                <w:szCs w:val="13"/>
                <w:highlight w:val="none"/>
              </w:rPr>
            </w:pPr>
            <w:r>
              <w:rPr>
                <w:rFonts w:hint="eastAsia" w:ascii="仿宋_GB2312" w:hAnsi="宋体" w:eastAsia="仿宋_GB2312" w:cs="宋体"/>
                <w:color w:val="auto"/>
                <w:kern w:val="0"/>
                <w:sz w:val="13"/>
                <w:szCs w:val="13"/>
                <w:highlight w:val="none"/>
              </w:rPr>
              <w:t>经责令停止违法行为后，继续实施违法行为，且造成严重后果的</w:t>
            </w:r>
            <w:r>
              <w:rPr>
                <w:rFonts w:hint="eastAsia" w:ascii="仿宋_GB2312" w:hAnsi="宋体" w:eastAsia="仿宋_GB2312" w:cs="宋体"/>
                <w:color w:val="auto"/>
                <w:kern w:val="0"/>
                <w:sz w:val="13"/>
                <w:szCs w:val="13"/>
                <w:highlight w:val="none"/>
                <w:lang w:eastAsia="zh-CN"/>
              </w:rPr>
              <w:t>，</w:t>
            </w:r>
            <w:r>
              <w:rPr>
                <w:rFonts w:hint="eastAsia" w:ascii="仿宋_GB2312" w:hAnsi="宋体" w:eastAsia="仿宋_GB2312" w:cs="宋体"/>
                <w:color w:val="auto"/>
                <w:kern w:val="0"/>
                <w:sz w:val="13"/>
                <w:szCs w:val="13"/>
                <w:highlight w:val="none"/>
                <w:lang w:val="en-US" w:eastAsia="zh-CN"/>
              </w:rPr>
              <w:t>或</w:t>
            </w:r>
            <w:r>
              <w:rPr>
                <w:rFonts w:hint="eastAsia" w:ascii="仿宋_GB2312" w:hAnsi="宋体" w:eastAsia="仿宋_GB2312" w:cs="宋体"/>
                <w:color w:val="auto"/>
                <w:kern w:val="0"/>
                <w:sz w:val="13"/>
                <w:szCs w:val="13"/>
                <w:highlight w:val="none"/>
              </w:rPr>
              <w:t>曾因此被查处过，再次实施违法行为，且已造成严重后果的。</w:t>
            </w:r>
          </w:p>
        </w:tc>
        <w:tc>
          <w:tcPr>
            <w:tcW w:w="3058" w:type="dxa"/>
            <w:tcBorders>
              <w:tl2br w:val="nil"/>
              <w:tr2bl w:val="nil"/>
            </w:tcBorders>
            <w:tcMar>
              <w:top w:w="15" w:type="dxa"/>
              <w:left w:w="15" w:type="dxa"/>
              <w:bottom w:w="15" w:type="dxa"/>
              <w:right w:w="15" w:type="dxa"/>
            </w:tcMar>
            <w:vAlign w:val="center"/>
          </w:tcPr>
          <w:p w14:paraId="541B573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kern w:val="0"/>
                <w:sz w:val="13"/>
                <w:szCs w:val="13"/>
                <w:highlight w:val="none"/>
              </w:rPr>
            </w:pPr>
            <w:r>
              <w:rPr>
                <w:rFonts w:hint="eastAsia" w:ascii="仿宋_GB2312" w:hAnsi="宋体" w:eastAsia="仿宋_GB2312" w:cs="宋体"/>
                <w:color w:val="auto"/>
                <w:kern w:val="0"/>
                <w:sz w:val="13"/>
                <w:szCs w:val="13"/>
                <w:highlight w:val="none"/>
              </w:rPr>
              <w:t>吊销污水排入排水管网许可证，并处30万元以上50万元以下罚款，对列入重点排污单位名录的排水户，处40万元以上50万元以下罚款，并将有关情况通知同级环境保护主管部门，可以向社会予以通报。</w:t>
            </w:r>
          </w:p>
        </w:tc>
      </w:tr>
      <w:tr w14:paraId="2242DF3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294" w:hRule="atLeast"/>
          <w:jc w:val="center"/>
        </w:trPr>
        <w:tc>
          <w:tcPr>
            <w:tcW w:w="428" w:type="dxa"/>
            <w:vMerge w:val="restart"/>
            <w:tcBorders>
              <w:tl2br w:val="nil"/>
              <w:tr2bl w:val="nil"/>
            </w:tcBorders>
            <w:tcMar>
              <w:top w:w="15" w:type="dxa"/>
              <w:left w:w="15" w:type="dxa"/>
              <w:bottom w:w="15" w:type="dxa"/>
              <w:right w:w="15" w:type="dxa"/>
            </w:tcMar>
            <w:vAlign w:val="center"/>
          </w:tcPr>
          <w:p w14:paraId="0426B62B">
            <w:pPr>
              <w:keepNext w:val="0"/>
              <w:keepLines w:val="0"/>
              <w:pageBreakBefore w:val="0"/>
              <w:widowControl/>
              <w:numPr>
                <w:ilvl w:val="0"/>
                <w:numId w:val="11"/>
              </w:numPr>
              <w:suppressLineNumbers w:val="0"/>
              <w:tabs>
                <w:tab w:val="clear" w:pos="397"/>
              </w:tabs>
              <w:kinsoku/>
              <w:overflowPunct/>
              <w:topLinePunct w:val="0"/>
              <w:autoSpaceDE/>
              <w:autoSpaceDN/>
              <w:bidi w:val="0"/>
              <w:adjustRightInd/>
              <w:snapToGrid/>
              <w:spacing w:beforeAutospacing="0" w:afterAutospacing="0" w:line="260" w:lineRule="exact"/>
              <w:ind w:left="638" w:leftChars="88" w:right="0" w:rightChars="0" w:hanging="453" w:hangingChars="349"/>
              <w:jc w:val="center"/>
              <w:textAlignment w:val="center"/>
              <w:rPr>
                <w:rFonts w:hint="default" w:ascii="仿宋_GB2312" w:hAnsi="宋体" w:eastAsia="仿宋_GB2312" w:cs="宋体"/>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303</w:t>
            </w:r>
          </w:p>
        </w:tc>
        <w:tc>
          <w:tcPr>
            <w:tcW w:w="1550" w:type="dxa"/>
            <w:vMerge w:val="restart"/>
            <w:tcBorders>
              <w:tl2br w:val="nil"/>
              <w:tr2bl w:val="nil"/>
            </w:tcBorders>
            <w:tcMar>
              <w:top w:w="15" w:type="dxa"/>
              <w:left w:w="15" w:type="dxa"/>
              <w:bottom w:w="15" w:type="dxa"/>
              <w:right w:w="15" w:type="dxa"/>
            </w:tcMar>
            <w:vAlign w:val="center"/>
          </w:tcPr>
          <w:p w14:paraId="5F216C9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因城镇排水设施维护或者检修可能对排水造成影响或者严重影响，城镇排水设施维护运营单位未提前通知相关排水户的，或者未事先向城镇排水主管部门报告，采取应急处理措施的，或者未按照防汛要求对城镇排水设施进行全面检查、维护、清疏，影响汛期排水畅通的</w:t>
            </w:r>
          </w:p>
        </w:tc>
        <w:tc>
          <w:tcPr>
            <w:tcW w:w="4820" w:type="dxa"/>
            <w:vMerge w:val="restart"/>
            <w:tcBorders>
              <w:tl2br w:val="nil"/>
              <w:tr2bl w:val="nil"/>
            </w:tcBorders>
            <w:tcMar>
              <w:top w:w="15" w:type="dxa"/>
              <w:left w:w="15" w:type="dxa"/>
              <w:bottom w:w="15" w:type="dxa"/>
              <w:right w:w="15" w:type="dxa"/>
            </w:tcMar>
            <w:vAlign w:val="center"/>
          </w:tcPr>
          <w:p w14:paraId="0A781D1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《城镇排水与污水处理条例》</w:t>
            </w:r>
            <w:r>
              <w:rPr>
                <w:rFonts w:hint="eastAsia" w:ascii="仿宋_GB2312" w:hAnsi="宋体" w:eastAsia="仿宋_GB2312" w:cs="宋体"/>
                <w:b/>
                <w:bCs/>
                <w:color w:val="auto"/>
                <w:kern w:val="0"/>
                <w:sz w:val="13"/>
                <w:szCs w:val="13"/>
                <w:highlight w:val="none"/>
              </w:rPr>
              <w:t>第五十一条</w:t>
            </w:r>
            <w:r>
              <w:rPr>
                <w:rFonts w:hint="eastAsia" w:ascii="仿宋_GB2312" w:hAnsi="宋体" w:eastAsia="仿宋_GB2312" w:cs="宋体"/>
                <w:b/>
                <w:bCs/>
                <w:color w:val="auto"/>
                <w:kern w:val="0"/>
                <w:sz w:val="13"/>
                <w:szCs w:val="13"/>
                <w:highlight w:val="none"/>
                <w:lang w:eastAsia="zh-CN"/>
              </w:rPr>
              <w:t>：</w:t>
            </w:r>
            <w:r>
              <w:rPr>
                <w:rFonts w:hint="eastAsia" w:ascii="仿宋_GB2312" w:hAnsi="宋体" w:eastAsia="仿宋_GB2312" w:cs="宋体"/>
                <w:color w:val="auto"/>
                <w:kern w:val="0"/>
                <w:sz w:val="13"/>
                <w:szCs w:val="13"/>
                <w:highlight w:val="none"/>
              </w:rPr>
              <w:t>违反本条例规定，因城镇排水设施维护或者检修可能对排水造成影响或者严重影响，城镇排水设施维护运营单位未提前通知相关排水户的，或者未事先向城镇排水主管部门报告，采取应急处理措施的，或者未按照防汛要求对城镇排水设施进行全面检查、维护、清疏，影响汛期排水畅通的，由城镇排水主管部门责令改正，给予警告；逾期不改正或者造成严重后果的，处10万元以上20万元以下罚款；造成损失的，依法承担赔偿责任。</w:t>
            </w:r>
          </w:p>
        </w:tc>
        <w:tc>
          <w:tcPr>
            <w:tcW w:w="823" w:type="dxa"/>
            <w:tcBorders>
              <w:tl2br w:val="nil"/>
              <w:tr2bl w:val="nil"/>
            </w:tcBorders>
            <w:tcMar>
              <w:top w:w="15" w:type="dxa"/>
              <w:left w:w="15" w:type="dxa"/>
              <w:bottom w:w="15" w:type="dxa"/>
              <w:right w:w="15" w:type="dxa"/>
            </w:tcMar>
            <w:vAlign w:val="center"/>
          </w:tcPr>
          <w:p w14:paraId="4C63908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从轻情节</w:t>
            </w:r>
          </w:p>
        </w:tc>
        <w:tc>
          <w:tcPr>
            <w:tcW w:w="3437" w:type="dxa"/>
            <w:gridSpan w:val="2"/>
            <w:tcBorders>
              <w:tl2br w:val="nil"/>
              <w:tr2bl w:val="nil"/>
            </w:tcBorders>
            <w:tcMar>
              <w:top w:w="15" w:type="dxa"/>
              <w:left w:w="15" w:type="dxa"/>
              <w:bottom w:w="15" w:type="dxa"/>
              <w:right w:w="15" w:type="dxa"/>
            </w:tcMar>
            <w:vAlign w:val="center"/>
          </w:tcPr>
          <w:p w14:paraId="07F660C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sz w:val="13"/>
                <w:szCs w:val="13"/>
                <w:highlight w:val="none"/>
              </w:rPr>
              <w:t>初次违法，及时改正，未造成严重后果的。</w:t>
            </w:r>
          </w:p>
        </w:tc>
        <w:tc>
          <w:tcPr>
            <w:tcW w:w="3058" w:type="dxa"/>
            <w:tcBorders>
              <w:tl2br w:val="nil"/>
              <w:tr2bl w:val="nil"/>
            </w:tcBorders>
            <w:tcMar>
              <w:top w:w="15" w:type="dxa"/>
              <w:left w:w="15" w:type="dxa"/>
              <w:bottom w:w="15" w:type="dxa"/>
              <w:right w:w="15" w:type="dxa"/>
            </w:tcMar>
            <w:vAlign w:val="center"/>
          </w:tcPr>
          <w:p w14:paraId="2776B0D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责令改正，给予警告。</w:t>
            </w:r>
          </w:p>
        </w:tc>
      </w:tr>
      <w:tr w14:paraId="0646CB6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401" w:hRule="atLeast"/>
          <w:jc w:val="center"/>
        </w:trPr>
        <w:tc>
          <w:tcPr>
            <w:tcW w:w="428" w:type="dxa"/>
            <w:vMerge w:val="continue"/>
            <w:tcBorders>
              <w:tl2br w:val="nil"/>
              <w:tr2bl w:val="nil"/>
            </w:tcBorders>
            <w:vAlign w:val="center"/>
          </w:tcPr>
          <w:p w14:paraId="0D97326D">
            <w:pPr>
              <w:pStyle w:val="37"/>
              <w:keepNext w:val="0"/>
              <w:keepLines w:val="0"/>
              <w:pageBreakBefore w:val="0"/>
              <w:widowControl/>
              <w:numPr>
                <w:ilvl w:val="0"/>
                <w:numId w:val="12"/>
              </w:numPr>
              <w:kinsoku/>
              <w:overflowPunct/>
              <w:topLinePunct w:val="0"/>
              <w:autoSpaceDE/>
              <w:autoSpaceDN/>
              <w:bidi w:val="0"/>
              <w:adjustRightInd/>
              <w:snapToGrid/>
              <w:spacing w:beforeAutospacing="0" w:afterAutospacing="0" w:line="260" w:lineRule="exact"/>
              <w:ind w:left="638" w:leftChars="88" w:right="0" w:rightChars="0" w:hanging="453" w:hangingChars="349"/>
              <w:jc w:val="center"/>
              <w:rPr>
                <w:rFonts w:ascii="仿宋_GB2312" w:hAnsi="宋体" w:eastAsia="仿宋_GB2312" w:cs="宋体"/>
                <w:color w:val="auto"/>
                <w:sz w:val="13"/>
                <w:szCs w:val="13"/>
                <w:highlight w:val="none"/>
              </w:rPr>
            </w:pPr>
          </w:p>
        </w:tc>
        <w:tc>
          <w:tcPr>
            <w:tcW w:w="1550" w:type="dxa"/>
            <w:vMerge w:val="continue"/>
            <w:tcBorders>
              <w:tl2br w:val="nil"/>
              <w:tr2bl w:val="nil"/>
            </w:tcBorders>
            <w:vAlign w:val="center"/>
          </w:tcPr>
          <w:p w14:paraId="71311FF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sz w:val="13"/>
                <w:szCs w:val="13"/>
                <w:highlight w:val="none"/>
              </w:rPr>
            </w:pPr>
          </w:p>
        </w:tc>
        <w:tc>
          <w:tcPr>
            <w:tcW w:w="4820" w:type="dxa"/>
            <w:vMerge w:val="continue"/>
            <w:tcBorders>
              <w:tl2br w:val="nil"/>
              <w:tr2bl w:val="nil"/>
            </w:tcBorders>
            <w:vAlign w:val="center"/>
          </w:tcPr>
          <w:p w14:paraId="5126D83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4A68478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一般情节</w:t>
            </w:r>
          </w:p>
        </w:tc>
        <w:tc>
          <w:tcPr>
            <w:tcW w:w="3437" w:type="dxa"/>
            <w:gridSpan w:val="2"/>
            <w:tcBorders>
              <w:tl2br w:val="nil"/>
              <w:tr2bl w:val="nil"/>
            </w:tcBorders>
            <w:tcMar>
              <w:top w:w="15" w:type="dxa"/>
              <w:left w:w="15" w:type="dxa"/>
              <w:bottom w:w="15" w:type="dxa"/>
              <w:right w:w="15" w:type="dxa"/>
            </w:tcMar>
            <w:vAlign w:val="center"/>
          </w:tcPr>
          <w:p w14:paraId="6D62EF4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逾期不改正，尚未造成严重后果的</w:t>
            </w:r>
            <w:r>
              <w:rPr>
                <w:rFonts w:hint="eastAsia" w:ascii="仿宋_GB2312" w:hAnsi="宋体" w:eastAsia="仿宋_GB2312" w:cs="宋体"/>
                <w:color w:val="auto"/>
                <w:kern w:val="0"/>
                <w:sz w:val="13"/>
                <w:szCs w:val="13"/>
                <w:highlight w:val="none"/>
                <w:lang w:eastAsia="zh-CN"/>
              </w:rPr>
              <w:t>，</w:t>
            </w:r>
            <w:r>
              <w:rPr>
                <w:rFonts w:hint="eastAsia" w:ascii="仿宋_GB2312" w:hAnsi="宋体" w:eastAsia="仿宋_GB2312" w:cs="宋体"/>
                <w:color w:val="auto"/>
                <w:kern w:val="0"/>
                <w:sz w:val="13"/>
                <w:szCs w:val="13"/>
                <w:highlight w:val="none"/>
                <w:lang w:val="en-US" w:eastAsia="zh-CN"/>
              </w:rPr>
              <w:t>或</w:t>
            </w:r>
            <w:r>
              <w:rPr>
                <w:rFonts w:hint="eastAsia" w:ascii="仿宋_GB2312" w:hAnsi="宋体" w:eastAsia="仿宋_GB2312" w:cs="宋体"/>
                <w:color w:val="auto"/>
                <w:kern w:val="0"/>
                <w:sz w:val="13"/>
                <w:szCs w:val="13"/>
                <w:highlight w:val="none"/>
              </w:rPr>
              <w:t>及时改正，但已造成严重后果的。</w:t>
            </w:r>
          </w:p>
        </w:tc>
        <w:tc>
          <w:tcPr>
            <w:tcW w:w="3058" w:type="dxa"/>
            <w:tcBorders>
              <w:tl2br w:val="nil"/>
              <w:tr2bl w:val="nil"/>
            </w:tcBorders>
            <w:tcMar>
              <w:top w:w="15" w:type="dxa"/>
              <w:left w:w="15" w:type="dxa"/>
              <w:bottom w:w="15" w:type="dxa"/>
              <w:right w:w="15" w:type="dxa"/>
            </w:tcMar>
            <w:vAlign w:val="center"/>
          </w:tcPr>
          <w:p w14:paraId="743B8DE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责令改正，处10万元以上15万元以下罚款。</w:t>
            </w:r>
          </w:p>
        </w:tc>
      </w:tr>
      <w:tr w14:paraId="795D816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247" w:hRule="atLeast"/>
          <w:jc w:val="center"/>
        </w:trPr>
        <w:tc>
          <w:tcPr>
            <w:tcW w:w="428" w:type="dxa"/>
            <w:vMerge w:val="continue"/>
            <w:tcBorders>
              <w:tl2br w:val="nil"/>
              <w:tr2bl w:val="nil"/>
            </w:tcBorders>
            <w:vAlign w:val="center"/>
          </w:tcPr>
          <w:p w14:paraId="5A4ABB12">
            <w:pPr>
              <w:pStyle w:val="37"/>
              <w:keepNext w:val="0"/>
              <w:keepLines w:val="0"/>
              <w:pageBreakBefore w:val="0"/>
              <w:widowControl/>
              <w:numPr>
                <w:ilvl w:val="0"/>
                <w:numId w:val="12"/>
              </w:numPr>
              <w:kinsoku/>
              <w:overflowPunct/>
              <w:topLinePunct w:val="0"/>
              <w:autoSpaceDE/>
              <w:autoSpaceDN/>
              <w:bidi w:val="0"/>
              <w:adjustRightInd/>
              <w:snapToGrid/>
              <w:spacing w:beforeAutospacing="0" w:afterAutospacing="0" w:line="260" w:lineRule="exact"/>
              <w:ind w:left="638" w:leftChars="88" w:right="0" w:rightChars="0" w:hanging="453" w:hangingChars="349"/>
              <w:jc w:val="center"/>
              <w:rPr>
                <w:rFonts w:ascii="仿宋_GB2312" w:hAnsi="宋体" w:eastAsia="仿宋_GB2312" w:cs="宋体"/>
                <w:color w:val="auto"/>
                <w:sz w:val="13"/>
                <w:szCs w:val="13"/>
                <w:highlight w:val="none"/>
              </w:rPr>
            </w:pPr>
          </w:p>
        </w:tc>
        <w:tc>
          <w:tcPr>
            <w:tcW w:w="1550" w:type="dxa"/>
            <w:vMerge w:val="continue"/>
            <w:tcBorders>
              <w:tl2br w:val="nil"/>
              <w:tr2bl w:val="nil"/>
            </w:tcBorders>
            <w:vAlign w:val="center"/>
          </w:tcPr>
          <w:p w14:paraId="463AE5A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sz w:val="13"/>
                <w:szCs w:val="13"/>
                <w:highlight w:val="none"/>
              </w:rPr>
            </w:pPr>
          </w:p>
        </w:tc>
        <w:tc>
          <w:tcPr>
            <w:tcW w:w="4820" w:type="dxa"/>
            <w:vMerge w:val="continue"/>
            <w:tcBorders>
              <w:tl2br w:val="nil"/>
              <w:tr2bl w:val="nil"/>
            </w:tcBorders>
            <w:vAlign w:val="center"/>
          </w:tcPr>
          <w:p w14:paraId="5C2EC9D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432A574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从重情节</w:t>
            </w:r>
          </w:p>
        </w:tc>
        <w:tc>
          <w:tcPr>
            <w:tcW w:w="3437" w:type="dxa"/>
            <w:gridSpan w:val="2"/>
            <w:tcBorders>
              <w:tl2br w:val="nil"/>
              <w:tr2bl w:val="nil"/>
            </w:tcBorders>
            <w:tcMar>
              <w:top w:w="15" w:type="dxa"/>
              <w:left w:w="15" w:type="dxa"/>
              <w:bottom w:w="15" w:type="dxa"/>
              <w:right w:w="15" w:type="dxa"/>
            </w:tcMar>
            <w:vAlign w:val="center"/>
          </w:tcPr>
          <w:p w14:paraId="22F8CB5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kern w:val="0"/>
                <w:sz w:val="13"/>
                <w:szCs w:val="13"/>
                <w:highlight w:val="none"/>
              </w:rPr>
            </w:pPr>
            <w:r>
              <w:rPr>
                <w:rFonts w:hint="eastAsia" w:ascii="仿宋_GB2312" w:hAnsi="宋体" w:eastAsia="仿宋_GB2312" w:cs="宋体"/>
                <w:color w:val="auto"/>
                <w:sz w:val="13"/>
                <w:szCs w:val="13"/>
                <w:highlight w:val="none"/>
              </w:rPr>
              <w:t>逾期不改正，且已造成了严重后果的</w:t>
            </w:r>
            <w:r>
              <w:rPr>
                <w:rFonts w:hint="eastAsia" w:ascii="仿宋_GB2312" w:hAnsi="宋体" w:eastAsia="仿宋_GB2312" w:cs="宋体"/>
                <w:color w:val="auto"/>
                <w:sz w:val="13"/>
                <w:szCs w:val="13"/>
                <w:highlight w:val="none"/>
                <w:lang w:eastAsia="zh-CN"/>
              </w:rPr>
              <w:t>，</w:t>
            </w:r>
            <w:r>
              <w:rPr>
                <w:rFonts w:hint="eastAsia" w:ascii="仿宋_GB2312" w:hAnsi="宋体" w:eastAsia="仿宋_GB2312" w:cs="宋体"/>
                <w:color w:val="auto"/>
                <w:sz w:val="13"/>
                <w:szCs w:val="13"/>
                <w:highlight w:val="none"/>
                <w:lang w:val="en-US" w:eastAsia="zh-CN"/>
              </w:rPr>
              <w:t>或</w:t>
            </w:r>
            <w:r>
              <w:rPr>
                <w:rFonts w:hint="eastAsia" w:ascii="仿宋_GB2312" w:hAnsi="宋体" w:eastAsia="仿宋_GB2312" w:cs="宋体"/>
                <w:color w:val="auto"/>
                <w:kern w:val="0"/>
                <w:sz w:val="13"/>
                <w:szCs w:val="13"/>
                <w:highlight w:val="none"/>
              </w:rPr>
              <w:t>曾因此被查处过，再次实施违法行为，且已造成严重后果的。</w:t>
            </w:r>
          </w:p>
        </w:tc>
        <w:tc>
          <w:tcPr>
            <w:tcW w:w="3058" w:type="dxa"/>
            <w:tcBorders>
              <w:tl2br w:val="nil"/>
              <w:tr2bl w:val="nil"/>
            </w:tcBorders>
            <w:tcMar>
              <w:top w:w="15" w:type="dxa"/>
              <w:left w:w="15" w:type="dxa"/>
              <w:bottom w:w="15" w:type="dxa"/>
              <w:right w:w="15" w:type="dxa"/>
            </w:tcMar>
            <w:vAlign w:val="center"/>
          </w:tcPr>
          <w:p w14:paraId="055B65E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责令改正，处15万元以上20万元以下罚款。</w:t>
            </w:r>
          </w:p>
        </w:tc>
      </w:tr>
      <w:tr w14:paraId="3E5C6F3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177" w:hRule="atLeast"/>
          <w:jc w:val="center"/>
        </w:trPr>
        <w:tc>
          <w:tcPr>
            <w:tcW w:w="428" w:type="dxa"/>
            <w:vMerge w:val="restart"/>
            <w:tcBorders>
              <w:tl2br w:val="nil"/>
              <w:tr2bl w:val="nil"/>
            </w:tcBorders>
            <w:tcMar>
              <w:top w:w="15" w:type="dxa"/>
              <w:left w:w="15" w:type="dxa"/>
              <w:bottom w:w="15" w:type="dxa"/>
              <w:right w:w="15" w:type="dxa"/>
            </w:tcMar>
            <w:vAlign w:val="center"/>
          </w:tcPr>
          <w:p w14:paraId="063C1393">
            <w:pPr>
              <w:keepNext w:val="0"/>
              <w:keepLines w:val="0"/>
              <w:pageBreakBefore w:val="0"/>
              <w:widowControl/>
              <w:numPr>
                <w:ilvl w:val="0"/>
                <w:numId w:val="11"/>
              </w:numPr>
              <w:suppressLineNumbers w:val="0"/>
              <w:tabs>
                <w:tab w:val="clear" w:pos="397"/>
              </w:tabs>
              <w:kinsoku/>
              <w:overflowPunct/>
              <w:topLinePunct w:val="0"/>
              <w:autoSpaceDE/>
              <w:autoSpaceDN/>
              <w:bidi w:val="0"/>
              <w:adjustRightInd/>
              <w:snapToGrid/>
              <w:spacing w:beforeAutospacing="0" w:afterAutospacing="0" w:line="260" w:lineRule="exact"/>
              <w:ind w:left="638" w:leftChars="88" w:right="0" w:rightChars="0" w:hanging="453" w:hangingChars="349"/>
              <w:jc w:val="center"/>
              <w:textAlignment w:val="center"/>
              <w:rPr>
                <w:rFonts w:hint="default" w:ascii="仿宋_GB2312" w:hAnsi="宋体" w:eastAsia="仿宋_GB2312" w:cs="宋体"/>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304</w:t>
            </w:r>
          </w:p>
        </w:tc>
        <w:tc>
          <w:tcPr>
            <w:tcW w:w="1550" w:type="dxa"/>
            <w:vMerge w:val="restart"/>
            <w:tcBorders>
              <w:tl2br w:val="nil"/>
              <w:tr2bl w:val="nil"/>
            </w:tcBorders>
            <w:tcMar>
              <w:top w:w="15" w:type="dxa"/>
              <w:left w:w="15" w:type="dxa"/>
              <w:bottom w:w="15" w:type="dxa"/>
              <w:right w:w="15" w:type="dxa"/>
            </w:tcMar>
            <w:vAlign w:val="center"/>
          </w:tcPr>
          <w:p w14:paraId="17E4360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城镇污水处理设施维护运营单位未按照国家有关规定检测进出水水质的，或者未报送污水处理水质和水量、主要污染物削减量等信息和生产运营成本等信息的</w:t>
            </w:r>
          </w:p>
        </w:tc>
        <w:tc>
          <w:tcPr>
            <w:tcW w:w="4820" w:type="dxa"/>
            <w:vMerge w:val="restart"/>
            <w:tcBorders>
              <w:tl2br w:val="nil"/>
              <w:tr2bl w:val="nil"/>
            </w:tcBorders>
            <w:tcMar>
              <w:top w:w="15" w:type="dxa"/>
              <w:left w:w="15" w:type="dxa"/>
              <w:bottom w:w="15" w:type="dxa"/>
              <w:right w:w="15" w:type="dxa"/>
            </w:tcMar>
            <w:vAlign w:val="center"/>
          </w:tcPr>
          <w:p w14:paraId="17FF564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《城镇排水与污水处理条例》</w:t>
            </w:r>
            <w:r>
              <w:rPr>
                <w:rFonts w:hint="eastAsia" w:ascii="仿宋_GB2312" w:hAnsi="宋体" w:eastAsia="仿宋_GB2312" w:cs="宋体"/>
                <w:b/>
                <w:bCs/>
                <w:color w:val="auto"/>
                <w:kern w:val="0"/>
                <w:sz w:val="13"/>
                <w:szCs w:val="13"/>
                <w:highlight w:val="none"/>
              </w:rPr>
              <w:t>第五十二条第一款</w:t>
            </w:r>
            <w:r>
              <w:rPr>
                <w:rFonts w:hint="eastAsia" w:ascii="仿宋_GB2312" w:hAnsi="宋体" w:eastAsia="仿宋_GB2312" w:cs="宋体"/>
                <w:b/>
                <w:bCs/>
                <w:color w:val="auto"/>
                <w:kern w:val="0"/>
                <w:sz w:val="13"/>
                <w:szCs w:val="13"/>
                <w:highlight w:val="none"/>
                <w:lang w:eastAsia="zh-CN"/>
              </w:rPr>
              <w:t>：</w:t>
            </w:r>
            <w:r>
              <w:rPr>
                <w:rFonts w:hint="eastAsia" w:ascii="仿宋_GB2312" w:hAnsi="宋体" w:eastAsia="仿宋_GB2312" w:cs="宋体"/>
                <w:color w:val="auto"/>
                <w:kern w:val="0"/>
                <w:sz w:val="13"/>
                <w:szCs w:val="13"/>
                <w:highlight w:val="none"/>
              </w:rPr>
              <w:t>违反本条例规定，城镇污水处理设施维护运营单位未按照国家有关规定检测进出水水质的，或者未报送污水处理水质和水量、主要污染物削减量等信息和生产运营成本等信息的，由城镇排水主管部门责令改正，可以处5万元以下罚款；造成损失的，依法承担赔偿责任。</w:t>
            </w:r>
          </w:p>
        </w:tc>
        <w:tc>
          <w:tcPr>
            <w:tcW w:w="823" w:type="dxa"/>
            <w:tcBorders>
              <w:tl2br w:val="nil"/>
              <w:tr2bl w:val="nil"/>
            </w:tcBorders>
            <w:tcMar>
              <w:top w:w="15" w:type="dxa"/>
              <w:left w:w="15" w:type="dxa"/>
              <w:bottom w:w="15" w:type="dxa"/>
              <w:right w:w="15" w:type="dxa"/>
            </w:tcMar>
            <w:vAlign w:val="center"/>
          </w:tcPr>
          <w:p w14:paraId="0510A4B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从轻情节</w:t>
            </w:r>
          </w:p>
        </w:tc>
        <w:tc>
          <w:tcPr>
            <w:tcW w:w="3437" w:type="dxa"/>
            <w:gridSpan w:val="2"/>
            <w:tcBorders>
              <w:tl2br w:val="nil"/>
              <w:tr2bl w:val="nil"/>
            </w:tcBorders>
            <w:tcMar>
              <w:top w:w="15" w:type="dxa"/>
              <w:left w:w="15" w:type="dxa"/>
              <w:bottom w:w="15" w:type="dxa"/>
              <w:right w:w="15" w:type="dxa"/>
            </w:tcMar>
            <w:vAlign w:val="center"/>
          </w:tcPr>
          <w:p w14:paraId="65A2621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初次违法，未造成影响，及时改正的。</w:t>
            </w:r>
          </w:p>
        </w:tc>
        <w:tc>
          <w:tcPr>
            <w:tcW w:w="3058" w:type="dxa"/>
            <w:tcBorders>
              <w:tl2br w:val="nil"/>
              <w:tr2bl w:val="nil"/>
            </w:tcBorders>
            <w:tcMar>
              <w:top w:w="15" w:type="dxa"/>
              <w:left w:w="15" w:type="dxa"/>
              <w:bottom w:w="15" w:type="dxa"/>
              <w:right w:w="15" w:type="dxa"/>
            </w:tcMar>
            <w:vAlign w:val="center"/>
          </w:tcPr>
          <w:p w14:paraId="7D4D63D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责令改正，可以处1万元以下罚款。</w:t>
            </w:r>
          </w:p>
        </w:tc>
      </w:tr>
      <w:tr w14:paraId="1B2B68E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353" w:hRule="atLeast"/>
          <w:jc w:val="center"/>
        </w:trPr>
        <w:tc>
          <w:tcPr>
            <w:tcW w:w="428" w:type="dxa"/>
            <w:vMerge w:val="continue"/>
            <w:tcBorders>
              <w:tl2br w:val="nil"/>
              <w:tr2bl w:val="nil"/>
            </w:tcBorders>
            <w:vAlign w:val="center"/>
          </w:tcPr>
          <w:p w14:paraId="6072C17E">
            <w:pPr>
              <w:pStyle w:val="37"/>
              <w:keepNext w:val="0"/>
              <w:keepLines w:val="0"/>
              <w:pageBreakBefore w:val="0"/>
              <w:widowControl/>
              <w:numPr>
                <w:ilvl w:val="0"/>
                <w:numId w:val="12"/>
              </w:numPr>
              <w:kinsoku/>
              <w:overflowPunct/>
              <w:topLinePunct w:val="0"/>
              <w:autoSpaceDE/>
              <w:autoSpaceDN/>
              <w:bidi w:val="0"/>
              <w:adjustRightInd/>
              <w:snapToGrid/>
              <w:spacing w:beforeAutospacing="0" w:afterAutospacing="0" w:line="260" w:lineRule="exact"/>
              <w:ind w:left="638" w:leftChars="88" w:right="0" w:rightChars="0" w:hanging="453" w:hangingChars="349"/>
              <w:jc w:val="center"/>
              <w:rPr>
                <w:rFonts w:ascii="仿宋_GB2312" w:hAnsi="宋体" w:eastAsia="仿宋_GB2312" w:cs="宋体"/>
                <w:color w:val="auto"/>
                <w:sz w:val="13"/>
                <w:szCs w:val="13"/>
                <w:highlight w:val="none"/>
              </w:rPr>
            </w:pPr>
          </w:p>
        </w:tc>
        <w:tc>
          <w:tcPr>
            <w:tcW w:w="1550" w:type="dxa"/>
            <w:vMerge w:val="continue"/>
            <w:tcBorders>
              <w:tl2br w:val="nil"/>
              <w:tr2bl w:val="nil"/>
            </w:tcBorders>
            <w:vAlign w:val="center"/>
          </w:tcPr>
          <w:p w14:paraId="4568E71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sz w:val="13"/>
                <w:szCs w:val="13"/>
                <w:highlight w:val="none"/>
              </w:rPr>
            </w:pPr>
          </w:p>
        </w:tc>
        <w:tc>
          <w:tcPr>
            <w:tcW w:w="4820" w:type="dxa"/>
            <w:vMerge w:val="continue"/>
            <w:tcBorders>
              <w:tl2br w:val="nil"/>
              <w:tr2bl w:val="nil"/>
            </w:tcBorders>
            <w:vAlign w:val="center"/>
          </w:tcPr>
          <w:p w14:paraId="1E258C4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3B5E5F7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一般情节</w:t>
            </w:r>
          </w:p>
        </w:tc>
        <w:tc>
          <w:tcPr>
            <w:tcW w:w="3437" w:type="dxa"/>
            <w:gridSpan w:val="2"/>
            <w:tcBorders>
              <w:tl2br w:val="nil"/>
              <w:tr2bl w:val="nil"/>
            </w:tcBorders>
            <w:tcMar>
              <w:top w:w="15" w:type="dxa"/>
              <w:left w:w="15" w:type="dxa"/>
              <w:bottom w:w="15" w:type="dxa"/>
              <w:right w:w="15" w:type="dxa"/>
            </w:tcMar>
            <w:vAlign w:val="center"/>
          </w:tcPr>
          <w:p w14:paraId="619BF14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不具有从轻、</w:t>
            </w:r>
            <w:r>
              <w:rPr>
                <w:rFonts w:hint="eastAsia" w:ascii="仿宋_GB2312" w:hAnsi="宋体" w:eastAsia="仿宋_GB2312" w:cs="宋体"/>
                <w:color w:val="auto"/>
                <w:kern w:val="0"/>
                <w:sz w:val="13"/>
                <w:szCs w:val="13"/>
                <w:highlight w:val="none"/>
                <w:lang w:eastAsia="zh-CN"/>
              </w:rPr>
              <w:t>从重情节</w:t>
            </w:r>
            <w:r>
              <w:rPr>
                <w:rFonts w:hint="eastAsia" w:ascii="仿宋_GB2312" w:hAnsi="宋体" w:eastAsia="仿宋_GB2312" w:cs="宋体"/>
                <w:color w:val="auto"/>
                <w:kern w:val="0"/>
                <w:sz w:val="13"/>
                <w:szCs w:val="13"/>
                <w:highlight w:val="none"/>
              </w:rPr>
              <w:t>的。</w:t>
            </w:r>
          </w:p>
        </w:tc>
        <w:tc>
          <w:tcPr>
            <w:tcW w:w="3058" w:type="dxa"/>
            <w:tcBorders>
              <w:tl2br w:val="nil"/>
              <w:tr2bl w:val="nil"/>
            </w:tcBorders>
            <w:tcMar>
              <w:top w:w="15" w:type="dxa"/>
              <w:left w:w="15" w:type="dxa"/>
              <w:bottom w:w="15" w:type="dxa"/>
              <w:right w:w="15" w:type="dxa"/>
            </w:tcMar>
            <w:vAlign w:val="center"/>
          </w:tcPr>
          <w:p w14:paraId="643DE70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责令改正，可以处1万元以上3万元以下罚款。</w:t>
            </w:r>
          </w:p>
        </w:tc>
      </w:tr>
      <w:tr w14:paraId="7B2B7FE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554" w:hRule="atLeast"/>
          <w:jc w:val="center"/>
        </w:trPr>
        <w:tc>
          <w:tcPr>
            <w:tcW w:w="428" w:type="dxa"/>
            <w:vMerge w:val="continue"/>
            <w:tcBorders>
              <w:tl2br w:val="nil"/>
              <w:tr2bl w:val="nil"/>
            </w:tcBorders>
            <w:vAlign w:val="center"/>
          </w:tcPr>
          <w:p w14:paraId="7CD717A4">
            <w:pPr>
              <w:pStyle w:val="37"/>
              <w:keepNext w:val="0"/>
              <w:keepLines w:val="0"/>
              <w:pageBreakBefore w:val="0"/>
              <w:widowControl/>
              <w:numPr>
                <w:ilvl w:val="0"/>
                <w:numId w:val="12"/>
              </w:numPr>
              <w:kinsoku/>
              <w:overflowPunct/>
              <w:topLinePunct w:val="0"/>
              <w:autoSpaceDE/>
              <w:autoSpaceDN/>
              <w:bidi w:val="0"/>
              <w:adjustRightInd/>
              <w:snapToGrid/>
              <w:spacing w:beforeAutospacing="0" w:afterAutospacing="0" w:line="260" w:lineRule="exact"/>
              <w:ind w:left="638" w:leftChars="88" w:right="0" w:rightChars="0" w:hanging="453" w:hangingChars="349"/>
              <w:jc w:val="center"/>
              <w:rPr>
                <w:rFonts w:ascii="仿宋_GB2312" w:hAnsi="宋体" w:eastAsia="仿宋_GB2312" w:cs="宋体"/>
                <w:color w:val="auto"/>
                <w:sz w:val="13"/>
                <w:szCs w:val="13"/>
                <w:highlight w:val="none"/>
              </w:rPr>
            </w:pPr>
          </w:p>
        </w:tc>
        <w:tc>
          <w:tcPr>
            <w:tcW w:w="1550" w:type="dxa"/>
            <w:vMerge w:val="continue"/>
            <w:tcBorders>
              <w:tl2br w:val="nil"/>
              <w:tr2bl w:val="nil"/>
            </w:tcBorders>
            <w:vAlign w:val="center"/>
          </w:tcPr>
          <w:p w14:paraId="648DB45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sz w:val="13"/>
                <w:szCs w:val="13"/>
                <w:highlight w:val="none"/>
              </w:rPr>
            </w:pPr>
          </w:p>
        </w:tc>
        <w:tc>
          <w:tcPr>
            <w:tcW w:w="4820" w:type="dxa"/>
            <w:vMerge w:val="continue"/>
            <w:tcBorders>
              <w:tl2br w:val="nil"/>
              <w:tr2bl w:val="nil"/>
            </w:tcBorders>
            <w:vAlign w:val="center"/>
          </w:tcPr>
          <w:p w14:paraId="269A27A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6B5CC50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从重情节</w:t>
            </w:r>
          </w:p>
        </w:tc>
        <w:tc>
          <w:tcPr>
            <w:tcW w:w="3437" w:type="dxa"/>
            <w:gridSpan w:val="2"/>
            <w:tcBorders>
              <w:tl2br w:val="nil"/>
              <w:tr2bl w:val="nil"/>
            </w:tcBorders>
            <w:tcMar>
              <w:top w:w="15" w:type="dxa"/>
              <w:left w:w="15" w:type="dxa"/>
              <w:bottom w:w="15" w:type="dxa"/>
              <w:right w:w="15" w:type="dxa"/>
            </w:tcMar>
            <w:vAlign w:val="center"/>
          </w:tcPr>
          <w:p w14:paraId="126E520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曾因实施该违法行为被查处，再次实施该违法行为的</w:t>
            </w:r>
            <w:r>
              <w:rPr>
                <w:rFonts w:hint="eastAsia" w:ascii="仿宋_GB2312" w:hAnsi="宋体" w:eastAsia="仿宋_GB2312" w:cs="宋体"/>
                <w:color w:val="auto"/>
                <w:kern w:val="0"/>
                <w:sz w:val="13"/>
                <w:szCs w:val="13"/>
                <w:highlight w:val="none"/>
                <w:lang w:eastAsia="zh-CN"/>
              </w:rPr>
              <w:t>，</w:t>
            </w:r>
            <w:r>
              <w:rPr>
                <w:rFonts w:hint="eastAsia" w:ascii="仿宋_GB2312" w:hAnsi="宋体" w:eastAsia="仿宋_GB2312" w:cs="宋体"/>
                <w:color w:val="auto"/>
                <w:kern w:val="0"/>
                <w:sz w:val="13"/>
                <w:szCs w:val="13"/>
                <w:highlight w:val="none"/>
                <w:lang w:val="en-US" w:eastAsia="zh-CN"/>
              </w:rPr>
              <w:t>或</w:t>
            </w:r>
            <w:r>
              <w:rPr>
                <w:rFonts w:hint="eastAsia" w:ascii="仿宋_GB2312" w:hAnsi="宋体" w:eastAsia="仿宋_GB2312" w:cs="宋体"/>
                <w:color w:val="auto"/>
                <w:kern w:val="0"/>
                <w:sz w:val="13"/>
                <w:szCs w:val="13"/>
                <w:highlight w:val="none"/>
              </w:rPr>
              <w:t>出水水质不达标的</w:t>
            </w:r>
            <w:r>
              <w:rPr>
                <w:rFonts w:hint="eastAsia" w:ascii="仿宋_GB2312" w:hAnsi="宋体" w:eastAsia="仿宋_GB2312" w:cs="宋体"/>
                <w:color w:val="auto"/>
                <w:kern w:val="0"/>
                <w:sz w:val="13"/>
                <w:szCs w:val="13"/>
                <w:highlight w:val="none"/>
                <w:lang w:eastAsia="zh-CN"/>
              </w:rPr>
              <w:t>，</w:t>
            </w:r>
            <w:r>
              <w:rPr>
                <w:rFonts w:hint="eastAsia" w:ascii="仿宋_GB2312" w:hAnsi="宋体" w:eastAsia="仿宋_GB2312" w:cs="宋体"/>
                <w:color w:val="auto"/>
                <w:kern w:val="0"/>
                <w:sz w:val="13"/>
                <w:szCs w:val="13"/>
                <w:highlight w:val="none"/>
                <w:lang w:val="en-US" w:eastAsia="zh-CN"/>
              </w:rPr>
              <w:t>或</w:t>
            </w:r>
            <w:r>
              <w:rPr>
                <w:rFonts w:hint="eastAsia" w:ascii="仿宋_GB2312" w:hAnsi="宋体" w:eastAsia="仿宋_GB2312" w:cs="宋体"/>
                <w:color w:val="auto"/>
                <w:kern w:val="0"/>
                <w:sz w:val="13"/>
                <w:szCs w:val="13"/>
                <w:highlight w:val="none"/>
              </w:rPr>
              <w:t>造成严重后果的。</w:t>
            </w:r>
          </w:p>
        </w:tc>
        <w:tc>
          <w:tcPr>
            <w:tcW w:w="3058" w:type="dxa"/>
            <w:tcBorders>
              <w:tl2br w:val="nil"/>
              <w:tr2bl w:val="nil"/>
            </w:tcBorders>
            <w:tcMar>
              <w:top w:w="15" w:type="dxa"/>
              <w:left w:w="15" w:type="dxa"/>
              <w:bottom w:w="15" w:type="dxa"/>
              <w:right w:w="15" w:type="dxa"/>
            </w:tcMar>
            <w:vAlign w:val="center"/>
          </w:tcPr>
          <w:p w14:paraId="494F96B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责令改正，可以处3万元以上5万元以下罚款。</w:t>
            </w:r>
          </w:p>
        </w:tc>
      </w:tr>
      <w:tr w14:paraId="12EFEE3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169" w:hRule="atLeast"/>
          <w:jc w:val="center"/>
        </w:trPr>
        <w:tc>
          <w:tcPr>
            <w:tcW w:w="428" w:type="dxa"/>
            <w:vMerge w:val="restart"/>
            <w:tcBorders>
              <w:tl2br w:val="nil"/>
              <w:tr2bl w:val="nil"/>
            </w:tcBorders>
            <w:tcMar>
              <w:top w:w="15" w:type="dxa"/>
              <w:left w:w="15" w:type="dxa"/>
              <w:bottom w:w="15" w:type="dxa"/>
              <w:right w:w="15" w:type="dxa"/>
            </w:tcMar>
            <w:vAlign w:val="center"/>
          </w:tcPr>
          <w:p w14:paraId="514F261A">
            <w:pPr>
              <w:keepNext w:val="0"/>
              <w:keepLines w:val="0"/>
              <w:pageBreakBefore w:val="0"/>
              <w:widowControl/>
              <w:numPr>
                <w:ilvl w:val="0"/>
                <w:numId w:val="11"/>
              </w:numPr>
              <w:suppressLineNumbers w:val="0"/>
              <w:tabs>
                <w:tab w:val="clear" w:pos="397"/>
              </w:tabs>
              <w:kinsoku/>
              <w:overflowPunct/>
              <w:topLinePunct w:val="0"/>
              <w:autoSpaceDE/>
              <w:autoSpaceDN/>
              <w:bidi w:val="0"/>
              <w:adjustRightInd/>
              <w:snapToGrid/>
              <w:spacing w:beforeAutospacing="0" w:afterAutospacing="0" w:line="260" w:lineRule="exact"/>
              <w:ind w:left="638" w:leftChars="88" w:right="0" w:rightChars="0" w:hanging="453" w:hangingChars="349"/>
              <w:jc w:val="center"/>
              <w:textAlignment w:val="center"/>
              <w:rPr>
                <w:rFonts w:hint="default" w:ascii="仿宋_GB2312" w:hAnsi="宋体" w:eastAsia="仿宋_GB2312" w:cs="宋体"/>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305</w:t>
            </w:r>
          </w:p>
        </w:tc>
        <w:tc>
          <w:tcPr>
            <w:tcW w:w="1550" w:type="dxa"/>
            <w:vMerge w:val="restart"/>
            <w:tcBorders>
              <w:tl2br w:val="nil"/>
              <w:tr2bl w:val="nil"/>
            </w:tcBorders>
            <w:tcMar>
              <w:top w:w="15" w:type="dxa"/>
              <w:left w:w="15" w:type="dxa"/>
              <w:bottom w:w="15" w:type="dxa"/>
              <w:right w:w="15" w:type="dxa"/>
            </w:tcMar>
            <w:vAlign w:val="center"/>
          </w:tcPr>
          <w:p w14:paraId="0BD4BDF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城镇污水处理设施维护运营单位擅自停运城镇污水处理设施，未按照规定事先报告或者采取应急处理措施的</w:t>
            </w:r>
          </w:p>
        </w:tc>
        <w:tc>
          <w:tcPr>
            <w:tcW w:w="4820" w:type="dxa"/>
            <w:vMerge w:val="restart"/>
            <w:tcBorders>
              <w:tl2br w:val="nil"/>
              <w:tr2bl w:val="nil"/>
            </w:tcBorders>
            <w:tcMar>
              <w:top w:w="15" w:type="dxa"/>
              <w:left w:w="15" w:type="dxa"/>
              <w:bottom w:w="15" w:type="dxa"/>
              <w:right w:w="15" w:type="dxa"/>
            </w:tcMar>
            <w:vAlign w:val="center"/>
          </w:tcPr>
          <w:p w14:paraId="7DAC2E3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《城镇排水与污水处理条例》</w:t>
            </w:r>
            <w:r>
              <w:rPr>
                <w:rFonts w:hint="eastAsia" w:ascii="仿宋_GB2312" w:hAnsi="宋体" w:eastAsia="仿宋_GB2312" w:cs="宋体"/>
                <w:b/>
                <w:bCs/>
                <w:color w:val="auto"/>
                <w:kern w:val="0"/>
                <w:sz w:val="13"/>
                <w:szCs w:val="13"/>
                <w:highlight w:val="none"/>
              </w:rPr>
              <w:t>第五十二条第二款</w:t>
            </w:r>
            <w:r>
              <w:rPr>
                <w:rFonts w:hint="eastAsia" w:ascii="仿宋_GB2312" w:hAnsi="宋体" w:eastAsia="仿宋_GB2312" w:cs="宋体"/>
                <w:b/>
                <w:bCs/>
                <w:color w:val="auto"/>
                <w:kern w:val="0"/>
                <w:sz w:val="13"/>
                <w:szCs w:val="13"/>
                <w:highlight w:val="none"/>
                <w:lang w:eastAsia="zh-CN"/>
              </w:rPr>
              <w:t>：</w:t>
            </w:r>
            <w:r>
              <w:rPr>
                <w:rFonts w:hint="eastAsia" w:ascii="仿宋_GB2312" w:hAnsi="宋体" w:eastAsia="仿宋_GB2312" w:cs="宋体"/>
                <w:color w:val="auto"/>
                <w:kern w:val="0"/>
                <w:sz w:val="13"/>
                <w:szCs w:val="13"/>
                <w:highlight w:val="none"/>
              </w:rPr>
              <w:t>违反本条例规定，城镇污水处理设施维护运营单位擅自停运城镇污水处理设施，未按照规定事先报告或者采取应急处理措施的，由城镇排水主管部门责令改正，给予警告；逾期不改正或者造成严重后果的，处10万元以上50万元以下罚款；造成损失的，依法承担赔偿责任。</w:t>
            </w:r>
          </w:p>
        </w:tc>
        <w:tc>
          <w:tcPr>
            <w:tcW w:w="823" w:type="dxa"/>
            <w:tcBorders>
              <w:tl2br w:val="nil"/>
              <w:tr2bl w:val="nil"/>
            </w:tcBorders>
            <w:tcMar>
              <w:top w:w="15" w:type="dxa"/>
              <w:left w:w="15" w:type="dxa"/>
              <w:bottom w:w="15" w:type="dxa"/>
              <w:right w:w="15" w:type="dxa"/>
            </w:tcMar>
            <w:vAlign w:val="center"/>
          </w:tcPr>
          <w:p w14:paraId="193F108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从轻情节</w:t>
            </w:r>
          </w:p>
        </w:tc>
        <w:tc>
          <w:tcPr>
            <w:tcW w:w="3437" w:type="dxa"/>
            <w:gridSpan w:val="2"/>
            <w:tcBorders>
              <w:tl2br w:val="nil"/>
              <w:tr2bl w:val="nil"/>
            </w:tcBorders>
            <w:tcMar>
              <w:top w:w="15" w:type="dxa"/>
              <w:left w:w="15" w:type="dxa"/>
              <w:bottom w:w="15" w:type="dxa"/>
              <w:right w:w="15" w:type="dxa"/>
            </w:tcMar>
            <w:vAlign w:val="center"/>
          </w:tcPr>
          <w:p w14:paraId="146862E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sz w:val="13"/>
                <w:szCs w:val="13"/>
                <w:highlight w:val="none"/>
              </w:rPr>
              <w:t>初次违法，及时改正，未造成严重后果的。</w:t>
            </w:r>
          </w:p>
        </w:tc>
        <w:tc>
          <w:tcPr>
            <w:tcW w:w="3058" w:type="dxa"/>
            <w:tcBorders>
              <w:tl2br w:val="nil"/>
              <w:tr2bl w:val="nil"/>
            </w:tcBorders>
            <w:tcMar>
              <w:top w:w="15" w:type="dxa"/>
              <w:left w:w="15" w:type="dxa"/>
              <w:bottom w:w="15" w:type="dxa"/>
              <w:right w:w="15" w:type="dxa"/>
            </w:tcMar>
            <w:vAlign w:val="center"/>
          </w:tcPr>
          <w:p w14:paraId="5FCB60E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责令改正，给予警告。</w:t>
            </w:r>
          </w:p>
        </w:tc>
      </w:tr>
      <w:tr w14:paraId="57DB7F1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183" w:hRule="atLeast"/>
          <w:jc w:val="center"/>
        </w:trPr>
        <w:tc>
          <w:tcPr>
            <w:tcW w:w="428" w:type="dxa"/>
            <w:vMerge w:val="continue"/>
            <w:tcBorders>
              <w:tl2br w:val="nil"/>
              <w:tr2bl w:val="nil"/>
            </w:tcBorders>
            <w:vAlign w:val="center"/>
          </w:tcPr>
          <w:p w14:paraId="4859FD49">
            <w:pPr>
              <w:pStyle w:val="37"/>
              <w:keepNext w:val="0"/>
              <w:keepLines w:val="0"/>
              <w:pageBreakBefore w:val="0"/>
              <w:widowControl/>
              <w:numPr>
                <w:ilvl w:val="0"/>
                <w:numId w:val="12"/>
              </w:numPr>
              <w:kinsoku/>
              <w:overflowPunct/>
              <w:topLinePunct w:val="0"/>
              <w:autoSpaceDE/>
              <w:autoSpaceDN/>
              <w:bidi w:val="0"/>
              <w:adjustRightInd/>
              <w:snapToGrid/>
              <w:spacing w:beforeAutospacing="0" w:afterAutospacing="0" w:line="260" w:lineRule="exact"/>
              <w:ind w:left="638" w:leftChars="88" w:right="0" w:rightChars="0" w:hanging="453" w:hangingChars="349"/>
              <w:jc w:val="center"/>
              <w:rPr>
                <w:rFonts w:ascii="仿宋_GB2312" w:hAnsi="宋体" w:eastAsia="仿宋_GB2312" w:cs="宋体"/>
                <w:color w:val="auto"/>
                <w:sz w:val="13"/>
                <w:szCs w:val="13"/>
                <w:highlight w:val="none"/>
              </w:rPr>
            </w:pPr>
          </w:p>
        </w:tc>
        <w:tc>
          <w:tcPr>
            <w:tcW w:w="1550" w:type="dxa"/>
            <w:vMerge w:val="continue"/>
            <w:tcBorders>
              <w:tl2br w:val="nil"/>
              <w:tr2bl w:val="nil"/>
            </w:tcBorders>
            <w:vAlign w:val="center"/>
          </w:tcPr>
          <w:p w14:paraId="551637F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sz w:val="13"/>
                <w:szCs w:val="13"/>
                <w:highlight w:val="none"/>
              </w:rPr>
            </w:pPr>
          </w:p>
        </w:tc>
        <w:tc>
          <w:tcPr>
            <w:tcW w:w="4820" w:type="dxa"/>
            <w:vMerge w:val="continue"/>
            <w:tcBorders>
              <w:tl2br w:val="nil"/>
              <w:tr2bl w:val="nil"/>
            </w:tcBorders>
            <w:vAlign w:val="center"/>
          </w:tcPr>
          <w:p w14:paraId="18E209B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2E8AE6D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一般情节</w:t>
            </w:r>
          </w:p>
        </w:tc>
        <w:tc>
          <w:tcPr>
            <w:tcW w:w="3437" w:type="dxa"/>
            <w:gridSpan w:val="2"/>
            <w:tcBorders>
              <w:tl2br w:val="nil"/>
              <w:tr2bl w:val="nil"/>
            </w:tcBorders>
            <w:tcMar>
              <w:top w:w="15" w:type="dxa"/>
              <w:left w:w="15" w:type="dxa"/>
              <w:bottom w:w="15" w:type="dxa"/>
              <w:right w:w="15" w:type="dxa"/>
            </w:tcMar>
            <w:vAlign w:val="center"/>
          </w:tcPr>
          <w:p w14:paraId="4B937F5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逾期不改正，尚未造成严重后果的</w:t>
            </w:r>
            <w:r>
              <w:rPr>
                <w:rFonts w:hint="eastAsia" w:ascii="仿宋_GB2312" w:hAnsi="宋体" w:eastAsia="仿宋_GB2312" w:cs="宋体"/>
                <w:color w:val="auto"/>
                <w:kern w:val="0"/>
                <w:sz w:val="13"/>
                <w:szCs w:val="13"/>
                <w:highlight w:val="none"/>
                <w:lang w:eastAsia="zh-CN"/>
              </w:rPr>
              <w:t>，</w:t>
            </w:r>
            <w:r>
              <w:rPr>
                <w:rFonts w:hint="eastAsia" w:ascii="仿宋_GB2312" w:hAnsi="宋体" w:eastAsia="仿宋_GB2312" w:cs="宋体"/>
                <w:color w:val="auto"/>
                <w:kern w:val="0"/>
                <w:sz w:val="13"/>
                <w:szCs w:val="13"/>
                <w:highlight w:val="none"/>
                <w:lang w:val="en-US" w:eastAsia="zh-CN"/>
              </w:rPr>
              <w:t>或</w:t>
            </w:r>
            <w:r>
              <w:rPr>
                <w:rFonts w:hint="eastAsia" w:ascii="仿宋_GB2312" w:hAnsi="宋体" w:eastAsia="仿宋_GB2312" w:cs="宋体"/>
                <w:color w:val="auto"/>
                <w:kern w:val="0"/>
                <w:sz w:val="13"/>
                <w:szCs w:val="13"/>
                <w:highlight w:val="none"/>
              </w:rPr>
              <w:t>及时改正，但已造成严重后果的。</w:t>
            </w:r>
          </w:p>
        </w:tc>
        <w:tc>
          <w:tcPr>
            <w:tcW w:w="3058" w:type="dxa"/>
            <w:tcBorders>
              <w:tl2br w:val="nil"/>
              <w:tr2bl w:val="nil"/>
            </w:tcBorders>
            <w:tcMar>
              <w:top w:w="15" w:type="dxa"/>
              <w:left w:w="15" w:type="dxa"/>
              <w:bottom w:w="15" w:type="dxa"/>
              <w:right w:w="15" w:type="dxa"/>
            </w:tcMar>
            <w:vAlign w:val="center"/>
          </w:tcPr>
          <w:p w14:paraId="6B3663E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责令改正，处10万元以上30万元以下的罚款。</w:t>
            </w:r>
          </w:p>
        </w:tc>
      </w:tr>
      <w:tr w14:paraId="36CB20A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247" w:hRule="atLeast"/>
          <w:jc w:val="center"/>
        </w:trPr>
        <w:tc>
          <w:tcPr>
            <w:tcW w:w="428" w:type="dxa"/>
            <w:vMerge w:val="continue"/>
            <w:tcBorders>
              <w:tl2br w:val="nil"/>
              <w:tr2bl w:val="nil"/>
            </w:tcBorders>
            <w:vAlign w:val="center"/>
          </w:tcPr>
          <w:p w14:paraId="18EE9773">
            <w:pPr>
              <w:pStyle w:val="37"/>
              <w:keepNext w:val="0"/>
              <w:keepLines w:val="0"/>
              <w:pageBreakBefore w:val="0"/>
              <w:widowControl/>
              <w:numPr>
                <w:ilvl w:val="0"/>
                <w:numId w:val="12"/>
              </w:numPr>
              <w:kinsoku/>
              <w:overflowPunct/>
              <w:topLinePunct w:val="0"/>
              <w:autoSpaceDE/>
              <w:autoSpaceDN/>
              <w:bidi w:val="0"/>
              <w:adjustRightInd/>
              <w:snapToGrid/>
              <w:spacing w:beforeAutospacing="0" w:afterAutospacing="0" w:line="260" w:lineRule="exact"/>
              <w:ind w:left="638" w:leftChars="88" w:right="0" w:rightChars="0" w:hanging="453" w:hangingChars="349"/>
              <w:jc w:val="center"/>
              <w:rPr>
                <w:rFonts w:ascii="仿宋_GB2312" w:hAnsi="宋体" w:eastAsia="仿宋_GB2312" w:cs="宋体"/>
                <w:color w:val="auto"/>
                <w:sz w:val="13"/>
                <w:szCs w:val="13"/>
                <w:highlight w:val="none"/>
              </w:rPr>
            </w:pPr>
          </w:p>
        </w:tc>
        <w:tc>
          <w:tcPr>
            <w:tcW w:w="1550" w:type="dxa"/>
            <w:vMerge w:val="continue"/>
            <w:tcBorders>
              <w:tl2br w:val="nil"/>
              <w:tr2bl w:val="nil"/>
            </w:tcBorders>
            <w:vAlign w:val="center"/>
          </w:tcPr>
          <w:p w14:paraId="6376B1A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sz w:val="13"/>
                <w:szCs w:val="13"/>
                <w:highlight w:val="none"/>
              </w:rPr>
            </w:pPr>
          </w:p>
        </w:tc>
        <w:tc>
          <w:tcPr>
            <w:tcW w:w="4820" w:type="dxa"/>
            <w:vMerge w:val="continue"/>
            <w:tcBorders>
              <w:tl2br w:val="nil"/>
              <w:tr2bl w:val="nil"/>
            </w:tcBorders>
            <w:vAlign w:val="center"/>
          </w:tcPr>
          <w:p w14:paraId="405D101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01988B2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从重情节</w:t>
            </w:r>
          </w:p>
        </w:tc>
        <w:tc>
          <w:tcPr>
            <w:tcW w:w="3437" w:type="dxa"/>
            <w:gridSpan w:val="2"/>
            <w:tcBorders>
              <w:tl2br w:val="nil"/>
              <w:tr2bl w:val="nil"/>
            </w:tcBorders>
            <w:tcMar>
              <w:top w:w="15" w:type="dxa"/>
              <w:left w:w="15" w:type="dxa"/>
              <w:bottom w:w="15" w:type="dxa"/>
              <w:right w:w="15" w:type="dxa"/>
            </w:tcMar>
            <w:vAlign w:val="center"/>
          </w:tcPr>
          <w:p w14:paraId="5C69A48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kern w:val="0"/>
                <w:sz w:val="13"/>
                <w:szCs w:val="13"/>
                <w:highlight w:val="none"/>
              </w:rPr>
            </w:pPr>
            <w:r>
              <w:rPr>
                <w:rFonts w:hint="eastAsia" w:ascii="仿宋_GB2312" w:hAnsi="宋体" w:eastAsia="仿宋_GB2312" w:cs="宋体"/>
                <w:color w:val="auto"/>
                <w:kern w:val="0"/>
                <w:sz w:val="13"/>
                <w:szCs w:val="13"/>
                <w:highlight w:val="none"/>
              </w:rPr>
              <w:t>逾期不改正，且已造成严重后果的</w:t>
            </w:r>
            <w:r>
              <w:rPr>
                <w:rFonts w:hint="eastAsia" w:ascii="仿宋_GB2312" w:hAnsi="宋体" w:eastAsia="仿宋_GB2312" w:cs="宋体"/>
                <w:color w:val="auto"/>
                <w:kern w:val="0"/>
                <w:sz w:val="13"/>
                <w:szCs w:val="13"/>
                <w:highlight w:val="none"/>
                <w:lang w:eastAsia="zh-CN"/>
              </w:rPr>
              <w:t>，</w:t>
            </w:r>
            <w:r>
              <w:rPr>
                <w:rFonts w:hint="eastAsia" w:ascii="仿宋_GB2312" w:hAnsi="宋体" w:eastAsia="仿宋_GB2312" w:cs="宋体"/>
                <w:color w:val="auto"/>
                <w:kern w:val="0"/>
                <w:sz w:val="13"/>
                <w:szCs w:val="13"/>
                <w:highlight w:val="none"/>
                <w:lang w:val="en-US" w:eastAsia="zh-CN"/>
              </w:rPr>
              <w:t>或</w:t>
            </w:r>
            <w:r>
              <w:rPr>
                <w:rFonts w:hint="eastAsia" w:ascii="仿宋_GB2312" w:hAnsi="宋体" w:eastAsia="仿宋_GB2312" w:cs="宋体"/>
                <w:color w:val="auto"/>
                <w:kern w:val="0"/>
                <w:sz w:val="13"/>
                <w:szCs w:val="13"/>
                <w:highlight w:val="none"/>
              </w:rPr>
              <w:t>曾因实施该违法行为被查处过，再次实施该违法行为，且已造成严重后果的。</w:t>
            </w:r>
          </w:p>
        </w:tc>
        <w:tc>
          <w:tcPr>
            <w:tcW w:w="3058" w:type="dxa"/>
            <w:tcBorders>
              <w:tl2br w:val="nil"/>
              <w:tr2bl w:val="nil"/>
            </w:tcBorders>
            <w:tcMar>
              <w:top w:w="15" w:type="dxa"/>
              <w:left w:w="15" w:type="dxa"/>
              <w:bottom w:w="15" w:type="dxa"/>
              <w:right w:w="15" w:type="dxa"/>
            </w:tcMar>
            <w:vAlign w:val="center"/>
          </w:tcPr>
          <w:p w14:paraId="1FCF38A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责令改正，处30万元以上50万元以下罚款。</w:t>
            </w:r>
          </w:p>
        </w:tc>
      </w:tr>
      <w:tr w14:paraId="41AD232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169" w:hRule="atLeast"/>
          <w:jc w:val="center"/>
        </w:trPr>
        <w:tc>
          <w:tcPr>
            <w:tcW w:w="428" w:type="dxa"/>
            <w:vMerge w:val="restart"/>
            <w:tcBorders>
              <w:tl2br w:val="nil"/>
              <w:tr2bl w:val="nil"/>
            </w:tcBorders>
            <w:tcMar>
              <w:top w:w="15" w:type="dxa"/>
              <w:left w:w="15" w:type="dxa"/>
              <w:bottom w:w="15" w:type="dxa"/>
              <w:right w:w="15" w:type="dxa"/>
            </w:tcMar>
            <w:vAlign w:val="center"/>
          </w:tcPr>
          <w:p w14:paraId="03D056F3">
            <w:pPr>
              <w:keepNext w:val="0"/>
              <w:keepLines w:val="0"/>
              <w:pageBreakBefore w:val="0"/>
              <w:widowControl/>
              <w:numPr>
                <w:ilvl w:val="0"/>
                <w:numId w:val="11"/>
              </w:numPr>
              <w:suppressLineNumbers w:val="0"/>
              <w:tabs>
                <w:tab w:val="clear" w:pos="397"/>
              </w:tabs>
              <w:kinsoku/>
              <w:overflowPunct/>
              <w:topLinePunct w:val="0"/>
              <w:autoSpaceDE/>
              <w:autoSpaceDN/>
              <w:bidi w:val="0"/>
              <w:adjustRightInd/>
              <w:snapToGrid/>
              <w:spacing w:beforeAutospacing="0" w:afterAutospacing="0" w:line="260" w:lineRule="exact"/>
              <w:ind w:left="638" w:leftChars="88" w:right="0" w:rightChars="0" w:hanging="453" w:hangingChars="349"/>
              <w:jc w:val="center"/>
              <w:textAlignment w:val="center"/>
              <w:rPr>
                <w:rFonts w:hint="default" w:ascii="仿宋_GB2312" w:hAnsi="宋体" w:eastAsia="仿宋_GB2312" w:cs="宋体"/>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306</w:t>
            </w:r>
          </w:p>
        </w:tc>
        <w:tc>
          <w:tcPr>
            <w:tcW w:w="1550" w:type="dxa"/>
            <w:vMerge w:val="restart"/>
            <w:tcBorders>
              <w:tl2br w:val="nil"/>
              <w:tr2bl w:val="nil"/>
            </w:tcBorders>
            <w:tcMar>
              <w:top w:w="15" w:type="dxa"/>
              <w:left w:w="15" w:type="dxa"/>
              <w:bottom w:w="15" w:type="dxa"/>
              <w:right w:w="15" w:type="dxa"/>
            </w:tcMar>
            <w:vAlign w:val="center"/>
          </w:tcPr>
          <w:p w14:paraId="13D741B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排水单位或者个人不缴纳污水处理费的</w:t>
            </w:r>
          </w:p>
        </w:tc>
        <w:tc>
          <w:tcPr>
            <w:tcW w:w="4820" w:type="dxa"/>
            <w:vMerge w:val="restart"/>
            <w:tcBorders>
              <w:tl2br w:val="nil"/>
              <w:tr2bl w:val="nil"/>
            </w:tcBorders>
            <w:tcMar>
              <w:top w:w="15" w:type="dxa"/>
              <w:left w:w="15" w:type="dxa"/>
              <w:bottom w:w="15" w:type="dxa"/>
              <w:right w:w="15" w:type="dxa"/>
            </w:tcMar>
            <w:vAlign w:val="center"/>
          </w:tcPr>
          <w:p w14:paraId="6379424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《城镇排水与污水处理条例》</w:t>
            </w:r>
            <w:r>
              <w:rPr>
                <w:rFonts w:hint="eastAsia" w:ascii="仿宋_GB2312" w:hAnsi="宋体" w:eastAsia="仿宋_GB2312" w:cs="宋体"/>
                <w:b/>
                <w:bCs/>
                <w:color w:val="auto"/>
                <w:kern w:val="0"/>
                <w:sz w:val="13"/>
                <w:szCs w:val="13"/>
                <w:highlight w:val="none"/>
              </w:rPr>
              <w:t>第五十四条</w:t>
            </w:r>
            <w:r>
              <w:rPr>
                <w:rFonts w:hint="eastAsia" w:ascii="仿宋_GB2312" w:hAnsi="宋体" w:eastAsia="仿宋_GB2312" w:cs="宋体"/>
                <w:b/>
                <w:bCs/>
                <w:color w:val="auto"/>
                <w:kern w:val="0"/>
                <w:sz w:val="13"/>
                <w:szCs w:val="13"/>
                <w:highlight w:val="none"/>
                <w:lang w:eastAsia="zh-CN"/>
              </w:rPr>
              <w:t>：</w:t>
            </w:r>
            <w:r>
              <w:rPr>
                <w:rFonts w:hint="eastAsia" w:ascii="仿宋_GB2312" w:hAnsi="宋体" w:eastAsia="仿宋_GB2312" w:cs="宋体"/>
                <w:color w:val="auto"/>
                <w:kern w:val="0"/>
                <w:sz w:val="13"/>
                <w:szCs w:val="13"/>
                <w:highlight w:val="none"/>
              </w:rPr>
              <w:t>违反本条例规定，排水单位或者个人不缴纳污水处理费的，由城镇排水主管部门责令限期缴纳，逾期拒不缴纳的，处应缴纳污水处理费数额1倍以上3倍以下罚款。</w:t>
            </w:r>
          </w:p>
        </w:tc>
        <w:tc>
          <w:tcPr>
            <w:tcW w:w="823" w:type="dxa"/>
            <w:tcBorders>
              <w:tl2br w:val="nil"/>
              <w:tr2bl w:val="nil"/>
            </w:tcBorders>
            <w:tcMar>
              <w:top w:w="15" w:type="dxa"/>
              <w:left w:w="15" w:type="dxa"/>
              <w:bottom w:w="15" w:type="dxa"/>
              <w:right w:w="15" w:type="dxa"/>
            </w:tcMar>
            <w:vAlign w:val="center"/>
          </w:tcPr>
          <w:p w14:paraId="731BAB3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从轻情节</w:t>
            </w:r>
          </w:p>
        </w:tc>
        <w:tc>
          <w:tcPr>
            <w:tcW w:w="3437" w:type="dxa"/>
            <w:gridSpan w:val="2"/>
            <w:tcBorders>
              <w:tl2br w:val="nil"/>
              <w:tr2bl w:val="nil"/>
            </w:tcBorders>
            <w:tcMar>
              <w:top w:w="15" w:type="dxa"/>
              <w:left w:w="15" w:type="dxa"/>
              <w:bottom w:w="15" w:type="dxa"/>
              <w:right w:w="15" w:type="dxa"/>
            </w:tcMar>
            <w:vAlign w:val="center"/>
          </w:tcPr>
          <w:p w14:paraId="489B87C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初次违法，违法情节轻微，但责令限期缴纳，逾期拒不缴纳的。</w:t>
            </w:r>
          </w:p>
        </w:tc>
        <w:tc>
          <w:tcPr>
            <w:tcW w:w="3058" w:type="dxa"/>
            <w:tcBorders>
              <w:tl2br w:val="nil"/>
              <w:tr2bl w:val="nil"/>
            </w:tcBorders>
            <w:tcMar>
              <w:top w:w="15" w:type="dxa"/>
              <w:left w:w="15" w:type="dxa"/>
              <w:bottom w:w="15" w:type="dxa"/>
              <w:right w:w="15" w:type="dxa"/>
            </w:tcMar>
            <w:vAlign w:val="center"/>
          </w:tcPr>
          <w:p w14:paraId="2433517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处应缴纳污水处理费数额1倍罚款。</w:t>
            </w:r>
          </w:p>
        </w:tc>
      </w:tr>
      <w:tr w14:paraId="43CE00E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169" w:hRule="atLeast"/>
          <w:jc w:val="center"/>
        </w:trPr>
        <w:tc>
          <w:tcPr>
            <w:tcW w:w="428" w:type="dxa"/>
            <w:vMerge w:val="continue"/>
            <w:tcBorders>
              <w:tl2br w:val="nil"/>
              <w:tr2bl w:val="nil"/>
            </w:tcBorders>
            <w:vAlign w:val="center"/>
          </w:tcPr>
          <w:p w14:paraId="0B6DA10B">
            <w:pPr>
              <w:pStyle w:val="37"/>
              <w:keepNext w:val="0"/>
              <w:keepLines w:val="0"/>
              <w:pageBreakBefore w:val="0"/>
              <w:widowControl/>
              <w:numPr>
                <w:ilvl w:val="0"/>
                <w:numId w:val="12"/>
              </w:numPr>
              <w:kinsoku/>
              <w:overflowPunct/>
              <w:topLinePunct w:val="0"/>
              <w:autoSpaceDE/>
              <w:autoSpaceDN/>
              <w:bidi w:val="0"/>
              <w:adjustRightInd/>
              <w:snapToGrid/>
              <w:spacing w:beforeAutospacing="0" w:afterAutospacing="0" w:line="260" w:lineRule="exact"/>
              <w:ind w:left="638" w:leftChars="88" w:right="0" w:rightChars="0" w:hanging="453" w:hangingChars="349"/>
              <w:jc w:val="center"/>
              <w:rPr>
                <w:rFonts w:ascii="仿宋_GB2312" w:hAnsi="宋体" w:eastAsia="仿宋_GB2312" w:cs="宋体"/>
                <w:color w:val="auto"/>
                <w:sz w:val="13"/>
                <w:szCs w:val="13"/>
                <w:highlight w:val="none"/>
              </w:rPr>
            </w:pPr>
          </w:p>
        </w:tc>
        <w:tc>
          <w:tcPr>
            <w:tcW w:w="1550" w:type="dxa"/>
            <w:vMerge w:val="continue"/>
            <w:tcBorders>
              <w:tl2br w:val="nil"/>
              <w:tr2bl w:val="nil"/>
            </w:tcBorders>
            <w:vAlign w:val="center"/>
          </w:tcPr>
          <w:p w14:paraId="4AF7DF9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sz w:val="13"/>
                <w:szCs w:val="13"/>
                <w:highlight w:val="none"/>
              </w:rPr>
            </w:pPr>
          </w:p>
        </w:tc>
        <w:tc>
          <w:tcPr>
            <w:tcW w:w="4820" w:type="dxa"/>
            <w:vMerge w:val="continue"/>
            <w:tcBorders>
              <w:tl2br w:val="nil"/>
              <w:tr2bl w:val="nil"/>
            </w:tcBorders>
            <w:vAlign w:val="center"/>
          </w:tcPr>
          <w:p w14:paraId="19BF575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68ACAE2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一般情节</w:t>
            </w:r>
          </w:p>
        </w:tc>
        <w:tc>
          <w:tcPr>
            <w:tcW w:w="3437" w:type="dxa"/>
            <w:gridSpan w:val="2"/>
            <w:tcBorders>
              <w:tl2br w:val="nil"/>
              <w:tr2bl w:val="nil"/>
            </w:tcBorders>
            <w:tcMar>
              <w:top w:w="15" w:type="dxa"/>
              <w:left w:w="15" w:type="dxa"/>
              <w:bottom w:w="15" w:type="dxa"/>
              <w:right w:w="15" w:type="dxa"/>
            </w:tcMar>
            <w:vAlign w:val="center"/>
          </w:tcPr>
          <w:p w14:paraId="1FB785A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责令限期缴纳，逾期拒不缴纳，不具有从轻、</w:t>
            </w:r>
            <w:r>
              <w:rPr>
                <w:rFonts w:hint="eastAsia" w:ascii="仿宋_GB2312" w:hAnsi="宋体" w:eastAsia="仿宋_GB2312" w:cs="宋体"/>
                <w:color w:val="auto"/>
                <w:kern w:val="0"/>
                <w:sz w:val="13"/>
                <w:szCs w:val="13"/>
                <w:highlight w:val="none"/>
                <w:lang w:eastAsia="zh-CN"/>
              </w:rPr>
              <w:t>从重情节</w:t>
            </w:r>
            <w:r>
              <w:rPr>
                <w:rFonts w:hint="eastAsia" w:ascii="仿宋_GB2312" w:hAnsi="宋体" w:eastAsia="仿宋_GB2312" w:cs="宋体"/>
                <w:color w:val="auto"/>
                <w:kern w:val="0"/>
                <w:sz w:val="13"/>
                <w:szCs w:val="13"/>
                <w:highlight w:val="none"/>
              </w:rPr>
              <w:t>的。</w:t>
            </w:r>
          </w:p>
        </w:tc>
        <w:tc>
          <w:tcPr>
            <w:tcW w:w="3058" w:type="dxa"/>
            <w:tcBorders>
              <w:tl2br w:val="nil"/>
              <w:tr2bl w:val="nil"/>
            </w:tcBorders>
            <w:tcMar>
              <w:top w:w="15" w:type="dxa"/>
              <w:left w:w="15" w:type="dxa"/>
              <w:bottom w:w="15" w:type="dxa"/>
              <w:right w:w="15" w:type="dxa"/>
            </w:tcMar>
            <w:vAlign w:val="center"/>
          </w:tcPr>
          <w:p w14:paraId="49D2E4A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处应缴纳污水处理费数额1倍以上2倍以下罚款。</w:t>
            </w:r>
          </w:p>
        </w:tc>
      </w:tr>
      <w:tr w14:paraId="3BDF450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403" w:hRule="atLeast"/>
          <w:jc w:val="center"/>
        </w:trPr>
        <w:tc>
          <w:tcPr>
            <w:tcW w:w="428" w:type="dxa"/>
            <w:vMerge w:val="continue"/>
            <w:tcBorders>
              <w:tl2br w:val="nil"/>
              <w:tr2bl w:val="nil"/>
            </w:tcBorders>
            <w:vAlign w:val="center"/>
          </w:tcPr>
          <w:p w14:paraId="468DA8FA">
            <w:pPr>
              <w:pStyle w:val="37"/>
              <w:keepNext w:val="0"/>
              <w:keepLines w:val="0"/>
              <w:pageBreakBefore w:val="0"/>
              <w:widowControl/>
              <w:numPr>
                <w:ilvl w:val="0"/>
                <w:numId w:val="12"/>
              </w:numPr>
              <w:kinsoku/>
              <w:overflowPunct/>
              <w:topLinePunct w:val="0"/>
              <w:autoSpaceDE/>
              <w:autoSpaceDN/>
              <w:bidi w:val="0"/>
              <w:adjustRightInd/>
              <w:snapToGrid/>
              <w:spacing w:beforeAutospacing="0" w:afterAutospacing="0" w:line="260" w:lineRule="exact"/>
              <w:ind w:left="638" w:leftChars="88" w:right="0" w:rightChars="0" w:hanging="453" w:hangingChars="349"/>
              <w:jc w:val="center"/>
              <w:rPr>
                <w:rFonts w:ascii="仿宋_GB2312" w:hAnsi="宋体" w:eastAsia="仿宋_GB2312" w:cs="宋体"/>
                <w:color w:val="auto"/>
                <w:sz w:val="13"/>
                <w:szCs w:val="13"/>
                <w:highlight w:val="none"/>
              </w:rPr>
            </w:pPr>
          </w:p>
        </w:tc>
        <w:tc>
          <w:tcPr>
            <w:tcW w:w="1550" w:type="dxa"/>
            <w:vMerge w:val="continue"/>
            <w:tcBorders>
              <w:tl2br w:val="nil"/>
              <w:tr2bl w:val="nil"/>
            </w:tcBorders>
            <w:vAlign w:val="center"/>
          </w:tcPr>
          <w:p w14:paraId="372230F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sz w:val="13"/>
                <w:szCs w:val="13"/>
                <w:highlight w:val="none"/>
              </w:rPr>
            </w:pPr>
          </w:p>
        </w:tc>
        <w:tc>
          <w:tcPr>
            <w:tcW w:w="4820" w:type="dxa"/>
            <w:vMerge w:val="continue"/>
            <w:tcBorders>
              <w:tl2br w:val="nil"/>
              <w:tr2bl w:val="nil"/>
            </w:tcBorders>
            <w:vAlign w:val="center"/>
          </w:tcPr>
          <w:p w14:paraId="578D3A1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4630E1B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从重情节</w:t>
            </w:r>
          </w:p>
        </w:tc>
        <w:tc>
          <w:tcPr>
            <w:tcW w:w="3437" w:type="dxa"/>
            <w:gridSpan w:val="2"/>
            <w:tcBorders>
              <w:tl2br w:val="nil"/>
              <w:tr2bl w:val="nil"/>
            </w:tcBorders>
            <w:tcMar>
              <w:top w:w="15" w:type="dxa"/>
              <w:left w:w="15" w:type="dxa"/>
              <w:bottom w:w="15" w:type="dxa"/>
              <w:right w:w="15" w:type="dxa"/>
            </w:tcMar>
            <w:vAlign w:val="center"/>
          </w:tcPr>
          <w:p w14:paraId="022ACF9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责令限期缴纳，逾期3个月以上未缴纳的</w:t>
            </w:r>
            <w:r>
              <w:rPr>
                <w:rFonts w:hint="eastAsia" w:ascii="仿宋_GB2312" w:hAnsi="宋体" w:eastAsia="仿宋_GB2312" w:cs="宋体"/>
                <w:color w:val="auto"/>
                <w:kern w:val="0"/>
                <w:sz w:val="13"/>
                <w:szCs w:val="13"/>
                <w:highlight w:val="none"/>
                <w:lang w:eastAsia="zh-CN"/>
              </w:rPr>
              <w:t>，</w:t>
            </w:r>
            <w:r>
              <w:rPr>
                <w:rFonts w:hint="eastAsia" w:ascii="仿宋_GB2312" w:hAnsi="宋体" w:eastAsia="仿宋_GB2312" w:cs="宋体"/>
                <w:color w:val="auto"/>
                <w:kern w:val="0"/>
                <w:sz w:val="13"/>
                <w:szCs w:val="13"/>
                <w:highlight w:val="none"/>
                <w:lang w:val="en-US" w:eastAsia="zh-CN"/>
              </w:rPr>
              <w:t>或</w:t>
            </w:r>
            <w:r>
              <w:rPr>
                <w:rFonts w:hint="eastAsia" w:ascii="仿宋_GB2312" w:hAnsi="宋体" w:eastAsia="仿宋_GB2312" w:cs="宋体"/>
                <w:color w:val="auto"/>
                <w:kern w:val="0"/>
                <w:sz w:val="13"/>
                <w:szCs w:val="13"/>
                <w:highlight w:val="none"/>
              </w:rPr>
              <w:t>曾因实施该违法行为被查处，再次实施该违法行为，责令限期缴纳，逾期拒不缴纳的</w:t>
            </w:r>
            <w:r>
              <w:rPr>
                <w:rFonts w:hint="eastAsia" w:ascii="仿宋_GB2312" w:hAnsi="宋体" w:eastAsia="仿宋_GB2312" w:cs="宋体"/>
                <w:color w:val="auto"/>
                <w:kern w:val="0"/>
                <w:sz w:val="13"/>
                <w:szCs w:val="13"/>
                <w:highlight w:val="none"/>
                <w:lang w:eastAsia="zh-CN"/>
              </w:rPr>
              <w:t>，</w:t>
            </w:r>
            <w:r>
              <w:rPr>
                <w:rFonts w:hint="eastAsia" w:ascii="仿宋_GB2312" w:hAnsi="宋体" w:eastAsia="仿宋_GB2312" w:cs="宋体"/>
                <w:color w:val="auto"/>
                <w:kern w:val="0"/>
                <w:sz w:val="13"/>
                <w:szCs w:val="13"/>
                <w:highlight w:val="none"/>
                <w:lang w:val="en-US" w:eastAsia="zh-CN"/>
              </w:rPr>
              <w:t>或</w:t>
            </w:r>
            <w:r>
              <w:rPr>
                <w:rFonts w:hint="eastAsia" w:ascii="仿宋_GB2312" w:hAnsi="宋体" w:eastAsia="仿宋_GB2312" w:cs="宋体"/>
                <w:color w:val="auto"/>
                <w:kern w:val="0"/>
                <w:sz w:val="13"/>
                <w:szCs w:val="13"/>
                <w:highlight w:val="none"/>
              </w:rPr>
              <w:t>责令限期缴纳，逾期拒不缴纳，造成不良社会影响的。</w:t>
            </w:r>
          </w:p>
        </w:tc>
        <w:tc>
          <w:tcPr>
            <w:tcW w:w="3058" w:type="dxa"/>
            <w:tcBorders>
              <w:tl2br w:val="nil"/>
              <w:tr2bl w:val="nil"/>
            </w:tcBorders>
            <w:tcMar>
              <w:top w:w="15" w:type="dxa"/>
              <w:left w:w="15" w:type="dxa"/>
              <w:bottom w:w="15" w:type="dxa"/>
              <w:right w:w="15" w:type="dxa"/>
            </w:tcMar>
            <w:vAlign w:val="center"/>
          </w:tcPr>
          <w:p w14:paraId="0B676D7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处应缴纳污水处理费数额2倍以上3倍以下罚款。</w:t>
            </w:r>
          </w:p>
        </w:tc>
      </w:tr>
      <w:tr w14:paraId="7CAF18F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433" w:hRule="atLeast"/>
          <w:jc w:val="center"/>
        </w:trPr>
        <w:tc>
          <w:tcPr>
            <w:tcW w:w="428" w:type="dxa"/>
            <w:vMerge w:val="restart"/>
            <w:tcBorders>
              <w:tl2br w:val="nil"/>
              <w:tr2bl w:val="nil"/>
            </w:tcBorders>
            <w:tcMar>
              <w:top w:w="15" w:type="dxa"/>
              <w:left w:w="15" w:type="dxa"/>
              <w:bottom w:w="15" w:type="dxa"/>
              <w:right w:w="15" w:type="dxa"/>
            </w:tcMar>
            <w:vAlign w:val="center"/>
          </w:tcPr>
          <w:p w14:paraId="60A618D5">
            <w:pPr>
              <w:keepNext w:val="0"/>
              <w:keepLines w:val="0"/>
              <w:pageBreakBefore w:val="0"/>
              <w:widowControl/>
              <w:numPr>
                <w:ilvl w:val="0"/>
                <w:numId w:val="11"/>
              </w:numPr>
              <w:suppressLineNumbers w:val="0"/>
              <w:tabs>
                <w:tab w:val="clear" w:pos="397"/>
              </w:tabs>
              <w:kinsoku/>
              <w:overflowPunct/>
              <w:topLinePunct w:val="0"/>
              <w:autoSpaceDE/>
              <w:autoSpaceDN/>
              <w:bidi w:val="0"/>
              <w:adjustRightInd/>
              <w:snapToGrid/>
              <w:spacing w:beforeAutospacing="0" w:afterAutospacing="0" w:line="260" w:lineRule="exact"/>
              <w:ind w:left="638" w:leftChars="88" w:right="0" w:rightChars="0" w:hanging="453" w:hangingChars="349"/>
              <w:jc w:val="center"/>
              <w:textAlignment w:val="center"/>
              <w:rPr>
                <w:rFonts w:hint="default" w:ascii="仿宋_GB2312" w:hAnsi="宋体" w:eastAsia="仿宋_GB2312" w:cs="宋体"/>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307</w:t>
            </w:r>
          </w:p>
        </w:tc>
        <w:tc>
          <w:tcPr>
            <w:tcW w:w="1550" w:type="dxa"/>
            <w:vMerge w:val="restart"/>
            <w:tcBorders>
              <w:tl2br w:val="nil"/>
              <w:tr2bl w:val="nil"/>
            </w:tcBorders>
            <w:tcMar>
              <w:top w:w="15" w:type="dxa"/>
              <w:left w:w="15" w:type="dxa"/>
              <w:bottom w:w="15" w:type="dxa"/>
              <w:right w:w="15" w:type="dxa"/>
            </w:tcMar>
            <w:vAlign w:val="center"/>
          </w:tcPr>
          <w:p w14:paraId="10B1B16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城镇排水与污水处理设施维护运营单位有下列情形之一的：（1）未按照国家有关规定履行日常巡查、维修和养护责任，保障设施安全运行的；（2）未及时采取防护措施、组织事故抢修的；（3）因巡查、维护不到位，导致窨井盖丢失、损毁，造成人员伤亡和财产损失的</w:t>
            </w:r>
            <w:r>
              <w:rPr>
                <w:rFonts w:hint="eastAsia" w:ascii="仿宋_GB2312" w:hAnsi="宋体" w:eastAsia="仿宋_GB2312"/>
                <w:color w:val="auto"/>
                <w:kern w:val="0"/>
                <w:sz w:val="13"/>
                <w:szCs w:val="13"/>
                <w:highlight w:val="none"/>
              </w:rPr>
              <w:t>。</w:t>
            </w:r>
          </w:p>
        </w:tc>
        <w:tc>
          <w:tcPr>
            <w:tcW w:w="4820" w:type="dxa"/>
            <w:vMerge w:val="restart"/>
            <w:tcBorders>
              <w:tl2br w:val="nil"/>
              <w:tr2bl w:val="nil"/>
            </w:tcBorders>
            <w:tcMar>
              <w:top w:w="15" w:type="dxa"/>
              <w:left w:w="15" w:type="dxa"/>
              <w:bottom w:w="15" w:type="dxa"/>
              <w:right w:w="15" w:type="dxa"/>
            </w:tcMar>
            <w:vAlign w:val="center"/>
          </w:tcPr>
          <w:p w14:paraId="07821CD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hint="eastAsia" w:ascii="仿宋_GB2312" w:hAnsi="宋体" w:eastAsia="仿宋_GB2312" w:cs="宋体"/>
                <w:color w:val="auto"/>
                <w:kern w:val="0"/>
                <w:sz w:val="13"/>
                <w:szCs w:val="13"/>
                <w:highlight w:val="none"/>
              </w:rPr>
            </w:pPr>
            <w:r>
              <w:rPr>
                <w:rFonts w:hint="eastAsia" w:ascii="仿宋_GB2312" w:hAnsi="宋体" w:eastAsia="仿宋_GB2312" w:cs="宋体"/>
                <w:color w:val="auto"/>
                <w:kern w:val="0"/>
                <w:sz w:val="13"/>
                <w:szCs w:val="13"/>
                <w:highlight w:val="none"/>
              </w:rPr>
              <w:t>《城镇排水与污水处理条例》</w:t>
            </w:r>
            <w:r>
              <w:rPr>
                <w:rFonts w:hint="eastAsia" w:ascii="仿宋_GB2312" w:hAnsi="宋体" w:eastAsia="仿宋_GB2312" w:cs="宋体"/>
                <w:b/>
                <w:bCs/>
                <w:color w:val="auto"/>
                <w:kern w:val="0"/>
                <w:sz w:val="13"/>
                <w:szCs w:val="13"/>
                <w:highlight w:val="none"/>
              </w:rPr>
              <w:t>第五十五条</w:t>
            </w:r>
            <w:r>
              <w:rPr>
                <w:rFonts w:hint="eastAsia" w:ascii="仿宋_GB2312" w:hAnsi="宋体" w:eastAsia="仿宋_GB2312" w:cs="宋体"/>
                <w:b/>
                <w:bCs/>
                <w:color w:val="auto"/>
                <w:kern w:val="0"/>
                <w:sz w:val="13"/>
                <w:szCs w:val="13"/>
                <w:highlight w:val="none"/>
                <w:lang w:eastAsia="zh-CN"/>
              </w:rPr>
              <w:t>：</w:t>
            </w:r>
            <w:r>
              <w:rPr>
                <w:rFonts w:hint="eastAsia" w:ascii="仿宋_GB2312" w:hAnsi="宋体" w:eastAsia="仿宋_GB2312" w:cs="宋体"/>
                <w:color w:val="auto"/>
                <w:kern w:val="0"/>
                <w:sz w:val="13"/>
                <w:szCs w:val="13"/>
                <w:highlight w:val="none"/>
              </w:rPr>
              <w:t>违反本条例规定，城镇排水与污水处理设施维护运营单位有下列情形之一的，由城镇排水主管部门责令改正，给予警告；逾期不改正或者造成严重后果的，处10万元以上50万元以下罚款；造成损失的，依法承担赔偿责任；构成犯罪的，依法追究刑事责任：</w:t>
            </w:r>
          </w:p>
          <w:p w14:paraId="3539E2FA">
            <w:pPr>
              <w:keepNext w:val="0"/>
              <w:keepLines w:val="0"/>
              <w:pageBreakBefore w:val="0"/>
              <w:widowControl/>
              <w:numPr>
                <w:ilvl w:val="0"/>
                <w:numId w:val="13"/>
              </w:numPr>
              <w:kinsoku/>
              <w:overflowPunct/>
              <w:topLinePunct w:val="0"/>
              <w:autoSpaceDE/>
              <w:autoSpaceDN/>
              <w:bidi w:val="0"/>
              <w:adjustRightInd/>
              <w:snapToGrid/>
              <w:spacing w:beforeAutospacing="0" w:afterAutospacing="0" w:line="260" w:lineRule="exact"/>
              <w:ind w:left="0" w:leftChars="0" w:right="0" w:rightChars="0" w:firstLine="260" w:firstLineChars="200"/>
              <w:textAlignment w:val="center"/>
              <w:rPr>
                <w:rFonts w:hint="eastAsia" w:ascii="仿宋_GB2312" w:hAnsi="宋体" w:eastAsia="仿宋_GB2312" w:cs="宋体"/>
                <w:color w:val="auto"/>
                <w:kern w:val="0"/>
                <w:sz w:val="13"/>
                <w:szCs w:val="13"/>
                <w:highlight w:val="none"/>
              </w:rPr>
            </w:pPr>
            <w:r>
              <w:rPr>
                <w:rFonts w:hint="eastAsia" w:ascii="仿宋_GB2312" w:hAnsi="宋体" w:eastAsia="仿宋_GB2312" w:cs="宋体"/>
                <w:color w:val="auto"/>
                <w:kern w:val="0"/>
                <w:sz w:val="13"/>
                <w:szCs w:val="13"/>
                <w:highlight w:val="none"/>
              </w:rPr>
              <w:t>未按照国家有关规定履行日常巡查、维修和养护责任，保障设施安全运行的；</w:t>
            </w:r>
          </w:p>
          <w:p w14:paraId="323CBB58">
            <w:pPr>
              <w:keepNext w:val="0"/>
              <w:keepLines w:val="0"/>
              <w:pageBreakBefore w:val="0"/>
              <w:widowControl/>
              <w:numPr>
                <w:ilvl w:val="0"/>
                <w:numId w:val="13"/>
              </w:numPr>
              <w:kinsoku/>
              <w:overflowPunct/>
              <w:topLinePunct w:val="0"/>
              <w:autoSpaceDE/>
              <w:autoSpaceDN/>
              <w:bidi w:val="0"/>
              <w:adjustRightInd/>
              <w:snapToGrid/>
              <w:spacing w:beforeAutospacing="0" w:afterAutospacing="0" w:line="260" w:lineRule="exact"/>
              <w:ind w:left="0" w:leftChars="0" w:right="0" w:rightChars="0" w:firstLine="260" w:firstLineChars="200"/>
              <w:textAlignment w:val="center"/>
              <w:rPr>
                <w:rFonts w:hint="eastAsia" w:ascii="仿宋_GB2312" w:hAnsi="宋体" w:eastAsia="仿宋_GB2312" w:cs="宋体"/>
                <w:color w:val="auto"/>
                <w:kern w:val="0"/>
                <w:sz w:val="13"/>
                <w:szCs w:val="13"/>
                <w:highlight w:val="none"/>
              </w:rPr>
            </w:pPr>
            <w:r>
              <w:rPr>
                <w:rFonts w:hint="eastAsia" w:ascii="仿宋_GB2312" w:hAnsi="宋体" w:eastAsia="仿宋_GB2312" w:cs="宋体"/>
                <w:color w:val="auto"/>
                <w:kern w:val="0"/>
                <w:sz w:val="13"/>
                <w:szCs w:val="13"/>
                <w:highlight w:val="none"/>
              </w:rPr>
              <w:t>未及时采取防护措施、组织事故抢修的；</w:t>
            </w:r>
          </w:p>
          <w:p w14:paraId="2F023C3A">
            <w:pPr>
              <w:keepNext w:val="0"/>
              <w:keepLines w:val="0"/>
              <w:pageBreakBefore w:val="0"/>
              <w:widowControl/>
              <w:numPr>
                <w:ilvl w:val="0"/>
                <w:numId w:val="0"/>
              </w:numPr>
              <w:kinsoku/>
              <w:overflowPunct/>
              <w:topLinePunct w:val="0"/>
              <w:autoSpaceDE/>
              <w:autoSpaceDN/>
              <w:bidi w:val="0"/>
              <w:adjustRightInd/>
              <w:snapToGrid/>
              <w:spacing w:beforeAutospacing="0" w:afterAutospacing="0" w:line="260" w:lineRule="exact"/>
              <w:ind w:left="0" w:leftChars="0" w:right="0" w:rightChars="0" w:firstLine="260" w:firstLineChars="200"/>
              <w:textAlignment w:val="center"/>
              <w:rPr>
                <w:rFonts w:ascii="仿宋_GB2312" w:hAnsi="宋体" w:eastAsia="仿宋_GB2312" w:cs="宋体"/>
                <w:color w:val="auto"/>
                <w:kern w:val="0"/>
                <w:sz w:val="13"/>
                <w:szCs w:val="13"/>
                <w:highlight w:val="none"/>
              </w:rPr>
            </w:pPr>
            <w:r>
              <w:rPr>
                <w:rFonts w:hint="eastAsia" w:ascii="仿宋_GB2312" w:hAnsi="宋体" w:eastAsia="仿宋_GB2312" w:cs="宋体"/>
                <w:color w:val="auto"/>
                <w:kern w:val="0"/>
                <w:sz w:val="13"/>
                <w:szCs w:val="13"/>
                <w:highlight w:val="none"/>
              </w:rPr>
              <w:t>（三）因巡查、维护不到位，导致窨井盖丢失、损毁，造成人员伤亡和财产损失的。</w:t>
            </w:r>
          </w:p>
        </w:tc>
        <w:tc>
          <w:tcPr>
            <w:tcW w:w="823" w:type="dxa"/>
            <w:tcBorders>
              <w:tl2br w:val="nil"/>
              <w:tr2bl w:val="nil"/>
            </w:tcBorders>
            <w:tcMar>
              <w:top w:w="15" w:type="dxa"/>
              <w:left w:w="15" w:type="dxa"/>
              <w:bottom w:w="15" w:type="dxa"/>
              <w:right w:w="15" w:type="dxa"/>
            </w:tcMar>
            <w:vAlign w:val="center"/>
          </w:tcPr>
          <w:p w14:paraId="498D0A2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从轻情节</w:t>
            </w:r>
          </w:p>
        </w:tc>
        <w:tc>
          <w:tcPr>
            <w:tcW w:w="3437" w:type="dxa"/>
            <w:gridSpan w:val="2"/>
            <w:tcBorders>
              <w:tl2br w:val="nil"/>
              <w:tr2bl w:val="nil"/>
            </w:tcBorders>
            <w:tcMar>
              <w:top w:w="15" w:type="dxa"/>
              <w:left w:w="15" w:type="dxa"/>
              <w:bottom w:w="15" w:type="dxa"/>
              <w:right w:w="15" w:type="dxa"/>
            </w:tcMar>
            <w:vAlign w:val="center"/>
          </w:tcPr>
          <w:p w14:paraId="47D8FE6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sz w:val="13"/>
                <w:szCs w:val="13"/>
                <w:highlight w:val="none"/>
              </w:rPr>
              <w:t>初次违法，及时改正，未造成严重后果的。</w:t>
            </w:r>
          </w:p>
        </w:tc>
        <w:tc>
          <w:tcPr>
            <w:tcW w:w="3058" w:type="dxa"/>
            <w:tcBorders>
              <w:tl2br w:val="nil"/>
              <w:tr2bl w:val="nil"/>
            </w:tcBorders>
            <w:tcMar>
              <w:top w:w="15" w:type="dxa"/>
              <w:left w:w="15" w:type="dxa"/>
              <w:bottom w:w="15" w:type="dxa"/>
              <w:right w:w="15" w:type="dxa"/>
            </w:tcMar>
            <w:vAlign w:val="center"/>
          </w:tcPr>
          <w:p w14:paraId="5B9AA43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责令改正，给予警告。</w:t>
            </w:r>
          </w:p>
        </w:tc>
      </w:tr>
      <w:tr w14:paraId="2E3984A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429" w:hRule="atLeast"/>
          <w:jc w:val="center"/>
        </w:trPr>
        <w:tc>
          <w:tcPr>
            <w:tcW w:w="428" w:type="dxa"/>
            <w:vMerge w:val="continue"/>
            <w:tcBorders>
              <w:tl2br w:val="nil"/>
              <w:tr2bl w:val="nil"/>
            </w:tcBorders>
            <w:vAlign w:val="center"/>
          </w:tcPr>
          <w:p w14:paraId="5F7CDC60">
            <w:pPr>
              <w:pStyle w:val="37"/>
              <w:keepNext w:val="0"/>
              <w:keepLines w:val="0"/>
              <w:pageBreakBefore w:val="0"/>
              <w:widowControl/>
              <w:numPr>
                <w:ilvl w:val="0"/>
                <w:numId w:val="12"/>
              </w:numPr>
              <w:kinsoku/>
              <w:overflowPunct/>
              <w:topLinePunct w:val="0"/>
              <w:autoSpaceDE/>
              <w:autoSpaceDN/>
              <w:bidi w:val="0"/>
              <w:adjustRightInd/>
              <w:snapToGrid/>
              <w:spacing w:beforeAutospacing="0" w:afterAutospacing="0" w:line="260" w:lineRule="exact"/>
              <w:ind w:left="638" w:leftChars="88" w:right="0" w:rightChars="0" w:hanging="453" w:hangingChars="349"/>
              <w:jc w:val="center"/>
              <w:rPr>
                <w:rFonts w:ascii="仿宋_GB2312" w:hAnsi="宋体" w:eastAsia="仿宋_GB2312" w:cs="宋体"/>
                <w:color w:val="auto"/>
                <w:sz w:val="13"/>
                <w:szCs w:val="13"/>
                <w:highlight w:val="none"/>
              </w:rPr>
            </w:pPr>
          </w:p>
        </w:tc>
        <w:tc>
          <w:tcPr>
            <w:tcW w:w="1550" w:type="dxa"/>
            <w:vMerge w:val="continue"/>
            <w:tcBorders>
              <w:tl2br w:val="nil"/>
              <w:tr2bl w:val="nil"/>
            </w:tcBorders>
            <w:vAlign w:val="center"/>
          </w:tcPr>
          <w:p w14:paraId="650FEDB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sz w:val="13"/>
                <w:szCs w:val="13"/>
                <w:highlight w:val="none"/>
              </w:rPr>
            </w:pPr>
          </w:p>
        </w:tc>
        <w:tc>
          <w:tcPr>
            <w:tcW w:w="4820" w:type="dxa"/>
            <w:vMerge w:val="continue"/>
            <w:tcBorders>
              <w:tl2br w:val="nil"/>
              <w:tr2bl w:val="nil"/>
            </w:tcBorders>
            <w:vAlign w:val="center"/>
          </w:tcPr>
          <w:p w14:paraId="562F223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7373212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一般情节</w:t>
            </w:r>
          </w:p>
        </w:tc>
        <w:tc>
          <w:tcPr>
            <w:tcW w:w="3437" w:type="dxa"/>
            <w:gridSpan w:val="2"/>
            <w:tcBorders>
              <w:tl2br w:val="nil"/>
              <w:tr2bl w:val="nil"/>
            </w:tcBorders>
            <w:tcMar>
              <w:top w:w="15" w:type="dxa"/>
              <w:left w:w="15" w:type="dxa"/>
              <w:bottom w:w="15" w:type="dxa"/>
              <w:right w:w="15" w:type="dxa"/>
            </w:tcMar>
            <w:vAlign w:val="center"/>
          </w:tcPr>
          <w:p w14:paraId="196E619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逾期不改正，尚未造成严重后果的</w:t>
            </w:r>
            <w:r>
              <w:rPr>
                <w:rFonts w:hint="eastAsia" w:ascii="仿宋_GB2312" w:hAnsi="宋体" w:eastAsia="仿宋_GB2312" w:cs="宋体"/>
                <w:color w:val="auto"/>
                <w:kern w:val="0"/>
                <w:sz w:val="13"/>
                <w:szCs w:val="13"/>
                <w:highlight w:val="none"/>
                <w:lang w:eastAsia="zh-CN"/>
              </w:rPr>
              <w:t>，</w:t>
            </w:r>
            <w:r>
              <w:rPr>
                <w:rFonts w:hint="eastAsia" w:ascii="仿宋_GB2312" w:hAnsi="宋体" w:eastAsia="仿宋_GB2312" w:cs="宋体"/>
                <w:color w:val="auto"/>
                <w:kern w:val="0"/>
                <w:sz w:val="13"/>
                <w:szCs w:val="13"/>
                <w:highlight w:val="none"/>
                <w:lang w:val="en-US" w:eastAsia="zh-CN"/>
              </w:rPr>
              <w:t>或</w:t>
            </w:r>
            <w:r>
              <w:rPr>
                <w:rFonts w:hint="eastAsia" w:ascii="仿宋_GB2312" w:hAnsi="宋体" w:eastAsia="仿宋_GB2312" w:cs="宋体"/>
                <w:color w:val="auto"/>
                <w:kern w:val="0"/>
                <w:sz w:val="13"/>
                <w:szCs w:val="13"/>
                <w:highlight w:val="none"/>
              </w:rPr>
              <w:t>及时改正，但已造成严重后果的。</w:t>
            </w:r>
          </w:p>
        </w:tc>
        <w:tc>
          <w:tcPr>
            <w:tcW w:w="3058" w:type="dxa"/>
            <w:tcBorders>
              <w:tl2br w:val="nil"/>
              <w:tr2bl w:val="nil"/>
            </w:tcBorders>
            <w:tcMar>
              <w:top w:w="15" w:type="dxa"/>
              <w:left w:w="15" w:type="dxa"/>
              <w:bottom w:w="15" w:type="dxa"/>
              <w:right w:w="15" w:type="dxa"/>
            </w:tcMar>
            <w:vAlign w:val="center"/>
          </w:tcPr>
          <w:p w14:paraId="6D1ECC9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责令改正，处10万元以上30万元以下罚款。</w:t>
            </w:r>
          </w:p>
        </w:tc>
      </w:tr>
      <w:tr w14:paraId="33FDF6D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312" w:hRule="atLeast"/>
          <w:jc w:val="center"/>
        </w:trPr>
        <w:tc>
          <w:tcPr>
            <w:tcW w:w="428" w:type="dxa"/>
            <w:vMerge w:val="continue"/>
            <w:tcBorders>
              <w:tl2br w:val="nil"/>
              <w:tr2bl w:val="nil"/>
            </w:tcBorders>
            <w:vAlign w:val="center"/>
          </w:tcPr>
          <w:p w14:paraId="6A14A446">
            <w:pPr>
              <w:pStyle w:val="37"/>
              <w:keepNext w:val="0"/>
              <w:keepLines w:val="0"/>
              <w:pageBreakBefore w:val="0"/>
              <w:widowControl/>
              <w:numPr>
                <w:ilvl w:val="0"/>
                <w:numId w:val="12"/>
              </w:numPr>
              <w:kinsoku/>
              <w:overflowPunct/>
              <w:topLinePunct w:val="0"/>
              <w:autoSpaceDE/>
              <w:autoSpaceDN/>
              <w:bidi w:val="0"/>
              <w:adjustRightInd/>
              <w:snapToGrid/>
              <w:spacing w:beforeAutospacing="0" w:afterAutospacing="0" w:line="260" w:lineRule="exact"/>
              <w:ind w:left="638" w:leftChars="88" w:right="0" w:rightChars="0" w:hanging="453" w:hangingChars="349"/>
              <w:jc w:val="center"/>
              <w:rPr>
                <w:rFonts w:ascii="仿宋_GB2312" w:hAnsi="宋体" w:eastAsia="仿宋_GB2312" w:cs="宋体"/>
                <w:color w:val="auto"/>
                <w:sz w:val="13"/>
                <w:szCs w:val="13"/>
                <w:highlight w:val="none"/>
              </w:rPr>
            </w:pPr>
          </w:p>
        </w:tc>
        <w:tc>
          <w:tcPr>
            <w:tcW w:w="1550" w:type="dxa"/>
            <w:vMerge w:val="continue"/>
            <w:tcBorders>
              <w:tl2br w:val="nil"/>
              <w:tr2bl w:val="nil"/>
            </w:tcBorders>
            <w:vAlign w:val="center"/>
          </w:tcPr>
          <w:p w14:paraId="3765DA3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sz w:val="13"/>
                <w:szCs w:val="13"/>
                <w:highlight w:val="none"/>
              </w:rPr>
            </w:pPr>
          </w:p>
        </w:tc>
        <w:tc>
          <w:tcPr>
            <w:tcW w:w="4820" w:type="dxa"/>
            <w:vMerge w:val="continue"/>
            <w:tcBorders>
              <w:tl2br w:val="nil"/>
              <w:tr2bl w:val="nil"/>
            </w:tcBorders>
            <w:vAlign w:val="center"/>
          </w:tcPr>
          <w:p w14:paraId="73146EF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4315588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从重情节</w:t>
            </w:r>
          </w:p>
        </w:tc>
        <w:tc>
          <w:tcPr>
            <w:tcW w:w="3437" w:type="dxa"/>
            <w:gridSpan w:val="2"/>
            <w:tcBorders>
              <w:tl2br w:val="nil"/>
              <w:tr2bl w:val="nil"/>
            </w:tcBorders>
            <w:tcMar>
              <w:top w:w="15" w:type="dxa"/>
              <w:left w:w="15" w:type="dxa"/>
              <w:bottom w:w="15" w:type="dxa"/>
              <w:right w:w="15" w:type="dxa"/>
            </w:tcMar>
            <w:vAlign w:val="center"/>
          </w:tcPr>
          <w:p w14:paraId="700F972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kern w:val="0"/>
                <w:sz w:val="13"/>
                <w:szCs w:val="13"/>
                <w:highlight w:val="none"/>
              </w:rPr>
            </w:pPr>
            <w:r>
              <w:rPr>
                <w:rFonts w:hint="eastAsia" w:ascii="仿宋_GB2312" w:hAnsi="宋体" w:eastAsia="仿宋_GB2312" w:cs="宋体"/>
                <w:color w:val="auto"/>
                <w:kern w:val="0"/>
                <w:sz w:val="13"/>
                <w:szCs w:val="13"/>
                <w:highlight w:val="none"/>
              </w:rPr>
              <w:t>逾期不改正，且已造成了严重后果的</w:t>
            </w:r>
            <w:r>
              <w:rPr>
                <w:rFonts w:hint="eastAsia" w:ascii="仿宋_GB2312" w:hAnsi="宋体" w:eastAsia="仿宋_GB2312" w:cs="宋体"/>
                <w:color w:val="auto"/>
                <w:kern w:val="0"/>
                <w:sz w:val="13"/>
                <w:szCs w:val="13"/>
                <w:highlight w:val="none"/>
                <w:lang w:eastAsia="zh-CN"/>
              </w:rPr>
              <w:t>，</w:t>
            </w:r>
            <w:r>
              <w:rPr>
                <w:rFonts w:hint="eastAsia" w:ascii="仿宋_GB2312" w:hAnsi="宋体" w:eastAsia="仿宋_GB2312" w:cs="宋体"/>
                <w:color w:val="auto"/>
                <w:kern w:val="0"/>
                <w:sz w:val="13"/>
                <w:szCs w:val="13"/>
                <w:highlight w:val="none"/>
                <w:lang w:val="en-US" w:eastAsia="zh-CN"/>
              </w:rPr>
              <w:t>或</w:t>
            </w:r>
            <w:r>
              <w:rPr>
                <w:rFonts w:hint="eastAsia" w:ascii="仿宋_GB2312" w:hAnsi="宋体" w:eastAsia="仿宋_GB2312" w:cs="宋体"/>
                <w:color w:val="auto"/>
                <w:kern w:val="0"/>
                <w:sz w:val="13"/>
                <w:szCs w:val="13"/>
                <w:highlight w:val="none"/>
              </w:rPr>
              <w:t>曾因实施该违法行为被查处，再次实施该违法行为，且已造成严重后果的。</w:t>
            </w:r>
          </w:p>
        </w:tc>
        <w:tc>
          <w:tcPr>
            <w:tcW w:w="3058" w:type="dxa"/>
            <w:tcBorders>
              <w:tl2br w:val="nil"/>
              <w:tr2bl w:val="nil"/>
            </w:tcBorders>
            <w:tcMar>
              <w:top w:w="15" w:type="dxa"/>
              <w:left w:w="15" w:type="dxa"/>
              <w:bottom w:w="15" w:type="dxa"/>
              <w:right w:w="15" w:type="dxa"/>
            </w:tcMar>
            <w:vAlign w:val="center"/>
          </w:tcPr>
          <w:p w14:paraId="3F5888A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责令改正，处30万元以上50万元以下罚款。</w:t>
            </w:r>
          </w:p>
        </w:tc>
      </w:tr>
      <w:tr w14:paraId="339664C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235" w:hRule="atLeast"/>
          <w:jc w:val="center"/>
        </w:trPr>
        <w:tc>
          <w:tcPr>
            <w:tcW w:w="428" w:type="dxa"/>
            <w:vMerge w:val="restart"/>
            <w:tcBorders>
              <w:tl2br w:val="nil"/>
              <w:tr2bl w:val="nil"/>
            </w:tcBorders>
            <w:tcMar>
              <w:top w:w="15" w:type="dxa"/>
              <w:left w:w="15" w:type="dxa"/>
              <w:bottom w:w="15" w:type="dxa"/>
              <w:right w:w="15" w:type="dxa"/>
            </w:tcMar>
            <w:vAlign w:val="center"/>
          </w:tcPr>
          <w:p w14:paraId="37E20C14">
            <w:pPr>
              <w:keepNext w:val="0"/>
              <w:keepLines w:val="0"/>
              <w:pageBreakBefore w:val="0"/>
              <w:widowControl/>
              <w:numPr>
                <w:ilvl w:val="0"/>
                <w:numId w:val="11"/>
              </w:numPr>
              <w:suppressLineNumbers w:val="0"/>
              <w:tabs>
                <w:tab w:val="clear" w:pos="397"/>
              </w:tabs>
              <w:kinsoku/>
              <w:overflowPunct/>
              <w:topLinePunct w:val="0"/>
              <w:autoSpaceDE/>
              <w:autoSpaceDN/>
              <w:bidi w:val="0"/>
              <w:adjustRightInd/>
              <w:snapToGrid/>
              <w:spacing w:beforeAutospacing="0" w:afterAutospacing="0" w:line="260" w:lineRule="exact"/>
              <w:ind w:left="638" w:leftChars="88" w:right="0" w:rightChars="0" w:hanging="453" w:hangingChars="349"/>
              <w:jc w:val="center"/>
              <w:textAlignment w:val="center"/>
              <w:rPr>
                <w:rFonts w:hint="default" w:ascii="仿宋_GB2312" w:hAnsi="宋体" w:eastAsia="仿宋_GB2312" w:cs="宋体"/>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308</w:t>
            </w:r>
          </w:p>
        </w:tc>
        <w:tc>
          <w:tcPr>
            <w:tcW w:w="1550" w:type="dxa"/>
            <w:vMerge w:val="restart"/>
            <w:tcBorders>
              <w:tl2br w:val="nil"/>
              <w:tr2bl w:val="nil"/>
            </w:tcBorders>
            <w:tcMar>
              <w:top w:w="15" w:type="dxa"/>
              <w:left w:w="15" w:type="dxa"/>
              <w:bottom w:w="15" w:type="dxa"/>
              <w:right w:w="15" w:type="dxa"/>
            </w:tcMar>
            <w:vAlign w:val="center"/>
          </w:tcPr>
          <w:p w14:paraId="7B96649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从事危及城镇排水与污水处理设施安全的活动的</w:t>
            </w:r>
          </w:p>
        </w:tc>
        <w:tc>
          <w:tcPr>
            <w:tcW w:w="4820" w:type="dxa"/>
            <w:vMerge w:val="restart"/>
            <w:tcBorders>
              <w:tl2br w:val="nil"/>
              <w:tr2bl w:val="nil"/>
            </w:tcBorders>
            <w:tcMar>
              <w:top w:w="15" w:type="dxa"/>
              <w:left w:w="15" w:type="dxa"/>
              <w:bottom w:w="15" w:type="dxa"/>
              <w:right w:w="15" w:type="dxa"/>
            </w:tcMar>
            <w:vAlign w:val="center"/>
          </w:tcPr>
          <w:p w14:paraId="484C70B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kern w:val="0"/>
                <w:sz w:val="13"/>
                <w:szCs w:val="13"/>
                <w:highlight w:val="none"/>
              </w:rPr>
            </w:pPr>
            <w:r>
              <w:rPr>
                <w:rFonts w:hint="eastAsia" w:ascii="仿宋_GB2312" w:hAnsi="宋体" w:eastAsia="仿宋_GB2312" w:cs="宋体"/>
                <w:color w:val="auto"/>
                <w:kern w:val="0"/>
                <w:sz w:val="13"/>
                <w:szCs w:val="13"/>
                <w:highlight w:val="none"/>
              </w:rPr>
              <w:t>《城镇排水与污水处理条例》</w:t>
            </w:r>
            <w:r>
              <w:rPr>
                <w:rFonts w:hint="eastAsia" w:ascii="仿宋_GB2312" w:hAnsi="宋体" w:eastAsia="仿宋_GB2312" w:cs="宋体"/>
                <w:b/>
                <w:bCs/>
                <w:color w:val="auto"/>
                <w:kern w:val="0"/>
                <w:sz w:val="13"/>
                <w:szCs w:val="13"/>
                <w:highlight w:val="none"/>
              </w:rPr>
              <w:t>第五十六条</w:t>
            </w:r>
            <w:r>
              <w:rPr>
                <w:rFonts w:hint="eastAsia" w:ascii="仿宋_GB2312" w:hAnsi="宋体" w:eastAsia="仿宋_GB2312" w:cs="宋体"/>
                <w:b/>
                <w:bCs/>
                <w:color w:val="auto"/>
                <w:kern w:val="0"/>
                <w:sz w:val="13"/>
                <w:szCs w:val="13"/>
                <w:highlight w:val="none"/>
                <w:lang w:eastAsia="zh-CN"/>
              </w:rPr>
              <w:t>：</w:t>
            </w:r>
            <w:r>
              <w:rPr>
                <w:rFonts w:hint="eastAsia" w:ascii="仿宋_GB2312" w:hAnsi="宋体" w:eastAsia="仿宋_GB2312" w:cs="宋体"/>
                <w:color w:val="auto"/>
                <w:kern w:val="0"/>
                <w:sz w:val="13"/>
                <w:szCs w:val="13"/>
                <w:highlight w:val="none"/>
              </w:rPr>
              <w:t>违反本条例规定，从事危及城镇排水与污水处理设施安全的活动的，由城镇排水主管部门责令停止违法行为，限期恢复原状或者采取其他补救措施，给予警告；逾期不采取补救措施或者造成严重后果的，对单位处10万元以上30万元以下罚款，对个人处2万元以上10万元以下罚款；造成损失的，依法承担赔偿责任；构成犯罪的，依法追究刑事责任。</w:t>
            </w:r>
          </w:p>
        </w:tc>
        <w:tc>
          <w:tcPr>
            <w:tcW w:w="823" w:type="dxa"/>
            <w:tcBorders>
              <w:tl2br w:val="nil"/>
              <w:tr2bl w:val="nil"/>
            </w:tcBorders>
            <w:tcMar>
              <w:top w:w="15" w:type="dxa"/>
              <w:left w:w="15" w:type="dxa"/>
              <w:bottom w:w="15" w:type="dxa"/>
              <w:right w:w="15" w:type="dxa"/>
            </w:tcMar>
            <w:vAlign w:val="center"/>
          </w:tcPr>
          <w:p w14:paraId="5E0B89C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从轻情节</w:t>
            </w:r>
          </w:p>
        </w:tc>
        <w:tc>
          <w:tcPr>
            <w:tcW w:w="3437" w:type="dxa"/>
            <w:gridSpan w:val="2"/>
            <w:tcBorders>
              <w:tl2br w:val="nil"/>
              <w:tr2bl w:val="nil"/>
            </w:tcBorders>
            <w:tcMar>
              <w:top w:w="15" w:type="dxa"/>
              <w:left w:w="15" w:type="dxa"/>
              <w:bottom w:w="15" w:type="dxa"/>
              <w:right w:w="15" w:type="dxa"/>
            </w:tcMar>
            <w:vAlign w:val="center"/>
          </w:tcPr>
          <w:p w14:paraId="78F0191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sz w:val="13"/>
                <w:szCs w:val="13"/>
                <w:highlight w:val="none"/>
              </w:rPr>
              <w:t>初次违法，及时采取补救措施，未造成严重后果的。</w:t>
            </w:r>
          </w:p>
        </w:tc>
        <w:tc>
          <w:tcPr>
            <w:tcW w:w="3058" w:type="dxa"/>
            <w:tcBorders>
              <w:tl2br w:val="nil"/>
              <w:tr2bl w:val="nil"/>
            </w:tcBorders>
            <w:tcMar>
              <w:top w:w="15" w:type="dxa"/>
              <w:left w:w="15" w:type="dxa"/>
              <w:bottom w:w="15" w:type="dxa"/>
              <w:right w:w="15" w:type="dxa"/>
            </w:tcMar>
            <w:vAlign w:val="center"/>
          </w:tcPr>
          <w:p w14:paraId="5EDB312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责令停止违法行为，限期恢复原状或者采取其他补救措施，给予警告。</w:t>
            </w:r>
          </w:p>
        </w:tc>
      </w:tr>
      <w:tr w14:paraId="08E9EF0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247" w:hRule="atLeast"/>
          <w:jc w:val="center"/>
        </w:trPr>
        <w:tc>
          <w:tcPr>
            <w:tcW w:w="428" w:type="dxa"/>
            <w:vMerge w:val="continue"/>
            <w:tcBorders>
              <w:tl2br w:val="nil"/>
              <w:tr2bl w:val="nil"/>
            </w:tcBorders>
            <w:vAlign w:val="center"/>
          </w:tcPr>
          <w:p w14:paraId="2586BB48">
            <w:pPr>
              <w:pStyle w:val="37"/>
              <w:keepNext w:val="0"/>
              <w:keepLines w:val="0"/>
              <w:pageBreakBefore w:val="0"/>
              <w:widowControl/>
              <w:numPr>
                <w:ilvl w:val="0"/>
                <w:numId w:val="12"/>
              </w:numPr>
              <w:kinsoku/>
              <w:overflowPunct/>
              <w:topLinePunct w:val="0"/>
              <w:autoSpaceDE/>
              <w:autoSpaceDN/>
              <w:bidi w:val="0"/>
              <w:adjustRightInd/>
              <w:snapToGrid/>
              <w:spacing w:beforeAutospacing="0" w:afterAutospacing="0" w:line="260" w:lineRule="exact"/>
              <w:ind w:left="638" w:leftChars="88" w:right="0" w:rightChars="0" w:hanging="453" w:hangingChars="349"/>
              <w:jc w:val="center"/>
              <w:rPr>
                <w:rFonts w:ascii="仿宋_GB2312" w:hAnsi="宋体" w:eastAsia="仿宋_GB2312" w:cs="宋体"/>
                <w:color w:val="auto"/>
                <w:sz w:val="13"/>
                <w:szCs w:val="13"/>
                <w:highlight w:val="none"/>
              </w:rPr>
            </w:pPr>
          </w:p>
        </w:tc>
        <w:tc>
          <w:tcPr>
            <w:tcW w:w="1550" w:type="dxa"/>
            <w:vMerge w:val="continue"/>
            <w:tcBorders>
              <w:tl2br w:val="nil"/>
              <w:tr2bl w:val="nil"/>
            </w:tcBorders>
            <w:vAlign w:val="center"/>
          </w:tcPr>
          <w:p w14:paraId="4CEC138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sz w:val="13"/>
                <w:szCs w:val="13"/>
                <w:highlight w:val="none"/>
              </w:rPr>
            </w:pPr>
          </w:p>
        </w:tc>
        <w:tc>
          <w:tcPr>
            <w:tcW w:w="4820" w:type="dxa"/>
            <w:vMerge w:val="continue"/>
            <w:tcBorders>
              <w:tl2br w:val="nil"/>
              <w:tr2bl w:val="nil"/>
            </w:tcBorders>
            <w:vAlign w:val="center"/>
          </w:tcPr>
          <w:p w14:paraId="349A057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5F7B97E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一般情节</w:t>
            </w:r>
          </w:p>
        </w:tc>
        <w:tc>
          <w:tcPr>
            <w:tcW w:w="3437" w:type="dxa"/>
            <w:gridSpan w:val="2"/>
            <w:tcBorders>
              <w:tl2br w:val="nil"/>
              <w:tr2bl w:val="nil"/>
            </w:tcBorders>
            <w:tcMar>
              <w:top w:w="15" w:type="dxa"/>
              <w:left w:w="15" w:type="dxa"/>
              <w:bottom w:w="15" w:type="dxa"/>
              <w:right w:w="15" w:type="dxa"/>
            </w:tcMar>
            <w:vAlign w:val="center"/>
          </w:tcPr>
          <w:p w14:paraId="639C6BD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逾期不采取补救措施，但尚未造成严重后果的</w:t>
            </w:r>
            <w:r>
              <w:rPr>
                <w:rFonts w:hint="eastAsia" w:ascii="仿宋_GB2312" w:hAnsi="宋体" w:eastAsia="仿宋_GB2312" w:cs="宋体"/>
                <w:color w:val="auto"/>
                <w:kern w:val="0"/>
                <w:sz w:val="13"/>
                <w:szCs w:val="13"/>
                <w:highlight w:val="none"/>
                <w:lang w:eastAsia="zh-CN"/>
              </w:rPr>
              <w:t>，</w:t>
            </w:r>
            <w:r>
              <w:rPr>
                <w:rFonts w:hint="eastAsia" w:ascii="仿宋_GB2312" w:hAnsi="宋体" w:eastAsia="仿宋_GB2312" w:cs="宋体"/>
                <w:color w:val="auto"/>
                <w:kern w:val="0"/>
                <w:sz w:val="13"/>
                <w:szCs w:val="13"/>
                <w:highlight w:val="none"/>
                <w:lang w:val="en-US" w:eastAsia="zh-CN"/>
              </w:rPr>
              <w:t>或</w:t>
            </w:r>
            <w:r>
              <w:rPr>
                <w:rFonts w:hint="eastAsia" w:ascii="仿宋_GB2312" w:hAnsi="宋体" w:eastAsia="仿宋_GB2312" w:cs="宋体"/>
                <w:color w:val="auto"/>
                <w:kern w:val="0"/>
                <w:sz w:val="13"/>
                <w:szCs w:val="13"/>
                <w:highlight w:val="none"/>
              </w:rPr>
              <w:t>及时采取补救措施，但已造成严重后果的。</w:t>
            </w:r>
          </w:p>
        </w:tc>
        <w:tc>
          <w:tcPr>
            <w:tcW w:w="3058" w:type="dxa"/>
            <w:tcBorders>
              <w:tl2br w:val="nil"/>
              <w:tr2bl w:val="nil"/>
            </w:tcBorders>
            <w:tcMar>
              <w:top w:w="15" w:type="dxa"/>
              <w:left w:w="15" w:type="dxa"/>
              <w:bottom w:w="15" w:type="dxa"/>
              <w:right w:w="15" w:type="dxa"/>
            </w:tcMar>
            <w:vAlign w:val="center"/>
          </w:tcPr>
          <w:p w14:paraId="180E774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责令停止违法行为，限期恢复原状或者采取其他补救措施，对单位处10万元以上20万元以下罚款，对个人处2万元以上5万元以下罚款。</w:t>
            </w:r>
          </w:p>
        </w:tc>
      </w:tr>
      <w:tr w14:paraId="5067342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387" w:hRule="atLeast"/>
          <w:jc w:val="center"/>
        </w:trPr>
        <w:tc>
          <w:tcPr>
            <w:tcW w:w="428" w:type="dxa"/>
            <w:vMerge w:val="continue"/>
            <w:tcBorders>
              <w:tl2br w:val="nil"/>
              <w:tr2bl w:val="nil"/>
            </w:tcBorders>
            <w:vAlign w:val="center"/>
          </w:tcPr>
          <w:p w14:paraId="4FD77F29">
            <w:pPr>
              <w:pStyle w:val="37"/>
              <w:keepNext w:val="0"/>
              <w:keepLines w:val="0"/>
              <w:pageBreakBefore w:val="0"/>
              <w:widowControl/>
              <w:numPr>
                <w:ilvl w:val="0"/>
                <w:numId w:val="12"/>
              </w:numPr>
              <w:kinsoku/>
              <w:overflowPunct/>
              <w:topLinePunct w:val="0"/>
              <w:autoSpaceDE/>
              <w:autoSpaceDN/>
              <w:bidi w:val="0"/>
              <w:adjustRightInd/>
              <w:snapToGrid/>
              <w:spacing w:beforeAutospacing="0" w:afterAutospacing="0" w:line="260" w:lineRule="exact"/>
              <w:ind w:left="638" w:leftChars="88" w:right="0" w:rightChars="0" w:hanging="453" w:hangingChars="349"/>
              <w:jc w:val="center"/>
              <w:rPr>
                <w:rFonts w:ascii="仿宋_GB2312" w:hAnsi="宋体" w:eastAsia="仿宋_GB2312" w:cs="宋体"/>
                <w:color w:val="auto"/>
                <w:sz w:val="13"/>
                <w:szCs w:val="13"/>
                <w:highlight w:val="none"/>
              </w:rPr>
            </w:pPr>
          </w:p>
        </w:tc>
        <w:tc>
          <w:tcPr>
            <w:tcW w:w="1550" w:type="dxa"/>
            <w:vMerge w:val="continue"/>
            <w:tcBorders>
              <w:tl2br w:val="nil"/>
              <w:tr2bl w:val="nil"/>
            </w:tcBorders>
            <w:vAlign w:val="center"/>
          </w:tcPr>
          <w:p w14:paraId="6E94ABB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sz w:val="13"/>
                <w:szCs w:val="13"/>
                <w:highlight w:val="none"/>
              </w:rPr>
            </w:pPr>
          </w:p>
        </w:tc>
        <w:tc>
          <w:tcPr>
            <w:tcW w:w="4820" w:type="dxa"/>
            <w:vMerge w:val="continue"/>
            <w:tcBorders>
              <w:tl2br w:val="nil"/>
              <w:tr2bl w:val="nil"/>
            </w:tcBorders>
            <w:vAlign w:val="center"/>
          </w:tcPr>
          <w:p w14:paraId="5416D41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08C195B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从重情节</w:t>
            </w:r>
          </w:p>
        </w:tc>
        <w:tc>
          <w:tcPr>
            <w:tcW w:w="3437" w:type="dxa"/>
            <w:gridSpan w:val="2"/>
            <w:tcBorders>
              <w:tl2br w:val="nil"/>
              <w:tr2bl w:val="nil"/>
            </w:tcBorders>
            <w:tcMar>
              <w:top w:w="15" w:type="dxa"/>
              <w:left w:w="15" w:type="dxa"/>
              <w:bottom w:w="15" w:type="dxa"/>
              <w:right w:w="15" w:type="dxa"/>
            </w:tcMar>
            <w:vAlign w:val="center"/>
          </w:tcPr>
          <w:p w14:paraId="7B78E28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逾期不采取补救措施，且已造成严重后果的</w:t>
            </w:r>
            <w:r>
              <w:rPr>
                <w:rFonts w:hint="eastAsia" w:ascii="仿宋_GB2312" w:hAnsi="宋体" w:eastAsia="仿宋_GB2312" w:cs="宋体"/>
                <w:color w:val="auto"/>
                <w:kern w:val="0"/>
                <w:sz w:val="13"/>
                <w:szCs w:val="13"/>
                <w:highlight w:val="none"/>
                <w:lang w:eastAsia="zh-CN"/>
              </w:rPr>
              <w:t>，</w:t>
            </w:r>
            <w:r>
              <w:rPr>
                <w:rFonts w:hint="eastAsia" w:ascii="仿宋_GB2312" w:hAnsi="宋体" w:eastAsia="仿宋_GB2312" w:cs="宋体"/>
                <w:color w:val="auto"/>
                <w:kern w:val="0"/>
                <w:sz w:val="13"/>
                <w:szCs w:val="13"/>
                <w:highlight w:val="none"/>
                <w:lang w:val="en-US" w:eastAsia="zh-CN"/>
              </w:rPr>
              <w:t>或</w:t>
            </w:r>
            <w:r>
              <w:rPr>
                <w:rFonts w:hint="eastAsia" w:ascii="仿宋_GB2312" w:hAnsi="宋体" w:eastAsia="仿宋_GB2312" w:cs="宋体"/>
                <w:color w:val="auto"/>
                <w:kern w:val="0"/>
                <w:sz w:val="13"/>
                <w:szCs w:val="13"/>
                <w:highlight w:val="none"/>
              </w:rPr>
              <w:t>曾因实施该违法行为被查处，再次实施该违法行为，且已造成严重后果的</w:t>
            </w:r>
            <w:r>
              <w:rPr>
                <w:rFonts w:hint="eastAsia" w:ascii="仿宋_GB2312" w:hAnsi="宋体" w:eastAsia="仿宋_GB2312" w:cs="宋体"/>
                <w:color w:val="auto"/>
                <w:kern w:val="0"/>
                <w:sz w:val="13"/>
                <w:szCs w:val="13"/>
                <w:highlight w:val="none"/>
                <w:lang w:eastAsia="zh-CN"/>
              </w:rPr>
              <w:t>，</w:t>
            </w:r>
            <w:r>
              <w:rPr>
                <w:rFonts w:hint="eastAsia" w:ascii="仿宋_GB2312" w:hAnsi="宋体" w:eastAsia="仿宋_GB2312" w:cs="宋体"/>
                <w:color w:val="auto"/>
                <w:kern w:val="0"/>
                <w:sz w:val="13"/>
                <w:szCs w:val="13"/>
                <w:highlight w:val="none"/>
                <w:lang w:val="en-US" w:eastAsia="zh-CN"/>
              </w:rPr>
              <w:t>或</w:t>
            </w:r>
            <w:r>
              <w:rPr>
                <w:rFonts w:hint="eastAsia" w:ascii="仿宋_GB2312" w:hAnsi="宋体" w:eastAsia="仿宋_GB2312" w:cs="宋体"/>
                <w:color w:val="auto"/>
                <w:kern w:val="0"/>
                <w:sz w:val="13"/>
                <w:szCs w:val="13"/>
                <w:highlight w:val="none"/>
              </w:rPr>
              <w:t>造成安全事故的。</w:t>
            </w:r>
          </w:p>
        </w:tc>
        <w:tc>
          <w:tcPr>
            <w:tcW w:w="3058" w:type="dxa"/>
            <w:tcBorders>
              <w:tl2br w:val="nil"/>
              <w:tr2bl w:val="nil"/>
            </w:tcBorders>
            <w:tcMar>
              <w:top w:w="15" w:type="dxa"/>
              <w:left w:w="15" w:type="dxa"/>
              <w:bottom w:w="15" w:type="dxa"/>
              <w:right w:w="15" w:type="dxa"/>
            </w:tcMar>
            <w:vAlign w:val="center"/>
          </w:tcPr>
          <w:p w14:paraId="6C26C54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责令停止违法行为，限期恢复原状或者采取其他补救措施，对单位处20万元以上30万元以下罚款，对个人处5万元以上10万元以下罚款。</w:t>
            </w:r>
          </w:p>
        </w:tc>
      </w:tr>
      <w:tr w14:paraId="7A7C6DA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363" w:hRule="atLeast"/>
          <w:jc w:val="center"/>
        </w:trPr>
        <w:tc>
          <w:tcPr>
            <w:tcW w:w="428" w:type="dxa"/>
            <w:vMerge w:val="restart"/>
            <w:tcBorders>
              <w:tl2br w:val="nil"/>
              <w:tr2bl w:val="nil"/>
            </w:tcBorders>
            <w:tcMar>
              <w:top w:w="15" w:type="dxa"/>
              <w:left w:w="15" w:type="dxa"/>
              <w:bottom w:w="15" w:type="dxa"/>
              <w:right w:w="15" w:type="dxa"/>
            </w:tcMar>
            <w:vAlign w:val="center"/>
          </w:tcPr>
          <w:p w14:paraId="3204030C">
            <w:pPr>
              <w:keepNext w:val="0"/>
              <w:keepLines w:val="0"/>
              <w:pageBreakBefore w:val="0"/>
              <w:widowControl/>
              <w:numPr>
                <w:ilvl w:val="0"/>
                <w:numId w:val="11"/>
              </w:numPr>
              <w:suppressLineNumbers w:val="0"/>
              <w:tabs>
                <w:tab w:val="clear" w:pos="397"/>
              </w:tabs>
              <w:kinsoku/>
              <w:overflowPunct/>
              <w:topLinePunct w:val="0"/>
              <w:autoSpaceDE/>
              <w:autoSpaceDN/>
              <w:bidi w:val="0"/>
              <w:adjustRightInd/>
              <w:snapToGrid/>
              <w:spacing w:beforeAutospacing="0" w:afterAutospacing="0" w:line="260" w:lineRule="exact"/>
              <w:ind w:left="638" w:leftChars="88" w:right="0" w:rightChars="0" w:hanging="453" w:hangingChars="349"/>
              <w:jc w:val="center"/>
              <w:textAlignment w:val="center"/>
              <w:rPr>
                <w:rFonts w:hint="default" w:ascii="仿宋_GB2312" w:hAnsi="宋体" w:eastAsia="仿宋_GB2312" w:cs="宋体"/>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309</w:t>
            </w:r>
          </w:p>
        </w:tc>
        <w:tc>
          <w:tcPr>
            <w:tcW w:w="1550" w:type="dxa"/>
            <w:vMerge w:val="restart"/>
            <w:tcBorders>
              <w:tl2br w:val="nil"/>
              <w:tr2bl w:val="nil"/>
            </w:tcBorders>
            <w:tcMar>
              <w:top w:w="15" w:type="dxa"/>
              <w:left w:w="15" w:type="dxa"/>
              <w:bottom w:w="15" w:type="dxa"/>
              <w:right w:w="15" w:type="dxa"/>
            </w:tcMar>
            <w:vAlign w:val="center"/>
          </w:tcPr>
          <w:p w14:paraId="2AFA3CB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有关单位未与施工单位、设施维护运营单位等共同制定设施保护方案，并采取相应的安全防护措施的</w:t>
            </w:r>
          </w:p>
        </w:tc>
        <w:tc>
          <w:tcPr>
            <w:tcW w:w="4820" w:type="dxa"/>
            <w:vMerge w:val="restart"/>
            <w:tcBorders>
              <w:tl2br w:val="nil"/>
              <w:tr2bl w:val="nil"/>
            </w:tcBorders>
            <w:tcMar>
              <w:top w:w="15" w:type="dxa"/>
              <w:left w:w="15" w:type="dxa"/>
              <w:bottom w:w="15" w:type="dxa"/>
              <w:right w:w="15" w:type="dxa"/>
            </w:tcMar>
            <w:vAlign w:val="center"/>
          </w:tcPr>
          <w:p w14:paraId="0B3448C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《城镇排水与污水处理条例》</w:t>
            </w:r>
            <w:r>
              <w:rPr>
                <w:rFonts w:hint="eastAsia" w:ascii="仿宋_GB2312" w:hAnsi="宋体" w:eastAsia="仿宋_GB2312" w:cs="宋体"/>
                <w:b/>
                <w:bCs/>
                <w:color w:val="auto"/>
                <w:kern w:val="0"/>
                <w:sz w:val="13"/>
                <w:szCs w:val="13"/>
                <w:highlight w:val="none"/>
              </w:rPr>
              <w:t>第五十七条第一款</w:t>
            </w:r>
            <w:r>
              <w:rPr>
                <w:rFonts w:hint="eastAsia" w:ascii="仿宋_GB2312" w:hAnsi="宋体" w:eastAsia="仿宋_GB2312" w:cs="宋体"/>
                <w:b/>
                <w:bCs/>
                <w:color w:val="auto"/>
                <w:kern w:val="0"/>
                <w:sz w:val="13"/>
                <w:szCs w:val="13"/>
                <w:highlight w:val="none"/>
                <w:lang w:eastAsia="zh-CN"/>
              </w:rPr>
              <w:t>：</w:t>
            </w:r>
            <w:r>
              <w:rPr>
                <w:rFonts w:hint="eastAsia" w:ascii="仿宋_GB2312" w:hAnsi="宋体" w:eastAsia="仿宋_GB2312" w:cs="宋体"/>
                <w:color w:val="auto"/>
                <w:kern w:val="0"/>
                <w:sz w:val="13"/>
                <w:szCs w:val="13"/>
                <w:highlight w:val="none"/>
              </w:rPr>
              <w:t>违反本条例规定，有关单位未与施工单位、设施维护运营单位等共同制定设施保护方案，并采取相应的安全防护措施的，由城镇排水主管部门责令改正，处2万元以上5万元以下罚款；造成严重后果的，处5万元以上10万元以下罚款；造成损失的，依法承担赔偿责任；构成犯罪的，依法追究刑事责任。</w:t>
            </w:r>
          </w:p>
        </w:tc>
        <w:tc>
          <w:tcPr>
            <w:tcW w:w="823" w:type="dxa"/>
            <w:tcBorders>
              <w:tl2br w:val="nil"/>
              <w:tr2bl w:val="nil"/>
            </w:tcBorders>
            <w:tcMar>
              <w:top w:w="15" w:type="dxa"/>
              <w:left w:w="15" w:type="dxa"/>
              <w:bottom w:w="15" w:type="dxa"/>
              <w:right w:w="15" w:type="dxa"/>
            </w:tcMar>
            <w:vAlign w:val="center"/>
          </w:tcPr>
          <w:p w14:paraId="6DCB26D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从轻情节</w:t>
            </w:r>
          </w:p>
        </w:tc>
        <w:tc>
          <w:tcPr>
            <w:tcW w:w="3437" w:type="dxa"/>
            <w:gridSpan w:val="2"/>
            <w:tcBorders>
              <w:tl2br w:val="nil"/>
              <w:tr2bl w:val="nil"/>
            </w:tcBorders>
            <w:tcMar>
              <w:top w:w="15" w:type="dxa"/>
              <w:left w:w="15" w:type="dxa"/>
              <w:bottom w:w="15" w:type="dxa"/>
              <w:right w:w="15" w:type="dxa"/>
            </w:tcMar>
            <w:vAlign w:val="center"/>
          </w:tcPr>
          <w:p w14:paraId="04AFE97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初次违法，及时改正并制定设施保护方案的。</w:t>
            </w:r>
          </w:p>
        </w:tc>
        <w:tc>
          <w:tcPr>
            <w:tcW w:w="3058" w:type="dxa"/>
            <w:tcBorders>
              <w:tl2br w:val="nil"/>
              <w:tr2bl w:val="nil"/>
            </w:tcBorders>
            <w:tcMar>
              <w:top w:w="15" w:type="dxa"/>
              <w:left w:w="15" w:type="dxa"/>
              <w:bottom w:w="15" w:type="dxa"/>
              <w:right w:w="15" w:type="dxa"/>
            </w:tcMar>
            <w:vAlign w:val="center"/>
          </w:tcPr>
          <w:p w14:paraId="6AEB7DC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责令改正，处2万元罚款。</w:t>
            </w:r>
          </w:p>
        </w:tc>
      </w:tr>
      <w:tr w14:paraId="6263623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276" w:hRule="atLeast"/>
          <w:jc w:val="center"/>
        </w:trPr>
        <w:tc>
          <w:tcPr>
            <w:tcW w:w="428" w:type="dxa"/>
            <w:vMerge w:val="continue"/>
            <w:tcBorders>
              <w:tl2br w:val="nil"/>
              <w:tr2bl w:val="nil"/>
            </w:tcBorders>
            <w:vAlign w:val="center"/>
          </w:tcPr>
          <w:p w14:paraId="2142A0E3">
            <w:pPr>
              <w:pStyle w:val="37"/>
              <w:keepNext w:val="0"/>
              <w:keepLines w:val="0"/>
              <w:pageBreakBefore w:val="0"/>
              <w:widowControl/>
              <w:numPr>
                <w:ilvl w:val="0"/>
                <w:numId w:val="12"/>
              </w:numPr>
              <w:kinsoku/>
              <w:overflowPunct/>
              <w:topLinePunct w:val="0"/>
              <w:autoSpaceDE/>
              <w:autoSpaceDN/>
              <w:bidi w:val="0"/>
              <w:adjustRightInd/>
              <w:snapToGrid/>
              <w:spacing w:beforeAutospacing="0" w:afterAutospacing="0" w:line="260" w:lineRule="exact"/>
              <w:ind w:left="638" w:leftChars="88" w:right="0" w:rightChars="0" w:hanging="453" w:hangingChars="349"/>
              <w:jc w:val="center"/>
              <w:rPr>
                <w:rFonts w:ascii="仿宋_GB2312" w:hAnsi="宋体" w:eastAsia="仿宋_GB2312" w:cs="宋体"/>
                <w:color w:val="auto"/>
                <w:sz w:val="13"/>
                <w:szCs w:val="13"/>
                <w:highlight w:val="none"/>
              </w:rPr>
            </w:pPr>
          </w:p>
        </w:tc>
        <w:tc>
          <w:tcPr>
            <w:tcW w:w="1550" w:type="dxa"/>
            <w:vMerge w:val="continue"/>
            <w:tcBorders>
              <w:tl2br w:val="nil"/>
              <w:tr2bl w:val="nil"/>
            </w:tcBorders>
            <w:vAlign w:val="center"/>
          </w:tcPr>
          <w:p w14:paraId="74AB455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sz w:val="13"/>
                <w:szCs w:val="13"/>
                <w:highlight w:val="none"/>
              </w:rPr>
            </w:pPr>
          </w:p>
        </w:tc>
        <w:tc>
          <w:tcPr>
            <w:tcW w:w="4820" w:type="dxa"/>
            <w:vMerge w:val="continue"/>
            <w:tcBorders>
              <w:tl2br w:val="nil"/>
              <w:tr2bl w:val="nil"/>
            </w:tcBorders>
            <w:vAlign w:val="center"/>
          </w:tcPr>
          <w:p w14:paraId="009ED17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3278DB9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一般情节</w:t>
            </w:r>
          </w:p>
        </w:tc>
        <w:tc>
          <w:tcPr>
            <w:tcW w:w="3437" w:type="dxa"/>
            <w:gridSpan w:val="2"/>
            <w:tcBorders>
              <w:tl2br w:val="nil"/>
              <w:tr2bl w:val="nil"/>
            </w:tcBorders>
            <w:tcMar>
              <w:top w:w="15" w:type="dxa"/>
              <w:left w:w="15" w:type="dxa"/>
              <w:bottom w:w="15" w:type="dxa"/>
              <w:right w:w="15" w:type="dxa"/>
            </w:tcMar>
            <w:vAlign w:val="center"/>
          </w:tcPr>
          <w:p w14:paraId="768D4DA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不具有从轻、</w:t>
            </w:r>
            <w:r>
              <w:rPr>
                <w:rFonts w:hint="eastAsia" w:ascii="仿宋_GB2312" w:hAnsi="宋体" w:eastAsia="仿宋_GB2312" w:cs="宋体"/>
                <w:color w:val="auto"/>
                <w:kern w:val="0"/>
                <w:sz w:val="13"/>
                <w:szCs w:val="13"/>
                <w:highlight w:val="none"/>
                <w:lang w:eastAsia="zh-CN"/>
              </w:rPr>
              <w:t>从重情节</w:t>
            </w:r>
            <w:r>
              <w:rPr>
                <w:rFonts w:hint="eastAsia" w:ascii="仿宋_GB2312" w:hAnsi="宋体" w:eastAsia="仿宋_GB2312" w:cs="宋体"/>
                <w:color w:val="auto"/>
                <w:kern w:val="0"/>
                <w:sz w:val="13"/>
                <w:szCs w:val="13"/>
                <w:highlight w:val="none"/>
              </w:rPr>
              <w:t>的。</w:t>
            </w:r>
          </w:p>
        </w:tc>
        <w:tc>
          <w:tcPr>
            <w:tcW w:w="3058" w:type="dxa"/>
            <w:tcBorders>
              <w:tl2br w:val="nil"/>
              <w:tr2bl w:val="nil"/>
            </w:tcBorders>
            <w:tcMar>
              <w:top w:w="15" w:type="dxa"/>
              <w:left w:w="15" w:type="dxa"/>
              <w:bottom w:w="15" w:type="dxa"/>
              <w:right w:w="15" w:type="dxa"/>
            </w:tcMar>
            <w:vAlign w:val="center"/>
          </w:tcPr>
          <w:p w14:paraId="3886981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责令改正，处2万元以上5万元以下罚款。</w:t>
            </w:r>
          </w:p>
        </w:tc>
      </w:tr>
      <w:tr w14:paraId="2896773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835" w:hRule="atLeast"/>
          <w:jc w:val="center"/>
        </w:trPr>
        <w:tc>
          <w:tcPr>
            <w:tcW w:w="428" w:type="dxa"/>
            <w:vMerge w:val="continue"/>
            <w:tcBorders>
              <w:tl2br w:val="nil"/>
              <w:tr2bl w:val="nil"/>
            </w:tcBorders>
            <w:vAlign w:val="center"/>
          </w:tcPr>
          <w:p w14:paraId="26A2B108">
            <w:pPr>
              <w:pStyle w:val="37"/>
              <w:keepNext w:val="0"/>
              <w:keepLines w:val="0"/>
              <w:pageBreakBefore w:val="0"/>
              <w:widowControl/>
              <w:numPr>
                <w:ilvl w:val="0"/>
                <w:numId w:val="12"/>
              </w:numPr>
              <w:kinsoku/>
              <w:overflowPunct/>
              <w:topLinePunct w:val="0"/>
              <w:autoSpaceDE/>
              <w:autoSpaceDN/>
              <w:bidi w:val="0"/>
              <w:adjustRightInd/>
              <w:snapToGrid/>
              <w:spacing w:beforeAutospacing="0" w:afterAutospacing="0" w:line="260" w:lineRule="exact"/>
              <w:ind w:left="638" w:leftChars="88" w:right="0" w:rightChars="0" w:hanging="453" w:hangingChars="349"/>
              <w:jc w:val="center"/>
              <w:rPr>
                <w:rFonts w:ascii="仿宋_GB2312" w:hAnsi="宋体" w:eastAsia="仿宋_GB2312" w:cs="宋体"/>
                <w:color w:val="auto"/>
                <w:sz w:val="13"/>
                <w:szCs w:val="13"/>
                <w:highlight w:val="none"/>
              </w:rPr>
            </w:pPr>
          </w:p>
        </w:tc>
        <w:tc>
          <w:tcPr>
            <w:tcW w:w="1550" w:type="dxa"/>
            <w:vMerge w:val="continue"/>
            <w:tcBorders>
              <w:tl2br w:val="nil"/>
              <w:tr2bl w:val="nil"/>
            </w:tcBorders>
            <w:vAlign w:val="center"/>
          </w:tcPr>
          <w:p w14:paraId="77F9A4B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sz w:val="13"/>
                <w:szCs w:val="13"/>
                <w:highlight w:val="none"/>
              </w:rPr>
            </w:pPr>
          </w:p>
        </w:tc>
        <w:tc>
          <w:tcPr>
            <w:tcW w:w="4820" w:type="dxa"/>
            <w:vMerge w:val="continue"/>
            <w:tcBorders>
              <w:tl2br w:val="nil"/>
              <w:tr2bl w:val="nil"/>
            </w:tcBorders>
            <w:vAlign w:val="center"/>
          </w:tcPr>
          <w:p w14:paraId="612CFF7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sz w:val="13"/>
                <w:szCs w:val="13"/>
                <w:highlight w:val="none"/>
              </w:rPr>
            </w:pPr>
          </w:p>
        </w:tc>
        <w:tc>
          <w:tcPr>
            <w:tcW w:w="823" w:type="dxa"/>
            <w:vMerge w:val="restart"/>
            <w:tcBorders>
              <w:tl2br w:val="nil"/>
              <w:tr2bl w:val="nil"/>
            </w:tcBorders>
            <w:tcMar>
              <w:top w:w="15" w:type="dxa"/>
              <w:left w:w="15" w:type="dxa"/>
              <w:bottom w:w="15" w:type="dxa"/>
              <w:right w:w="15" w:type="dxa"/>
            </w:tcMar>
            <w:vAlign w:val="top"/>
          </w:tcPr>
          <w:p w14:paraId="4676061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both"/>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从重情节</w:t>
            </w:r>
          </w:p>
        </w:tc>
        <w:tc>
          <w:tcPr>
            <w:tcW w:w="3437" w:type="dxa"/>
            <w:gridSpan w:val="2"/>
            <w:vMerge w:val="restart"/>
            <w:tcBorders>
              <w:tl2br w:val="nil"/>
              <w:tr2bl w:val="nil"/>
            </w:tcBorders>
            <w:tcMar>
              <w:top w:w="15" w:type="dxa"/>
              <w:left w:w="15" w:type="dxa"/>
              <w:bottom w:w="15" w:type="dxa"/>
              <w:right w:w="15" w:type="dxa"/>
            </w:tcMar>
            <w:vAlign w:val="top"/>
          </w:tcPr>
          <w:p w14:paraId="771E6B8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both"/>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已影响排水设施安全的</w:t>
            </w:r>
            <w:r>
              <w:rPr>
                <w:rFonts w:hint="eastAsia" w:ascii="仿宋_GB2312" w:hAnsi="宋体" w:eastAsia="仿宋_GB2312" w:cs="宋体"/>
                <w:color w:val="auto"/>
                <w:kern w:val="0"/>
                <w:sz w:val="13"/>
                <w:szCs w:val="13"/>
                <w:highlight w:val="none"/>
                <w:lang w:eastAsia="zh-CN"/>
              </w:rPr>
              <w:t>，</w:t>
            </w:r>
            <w:r>
              <w:rPr>
                <w:rFonts w:hint="eastAsia" w:ascii="仿宋_GB2312" w:hAnsi="宋体" w:eastAsia="仿宋_GB2312" w:cs="宋体"/>
                <w:color w:val="auto"/>
                <w:kern w:val="0"/>
                <w:sz w:val="13"/>
                <w:szCs w:val="13"/>
                <w:highlight w:val="none"/>
                <w:lang w:val="en-US" w:eastAsia="zh-CN"/>
              </w:rPr>
              <w:t>或</w:t>
            </w:r>
            <w:r>
              <w:rPr>
                <w:rFonts w:hint="eastAsia" w:ascii="仿宋_GB2312" w:hAnsi="宋体" w:eastAsia="仿宋_GB2312" w:cs="宋体"/>
                <w:color w:val="auto"/>
                <w:kern w:val="0"/>
                <w:sz w:val="13"/>
                <w:szCs w:val="13"/>
                <w:highlight w:val="none"/>
              </w:rPr>
              <w:t>造成安全事故的</w:t>
            </w:r>
            <w:r>
              <w:rPr>
                <w:rFonts w:hint="eastAsia" w:ascii="仿宋_GB2312" w:hAnsi="宋体" w:eastAsia="仿宋_GB2312" w:cs="宋体"/>
                <w:color w:val="auto"/>
                <w:kern w:val="0"/>
                <w:sz w:val="13"/>
                <w:szCs w:val="13"/>
                <w:highlight w:val="none"/>
                <w:lang w:eastAsia="zh-CN"/>
              </w:rPr>
              <w:t>，</w:t>
            </w:r>
            <w:r>
              <w:rPr>
                <w:rFonts w:hint="eastAsia" w:ascii="仿宋_GB2312" w:hAnsi="宋体" w:eastAsia="仿宋_GB2312" w:cs="宋体"/>
                <w:color w:val="auto"/>
                <w:kern w:val="0"/>
                <w:sz w:val="13"/>
                <w:szCs w:val="13"/>
                <w:highlight w:val="none"/>
                <w:lang w:val="en-US" w:eastAsia="zh-CN"/>
              </w:rPr>
              <w:t>或</w:t>
            </w:r>
            <w:r>
              <w:rPr>
                <w:rFonts w:hint="eastAsia" w:ascii="仿宋_GB2312" w:hAnsi="宋体" w:eastAsia="仿宋_GB2312" w:cs="宋体"/>
                <w:color w:val="auto"/>
                <w:kern w:val="0"/>
                <w:sz w:val="13"/>
                <w:szCs w:val="13"/>
                <w:highlight w:val="none"/>
              </w:rPr>
              <w:t>造成其他严重后果的。</w:t>
            </w:r>
          </w:p>
        </w:tc>
        <w:tc>
          <w:tcPr>
            <w:tcW w:w="3058" w:type="dxa"/>
            <w:vMerge w:val="restart"/>
            <w:tcBorders>
              <w:tl2br w:val="nil"/>
              <w:tr2bl w:val="nil"/>
            </w:tcBorders>
            <w:tcMar>
              <w:top w:w="15" w:type="dxa"/>
              <w:left w:w="15" w:type="dxa"/>
              <w:bottom w:w="15" w:type="dxa"/>
              <w:right w:w="15" w:type="dxa"/>
            </w:tcMar>
            <w:vAlign w:val="top"/>
          </w:tcPr>
          <w:p w14:paraId="15B736E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责令改正，处5万元以上10万元以下罚款。</w:t>
            </w:r>
          </w:p>
        </w:tc>
      </w:tr>
      <w:tr w14:paraId="52C51E9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312" w:hRule="atLeast"/>
          <w:jc w:val="center"/>
        </w:trPr>
        <w:tc>
          <w:tcPr>
            <w:tcW w:w="428" w:type="dxa"/>
            <w:vMerge w:val="continue"/>
            <w:tcBorders>
              <w:tl2br w:val="nil"/>
              <w:tr2bl w:val="nil"/>
            </w:tcBorders>
            <w:vAlign w:val="center"/>
          </w:tcPr>
          <w:p w14:paraId="6137E940">
            <w:pPr>
              <w:pStyle w:val="37"/>
              <w:keepNext w:val="0"/>
              <w:keepLines w:val="0"/>
              <w:pageBreakBefore w:val="0"/>
              <w:widowControl/>
              <w:numPr>
                <w:ilvl w:val="0"/>
                <w:numId w:val="12"/>
              </w:numPr>
              <w:kinsoku/>
              <w:overflowPunct/>
              <w:topLinePunct w:val="0"/>
              <w:autoSpaceDE/>
              <w:autoSpaceDN/>
              <w:bidi w:val="0"/>
              <w:adjustRightInd/>
              <w:snapToGrid/>
              <w:spacing w:beforeAutospacing="0" w:afterAutospacing="0" w:line="260" w:lineRule="exact"/>
              <w:ind w:left="638" w:leftChars="88" w:right="0" w:rightChars="0" w:hanging="453" w:hangingChars="349"/>
              <w:jc w:val="center"/>
              <w:textAlignment w:val="center"/>
              <w:rPr>
                <w:rFonts w:ascii="仿宋_GB2312" w:hAnsi="宋体" w:eastAsia="仿宋_GB2312" w:cs="宋体"/>
                <w:color w:val="auto"/>
                <w:sz w:val="13"/>
                <w:szCs w:val="13"/>
                <w:highlight w:val="none"/>
              </w:rPr>
            </w:pPr>
          </w:p>
        </w:tc>
        <w:tc>
          <w:tcPr>
            <w:tcW w:w="1550" w:type="dxa"/>
            <w:vMerge w:val="continue"/>
            <w:tcBorders>
              <w:tl2br w:val="nil"/>
              <w:tr2bl w:val="nil"/>
            </w:tcBorders>
            <w:vAlign w:val="center"/>
          </w:tcPr>
          <w:p w14:paraId="3C98019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宋体"/>
                <w:color w:val="auto"/>
                <w:sz w:val="13"/>
                <w:szCs w:val="13"/>
                <w:highlight w:val="none"/>
              </w:rPr>
            </w:pPr>
          </w:p>
        </w:tc>
        <w:tc>
          <w:tcPr>
            <w:tcW w:w="4820" w:type="dxa"/>
            <w:vMerge w:val="continue"/>
            <w:tcBorders>
              <w:tl2br w:val="nil"/>
              <w:tr2bl w:val="nil"/>
            </w:tcBorders>
            <w:vAlign w:val="center"/>
          </w:tcPr>
          <w:p w14:paraId="5AFC1C8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宋体"/>
                <w:color w:val="auto"/>
                <w:sz w:val="13"/>
                <w:szCs w:val="13"/>
                <w:highlight w:val="none"/>
              </w:rPr>
            </w:pPr>
          </w:p>
        </w:tc>
        <w:tc>
          <w:tcPr>
            <w:tcW w:w="823" w:type="dxa"/>
            <w:vMerge w:val="continue"/>
            <w:tcBorders>
              <w:tl2br w:val="nil"/>
              <w:tr2bl w:val="nil"/>
            </w:tcBorders>
            <w:tcMar>
              <w:top w:w="15" w:type="dxa"/>
              <w:left w:w="15" w:type="dxa"/>
              <w:bottom w:w="15" w:type="dxa"/>
              <w:right w:w="15" w:type="dxa"/>
            </w:tcMar>
            <w:vAlign w:val="center"/>
          </w:tcPr>
          <w:p w14:paraId="75D04DD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宋体"/>
                <w:color w:val="auto"/>
                <w:sz w:val="13"/>
                <w:szCs w:val="13"/>
                <w:highlight w:val="none"/>
              </w:rPr>
            </w:pPr>
          </w:p>
        </w:tc>
        <w:tc>
          <w:tcPr>
            <w:tcW w:w="3437" w:type="dxa"/>
            <w:gridSpan w:val="2"/>
            <w:vMerge w:val="continue"/>
            <w:tcBorders>
              <w:tl2br w:val="nil"/>
              <w:tr2bl w:val="nil"/>
            </w:tcBorders>
            <w:tcMar>
              <w:top w:w="15" w:type="dxa"/>
              <w:left w:w="15" w:type="dxa"/>
              <w:bottom w:w="15" w:type="dxa"/>
              <w:right w:w="15" w:type="dxa"/>
            </w:tcMar>
            <w:vAlign w:val="center"/>
          </w:tcPr>
          <w:p w14:paraId="74DDD90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宋体"/>
                <w:color w:val="auto"/>
                <w:kern w:val="0"/>
                <w:sz w:val="13"/>
                <w:szCs w:val="13"/>
                <w:highlight w:val="none"/>
              </w:rPr>
            </w:pPr>
          </w:p>
        </w:tc>
        <w:tc>
          <w:tcPr>
            <w:tcW w:w="3058" w:type="dxa"/>
            <w:vMerge w:val="continue"/>
            <w:tcBorders>
              <w:tl2br w:val="nil"/>
              <w:tr2bl w:val="nil"/>
            </w:tcBorders>
            <w:tcMar>
              <w:top w:w="15" w:type="dxa"/>
              <w:left w:w="15" w:type="dxa"/>
              <w:bottom w:w="15" w:type="dxa"/>
              <w:right w:w="15" w:type="dxa"/>
            </w:tcMar>
            <w:vAlign w:val="center"/>
          </w:tcPr>
          <w:p w14:paraId="07E1767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宋体"/>
                <w:color w:val="auto"/>
                <w:sz w:val="13"/>
                <w:szCs w:val="13"/>
                <w:highlight w:val="none"/>
              </w:rPr>
            </w:pPr>
          </w:p>
        </w:tc>
      </w:tr>
      <w:tr w14:paraId="297E45B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169" w:hRule="atLeast"/>
          <w:jc w:val="center"/>
        </w:trPr>
        <w:tc>
          <w:tcPr>
            <w:tcW w:w="428" w:type="dxa"/>
            <w:vMerge w:val="restart"/>
            <w:tcBorders>
              <w:tl2br w:val="nil"/>
              <w:tr2bl w:val="nil"/>
            </w:tcBorders>
            <w:tcMar>
              <w:top w:w="15" w:type="dxa"/>
              <w:left w:w="15" w:type="dxa"/>
              <w:bottom w:w="15" w:type="dxa"/>
              <w:right w:w="15" w:type="dxa"/>
            </w:tcMar>
            <w:vAlign w:val="center"/>
          </w:tcPr>
          <w:p w14:paraId="6C18B375">
            <w:pPr>
              <w:keepNext w:val="0"/>
              <w:keepLines w:val="0"/>
              <w:pageBreakBefore w:val="0"/>
              <w:widowControl/>
              <w:numPr>
                <w:ilvl w:val="0"/>
                <w:numId w:val="11"/>
              </w:numPr>
              <w:suppressLineNumbers w:val="0"/>
              <w:tabs>
                <w:tab w:val="clear" w:pos="397"/>
              </w:tabs>
              <w:kinsoku/>
              <w:overflowPunct/>
              <w:topLinePunct w:val="0"/>
              <w:autoSpaceDE/>
              <w:autoSpaceDN/>
              <w:bidi w:val="0"/>
              <w:adjustRightInd/>
              <w:snapToGrid/>
              <w:spacing w:beforeAutospacing="0" w:afterAutospacing="0" w:line="260" w:lineRule="exact"/>
              <w:ind w:left="638" w:leftChars="88" w:right="0" w:rightChars="0" w:hanging="453" w:hangingChars="349"/>
              <w:jc w:val="center"/>
              <w:textAlignment w:val="center"/>
              <w:rPr>
                <w:rFonts w:hint="default" w:ascii="仿宋_GB2312" w:hAnsi="宋体" w:eastAsia="仿宋_GB2312" w:cs="宋体"/>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310</w:t>
            </w:r>
          </w:p>
        </w:tc>
        <w:tc>
          <w:tcPr>
            <w:tcW w:w="1550" w:type="dxa"/>
            <w:vMerge w:val="restart"/>
            <w:tcBorders>
              <w:tl2br w:val="nil"/>
              <w:tr2bl w:val="nil"/>
            </w:tcBorders>
            <w:tcMar>
              <w:top w:w="15" w:type="dxa"/>
              <w:left w:w="15" w:type="dxa"/>
              <w:bottom w:w="15" w:type="dxa"/>
              <w:right w:w="15" w:type="dxa"/>
            </w:tcMar>
            <w:vAlign w:val="center"/>
          </w:tcPr>
          <w:p w14:paraId="6CC54DA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擅自拆除、改动城镇排水与污水处理设施的</w:t>
            </w:r>
          </w:p>
        </w:tc>
        <w:tc>
          <w:tcPr>
            <w:tcW w:w="4820" w:type="dxa"/>
            <w:vMerge w:val="restart"/>
            <w:tcBorders>
              <w:tl2br w:val="nil"/>
              <w:tr2bl w:val="nil"/>
            </w:tcBorders>
            <w:tcMar>
              <w:top w:w="15" w:type="dxa"/>
              <w:left w:w="15" w:type="dxa"/>
              <w:bottom w:w="15" w:type="dxa"/>
              <w:right w:w="15" w:type="dxa"/>
            </w:tcMar>
            <w:vAlign w:val="center"/>
          </w:tcPr>
          <w:p w14:paraId="524B54E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《城镇排水与污水处理条例》</w:t>
            </w:r>
            <w:r>
              <w:rPr>
                <w:rFonts w:hint="eastAsia" w:ascii="仿宋_GB2312" w:hAnsi="宋体" w:eastAsia="仿宋_GB2312" w:cs="宋体"/>
                <w:b/>
                <w:bCs/>
                <w:color w:val="auto"/>
                <w:kern w:val="0"/>
                <w:sz w:val="13"/>
                <w:szCs w:val="13"/>
                <w:highlight w:val="none"/>
              </w:rPr>
              <w:t>第五十七条第二款</w:t>
            </w:r>
            <w:r>
              <w:rPr>
                <w:rFonts w:hint="eastAsia" w:ascii="仿宋_GB2312" w:hAnsi="宋体" w:eastAsia="仿宋_GB2312" w:cs="宋体"/>
                <w:b/>
                <w:bCs/>
                <w:color w:val="auto"/>
                <w:kern w:val="0"/>
                <w:sz w:val="13"/>
                <w:szCs w:val="13"/>
                <w:highlight w:val="none"/>
                <w:lang w:eastAsia="zh-CN"/>
              </w:rPr>
              <w:t>：</w:t>
            </w:r>
            <w:r>
              <w:rPr>
                <w:rFonts w:hint="eastAsia" w:ascii="仿宋_GB2312" w:hAnsi="宋体" w:eastAsia="仿宋_GB2312" w:cs="宋体"/>
                <w:color w:val="auto"/>
                <w:sz w:val="13"/>
                <w:szCs w:val="13"/>
                <w:highlight w:val="none"/>
              </w:rPr>
              <w:t>违反本条例规定，擅自拆除、改动城镇排水与污水处理设施的，由城镇排水主管部门责令改正，恢复原状或者采取其他补救措施，处5万元以上10万元以下罚款；造成严重后果的，处10万元以上30万元以下罚款；造成损失的，依法承担赔偿责任；构成犯罪的，依法追究刑事责任。</w:t>
            </w:r>
          </w:p>
        </w:tc>
        <w:tc>
          <w:tcPr>
            <w:tcW w:w="823" w:type="dxa"/>
            <w:tcBorders>
              <w:tl2br w:val="nil"/>
              <w:tr2bl w:val="nil"/>
            </w:tcBorders>
            <w:tcMar>
              <w:top w:w="15" w:type="dxa"/>
              <w:left w:w="15" w:type="dxa"/>
              <w:bottom w:w="15" w:type="dxa"/>
              <w:right w:w="15" w:type="dxa"/>
            </w:tcMar>
            <w:vAlign w:val="center"/>
          </w:tcPr>
          <w:p w14:paraId="4B57519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从轻情节</w:t>
            </w:r>
          </w:p>
        </w:tc>
        <w:tc>
          <w:tcPr>
            <w:tcW w:w="3437" w:type="dxa"/>
            <w:gridSpan w:val="2"/>
            <w:tcBorders>
              <w:tl2br w:val="nil"/>
              <w:tr2bl w:val="nil"/>
            </w:tcBorders>
            <w:tcMar>
              <w:top w:w="15" w:type="dxa"/>
              <w:left w:w="15" w:type="dxa"/>
              <w:bottom w:w="15" w:type="dxa"/>
              <w:right w:w="15" w:type="dxa"/>
            </w:tcMar>
            <w:vAlign w:val="center"/>
          </w:tcPr>
          <w:p w14:paraId="7AB064A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初次违法，及时恢复原状，并将拆除、改动方案报主管部门批准的。</w:t>
            </w:r>
          </w:p>
        </w:tc>
        <w:tc>
          <w:tcPr>
            <w:tcW w:w="3058" w:type="dxa"/>
            <w:tcBorders>
              <w:tl2br w:val="nil"/>
              <w:tr2bl w:val="nil"/>
            </w:tcBorders>
            <w:tcMar>
              <w:top w:w="15" w:type="dxa"/>
              <w:left w:w="15" w:type="dxa"/>
              <w:bottom w:w="15" w:type="dxa"/>
              <w:right w:w="15" w:type="dxa"/>
            </w:tcMar>
            <w:vAlign w:val="center"/>
          </w:tcPr>
          <w:p w14:paraId="5B9D7AA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责令改正，恢复原状或者采取其他补救措施，处5万元以上7万元以下罚款。</w:t>
            </w:r>
          </w:p>
        </w:tc>
      </w:tr>
      <w:tr w14:paraId="18B6987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169" w:hRule="atLeast"/>
          <w:jc w:val="center"/>
        </w:trPr>
        <w:tc>
          <w:tcPr>
            <w:tcW w:w="428" w:type="dxa"/>
            <w:vMerge w:val="continue"/>
            <w:tcBorders>
              <w:tl2br w:val="nil"/>
              <w:tr2bl w:val="nil"/>
            </w:tcBorders>
            <w:vAlign w:val="center"/>
          </w:tcPr>
          <w:p w14:paraId="302215E8">
            <w:pPr>
              <w:pStyle w:val="37"/>
              <w:keepNext w:val="0"/>
              <w:keepLines w:val="0"/>
              <w:pageBreakBefore w:val="0"/>
              <w:widowControl/>
              <w:numPr>
                <w:ilvl w:val="0"/>
                <w:numId w:val="12"/>
              </w:numPr>
              <w:kinsoku/>
              <w:overflowPunct/>
              <w:topLinePunct w:val="0"/>
              <w:autoSpaceDE/>
              <w:autoSpaceDN/>
              <w:bidi w:val="0"/>
              <w:adjustRightInd/>
              <w:snapToGrid/>
              <w:spacing w:beforeAutospacing="0" w:afterAutospacing="0" w:line="260" w:lineRule="exact"/>
              <w:ind w:left="638" w:leftChars="88" w:right="0" w:rightChars="0" w:hanging="453" w:hangingChars="349"/>
              <w:jc w:val="center"/>
              <w:rPr>
                <w:rFonts w:ascii="仿宋_GB2312" w:hAnsi="宋体" w:eastAsia="仿宋_GB2312" w:cs="宋体"/>
                <w:color w:val="auto"/>
                <w:sz w:val="13"/>
                <w:szCs w:val="13"/>
                <w:highlight w:val="none"/>
              </w:rPr>
            </w:pPr>
          </w:p>
        </w:tc>
        <w:tc>
          <w:tcPr>
            <w:tcW w:w="1550" w:type="dxa"/>
            <w:vMerge w:val="continue"/>
            <w:tcBorders>
              <w:tl2br w:val="nil"/>
              <w:tr2bl w:val="nil"/>
            </w:tcBorders>
            <w:vAlign w:val="center"/>
          </w:tcPr>
          <w:p w14:paraId="0001786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sz w:val="13"/>
                <w:szCs w:val="13"/>
                <w:highlight w:val="none"/>
              </w:rPr>
            </w:pPr>
          </w:p>
        </w:tc>
        <w:tc>
          <w:tcPr>
            <w:tcW w:w="4820" w:type="dxa"/>
            <w:vMerge w:val="continue"/>
            <w:tcBorders>
              <w:tl2br w:val="nil"/>
              <w:tr2bl w:val="nil"/>
            </w:tcBorders>
            <w:vAlign w:val="center"/>
          </w:tcPr>
          <w:p w14:paraId="0AA86A0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35206DC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一般情节</w:t>
            </w:r>
          </w:p>
        </w:tc>
        <w:tc>
          <w:tcPr>
            <w:tcW w:w="3437" w:type="dxa"/>
            <w:gridSpan w:val="2"/>
            <w:tcBorders>
              <w:tl2br w:val="nil"/>
              <w:tr2bl w:val="nil"/>
            </w:tcBorders>
            <w:tcMar>
              <w:top w:w="15" w:type="dxa"/>
              <w:left w:w="15" w:type="dxa"/>
              <w:bottom w:w="15" w:type="dxa"/>
              <w:right w:w="15" w:type="dxa"/>
            </w:tcMar>
            <w:vAlign w:val="center"/>
          </w:tcPr>
          <w:p w14:paraId="3998656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不具有从轻、</w:t>
            </w:r>
            <w:r>
              <w:rPr>
                <w:rFonts w:hint="eastAsia" w:ascii="仿宋_GB2312" w:hAnsi="宋体" w:eastAsia="仿宋_GB2312" w:cs="宋体"/>
                <w:color w:val="auto"/>
                <w:kern w:val="0"/>
                <w:sz w:val="13"/>
                <w:szCs w:val="13"/>
                <w:highlight w:val="none"/>
                <w:lang w:eastAsia="zh-CN"/>
              </w:rPr>
              <w:t>从重情节</w:t>
            </w:r>
            <w:r>
              <w:rPr>
                <w:rFonts w:hint="eastAsia" w:ascii="仿宋_GB2312" w:hAnsi="宋体" w:eastAsia="仿宋_GB2312" w:cs="宋体"/>
                <w:color w:val="auto"/>
                <w:kern w:val="0"/>
                <w:sz w:val="13"/>
                <w:szCs w:val="13"/>
                <w:highlight w:val="none"/>
              </w:rPr>
              <w:t>的。</w:t>
            </w:r>
          </w:p>
        </w:tc>
        <w:tc>
          <w:tcPr>
            <w:tcW w:w="3058" w:type="dxa"/>
            <w:tcBorders>
              <w:tl2br w:val="nil"/>
              <w:tr2bl w:val="nil"/>
            </w:tcBorders>
            <w:tcMar>
              <w:top w:w="15" w:type="dxa"/>
              <w:left w:w="15" w:type="dxa"/>
              <w:bottom w:w="15" w:type="dxa"/>
              <w:right w:w="15" w:type="dxa"/>
            </w:tcMar>
            <w:vAlign w:val="center"/>
          </w:tcPr>
          <w:p w14:paraId="15B95F6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责令改正，恢复原状或者采取其他补救措施，处7万元以上10万元以下罚款。</w:t>
            </w:r>
          </w:p>
        </w:tc>
      </w:tr>
      <w:tr w14:paraId="7F7A864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312" w:hRule="atLeast"/>
          <w:jc w:val="center"/>
        </w:trPr>
        <w:tc>
          <w:tcPr>
            <w:tcW w:w="428" w:type="dxa"/>
            <w:vMerge w:val="continue"/>
            <w:tcBorders>
              <w:tl2br w:val="nil"/>
              <w:tr2bl w:val="nil"/>
            </w:tcBorders>
            <w:vAlign w:val="center"/>
          </w:tcPr>
          <w:p w14:paraId="60E2337F">
            <w:pPr>
              <w:pStyle w:val="37"/>
              <w:keepNext w:val="0"/>
              <w:keepLines w:val="0"/>
              <w:pageBreakBefore w:val="0"/>
              <w:widowControl/>
              <w:numPr>
                <w:ilvl w:val="0"/>
                <w:numId w:val="12"/>
              </w:numPr>
              <w:kinsoku/>
              <w:overflowPunct/>
              <w:topLinePunct w:val="0"/>
              <w:autoSpaceDE/>
              <w:autoSpaceDN/>
              <w:bidi w:val="0"/>
              <w:adjustRightInd/>
              <w:snapToGrid/>
              <w:spacing w:beforeAutospacing="0" w:afterAutospacing="0" w:line="260" w:lineRule="exact"/>
              <w:ind w:left="638" w:leftChars="88" w:right="0" w:rightChars="0" w:hanging="453" w:hangingChars="349"/>
              <w:jc w:val="center"/>
              <w:rPr>
                <w:rFonts w:ascii="仿宋_GB2312" w:hAnsi="宋体" w:eastAsia="仿宋_GB2312" w:cs="宋体"/>
                <w:color w:val="auto"/>
                <w:sz w:val="13"/>
                <w:szCs w:val="13"/>
                <w:highlight w:val="none"/>
              </w:rPr>
            </w:pPr>
          </w:p>
        </w:tc>
        <w:tc>
          <w:tcPr>
            <w:tcW w:w="1550" w:type="dxa"/>
            <w:vMerge w:val="continue"/>
            <w:tcBorders>
              <w:tl2br w:val="nil"/>
              <w:tr2bl w:val="nil"/>
            </w:tcBorders>
            <w:vAlign w:val="center"/>
          </w:tcPr>
          <w:p w14:paraId="316FC50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sz w:val="13"/>
                <w:szCs w:val="13"/>
                <w:highlight w:val="none"/>
              </w:rPr>
            </w:pPr>
          </w:p>
        </w:tc>
        <w:tc>
          <w:tcPr>
            <w:tcW w:w="4820" w:type="dxa"/>
            <w:vMerge w:val="continue"/>
            <w:tcBorders>
              <w:tl2br w:val="nil"/>
              <w:tr2bl w:val="nil"/>
            </w:tcBorders>
            <w:vAlign w:val="center"/>
          </w:tcPr>
          <w:p w14:paraId="59E5D96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sz w:val="13"/>
                <w:szCs w:val="13"/>
                <w:highlight w:val="none"/>
              </w:rPr>
            </w:pPr>
          </w:p>
        </w:tc>
        <w:tc>
          <w:tcPr>
            <w:tcW w:w="823" w:type="dxa"/>
            <w:vMerge w:val="restart"/>
            <w:tcBorders>
              <w:tl2br w:val="nil"/>
              <w:tr2bl w:val="nil"/>
            </w:tcBorders>
            <w:tcMar>
              <w:top w:w="15" w:type="dxa"/>
              <w:left w:w="15" w:type="dxa"/>
              <w:bottom w:w="15" w:type="dxa"/>
              <w:right w:w="15" w:type="dxa"/>
            </w:tcMar>
            <w:vAlign w:val="center"/>
          </w:tcPr>
          <w:p w14:paraId="02F6BA0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从重情节</w:t>
            </w:r>
          </w:p>
        </w:tc>
        <w:tc>
          <w:tcPr>
            <w:tcW w:w="3437" w:type="dxa"/>
            <w:gridSpan w:val="2"/>
            <w:vMerge w:val="restart"/>
            <w:tcBorders>
              <w:tl2br w:val="nil"/>
              <w:tr2bl w:val="nil"/>
            </w:tcBorders>
            <w:tcMar>
              <w:top w:w="15" w:type="dxa"/>
              <w:left w:w="15" w:type="dxa"/>
              <w:bottom w:w="15" w:type="dxa"/>
              <w:right w:w="15" w:type="dxa"/>
            </w:tcMar>
            <w:vAlign w:val="center"/>
          </w:tcPr>
          <w:p w14:paraId="58CD1B5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已影响排水设施安全的</w:t>
            </w:r>
            <w:r>
              <w:rPr>
                <w:rFonts w:hint="eastAsia" w:ascii="仿宋_GB2312" w:hAnsi="宋体" w:eastAsia="仿宋_GB2312" w:cs="宋体"/>
                <w:color w:val="auto"/>
                <w:kern w:val="0"/>
                <w:sz w:val="13"/>
                <w:szCs w:val="13"/>
                <w:highlight w:val="none"/>
                <w:lang w:eastAsia="zh-CN"/>
              </w:rPr>
              <w:t>，</w:t>
            </w:r>
            <w:r>
              <w:rPr>
                <w:rFonts w:hint="eastAsia" w:ascii="仿宋_GB2312" w:hAnsi="宋体" w:eastAsia="仿宋_GB2312" w:cs="宋体"/>
                <w:color w:val="auto"/>
                <w:kern w:val="0"/>
                <w:sz w:val="13"/>
                <w:szCs w:val="13"/>
                <w:highlight w:val="none"/>
                <w:lang w:val="en-US" w:eastAsia="zh-CN"/>
              </w:rPr>
              <w:t>或</w:t>
            </w:r>
            <w:r>
              <w:rPr>
                <w:rFonts w:hint="eastAsia" w:ascii="仿宋_GB2312" w:hAnsi="宋体" w:eastAsia="仿宋_GB2312" w:cs="宋体"/>
                <w:color w:val="auto"/>
                <w:kern w:val="0"/>
                <w:sz w:val="13"/>
                <w:szCs w:val="13"/>
                <w:highlight w:val="none"/>
              </w:rPr>
              <w:t>造成安全事故的</w:t>
            </w:r>
            <w:r>
              <w:rPr>
                <w:rFonts w:hint="eastAsia" w:ascii="仿宋_GB2312" w:hAnsi="宋体" w:eastAsia="仿宋_GB2312" w:cs="宋体"/>
                <w:color w:val="auto"/>
                <w:kern w:val="0"/>
                <w:sz w:val="13"/>
                <w:szCs w:val="13"/>
                <w:highlight w:val="none"/>
                <w:lang w:eastAsia="zh-CN"/>
              </w:rPr>
              <w:t>，</w:t>
            </w:r>
            <w:r>
              <w:rPr>
                <w:rFonts w:hint="eastAsia" w:ascii="仿宋_GB2312" w:hAnsi="宋体" w:eastAsia="仿宋_GB2312" w:cs="宋体"/>
                <w:color w:val="auto"/>
                <w:kern w:val="0"/>
                <w:sz w:val="13"/>
                <w:szCs w:val="13"/>
                <w:highlight w:val="none"/>
                <w:lang w:val="en-US" w:eastAsia="zh-CN"/>
              </w:rPr>
              <w:t>或</w:t>
            </w:r>
            <w:r>
              <w:rPr>
                <w:rFonts w:hint="eastAsia" w:ascii="仿宋_GB2312" w:hAnsi="宋体" w:eastAsia="仿宋_GB2312" w:cs="宋体"/>
                <w:color w:val="auto"/>
                <w:kern w:val="0"/>
                <w:sz w:val="13"/>
                <w:szCs w:val="13"/>
                <w:highlight w:val="none"/>
              </w:rPr>
              <w:t>造成其他严重后果的。</w:t>
            </w:r>
          </w:p>
        </w:tc>
        <w:tc>
          <w:tcPr>
            <w:tcW w:w="3058" w:type="dxa"/>
            <w:vMerge w:val="restart"/>
            <w:tcBorders>
              <w:tl2br w:val="nil"/>
              <w:tr2bl w:val="nil"/>
            </w:tcBorders>
            <w:tcMar>
              <w:top w:w="15" w:type="dxa"/>
              <w:left w:w="15" w:type="dxa"/>
              <w:bottom w:w="15" w:type="dxa"/>
              <w:right w:w="15" w:type="dxa"/>
            </w:tcMar>
            <w:vAlign w:val="center"/>
          </w:tcPr>
          <w:p w14:paraId="2DB610A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责令改正，恢复原状或者采取其他补救措施，处10万元以上30万元以下罚款。</w:t>
            </w:r>
          </w:p>
        </w:tc>
      </w:tr>
      <w:tr w14:paraId="4A68D28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312" w:hRule="atLeast"/>
          <w:jc w:val="center"/>
        </w:trPr>
        <w:tc>
          <w:tcPr>
            <w:tcW w:w="428" w:type="dxa"/>
            <w:vMerge w:val="continue"/>
            <w:tcBorders>
              <w:tl2br w:val="nil"/>
              <w:tr2bl w:val="nil"/>
            </w:tcBorders>
            <w:vAlign w:val="center"/>
          </w:tcPr>
          <w:p w14:paraId="672359FC">
            <w:pPr>
              <w:pStyle w:val="37"/>
              <w:keepNext w:val="0"/>
              <w:keepLines w:val="0"/>
              <w:pageBreakBefore w:val="0"/>
              <w:widowControl/>
              <w:numPr>
                <w:ilvl w:val="0"/>
                <w:numId w:val="12"/>
              </w:numPr>
              <w:kinsoku/>
              <w:overflowPunct/>
              <w:topLinePunct w:val="0"/>
              <w:autoSpaceDE/>
              <w:autoSpaceDN/>
              <w:bidi w:val="0"/>
              <w:adjustRightInd/>
              <w:snapToGrid/>
              <w:spacing w:beforeAutospacing="0" w:afterAutospacing="0" w:line="260" w:lineRule="exact"/>
              <w:ind w:left="638" w:leftChars="88" w:right="0" w:rightChars="0" w:hanging="453" w:hangingChars="349"/>
              <w:jc w:val="center"/>
              <w:textAlignment w:val="center"/>
              <w:rPr>
                <w:rFonts w:ascii="仿宋_GB2312" w:hAnsi="宋体" w:eastAsia="仿宋_GB2312" w:cs="宋体"/>
                <w:color w:val="auto"/>
                <w:sz w:val="13"/>
                <w:szCs w:val="13"/>
                <w:highlight w:val="none"/>
              </w:rPr>
            </w:pPr>
          </w:p>
        </w:tc>
        <w:tc>
          <w:tcPr>
            <w:tcW w:w="1550" w:type="dxa"/>
            <w:vMerge w:val="continue"/>
            <w:tcBorders>
              <w:tl2br w:val="nil"/>
              <w:tr2bl w:val="nil"/>
            </w:tcBorders>
            <w:vAlign w:val="center"/>
          </w:tcPr>
          <w:p w14:paraId="0A84617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宋体"/>
                <w:color w:val="auto"/>
                <w:sz w:val="13"/>
                <w:szCs w:val="13"/>
                <w:highlight w:val="none"/>
              </w:rPr>
            </w:pPr>
          </w:p>
        </w:tc>
        <w:tc>
          <w:tcPr>
            <w:tcW w:w="4820" w:type="dxa"/>
            <w:vMerge w:val="continue"/>
            <w:tcBorders>
              <w:tl2br w:val="nil"/>
              <w:tr2bl w:val="nil"/>
            </w:tcBorders>
            <w:vAlign w:val="center"/>
          </w:tcPr>
          <w:p w14:paraId="13AA191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宋体"/>
                <w:color w:val="auto"/>
                <w:sz w:val="13"/>
                <w:szCs w:val="13"/>
                <w:highlight w:val="none"/>
              </w:rPr>
            </w:pPr>
          </w:p>
        </w:tc>
        <w:tc>
          <w:tcPr>
            <w:tcW w:w="823" w:type="dxa"/>
            <w:vMerge w:val="continue"/>
            <w:tcBorders>
              <w:tl2br w:val="nil"/>
              <w:tr2bl w:val="nil"/>
            </w:tcBorders>
            <w:tcMar>
              <w:top w:w="15" w:type="dxa"/>
              <w:left w:w="15" w:type="dxa"/>
              <w:bottom w:w="15" w:type="dxa"/>
              <w:right w:w="15" w:type="dxa"/>
            </w:tcMar>
            <w:vAlign w:val="center"/>
          </w:tcPr>
          <w:p w14:paraId="70F29CC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宋体"/>
                <w:color w:val="auto"/>
                <w:sz w:val="13"/>
                <w:szCs w:val="13"/>
                <w:highlight w:val="none"/>
              </w:rPr>
            </w:pPr>
          </w:p>
        </w:tc>
        <w:tc>
          <w:tcPr>
            <w:tcW w:w="3437" w:type="dxa"/>
            <w:gridSpan w:val="2"/>
            <w:vMerge w:val="continue"/>
            <w:tcBorders>
              <w:tl2br w:val="nil"/>
              <w:tr2bl w:val="nil"/>
            </w:tcBorders>
            <w:tcMar>
              <w:top w:w="15" w:type="dxa"/>
              <w:left w:w="15" w:type="dxa"/>
              <w:bottom w:w="15" w:type="dxa"/>
              <w:right w:w="15" w:type="dxa"/>
            </w:tcMar>
            <w:vAlign w:val="center"/>
          </w:tcPr>
          <w:p w14:paraId="2AC47A4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宋体"/>
                <w:color w:val="auto"/>
                <w:sz w:val="13"/>
                <w:szCs w:val="13"/>
                <w:highlight w:val="none"/>
              </w:rPr>
            </w:pPr>
          </w:p>
        </w:tc>
        <w:tc>
          <w:tcPr>
            <w:tcW w:w="3058" w:type="dxa"/>
            <w:vMerge w:val="continue"/>
            <w:tcBorders>
              <w:tl2br w:val="nil"/>
              <w:tr2bl w:val="nil"/>
            </w:tcBorders>
            <w:tcMar>
              <w:top w:w="15" w:type="dxa"/>
              <w:left w:w="15" w:type="dxa"/>
              <w:bottom w:w="15" w:type="dxa"/>
              <w:right w:w="15" w:type="dxa"/>
            </w:tcMar>
            <w:vAlign w:val="center"/>
          </w:tcPr>
          <w:p w14:paraId="255D8B3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宋体"/>
                <w:color w:val="auto"/>
                <w:sz w:val="13"/>
                <w:szCs w:val="13"/>
                <w:highlight w:val="none"/>
              </w:rPr>
            </w:pPr>
          </w:p>
        </w:tc>
      </w:tr>
      <w:tr w14:paraId="77235CD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169" w:hRule="atLeast"/>
          <w:jc w:val="center"/>
        </w:trPr>
        <w:tc>
          <w:tcPr>
            <w:tcW w:w="428" w:type="dxa"/>
            <w:vMerge w:val="restart"/>
            <w:tcBorders>
              <w:tl2br w:val="nil"/>
              <w:tr2bl w:val="nil"/>
            </w:tcBorders>
            <w:vAlign w:val="center"/>
          </w:tcPr>
          <w:p w14:paraId="4A435911">
            <w:pPr>
              <w:keepNext w:val="0"/>
              <w:keepLines w:val="0"/>
              <w:pageBreakBefore w:val="0"/>
              <w:widowControl/>
              <w:numPr>
                <w:ilvl w:val="0"/>
                <w:numId w:val="11"/>
              </w:numPr>
              <w:suppressLineNumbers w:val="0"/>
              <w:tabs>
                <w:tab w:val="clear" w:pos="397"/>
              </w:tabs>
              <w:kinsoku/>
              <w:overflowPunct/>
              <w:topLinePunct w:val="0"/>
              <w:autoSpaceDE/>
              <w:autoSpaceDN/>
              <w:bidi w:val="0"/>
              <w:adjustRightInd/>
              <w:snapToGrid/>
              <w:spacing w:beforeAutospacing="0" w:afterAutospacing="0" w:line="260" w:lineRule="exact"/>
              <w:ind w:left="638" w:leftChars="88" w:right="0" w:rightChars="0" w:hanging="453" w:hangingChars="349"/>
              <w:jc w:val="center"/>
              <w:textAlignment w:val="center"/>
              <w:rPr>
                <w:rFonts w:hint="default" w:ascii="仿宋_GB2312" w:hAnsi="宋体" w:eastAsia="仿宋_GB2312" w:cs="宋体"/>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311</w:t>
            </w:r>
          </w:p>
        </w:tc>
        <w:tc>
          <w:tcPr>
            <w:tcW w:w="1550" w:type="dxa"/>
            <w:vMerge w:val="restart"/>
            <w:tcBorders>
              <w:tl2br w:val="nil"/>
              <w:tr2bl w:val="nil"/>
            </w:tcBorders>
            <w:vAlign w:val="center"/>
          </w:tcPr>
          <w:p w14:paraId="2BEDD35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rPr>
                <w:rFonts w:ascii="仿宋_GB2312" w:hAnsi="宋体" w:eastAsia="仿宋_GB2312" w:cs="宋体"/>
                <w:color w:val="auto"/>
                <w:sz w:val="13"/>
                <w:szCs w:val="13"/>
                <w:highlight w:val="none"/>
              </w:rPr>
            </w:pPr>
            <w:r>
              <w:rPr>
                <w:rFonts w:hint="eastAsia" w:ascii="仿宋_GB2312" w:hAnsi="宋体" w:eastAsia="仿宋_GB2312" w:cs="宋体"/>
                <w:color w:val="auto"/>
                <w:sz w:val="13"/>
                <w:szCs w:val="13"/>
                <w:highlight w:val="none"/>
              </w:rPr>
              <w:t>排水户名称、法定代表人等其他事项变更，未及时向城镇排水主管部门申请办理变更的</w:t>
            </w:r>
          </w:p>
          <w:p w14:paraId="50C7DD3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sz w:val="13"/>
                <w:szCs w:val="13"/>
                <w:highlight w:val="none"/>
              </w:rPr>
            </w:pPr>
          </w:p>
        </w:tc>
        <w:tc>
          <w:tcPr>
            <w:tcW w:w="4820" w:type="dxa"/>
            <w:vMerge w:val="restart"/>
            <w:tcBorders>
              <w:tl2br w:val="nil"/>
              <w:tr2bl w:val="nil"/>
            </w:tcBorders>
            <w:vAlign w:val="center"/>
          </w:tcPr>
          <w:p w14:paraId="617E714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sz w:val="13"/>
                <w:szCs w:val="13"/>
                <w:highlight w:val="none"/>
              </w:rPr>
            </w:pPr>
            <w:r>
              <w:rPr>
                <w:rFonts w:hint="eastAsia" w:ascii="仿宋_GB2312" w:hAnsi="宋体" w:eastAsia="仿宋_GB2312" w:cs="宋体"/>
                <w:color w:val="auto"/>
                <w:sz w:val="13"/>
                <w:szCs w:val="13"/>
                <w:highlight w:val="none"/>
              </w:rPr>
              <w:t>《城镇污水排入排水管网许可管理办法》</w:t>
            </w:r>
            <w:r>
              <w:rPr>
                <w:rFonts w:hint="eastAsia" w:ascii="仿宋_GB2312" w:hAnsi="宋体" w:eastAsia="仿宋_GB2312" w:cs="宋体"/>
                <w:b/>
                <w:bCs/>
                <w:color w:val="auto"/>
                <w:sz w:val="13"/>
                <w:szCs w:val="13"/>
                <w:highlight w:val="none"/>
              </w:rPr>
              <w:t>第二十</w:t>
            </w:r>
            <w:r>
              <w:rPr>
                <w:rFonts w:hint="eastAsia" w:ascii="仿宋_GB2312" w:hAnsi="宋体" w:eastAsia="仿宋_GB2312" w:cs="宋体"/>
                <w:b/>
                <w:bCs/>
                <w:color w:val="auto"/>
                <w:sz w:val="13"/>
                <w:szCs w:val="13"/>
                <w:highlight w:val="none"/>
                <w:lang w:val="en-US" w:eastAsia="zh-CN"/>
              </w:rPr>
              <w:t>九</w:t>
            </w:r>
            <w:r>
              <w:rPr>
                <w:rFonts w:hint="eastAsia" w:ascii="仿宋_GB2312" w:hAnsi="宋体" w:eastAsia="仿宋_GB2312" w:cs="宋体"/>
                <w:b/>
                <w:bCs/>
                <w:color w:val="auto"/>
                <w:sz w:val="13"/>
                <w:szCs w:val="13"/>
                <w:highlight w:val="none"/>
              </w:rPr>
              <w:t>条</w:t>
            </w:r>
            <w:r>
              <w:rPr>
                <w:rFonts w:hint="eastAsia" w:ascii="仿宋_GB2312" w:hAnsi="宋体" w:eastAsia="仿宋_GB2312" w:cs="宋体"/>
                <w:b/>
                <w:bCs/>
                <w:color w:val="auto"/>
                <w:sz w:val="13"/>
                <w:szCs w:val="13"/>
                <w:highlight w:val="none"/>
                <w:lang w:eastAsia="zh-CN"/>
              </w:rPr>
              <w:t>：</w:t>
            </w:r>
            <w:r>
              <w:rPr>
                <w:rFonts w:hint="eastAsia" w:ascii="仿宋_GB2312" w:hAnsi="宋体" w:eastAsia="仿宋_GB2312" w:cs="宋体"/>
                <w:color w:val="auto"/>
                <w:sz w:val="13"/>
                <w:szCs w:val="13"/>
                <w:highlight w:val="none"/>
              </w:rPr>
              <w:t>排水户名称、法定代表人等其他事项变更，未按本办法规定及时向城镇排水主管部门申请办理变更的，由城镇排水主管部门责令改正，可以处</w:t>
            </w:r>
            <w:r>
              <w:rPr>
                <w:rFonts w:hint="eastAsia" w:ascii="仿宋_GB2312" w:hAnsi="宋体" w:eastAsia="仿宋_GB2312" w:cs="宋体"/>
                <w:color w:val="auto"/>
                <w:sz w:val="13"/>
                <w:szCs w:val="13"/>
                <w:highlight w:val="none"/>
                <w:lang w:val="en-US" w:eastAsia="zh-CN"/>
              </w:rPr>
              <w:t>1</w:t>
            </w:r>
            <w:r>
              <w:rPr>
                <w:rFonts w:hint="eastAsia" w:ascii="仿宋_GB2312" w:hAnsi="宋体" w:eastAsia="仿宋_GB2312" w:cs="宋体"/>
                <w:color w:val="auto"/>
                <w:sz w:val="13"/>
                <w:szCs w:val="13"/>
                <w:highlight w:val="none"/>
              </w:rPr>
              <w:t>万元以下罚款。</w:t>
            </w:r>
          </w:p>
          <w:p w14:paraId="126A067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sz w:val="13"/>
                <w:szCs w:val="13"/>
                <w:highlight w:val="none"/>
              </w:rPr>
            </w:pPr>
          </w:p>
          <w:p w14:paraId="67DB790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46A202A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从轻情节</w:t>
            </w:r>
          </w:p>
        </w:tc>
        <w:tc>
          <w:tcPr>
            <w:tcW w:w="3437" w:type="dxa"/>
            <w:gridSpan w:val="2"/>
            <w:tcBorders>
              <w:tl2br w:val="nil"/>
              <w:tr2bl w:val="nil"/>
            </w:tcBorders>
            <w:tcMar>
              <w:top w:w="15" w:type="dxa"/>
              <w:left w:w="15" w:type="dxa"/>
              <w:bottom w:w="15" w:type="dxa"/>
              <w:right w:w="15" w:type="dxa"/>
            </w:tcMar>
            <w:vAlign w:val="center"/>
          </w:tcPr>
          <w:p w14:paraId="28E218C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sz w:val="13"/>
                <w:szCs w:val="13"/>
                <w:highlight w:val="none"/>
              </w:rPr>
              <w:t>超过规定期限1个月以内未申请办理变更的。</w:t>
            </w:r>
          </w:p>
        </w:tc>
        <w:tc>
          <w:tcPr>
            <w:tcW w:w="3058" w:type="dxa"/>
            <w:tcBorders>
              <w:tl2br w:val="nil"/>
              <w:tr2bl w:val="nil"/>
            </w:tcBorders>
            <w:tcMar>
              <w:top w:w="15" w:type="dxa"/>
              <w:left w:w="15" w:type="dxa"/>
              <w:bottom w:w="15" w:type="dxa"/>
              <w:right w:w="15" w:type="dxa"/>
            </w:tcMar>
            <w:vAlign w:val="center"/>
          </w:tcPr>
          <w:p w14:paraId="3D3E655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rPr>
                <w:rFonts w:ascii="仿宋_GB2312" w:hAnsi="宋体" w:eastAsia="仿宋_GB2312" w:cs="宋体"/>
                <w:color w:val="auto"/>
                <w:sz w:val="13"/>
                <w:szCs w:val="13"/>
                <w:highlight w:val="none"/>
              </w:rPr>
            </w:pPr>
            <w:r>
              <w:rPr>
                <w:rFonts w:hint="eastAsia" w:ascii="仿宋_GB2312" w:hAnsi="宋体" w:eastAsia="仿宋_GB2312" w:cs="宋体"/>
                <w:color w:val="auto"/>
                <w:sz w:val="13"/>
                <w:szCs w:val="13"/>
                <w:highlight w:val="none"/>
              </w:rPr>
              <w:t>责令改正。</w:t>
            </w:r>
          </w:p>
        </w:tc>
      </w:tr>
      <w:tr w14:paraId="2F36D20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169" w:hRule="atLeast"/>
          <w:jc w:val="center"/>
        </w:trPr>
        <w:tc>
          <w:tcPr>
            <w:tcW w:w="428" w:type="dxa"/>
            <w:vMerge w:val="continue"/>
            <w:tcBorders>
              <w:tl2br w:val="nil"/>
              <w:tr2bl w:val="nil"/>
            </w:tcBorders>
            <w:vAlign w:val="center"/>
          </w:tcPr>
          <w:p w14:paraId="7B121F42">
            <w:pPr>
              <w:pStyle w:val="37"/>
              <w:keepNext w:val="0"/>
              <w:keepLines w:val="0"/>
              <w:pageBreakBefore w:val="0"/>
              <w:widowControl/>
              <w:numPr>
                <w:ilvl w:val="0"/>
                <w:numId w:val="12"/>
              </w:numPr>
              <w:kinsoku/>
              <w:overflowPunct/>
              <w:topLinePunct w:val="0"/>
              <w:autoSpaceDE/>
              <w:autoSpaceDN/>
              <w:bidi w:val="0"/>
              <w:adjustRightInd/>
              <w:snapToGrid/>
              <w:spacing w:beforeAutospacing="0" w:afterAutospacing="0" w:line="260" w:lineRule="exact"/>
              <w:ind w:left="638" w:leftChars="88" w:right="0" w:rightChars="0" w:hanging="453" w:hangingChars="349"/>
              <w:jc w:val="center"/>
              <w:textAlignment w:val="center"/>
              <w:rPr>
                <w:rFonts w:ascii="仿宋_GB2312" w:hAnsi="宋体" w:eastAsia="仿宋_GB2312" w:cs="宋体"/>
                <w:color w:val="auto"/>
                <w:sz w:val="13"/>
                <w:szCs w:val="13"/>
                <w:highlight w:val="none"/>
              </w:rPr>
            </w:pPr>
          </w:p>
        </w:tc>
        <w:tc>
          <w:tcPr>
            <w:tcW w:w="1550" w:type="dxa"/>
            <w:vMerge w:val="continue"/>
            <w:tcBorders>
              <w:tl2br w:val="nil"/>
              <w:tr2bl w:val="nil"/>
            </w:tcBorders>
            <w:vAlign w:val="center"/>
          </w:tcPr>
          <w:p w14:paraId="4B45C9E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sz w:val="13"/>
                <w:szCs w:val="13"/>
                <w:highlight w:val="none"/>
              </w:rPr>
            </w:pPr>
          </w:p>
        </w:tc>
        <w:tc>
          <w:tcPr>
            <w:tcW w:w="4820" w:type="dxa"/>
            <w:vMerge w:val="continue"/>
            <w:tcBorders>
              <w:tl2br w:val="nil"/>
              <w:tr2bl w:val="nil"/>
            </w:tcBorders>
            <w:vAlign w:val="center"/>
          </w:tcPr>
          <w:p w14:paraId="3F20F9E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63391F6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一般情节</w:t>
            </w:r>
          </w:p>
        </w:tc>
        <w:tc>
          <w:tcPr>
            <w:tcW w:w="3437" w:type="dxa"/>
            <w:gridSpan w:val="2"/>
            <w:tcBorders>
              <w:tl2br w:val="nil"/>
              <w:tr2bl w:val="nil"/>
            </w:tcBorders>
            <w:tcMar>
              <w:top w:w="15" w:type="dxa"/>
              <w:left w:w="15" w:type="dxa"/>
              <w:bottom w:w="15" w:type="dxa"/>
              <w:right w:w="15" w:type="dxa"/>
            </w:tcMar>
            <w:vAlign w:val="center"/>
          </w:tcPr>
          <w:p w14:paraId="1CD15A8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sz w:val="13"/>
                <w:szCs w:val="13"/>
                <w:highlight w:val="none"/>
              </w:rPr>
              <w:t>超过规定期限1个月以上</w:t>
            </w:r>
            <w:r>
              <w:rPr>
                <w:rFonts w:hint="eastAsia" w:ascii="仿宋_GB2312" w:hAnsi="宋体" w:eastAsia="仿宋_GB2312" w:cs="宋体"/>
                <w:color w:val="auto"/>
                <w:sz w:val="13"/>
                <w:szCs w:val="13"/>
                <w:highlight w:val="none"/>
                <w:lang w:val="en-US" w:eastAsia="zh-CN"/>
              </w:rPr>
              <w:t>6</w:t>
            </w:r>
            <w:r>
              <w:rPr>
                <w:rFonts w:hint="eastAsia" w:ascii="仿宋_GB2312" w:hAnsi="宋体" w:eastAsia="仿宋_GB2312" w:cs="宋体"/>
                <w:color w:val="auto"/>
                <w:sz w:val="13"/>
                <w:szCs w:val="13"/>
                <w:highlight w:val="none"/>
              </w:rPr>
              <w:t>个月以下未申请办理变更的。</w:t>
            </w:r>
          </w:p>
        </w:tc>
        <w:tc>
          <w:tcPr>
            <w:tcW w:w="3058" w:type="dxa"/>
            <w:tcBorders>
              <w:tl2br w:val="nil"/>
              <w:tr2bl w:val="nil"/>
            </w:tcBorders>
            <w:tcMar>
              <w:top w:w="15" w:type="dxa"/>
              <w:left w:w="15" w:type="dxa"/>
              <w:bottom w:w="15" w:type="dxa"/>
              <w:right w:w="15" w:type="dxa"/>
            </w:tcMar>
            <w:vAlign w:val="center"/>
          </w:tcPr>
          <w:p w14:paraId="2DA88B7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rPr>
                <w:rFonts w:ascii="仿宋_GB2312" w:hAnsi="宋体" w:eastAsia="仿宋_GB2312" w:cs="宋体"/>
                <w:color w:val="auto"/>
                <w:sz w:val="13"/>
                <w:szCs w:val="13"/>
                <w:highlight w:val="none"/>
              </w:rPr>
            </w:pPr>
            <w:r>
              <w:rPr>
                <w:rFonts w:hint="eastAsia" w:ascii="仿宋_GB2312" w:hAnsi="宋体" w:eastAsia="仿宋_GB2312" w:cs="宋体"/>
                <w:color w:val="auto"/>
                <w:sz w:val="13"/>
                <w:szCs w:val="13"/>
                <w:highlight w:val="none"/>
              </w:rPr>
              <w:t>责令改正，可以处</w:t>
            </w:r>
            <w:r>
              <w:rPr>
                <w:rFonts w:hint="eastAsia" w:ascii="仿宋_GB2312" w:hAnsi="宋体" w:eastAsia="仿宋_GB2312" w:cs="宋体"/>
                <w:color w:val="auto"/>
                <w:sz w:val="13"/>
                <w:szCs w:val="13"/>
                <w:highlight w:val="none"/>
                <w:lang w:val="en-US" w:eastAsia="zh-CN"/>
              </w:rPr>
              <w:t>1</w:t>
            </w:r>
            <w:r>
              <w:rPr>
                <w:rFonts w:hint="eastAsia" w:ascii="仿宋_GB2312" w:hAnsi="宋体" w:eastAsia="仿宋_GB2312" w:cs="宋体"/>
                <w:color w:val="auto"/>
                <w:sz w:val="13"/>
                <w:szCs w:val="13"/>
                <w:highlight w:val="none"/>
              </w:rPr>
              <w:t>万元以下罚款。</w:t>
            </w:r>
          </w:p>
        </w:tc>
      </w:tr>
      <w:tr w14:paraId="4836F8C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169" w:hRule="atLeast"/>
          <w:jc w:val="center"/>
        </w:trPr>
        <w:tc>
          <w:tcPr>
            <w:tcW w:w="428" w:type="dxa"/>
            <w:vMerge w:val="continue"/>
            <w:tcBorders>
              <w:tl2br w:val="nil"/>
              <w:tr2bl w:val="nil"/>
            </w:tcBorders>
            <w:vAlign w:val="center"/>
          </w:tcPr>
          <w:p w14:paraId="0557177C">
            <w:pPr>
              <w:pStyle w:val="37"/>
              <w:keepNext w:val="0"/>
              <w:keepLines w:val="0"/>
              <w:pageBreakBefore w:val="0"/>
              <w:widowControl/>
              <w:numPr>
                <w:ilvl w:val="0"/>
                <w:numId w:val="12"/>
              </w:numPr>
              <w:kinsoku/>
              <w:overflowPunct/>
              <w:topLinePunct w:val="0"/>
              <w:autoSpaceDE/>
              <w:autoSpaceDN/>
              <w:bidi w:val="0"/>
              <w:adjustRightInd/>
              <w:snapToGrid/>
              <w:spacing w:beforeAutospacing="0" w:afterAutospacing="0" w:line="260" w:lineRule="exact"/>
              <w:ind w:left="638" w:leftChars="88" w:right="0" w:rightChars="0" w:hanging="453" w:hangingChars="349"/>
              <w:jc w:val="center"/>
              <w:textAlignment w:val="center"/>
              <w:rPr>
                <w:rFonts w:ascii="仿宋_GB2312" w:hAnsi="宋体" w:eastAsia="仿宋_GB2312" w:cs="宋体"/>
                <w:color w:val="auto"/>
                <w:sz w:val="13"/>
                <w:szCs w:val="13"/>
                <w:highlight w:val="none"/>
              </w:rPr>
            </w:pPr>
          </w:p>
        </w:tc>
        <w:tc>
          <w:tcPr>
            <w:tcW w:w="1550" w:type="dxa"/>
            <w:vMerge w:val="continue"/>
            <w:tcBorders>
              <w:tl2br w:val="nil"/>
              <w:tr2bl w:val="nil"/>
            </w:tcBorders>
            <w:vAlign w:val="center"/>
          </w:tcPr>
          <w:p w14:paraId="54C7C56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sz w:val="13"/>
                <w:szCs w:val="13"/>
                <w:highlight w:val="none"/>
              </w:rPr>
            </w:pPr>
          </w:p>
        </w:tc>
        <w:tc>
          <w:tcPr>
            <w:tcW w:w="4820" w:type="dxa"/>
            <w:vMerge w:val="continue"/>
            <w:tcBorders>
              <w:tl2br w:val="nil"/>
              <w:tr2bl w:val="nil"/>
            </w:tcBorders>
            <w:vAlign w:val="center"/>
          </w:tcPr>
          <w:p w14:paraId="2C514F3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2DD131E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从重情节</w:t>
            </w:r>
          </w:p>
        </w:tc>
        <w:tc>
          <w:tcPr>
            <w:tcW w:w="3437" w:type="dxa"/>
            <w:gridSpan w:val="2"/>
            <w:tcBorders>
              <w:tl2br w:val="nil"/>
              <w:tr2bl w:val="nil"/>
            </w:tcBorders>
            <w:tcMar>
              <w:top w:w="15" w:type="dxa"/>
              <w:left w:w="15" w:type="dxa"/>
              <w:bottom w:w="15" w:type="dxa"/>
              <w:right w:w="15" w:type="dxa"/>
            </w:tcMar>
            <w:vAlign w:val="center"/>
          </w:tcPr>
          <w:p w14:paraId="5EF10F8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sz w:val="13"/>
                <w:szCs w:val="13"/>
                <w:highlight w:val="none"/>
              </w:rPr>
              <w:t>超过规定期限</w:t>
            </w:r>
            <w:r>
              <w:rPr>
                <w:rFonts w:hint="eastAsia" w:ascii="仿宋_GB2312" w:hAnsi="宋体" w:eastAsia="仿宋_GB2312" w:cs="宋体"/>
                <w:color w:val="auto"/>
                <w:sz w:val="13"/>
                <w:szCs w:val="13"/>
                <w:highlight w:val="none"/>
                <w:lang w:val="en-US" w:eastAsia="zh-CN"/>
              </w:rPr>
              <w:t>6</w:t>
            </w:r>
            <w:r>
              <w:rPr>
                <w:rFonts w:hint="eastAsia" w:ascii="仿宋_GB2312" w:hAnsi="宋体" w:eastAsia="仿宋_GB2312" w:cs="宋体"/>
                <w:color w:val="auto"/>
                <w:sz w:val="13"/>
                <w:szCs w:val="13"/>
                <w:highlight w:val="none"/>
              </w:rPr>
              <w:t>个月以上未申请办理变更的。</w:t>
            </w:r>
          </w:p>
        </w:tc>
        <w:tc>
          <w:tcPr>
            <w:tcW w:w="3058" w:type="dxa"/>
            <w:tcBorders>
              <w:tl2br w:val="nil"/>
              <w:tr2bl w:val="nil"/>
            </w:tcBorders>
            <w:tcMar>
              <w:top w:w="15" w:type="dxa"/>
              <w:left w:w="15" w:type="dxa"/>
              <w:bottom w:w="15" w:type="dxa"/>
              <w:right w:w="15" w:type="dxa"/>
            </w:tcMar>
            <w:vAlign w:val="center"/>
          </w:tcPr>
          <w:p w14:paraId="52DA6D3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rPr>
                <w:rFonts w:ascii="仿宋_GB2312" w:hAnsi="宋体" w:eastAsia="仿宋_GB2312" w:cs="宋体"/>
                <w:color w:val="auto"/>
                <w:sz w:val="13"/>
                <w:szCs w:val="13"/>
                <w:highlight w:val="none"/>
              </w:rPr>
            </w:pPr>
            <w:r>
              <w:rPr>
                <w:rFonts w:hint="eastAsia" w:ascii="仿宋_GB2312" w:hAnsi="宋体" w:eastAsia="仿宋_GB2312" w:cs="宋体"/>
                <w:color w:val="auto"/>
                <w:sz w:val="13"/>
                <w:szCs w:val="13"/>
                <w:highlight w:val="none"/>
              </w:rPr>
              <w:t>责令改正，可以处</w:t>
            </w:r>
            <w:r>
              <w:rPr>
                <w:rFonts w:hint="eastAsia" w:ascii="仿宋_GB2312" w:hAnsi="宋体" w:eastAsia="仿宋_GB2312" w:cs="宋体"/>
                <w:color w:val="auto"/>
                <w:sz w:val="13"/>
                <w:szCs w:val="13"/>
                <w:highlight w:val="none"/>
                <w:lang w:val="en-US" w:eastAsia="zh-CN"/>
              </w:rPr>
              <w:t>1</w:t>
            </w:r>
            <w:r>
              <w:rPr>
                <w:rFonts w:hint="eastAsia" w:ascii="仿宋_GB2312" w:hAnsi="宋体" w:eastAsia="仿宋_GB2312" w:cs="宋体"/>
                <w:color w:val="auto"/>
                <w:sz w:val="13"/>
                <w:szCs w:val="13"/>
                <w:highlight w:val="none"/>
              </w:rPr>
              <w:t>万元罚款。</w:t>
            </w:r>
          </w:p>
        </w:tc>
      </w:tr>
      <w:tr w14:paraId="7BE74F3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169" w:hRule="atLeast"/>
          <w:jc w:val="center"/>
        </w:trPr>
        <w:tc>
          <w:tcPr>
            <w:tcW w:w="428" w:type="dxa"/>
            <w:vMerge w:val="restart"/>
            <w:tcBorders>
              <w:tl2br w:val="nil"/>
              <w:tr2bl w:val="nil"/>
            </w:tcBorders>
            <w:vAlign w:val="center"/>
          </w:tcPr>
          <w:p w14:paraId="358618CC">
            <w:pPr>
              <w:keepNext w:val="0"/>
              <w:keepLines w:val="0"/>
              <w:pageBreakBefore w:val="0"/>
              <w:widowControl/>
              <w:numPr>
                <w:ilvl w:val="0"/>
                <w:numId w:val="11"/>
              </w:numPr>
              <w:suppressLineNumbers w:val="0"/>
              <w:tabs>
                <w:tab w:val="clear" w:pos="397"/>
              </w:tabs>
              <w:kinsoku/>
              <w:overflowPunct/>
              <w:topLinePunct w:val="0"/>
              <w:autoSpaceDE/>
              <w:autoSpaceDN/>
              <w:bidi w:val="0"/>
              <w:adjustRightInd/>
              <w:snapToGrid/>
              <w:spacing w:beforeAutospacing="0" w:afterAutospacing="0" w:line="260" w:lineRule="exact"/>
              <w:ind w:left="638" w:leftChars="88" w:right="0" w:rightChars="0" w:hanging="453" w:hangingChars="349"/>
              <w:jc w:val="center"/>
              <w:textAlignment w:val="center"/>
              <w:rPr>
                <w:rFonts w:hint="default" w:ascii="仿宋_GB2312" w:hAnsi="宋体" w:eastAsia="仿宋_GB2312" w:cs="宋体"/>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312</w:t>
            </w:r>
          </w:p>
        </w:tc>
        <w:tc>
          <w:tcPr>
            <w:tcW w:w="1550" w:type="dxa"/>
            <w:vMerge w:val="restart"/>
            <w:tcBorders>
              <w:tl2br w:val="nil"/>
              <w:tr2bl w:val="nil"/>
            </w:tcBorders>
            <w:vAlign w:val="center"/>
          </w:tcPr>
          <w:p w14:paraId="2D8F95E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rPr>
                <w:rFonts w:ascii="仿宋_GB2312" w:hAnsi="宋体" w:eastAsia="仿宋_GB2312" w:cs="宋体"/>
                <w:color w:val="auto"/>
                <w:sz w:val="13"/>
                <w:szCs w:val="13"/>
                <w:highlight w:val="none"/>
              </w:rPr>
            </w:pPr>
            <w:r>
              <w:rPr>
                <w:rFonts w:hint="eastAsia" w:ascii="仿宋_GB2312" w:hAnsi="宋体" w:eastAsia="仿宋_GB2312" w:cs="宋体"/>
                <w:color w:val="auto"/>
                <w:sz w:val="13"/>
                <w:szCs w:val="13"/>
                <w:highlight w:val="none"/>
              </w:rPr>
              <w:t>排水户以欺骗、贿赂等不正当手段取得排水许可的</w:t>
            </w:r>
          </w:p>
          <w:p w14:paraId="7389A2C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sz w:val="13"/>
                <w:szCs w:val="13"/>
                <w:highlight w:val="none"/>
              </w:rPr>
            </w:pPr>
          </w:p>
        </w:tc>
        <w:tc>
          <w:tcPr>
            <w:tcW w:w="4820" w:type="dxa"/>
            <w:vMerge w:val="restart"/>
            <w:tcBorders>
              <w:tl2br w:val="nil"/>
              <w:tr2bl w:val="nil"/>
            </w:tcBorders>
            <w:vAlign w:val="center"/>
          </w:tcPr>
          <w:p w14:paraId="38F7C6B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sz w:val="13"/>
                <w:szCs w:val="13"/>
                <w:highlight w:val="none"/>
              </w:rPr>
            </w:pPr>
            <w:r>
              <w:rPr>
                <w:rFonts w:hint="eastAsia" w:ascii="仿宋_GB2312" w:hAnsi="宋体" w:eastAsia="仿宋_GB2312" w:cs="宋体"/>
                <w:color w:val="auto"/>
                <w:sz w:val="13"/>
                <w:szCs w:val="13"/>
                <w:highlight w:val="none"/>
              </w:rPr>
              <w:t>《城镇污水排入排水管网许可管理办法》</w:t>
            </w:r>
            <w:r>
              <w:rPr>
                <w:rFonts w:hint="eastAsia" w:ascii="仿宋_GB2312" w:hAnsi="宋体" w:eastAsia="仿宋_GB2312" w:cs="宋体"/>
                <w:b/>
                <w:bCs/>
                <w:color w:val="auto"/>
                <w:sz w:val="13"/>
                <w:szCs w:val="13"/>
                <w:highlight w:val="none"/>
              </w:rPr>
              <w:t>第</w:t>
            </w:r>
            <w:r>
              <w:rPr>
                <w:rFonts w:hint="eastAsia" w:ascii="仿宋_GB2312" w:hAnsi="宋体" w:eastAsia="仿宋_GB2312" w:cs="宋体"/>
                <w:b/>
                <w:bCs/>
                <w:color w:val="auto"/>
                <w:sz w:val="13"/>
                <w:szCs w:val="13"/>
                <w:highlight w:val="none"/>
                <w:lang w:val="en-US" w:eastAsia="zh-CN"/>
              </w:rPr>
              <w:t>三十</w:t>
            </w:r>
            <w:r>
              <w:rPr>
                <w:rFonts w:hint="eastAsia" w:ascii="仿宋_GB2312" w:hAnsi="宋体" w:eastAsia="仿宋_GB2312" w:cs="宋体"/>
                <w:b/>
                <w:bCs/>
                <w:color w:val="auto"/>
                <w:sz w:val="13"/>
                <w:szCs w:val="13"/>
                <w:highlight w:val="none"/>
              </w:rPr>
              <w:t>条</w:t>
            </w:r>
            <w:r>
              <w:rPr>
                <w:rFonts w:hint="eastAsia" w:ascii="仿宋_GB2312" w:hAnsi="宋体" w:eastAsia="仿宋_GB2312" w:cs="宋体"/>
                <w:b/>
                <w:bCs/>
                <w:color w:val="auto"/>
                <w:sz w:val="13"/>
                <w:szCs w:val="13"/>
                <w:highlight w:val="none"/>
                <w:lang w:eastAsia="zh-CN"/>
              </w:rPr>
              <w:t>：</w:t>
            </w:r>
            <w:r>
              <w:rPr>
                <w:rFonts w:hint="eastAsia" w:ascii="仿宋_GB2312" w:hAnsi="宋体" w:eastAsia="仿宋_GB2312" w:cs="宋体"/>
                <w:color w:val="auto"/>
                <w:sz w:val="13"/>
                <w:szCs w:val="13"/>
                <w:highlight w:val="none"/>
              </w:rPr>
              <w:t>排水户以欺骗、贿赂等不正当手段取得排水许可的，可以处3万元以下罚款；造成损失的，依法承担赔偿责任；构成犯罪的，依法追究刑事责任。</w:t>
            </w:r>
          </w:p>
          <w:p w14:paraId="350D4E2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3A327B9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kern w:val="0"/>
                <w:sz w:val="13"/>
                <w:szCs w:val="13"/>
                <w:highlight w:val="none"/>
                <w:lang w:eastAsia="zh-CN"/>
              </w:rPr>
            </w:pPr>
            <w:r>
              <w:rPr>
                <w:rFonts w:hint="eastAsia" w:ascii="仿宋_GB2312" w:hAnsi="宋体" w:eastAsia="仿宋_GB2312" w:cs="宋体"/>
                <w:color w:val="auto"/>
                <w:kern w:val="0"/>
                <w:sz w:val="13"/>
                <w:szCs w:val="13"/>
                <w:highlight w:val="none"/>
                <w:lang w:eastAsia="zh-CN"/>
              </w:rPr>
              <w:t>从轻情节</w:t>
            </w:r>
          </w:p>
        </w:tc>
        <w:tc>
          <w:tcPr>
            <w:tcW w:w="3437" w:type="dxa"/>
            <w:gridSpan w:val="2"/>
            <w:tcBorders>
              <w:tl2br w:val="nil"/>
              <w:tr2bl w:val="nil"/>
            </w:tcBorders>
            <w:tcMar>
              <w:top w:w="15" w:type="dxa"/>
              <w:left w:w="15" w:type="dxa"/>
              <w:bottom w:w="15" w:type="dxa"/>
              <w:right w:w="15" w:type="dxa"/>
            </w:tcMar>
            <w:vAlign w:val="center"/>
          </w:tcPr>
          <w:p w14:paraId="00EDB7E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初次违法，危害后果轻微，主动消除或减轻违法行为后果的。</w:t>
            </w:r>
          </w:p>
        </w:tc>
        <w:tc>
          <w:tcPr>
            <w:tcW w:w="3058" w:type="dxa"/>
            <w:tcBorders>
              <w:tl2br w:val="nil"/>
              <w:tr2bl w:val="nil"/>
            </w:tcBorders>
            <w:tcMar>
              <w:top w:w="15" w:type="dxa"/>
              <w:left w:w="15" w:type="dxa"/>
              <w:bottom w:w="15" w:type="dxa"/>
              <w:right w:w="15" w:type="dxa"/>
            </w:tcMar>
            <w:vAlign w:val="center"/>
          </w:tcPr>
          <w:p w14:paraId="4163635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kern w:val="0"/>
                <w:sz w:val="13"/>
                <w:szCs w:val="13"/>
                <w:highlight w:val="none"/>
              </w:rPr>
            </w:pPr>
            <w:r>
              <w:rPr>
                <w:rFonts w:hint="eastAsia" w:ascii="仿宋_GB2312" w:hAnsi="宋体" w:eastAsia="仿宋_GB2312" w:cs="宋体"/>
                <w:color w:val="auto"/>
                <w:kern w:val="0"/>
                <w:sz w:val="13"/>
                <w:szCs w:val="13"/>
                <w:highlight w:val="none"/>
              </w:rPr>
              <w:t>可以处以1万元罚款。</w:t>
            </w:r>
          </w:p>
        </w:tc>
      </w:tr>
      <w:tr w14:paraId="17FE586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112" w:hRule="atLeast"/>
          <w:jc w:val="center"/>
        </w:trPr>
        <w:tc>
          <w:tcPr>
            <w:tcW w:w="428" w:type="dxa"/>
            <w:vMerge w:val="continue"/>
            <w:tcBorders>
              <w:tl2br w:val="nil"/>
              <w:tr2bl w:val="nil"/>
            </w:tcBorders>
            <w:vAlign w:val="center"/>
          </w:tcPr>
          <w:p w14:paraId="6DDC31DB">
            <w:pPr>
              <w:pStyle w:val="37"/>
              <w:keepNext w:val="0"/>
              <w:keepLines w:val="0"/>
              <w:pageBreakBefore w:val="0"/>
              <w:widowControl/>
              <w:numPr>
                <w:ilvl w:val="0"/>
                <w:numId w:val="12"/>
              </w:numPr>
              <w:kinsoku/>
              <w:overflowPunct/>
              <w:topLinePunct w:val="0"/>
              <w:autoSpaceDE/>
              <w:autoSpaceDN/>
              <w:bidi w:val="0"/>
              <w:adjustRightInd/>
              <w:snapToGrid/>
              <w:spacing w:beforeAutospacing="0" w:afterAutospacing="0" w:line="260" w:lineRule="exact"/>
              <w:ind w:left="638" w:leftChars="88" w:right="0" w:rightChars="0" w:hanging="453" w:hangingChars="349"/>
              <w:jc w:val="center"/>
              <w:textAlignment w:val="center"/>
              <w:rPr>
                <w:rFonts w:ascii="仿宋_GB2312" w:hAnsi="宋体" w:eastAsia="仿宋_GB2312" w:cs="宋体"/>
                <w:color w:val="auto"/>
                <w:sz w:val="13"/>
                <w:szCs w:val="13"/>
                <w:highlight w:val="none"/>
              </w:rPr>
            </w:pPr>
          </w:p>
        </w:tc>
        <w:tc>
          <w:tcPr>
            <w:tcW w:w="1550" w:type="dxa"/>
            <w:vMerge w:val="continue"/>
            <w:tcBorders>
              <w:tl2br w:val="nil"/>
              <w:tr2bl w:val="nil"/>
            </w:tcBorders>
            <w:vAlign w:val="center"/>
          </w:tcPr>
          <w:p w14:paraId="01C6149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sz w:val="13"/>
                <w:szCs w:val="13"/>
                <w:highlight w:val="none"/>
              </w:rPr>
            </w:pPr>
          </w:p>
        </w:tc>
        <w:tc>
          <w:tcPr>
            <w:tcW w:w="4820" w:type="dxa"/>
            <w:vMerge w:val="continue"/>
            <w:tcBorders>
              <w:tl2br w:val="nil"/>
              <w:tr2bl w:val="nil"/>
            </w:tcBorders>
            <w:vAlign w:val="center"/>
          </w:tcPr>
          <w:p w14:paraId="2DEBE87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2143310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kern w:val="0"/>
                <w:sz w:val="13"/>
                <w:szCs w:val="13"/>
                <w:highlight w:val="none"/>
                <w:lang w:eastAsia="zh-CN"/>
              </w:rPr>
            </w:pPr>
            <w:r>
              <w:rPr>
                <w:rFonts w:hint="eastAsia" w:ascii="仿宋_GB2312" w:hAnsi="宋体" w:eastAsia="仿宋_GB2312" w:cs="宋体"/>
                <w:color w:val="auto"/>
                <w:kern w:val="0"/>
                <w:sz w:val="13"/>
                <w:szCs w:val="13"/>
                <w:highlight w:val="none"/>
                <w:lang w:eastAsia="zh-CN"/>
              </w:rPr>
              <w:t>一般情节</w:t>
            </w:r>
          </w:p>
        </w:tc>
        <w:tc>
          <w:tcPr>
            <w:tcW w:w="3437" w:type="dxa"/>
            <w:gridSpan w:val="2"/>
            <w:tcBorders>
              <w:tl2br w:val="nil"/>
              <w:tr2bl w:val="nil"/>
            </w:tcBorders>
            <w:tcMar>
              <w:top w:w="15" w:type="dxa"/>
              <w:left w:w="15" w:type="dxa"/>
              <w:bottom w:w="15" w:type="dxa"/>
              <w:right w:w="15" w:type="dxa"/>
            </w:tcMar>
            <w:vAlign w:val="center"/>
          </w:tcPr>
          <w:p w14:paraId="2573277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不具有从轻、</w:t>
            </w:r>
            <w:r>
              <w:rPr>
                <w:rFonts w:hint="eastAsia" w:ascii="仿宋_GB2312" w:hAnsi="宋体" w:eastAsia="仿宋_GB2312" w:cs="宋体"/>
                <w:color w:val="auto"/>
                <w:kern w:val="0"/>
                <w:sz w:val="13"/>
                <w:szCs w:val="13"/>
                <w:highlight w:val="none"/>
                <w:lang w:eastAsia="zh-CN"/>
              </w:rPr>
              <w:t>从重情节</w:t>
            </w:r>
            <w:r>
              <w:rPr>
                <w:rFonts w:hint="eastAsia" w:ascii="仿宋_GB2312" w:hAnsi="宋体" w:eastAsia="仿宋_GB2312" w:cs="宋体"/>
                <w:color w:val="auto"/>
                <w:kern w:val="0"/>
                <w:sz w:val="13"/>
                <w:szCs w:val="13"/>
                <w:highlight w:val="none"/>
              </w:rPr>
              <w:t>的。</w:t>
            </w:r>
          </w:p>
        </w:tc>
        <w:tc>
          <w:tcPr>
            <w:tcW w:w="3058" w:type="dxa"/>
            <w:tcBorders>
              <w:tl2br w:val="nil"/>
              <w:tr2bl w:val="nil"/>
            </w:tcBorders>
            <w:tcMar>
              <w:top w:w="15" w:type="dxa"/>
              <w:left w:w="15" w:type="dxa"/>
              <w:bottom w:w="15" w:type="dxa"/>
              <w:right w:w="15" w:type="dxa"/>
            </w:tcMar>
            <w:vAlign w:val="center"/>
          </w:tcPr>
          <w:p w14:paraId="24FAAF2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kern w:val="0"/>
                <w:sz w:val="13"/>
                <w:szCs w:val="13"/>
                <w:highlight w:val="none"/>
              </w:rPr>
            </w:pPr>
            <w:r>
              <w:rPr>
                <w:rFonts w:hint="eastAsia" w:ascii="仿宋_GB2312" w:hAnsi="宋体" w:eastAsia="仿宋_GB2312" w:cs="宋体"/>
                <w:color w:val="auto"/>
                <w:sz w:val="13"/>
                <w:szCs w:val="13"/>
                <w:highlight w:val="none"/>
              </w:rPr>
              <w:t>可以处1万元以上2万元以下罚款。</w:t>
            </w:r>
          </w:p>
        </w:tc>
      </w:tr>
      <w:tr w14:paraId="64603A5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112" w:hRule="atLeast"/>
          <w:jc w:val="center"/>
        </w:trPr>
        <w:tc>
          <w:tcPr>
            <w:tcW w:w="428" w:type="dxa"/>
            <w:vMerge w:val="continue"/>
            <w:tcBorders>
              <w:tl2br w:val="nil"/>
              <w:tr2bl w:val="nil"/>
            </w:tcBorders>
            <w:vAlign w:val="center"/>
          </w:tcPr>
          <w:p w14:paraId="540768E9">
            <w:pPr>
              <w:pStyle w:val="37"/>
              <w:keepNext w:val="0"/>
              <w:keepLines w:val="0"/>
              <w:pageBreakBefore w:val="0"/>
              <w:widowControl/>
              <w:numPr>
                <w:ilvl w:val="0"/>
                <w:numId w:val="12"/>
              </w:numPr>
              <w:kinsoku/>
              <w:overflowPunct/>
              <w:topLinePunct w:val="0"/>
              <w:autoSpaceDE/>
              <w:autoSpaceDN/>
              <w:bidi w:val="0"/>
              <w:adjustRightInd/>
              <w:snapToGrid/>
              <w:spacing w:beforeAutospacing="0" w:afterAutospacing="0" w:line="260" w:lineRule="exact"/>
              <w:ind w:left="638" w:leftChars="88" w:right="0" w:rightChars="0" w:hanging="453" w:hangingChars="349"/>
              <w:jc w:val="center"/>
              <w:textAlignment w:val="center"/>
              <w:rPr>
                <w:rFonts w:ascii="仿宋_GB2312" w:hAnsi="宋体" w:eastAsia="仿宋_GB2312" w:cs="宋体"/>
                <w:color w:val="auto"/>
                <w:sz w:val="13"/>
                <w:szCs w:val="13"/>
                <w:highlight w:val="none"/>
              </w:rPr>
            </w:pPr>
          </w:p>
        </w:tc>
        <w:tc>
          <w:tcPr>
            <w:tcW w:w="1550" w:type="dxa"/>
            <w:vMerge w:val="continue"/>
            <w:tcBorders>
              <w:tl2br w:val="nil"/>
              <w:tr2bl w:val="nil"/>
            </w:tcBorders>
            <w:vAlign w:val="center"/>
          </w:tcPr>
          <w:p w14:paraId="363FA98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sz w:val="13"/>
                <w:szCs w:val="13"/>
                <w:highlight w:val="none"/>
              </w:rPr>
            </w:pPr>
          </w:p>
        </w:tc>
        <w:tc>
          <w:tcPr>
            <w:tcW w:w="4820" w:type="dxa"/>
            <w:vMerge w:val="continue"/>
            <w:tcBorders>
              <w:tl2br w:val="nil"/>
              <w:tr2bl w:val="nil"/>
            </w:tcBorders>
            <w:vAlign w:val="center"/>
          </w:tcPr>
          <w:p w14:paraId="74A098F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3413BD1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kern w:val="0"/>
                <w:sz w:val="13"/>
                <w:szCs w:val="13"/>
                <w:highlight w:val="none"/>
                <w:lang w:eastAsia="zh-CN"/>
              </w:rPr>
            </w:pPr>
            <w:r>
              <w:rPr>
                <w:rFonts w:hint="eastAsia" w:ascii="仿宋_GB2312" w:hAnsi="宋体" w:eastAsia="仿宋_GB2312" w:cs="宋体"/>
                <w:color w:val="auto"/>
                <w:kern w:val="0"/>
                <w:sz w:val="13"/>
                <w:szCs w:val="13"/>
                <w:highlight w:val="none"/>
                <w:lang w:eastAsia="zh-CN"/>
              </w:rPr>
              <w:t>从重情节</w:t>
            </w:r>
          </w:p>
        </w:tc>
        <w:tc>
          <w:tcPr>
            <w:tcW w:w="3437" w:type="dxa"/>
            <w:gridSpan w:val="2"/>
            <w:tcBorders>
              <w:tl2br w:val="nil"/>
              <w:tr2bl w:val="nil"/>
            </w:tcBorders>
            <w:tcMar>
              <w:top w:w="15" w:type="dxa"/>
              <w:left w:w="15" w:type="dxa"/>
              <w:bottom w:w="15" w:type="dxa"/>
              <w:right w:w="15" w:type="dxa"/>
            </w:tcMar>
            <w:vAlign w:val="center"/>
          </w:tcPr>
          <w:p w14:paraId="6A1C507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责令限期改正后，不及时改正的</w:t>
            </w:r>
            <w:r>
              <w:rPr>
                <w:rFonts w:hint="eastAsia" w:ascii="仿宋_GB2312" w:hAnsi="宋体" w:eastAsia="仿宋_GB2312" w:cs="宋体"/>
                <w:color w:val="auto"/>
                <w:kern w:val="0"/>
                <w:sz w:val="13"/>
                <w:szCs w:val="13"/>
                <w:highlight w:val="none"/>
                <w:lang w:eastAsia="zh-CN"/>
              </w:rPr>
              <w:t>，</w:t>
            </w:r>
            <w:r>
              <w:rPr>
                <w:rFonts w:hint="eastAsia" w:ascii="仿宋_GB2312" w:hAnsi="宋体" w:eastAsia="仿宋_GB2312" w:cs="宋体"/>
                <w:color w:val="auto"/>
                <w:kern w:val="0"/>
                <w:sz w:val="13"/>
                <w:szCs w:val="13"/>
                <w:highlight w:val="none"/>
                <w:lang w:val="en-US" w:eastAsia="zh-CN"/>
              </w:rPr>
              <w:t>或</w:t>
            </w:r>
            <w:r>
              <w:rPr>
                <w:rFonts w:hint="eastAsia" w:ascii="仿宋_GB2312" w:hAnsi="宋体" w:eastAsia="仿宋_GB2312" w:cs="宋体"/>
                <w:color w:val="auto"/>
                <w:kern w:val="0"/>
                <w:sz w:val="13"/>
                <w:szCs w:val="13"/>
                <w:highlight w:val="none"/>
              </w:rPr>
              <w:t>曾因实施该违法行为被查处，再次实施该违法行为的</w:t>
            </w:r>
            <w:r>
              <w:rPr>
                <w:rFonts w:hint="eastAsia" w:ascii="仿宋_GB2312" w:hAnsi="宋体" w:eastAsia="仿宋_GB2312" w:cs="宋体"/>
                <w:color w:val="auto"/>
                <w:kern w:val="0"/>
                <w:sz w:val="13"/>
                <w:szCs w:val="13"/>
                <w:highlight w:val="none"/>
                <w:lang w:eastAsia="zh-CN"/>
              </w:rPr>
              <w:t>，</w:t>
            </w:r>
            <w:r>
              <w:rPr>
                <w:rFonts w:hint="eastAsia" w:ascii="仿宋_GB2312" w:hAnsi="宋体" w:eastAsia="仿宋_GB2312" w:cs="宋体"/>
                <w:color w:val="auto"/>
                <w:kern w:val="0"/>
                <w:sz w:val="13"/>
                <w:szCs w:val="13"/>
                <w:highlight w:val="none"/>
                <w:lang w:val="en-US" w:eastAsia="zh-CN"/>
              </w:rPr>
              <w:t>或</w:t>
            </w:r>
            <w:r>
              <w:rPr>
                <w:rFonts w:hint="eastAsia" w:ascii="仿宋_GB2312" w:hAnsi="宋体" w:eastAsia="仿宋_GB2312" w:cs="宋体"/>
                <w:color w:val="auto"/>
                <w:kern w:val="0"/>
                <w:sz w:val="13"/>
                <w:szCs w:val="13"/>
                <w:highlight w:val="none"/>
              </w:rPr>
              <w:t>造成严重危害后果的。</w:t>
            </w:r>
          </w:p>
        </w:tc>
        <w:tc>
          <w:tcPr>
            <w:tcW w:w="3058" w:type="dxa"/>
            <w:tcBorders>
              <w:tl2br w:val="nil"/>
              <w:tr2bl w:val="nil"/>
            </w:tcBorders>
            <w:tcMar>
              <w:top w:w="15" w:type="dxa"/>
              <w:left w:w="15" w:type="dxa"/>
              <w:bottom w:w="15" w:type="dxa"/>
              <w:right w:w="15" w:type="dxa"/>
            </w:tcMar>
            <w:vAlign w:val="center"/>
          </w:tcPr>
          <w:p w14:paraId="2D7609B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kern w:val="0"/>
                <w:sz w:val="13"/>
                <w:szCs w:val="13"/>
                <w:highlight w:val="none"/>
              </w:rPr>
            </w:pPr>
            <w:r>
              <w:rPr>
                <w:rFonts w:hint="eastAsia" w:ascii="仿宋_GB2312" w:hAnsi="宋体" w:eastAsia="仿宋_GB2312" w:cs="宋体"/>
                <w:color w:val="auto"/>
                <w:sz w:val="13"/>
                <w:szCs w:val="13"/>
                <w:highlight w:val="none"/>
              </w:rPr>
              <w:t>可以处2万元以上3万元以下罚款。</w:t>
            </w:r>
          </w:p>
        </w:tc>
      </w:tr>
      <w:tr w14:paraId="046E510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169" w:hRule="atLeast"/>
          <w:jc w:val="center"/>
        </w:trPr>
        <w:tc>
          <w:tcPr>
            <w:tcW w:w="428" w:type="dxa"/>
            <w:vMerge w:val="restart"/>
            <w:tcBorders>
              <w:tl2br w:val="nil"/>
              <w:tr2bl w:val="nil"/>
            </w:tcBorders>
            <w:vAlign w:val="center"/>
          </w:tcPr>
          <w:p w14:paraId="67681212">
            <w:pPr>
              <w:keepNext w:val="0"/>
              <w:keepLines w:val="0"/>
              <w:pageBreakBefore w:val="0"/>
              <w:widowControl/>
              <w:numPr>
                <w:ilvl w:val="0"/>
                <w:numId w:val="11"/>
              </w:numPr>
              <w:suppressLineNumbers w:val="0"/>
              <w:tabs>
                <w:tab w:val="clear" w:pos="397"/>
              </w:tabs>
              <w:kinsoku/>
              <w:overflowPunct/>
              <w:topLinePunct w:val="0"/>
              <w:autoSpaceDE/>
              <w:autoSpaceDN/>
              <w:bidi w:val="0"/>
              <w:adjustRightInd/>
              <w:snapToGrid/>
              <w:spacing w:beforeAutospacing="0" w:afterAutospacing="0" w:line="260" w:lineRule="exact"/>
              <w:ind w:left="638" w:leftChars="88" w:right="0" w:rightChars="0" w:hanging="453" w:hangingChars="349"/>
              <w:jc w:val="center"/>
              <w:textAlignment w:val="center"/>
              <w:rPr>
                <w:rFonts w:hint="default" w:ascii="仿宋_GB2312" w:hAnsi="宋体" w:eastAsia="仿宋_GB2312" w:cs="宋体"/>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313</w:t>
            </w:r>
          </w:p>
        </w:tc>
        <w:tc>
          <w:tcPr>
            <w:tcW w:w="1550" w:type="dxa"/>
            <w:vMerge w:val="restart"/>
            <w:tcBorders>
              <w:tl2br w:val="nil"/>
              <w:tr2bl w:val="nil"/>
            </w:tcBorders>
            <w:vAlign w:val="center"/>
          </w:tcPr>
          <w:p w14:paraId="59439B9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rPr>
                <w:rFonts w:ascii="仿宋_GB2312" w:hAnsi="宋体" w:eastAsia="仿宋_GB2312" w:cs="宋体"/>
                <w:color w:val="auto"/>
                <w:sz w:val="13"/>
                <w:szCs w:val="13"/>
                <w:highlight w:val="none"/>
              </w:rPr>
            </w:pPr>
            <w:r>
              <w:rPr>
                <w:rFonts w:hint="eastAsia" w:ascii="仿宋_GB2312" w:hAnsi="宋体" w:eastAsia="仿宋_GB2312" w:cs="宋体"/>
                <w:color w:val="auto"/>
                <w:sz w:val="13"/>
                <w:szCs w:val="13"/>
                <w:highlight w:val="none"/>
              </w:rPr>
              <w:t>排水户因发生事故或者其他突发事件，排放的污水可能危及城镇排水与污水处理设施安全运行，没有立即</w:t>
            </w:r>
            <w:r>
              <w:rPr>
                <w:rFonts w:hint="eastAsia" w:ascii="仿宋_GB2312" w:hAnsi="宋体" w:eastAsia="仿宋_GB2312" w:cs="宋体"/>
                <w:color w:val="auto"/>
                <w:sz w:val="13"/>
                <w:szCs w:val="13"/>
                <w:highlight w:val="none"/>
                <w:lang w:val="en-US" w:eastAsia="zh-CN"/>
              </w:rPr>
              <w:t>暂停</w:t>
            </w:r>
            <w:r>
              <w:rPr>
                <w:rFonts w:hint="eastAsia" w:ascii="仿宋_GB2312" w:hAnsi="宋体" w:eastAsia="仿宋_GB2312" w:cs="宋体"/>
                <w:color w:val="auto"/>
                <w:sz w:val="13"/>
                <w:szCs w:val="13"/>
                <w:highlight w:val="none"/>
              </w:rPr>
              <w:t>排放，未采取措施消除危害，或者并未按规定及时向城镇排水主管部门等有关部门报告的</w:t>
            </w:r>
          </w:p>
        </w:tc>
        <w:tc>
          <w:tcPr>
            <w:tcW w:w="4820" w:type="dxa"/>
            <w:vMerge w:val="restart"/>
            <w:tcBorders>
              <w:tl2br w:val="nil"/>
              <w:tr2bl w:val="nil"/>
            </w:tcBorders>
            <w:vAlign w:val="center"/>
          </w:tcPr>
          <w:p w14:paraId="39789A2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sz w:val="13"/>
                <w:szCs w:val="13"/>
                <w:highlight w:val="none"/>
              </w:rPr>
            </w:pPr>
            <w:r>
              <w:rPr>
                <w:rFonts w:hint="eastAsia" w:ascii="仿宋_GB2312" w:hAnsi="宋体" w:eastAsia="仿宋_GB2312" w:cs="宋体"/>
                <w:color w:val="auto"/>
                <w:sz w:val="13"/>
                <w:szCs w:val="13"/>
                <w:highlight w:val="none"/>
              </w:rPr>
              <w:t>《城镇污水排入排水管网许可管理办法》</w:t>
            </w:r>
            <w:r>
              <w:rPr>
                <w:rFonts w:hint="eastAsia" w:ascii="仿宋_GB2312" w:hAnsi="宋体" w:eastAsia="仿宋_GB2312" w:cs="宋体"/>
                <w:b/>
                <w:bCs/>
                <w:color w:val="auto"/>
                <w:sz w:val="13"/>
                <w:szCs w:val="13"/>
                <w:highlight w:val="none"/>
              </w:rPr>
              <w:t>第三十</w:t>
            </w:r>
            <w:r>
              <w:rPr>
                <w:rFonts w:hint="eastAsia" w:ascii="仿宋_GB2312" w:hAnsi="宋体" w:eastAsia="仿宋_GB2312" w:cs="宋体"/>
                <w:b/>
                <w:bCs/>
                <w:color w:val="auto"/>
                <w:sz w:val="13"/>
                <w:szCs w:val="13"/>
                <w:highlight w:val="none"/>
                <w:lang w:val="en-US" w:eastAsia="zh-CN"/>
              </w:rPr>
              <w:t>一</w:t>
            </w:r>
            <w:r>
              <w:rPr>
                <w:rFonts w:hint="eastAsia" w:ascii="仿宋_GB2312" w:hAnsi="宋体" w:eastAsia="仿宋_GB2312" w:cs="宋体"/>
                <w:b/>
                <w:bCs/>
                <w:color w:val="auto"/>
                <w:sz w:val="13"/>
                <w:szCs w:val="13"/>
                <w:highlight w:val="none"/>
              </w:rPr>
              <w:t>条</w:t>
            </w:r>
            <w:r>
              <w:rPr>
                <w:rFonts w:hint="eastAsia" w:ascii="仿宋_GB2312" w:hAnsi="宋体" w:eastAsia="仿宋_GB2312" w:cs="宋体"/>
                <w:b/>
                <w:bCs/>
                <w:color w:val="auto"/>
                <w:sz w:val="13"/>
                <w:szCs w:val="13"/>
                <w:highlight w:val="none"/>
                <w:lang w:eastAsia="zh-CN"/>
              </w:rPr>
              <w:t>：</w:t>
            </w:r>
            <w:r>
              <w:rPr>
                <w:rFonts w:hint="eastAsia" w:ascii="仿宋_GB2312" w:hAnsi="宋体" w:eastAsia="仿宋_GB2312" w:cs="宋体"/>
                <w:color w:val="auto"/>
                <w:sz w:val="13"/>
                <w:szCs w:val="13"/>
                <w:highlight w:val="none"/>
              </w:rPr>
              <w:t>违反本办法规定，排水户因发生事故或者其他突发事件，排放的污水可能危及城镇排水与污水处理设施安全运行，没有立即</w:t>
            </w:r>
            <w:r>
              <w:rPr>
                <w:rFonts w:hint="eastAsia" w:ascii="仿宋_GB2312" w:hAnsi="宋体" w:eastAsia="仿宋_GB2312" w:cs="宋体"/>
                <w:color w:val="auto"/>
                <w:sz w:val="13"/>
                <w:szCs w:val="13"/>
                <w:highlight w:val="none"/>
                <w:lang w:val="en-US" w:eastAsia="zh-CN"/>
              </w:rPr>
              <w:t>暂停</w:t>
            </w:r>
            <w:r>
              <w:rPr>
                <w:rFonts w:hint="eastAsia" w:ascii="仿宋_GB2312" w:hAnsi="宋体" w:eastAsia="仿宋_GB2312" w:cs="宋体"/>
                <w:color w:val="auto"/>
                <w:sz w:val="13"/>
                <w:szCs w:val="13"/>
                <w:highlight w:val="none"/>
              </w:rPr>
              <w:t>排放，未采取措施消除危害，或者并未按规定及时向城镇排水主管部门等有关部门报告的，城镇排水主管部门可以处3万元以下罚款。</w:t>
            </w:r>
          </w:p>
        </w:tc>
        <w:tc>
          <w:tcPr>
            <w:tcW w:w="823" w:type="dxa"/>
            <w:tcBorders>
              <w:tl2br w:val="nil"/>
              <w:tr2bl w:val="nil"/>
            </w:tcBorders>
            <w:tcMar>
              <w:top w:w="15" w:type="dxa"/>
              <w:left w:w="15" w:type="dxa"/>
              <w:bottom w:w="15" w:type="dxa"/>
              <w:right w:w="15" w:type="dxa"/>
            </w:tcMar>
            <w:vAlign w:val="center"/>
          </w:tcPr>
          <w:p w14:paraId="7F9DB52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kern w:val="0"/>
                <w:sz w:val="13"/>
                <w:szCs w:val="13"/>
                <w:highlight w:val="none"/>
                <w:lang w:eastAsia="zh-CN"/>
              </w:rPr>
            </w:pPr>
            <w:r>
              <w:rPr>
                <w:rFonts w:hint="eastAsia" w:ascii="仿宋_GB2312" w:hAnsi="宋体" w:eastAsia="仿宋_GB2312" w:cs="宋体"/>
                <w:color w:val="auto"/>
                <w:kern w:val="0"/>
                <w:sz w:val="13"/>
                <w:szCs w:val="13"/>
                <w:highlight w:val="none"/>
                <w:lang w:eastAsia="zh-CN"/>
              </w:rPr>
              <w:t>从轻情节</w:t>
            </w:r>
          </w:p>
        </w:tc>
        <w:tc>
          <w:tcPr>
            <w:tcW w:w="3437" w:type="dxa"/>
            <w:gridSpan w:val="2"/>
            <w:tcBorders>
              <w:tl2br w:val="nil"/>
              <w:tr2bl w:val="nil"/>
            </w:tcBorders>
            <w:tcMar>
              <w:top w:w="15" w:type="dxa"/>
              <w:left w:w="15" w:type="dxa"/>
              <w:bottom w:w="15" w:type="dxa"/>
              <w:right w:w="15" w:type="dxa"/>
            </w:tcMar>
            <w:vAlign w:val="center"/>
          </w:tcPr>
          <w:p w14:paraId="447CBCA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初次违法，危害后果轻微，主动消除或减轻违法行为后果的。</w:t>
            </w:r>
          </w:p>
        </w:tc>
        <w:tc>
          <w:tcPr>
            <w:tcW w:w="3058" w:type="dxa"/>
            <w:tcBorders>
              <w:tl2br w:val="nil"/>
              <w:tr2bl w:val="nil"/>
            </w:tcBorders>
            <w:tcMar>
              <w:top w:w="15" w:type="dxa"/>
              <w:left w:w="15" w:type="dxa"/>
              <w:bottom w:w="15" w:type="dxa"/>
              <w:right w:w="15" w:type="dxa"/>
            </w:tcMar>
            <w:vAlign w:val="center"/>
          </w:tcPr>
          <w:p w14:paraId="2C3EC82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kern w:val="0"/>
                <w:sz w:val="13"/>
                <w:szCs w:val="13"/>
                <w:highlight w:val="none"/>
              </w:rPr>
            </w:pPr>
            <w:r>
              <w:rPr>
                <w:rFonts w:hint="eastAsia" w:ascii="仿宋_GB2312" w:hAnsi="宋体" w:eastAsia="仿宋_GB2312" w:cs="宋体"/>
                <w:color w:val="auto"/>
                <w:kern w:val="0"/>
                <w:sz w:val="13"/>
                <w:szCs w:val="13"/>
                <w:highlight w:val="none"/>
              </w:rPr>
              <w:t>可以处以1万元</w:t>
            </w:r>
            <w:r>
              <w:rPr>
                <w:rFonts w:hint="eastAsia" w:ascii="仿宋_GB2312" w:hAnsi="宋体" w:eastAsia="仿宋_GB2312" w:cs="宋体"/>
                <w:color w:val="auto"/>
                <w:kern w:val="0"/>
                <w:sz w:val="13"/>
                <w:szCs w:val="13"/>
                <w:highlight w:val="none"/>
                <w:lang w:val="en-US" w:eastAsia="zh-CN"/>
              </w:rPr>
              <w:t>以下</w:t>
            </w:r>
            <w:r>
              <w:rPr>
                <w:rFonts w:hint="eastAsia" w:ascii="仿宋_GB2312" w:hAnsi="宋体" w:eastAsia="仿宋_GB2312" w:cs="宋体"/>
                <w:color w:val="auto"/>
                <w:kern w:val="0"/>
                <w:sz w:val="13"/>
                <w:szCs w:val="13"/>
                <w:highlight w:val="none"/>
              </w:rPr>
              <w:t>罚款。</w:t>
            </w:r>
          </w:p>
          <w:p w14:paraId="3FAF2DB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kern w:val="0"/>
                <w:sz w:val="13"/>
                <w:szCs w:val="13"/>
                <w:highlight w:val="none"/>
              </w:rPr>
            </w:pPr>
          </w:p>
        </w:tc>
      </w:tr>
      <w:tr w14:paraId="106659A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112" w:hRule="atLeast"/>
          <w:jc w:val="center"/>
        </w:trPr>
        <w:tc>
          <w:tcPr>
            <w:tcW w:w="428" w:type="dxa"/>
            <w:vMerge w:val="continue"/>
            <w:tcBorders>
              <w:tl2br w:val="nil"/>
              <w:tr2bl w:val="nil"/>
            </w:tcBorders>
            <w:vAlign w:val="center"/>
          </w:tcPr>
          <w:p w14:paraId="296343FA">
            <w:pPr>
              <w:pStyle w:val="37"/>
              <w:keepNext w:val="0"/>
              <w:keepLines w:val="0"/>
              <w:pageBreakBefore w:val="0"/>
              <w:widowControl/>
              <w:numPr>
                <w:ilvl w:val="0"/>
                <w:numId w:val="12"/>
              </w:numPr>
              <w:kinsoku/>
              <w:overflowPunct/>
              <w:topLinePunct w:val="0"/>
              <w:autoSpaceDE/>
              <w:autoSpaceDN/>
              <w:bidi w:val="0"/>
              <w:adjustRightInd/>
              <w:snapToGrid/>
              <w:spacing w:beforeAutospacing="0" w:afterAutospacing="0" w:line="260" w:lineRule="exact"/>
              <w:ind w:left="638" w:leftChars="88" w:right="0" w:rightChars="0" w:hanging="453" w:hangingChars="349"/>
              <w:jc w:val="center"/>
              <w:textAlignment w:val="center"/>
              <w:rPr>
                <w:rFonts w:ascii="仿宋_GB2312" w:hAnsi="宋体" w:eastAsia="仿宋_GB2312" w:cs="宋体"/>
                <w:color w:val="auto"/>
                <w:sz w:val="13"/>
                <w:szCs w:val="13"/>
                <w:highlight w:val="none"/>
              </w:rPr>
            </w:pPr>
          </w:p>
        </w:tc>
        <w:tc>
          <w:tcPr>
            <w:tcW w:w="1550" w:type="dxa"/>
            <w:vMerge w:val="continue"/>
            <w:tcBorders>
              <w:tl2br w:val="nil"/>
              <w:tr2bl w:val="nil"/>
            </w:tcBorders>
            <w:vAlign w:val="center"/>
          </w:tcPr>
          <w:p w14:paraId="3918F4D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sz w:val="13"/>
                <w:szCs w:val="13"/>
                <w:highlight w:val="none"/>
              </w:rPr>
            </w:pPr>
          </w:p>
        </w:tc>
        <w:tc>
          <w:tcPr>
            <w:tcW w:w="4820" w:type="dxa"/>
            <w:vMerge w:val="continue"/>
            <w:tcBorders>
              <w:tl2br w:val="nil"/>
              <w:tr2bl w:val="nil"/>
            </w:tcBorders>
            <w:vAlign w:val="center"/>
          </w:tcPr>
          <w:p w14:paraId="338DFE3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222376C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kern w:val="0"/>
                <w:sz w:val="13"/>
                <w:szCs w:val="13"/>
                <w:highlight w:val="none"/>
                <w:lang w:eastAsia="zh-CN"/>
              </w:rPr>
            </w:pPr>
            <w:r>
              <w:rPr>
                <w:rFonts w:hint="eastAsia" w:ascii="仿宋_GB2312" w:hAnsi="宋体" w:eastAsia="仿宋_GB2312" w:cs="宋体"/>
                <w:color w:val="auto"/>
                <w:kern w:val="0"/>
                <w:sz w:val="13"/>
                <w:szCs w:val="13"/>
                <w:highlight w:val="none"/>
                <w:lang w:eastAsia="zh-CN"/>
              </w:rPr>
              <w:t>一般情节</w:t>
            </w:r>
          </w:p>
        </w:tc>
        <w:tc>
          <w:tcPr>
            <w:tcW w:w="3437" w:type="dxa"/>
            <w:gridSpan w:val="2"/>
            <w:tcBorders>
              <w:tl2br w:val="nil"/>
              <w:tr2bl w:val="nil"/>
            </w:tcBorders>
            <w:tcMar>
              <w:top w:w="15" w:type="dxa"/>
              <w:left w:w="15" w:type="dxa"/>
              <w:bottom w:w="15" w:type="dxa"/>
              <w:right w:w="15" w:type="dxa"/>
            </w:tcMar>
            <w:vAlign w:val="center"/>
          </w:tcPr>
          <w:p w14:paraId="409C0A6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不具有从轻、</w:t>
            </w:r>
            <w:r>
              <w:rPr>
                <w:rFonts w:hint="eastAsia" w:ascii="仿宋_GB2312" w:hAnsi="宋体" w:eastAsia="仿宋_GB2312" w:cs="宋体"/>
                <w:color w:val="auto"/>
                <w:kern w:val="0"/>
                <w:sz w:val="13"/>
                <w:szCs w:val="13"/>
                <w:highlight w:val="none"/>
                <w:lang w:eastAsia="zh-CN"/>
              </w:rPr>
              <w:t>从重情节</w:t>
            </w:r>
            <w:r>
              <w:rPr>
                <w:rFonts w:hint="eastAsia" w:ascii="仿宋_GB2312" w:hAnsi="宋体" w:eastAsia="仿宋_GB2312" w:cs="宋体"/>
                <w:color w:val="auto"/>
                <w:kern w:val="0"/>
                <w:sz w:val="13"/>
                <w:szCs w:val="13"/>
                <w:highlight w:val="none"/>
              </w:rPr>
              <w:t>的。</w:t>
            </w:r>
          </w:p>
        </w:tc>
        <w:tc>
          <w:tcPr>
            <w:tcW w:w="3058" w:type="dxa"/>
            <w:tcBorders>
              <w:tl2br w:val="nil"/>
              <w:tr2bl w:val="nil"/>
            </w:tcBorders>
            <w:tcMar>
              <w:top w:w="15" w:type="dxa"/>
              <w:left w:w="15" w:type="dxa"/>
              <w:bottom w:w="15" w:type="dxa"/>
              <w:right w:w="15" w:type="dxa"/>
            </w:tcMar>
            <w:vAlign w:val="center"/>
          </w:tcPr>
          <w:p w14:paraId="59E5648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kern w:val="0"/>
                <w:sz w:val="13"/>
                <w:szCs w:val="13"/>
                <w:highlight w:val="none"/>
              </w:rPr>
            </w:pPr>
            <w:r>
              <w:rPr>
                <w:rFonts w:hint="eastAsia" w:ascii="仿宋_GB2312" w:hAnsi="宋体" w:eastAsia="仿宋_GB2312" w:cs="宋体"/>
                <w:color w:val="auto"/>
                <w:sz w:val="13"/>
                <w:szCs w:val="13"/>
                <w:highlight w:val="none"/>
              </w:rPr>
              <w:t>可以处1万元以上2万元以下罚款。</w:t>
            </w:r>
          </w:p>
        </w:tc>
      </w:tr>
      <w:tr w14:paraId="575F0F1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444" w:hRule="atLeast"/>
          <w:jc w:val="center"/>
        </w:trPr>
        <w:tc>
          <w:tcPr>
            <w:tcW w:w="428" w:type="dxa"/>
            <w:vMerge w:val="continue"/>
            <w:tcBorders>
              <w:tl2br w:val="nil"/>
              <w:tr2bl w:val="nil"/>
            </w:tcBorders>
            <w:vAlign w:val="center"/>
          </w:tcPr>
          <w:p w14:paraId="18439648">
            <w:pPr>
              <w:pStyle w:val="37"/>
              <w:keepNext w:val="0"/>
              <w:keepLines w:val="0"/>
              <w:pageBreakBefore w:val="0"/>
              <w:widowControl/>
              <w:numPr>
                <w:ilvl w:val="0"/>
                <w:numId w:val="12"/>
              </w:numPr>
              <w:kinsoku/>
              <w:overflowPunct/>
              <w:topLinePunct w:val="0"/>
              <w:autoSpaceDE/>
              <w:autoSpaceDN/>
              <w:bidi w:val="0"/>
              <w:adjustRightInd/>
              <w:snapToGrid/>
              <w:spacing w:beforeAutospacing="0" w:afterAutospacing="0" w:line="260" w:lineRule="exact"/>
              <w:ind w:left="638" w:leftChars="88" w:right="0" w:rightChars="0" w:hanging="453" w:hangingChars="349"/>
              <w:jc w:val="center"/>
              <w:textAlignment w:val="center"/>
              <w:rPr>
                <w:rFonts w:ascii="仿宋_GB2312" w:hAnsi="宋体" w:eastAsia="仿宋_GB2312" w:cs="宋体"/>
                <w:color w:val="auto"/>
                <w:sz w:val="13"/>
                <w:szCs w:val="13"/>
                <w:highlight w:val="none"/>
              </w:rPr>
            </w:pPr>
          </w:p>
        </w:tc>
        <w:tc>
          <w:tcPr>
            <w:tcW w:w="1550" w:type="dxa"/>
            <w:vMerge w:val="continue"/>
            <w:tcBorders>
              <w:tl2br w:val="nil"/>
              <w:tr2bl w:val="nil"/>
            </w:tcBorders>
            <w:vAlign w:val="center"/>
          </w:tcPr>
          <w:p w14:paraId="5FD458F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sz w:val="13"/>
                <w:szCs w:val="13"/>
                <w:highlight w:val="none"/>
              </w:rPr>
            </w:pPr>
          </w:p>
        </w:tc>
        <w:tc>
          <w:tcPr>
            <w:tcW w:w="4820" w:type="dxa"/>
            <w:vMerge w:val="continue"/>
            <w:tcBorders>
              <w:tl2br w:val="nil"/>
              <w:tr2bl w:val="nil"/>
            </w:tcBorders>
            <w:vAlign w:val="center"/>
          </w:tcPr>
          <w:p w14:paraId="7D93737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7FC21DB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kern w:val="0"/>
                <w:sz w:val="13"/>
                <w:szCs w:val="13"/>
                <w:highlight w:val="none"/>
                <w:lang w:eastAsia="zh-CN"/>
              </w:rPr>
            </w:pPr>
            <w:r>
              <w:rPr>
                <w:rFonts w:hint="eastAsia" w:ascii="仿宋_GB2312" w:hAnsi="宋体" w:eastAsia="仿宋_GB2312" w:cs="宋体"/>
                <w:color w:val="auto"/>
                <w:kern w:val="0"/>
                <w:sz w:val="13"/>
                <w:szCs w:val="13"/>
                <w:highlight w:val="none"/>
                <w:lang w:eastAsia="zh-CN"/>
              </w:rPr>
              <w:t>从重情节</w:t>
            </w:r>
          </w:p>
        </w:tc>
        <w:tc>
          <w:tcPr>
            <w:tcW w:w="3437" w:type="dxa"/>
            <w:gridSpan w:val="2"/>
            <w:tcBorders>
              <w:tl2br w:val="nil"/>
              <w:tr2bl w:val="nil"/>
            </w:tcBorders>
            <w:tcMar>
              <w:top w:w="15" w:type="dxa"/>
              <w:left w:w="15" w:type="dxa"/>
              <w:bottom w:w="15" w:type="dxa"/>
              <w:right w:w="15" w:type="dxa"/>
            </w:tcMar>
            <w:vAlign w:val="center"/>
          </w:tcPr>
          <w:p w14:paraId="0FD50C7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责令限期改正后，不及时改正的</w:t>
            </w:r>
            <w:r>
              <w:rPr>
                <w:rFonts w:hint="eastAsia" w:ascii="仿宋_GB2312" w:hAnsi="宋体" w:eastAsia="仿宋_GB2312" w:cs="宋体"/>
                <w:color w:val="auto"/>
                <w:kern w:val="0"/>
                <w:sz w:val="13"/>
                <w:szCs w:val="13"/>
                <w:highlight w:val="none"/>
                <w:lang w:eastAsia="zh-CN"/>
              </w:rPr>
              <w:t>，</w:t>
            </w:r>
            <w:r>
              <w:rPr>
                <w:rFonts w:hint="eastAsia" w:ascii="仿宋_GB2312" w:hAnsi="宋体" w:eastAsia="仿宋_GB2312" w:cs="宋体"/>
                <w:color w:val="auto"/>
                <w:kern w:val="0"/>
                <w:sz w:val="13"/>
                <w:szCs w:val="13"/>
                <w:highlight w:val="none"/>
                <w:lang w:val="en-US" w:eastAsia="zh-CN"/>
              </w:rPr>
              <w:t>或</w:t>
            </w:r>
            <w:r>
              <w:rPr>
                <w:rFonts w:hint="eastAsia" w:ascii="仿宋_GB2312" w:hAnsi="宋体" w:eastAsia="仿宋_GB2312" w:cs="宋体"/>
                <w:color w:val="auto"/>
                <w:kern w:val="0"/>
                <w:sz w:val="13"/>
                <w:szCs w:val="13"/>
                <w:highlight w:val="none"/>
              </w:rPr>
              <w:t>曾因实施该违法行为被查处，再次实施该违法行为的</w:t>
            </w:r>
            <w:r>
              <w:rPr>
                <w:rFonts w:hint="eastAsia" w:ascii="仿宋_GB2312" w:hAnsi="宋体" w:eastAsia="仿宋_GB2312" w:cs="宋体"/>
                <w:color w:val="auto"/>
                <w:kern w:val="0"/>
                <w:sz w:val="13"/>
                <w:szCs w:val="13"/>
                <w:highlight w:val="none"/>
                <w:lang w:eastAsia="zh-CN"/>
              </w:rPr>
              <w:t>，</w:t>
            </w:r>
            <w:r>
              <w:rPr>
                <w:rFonts w:hint="eastAsia" w:ascii="仿宋_GB2312" w:hAnsi="宋体" w:eastAsia="仿宋_GB2312" w:cs="宋体"/>
                <w:color w:val="auto"/>
                <w:kern w:val="0"/>
                <w:sz w:val="13"/>
                <w:szCs w:val="13"/>
                <w:highlight w:val="none"/>
                <w:lang w:val="en-US" w:eastAsia="zh-CN"/>
              </w:rPr>
              <w:t>或</w:t>
            </w:r>
            <w:r>
              <w:rPr>
                <w:rFonts w:hint="eastAsia" w:ascii="仿宋_GB2312" w:hAnsi="宋体" w:eastAsia="仿宋_GB2312" w:cs="宋体"/>
                <w:color w:val="auto"/>
                <w:kern w:val="0"/>
                <w:sz w:val="13"/>
                <w:szCs w:val="13"/>
                <w:highlight w:val="none"/>
              </w:rPr>
              <w:t>造成严重危害后果的。</w:t>
            </w:r>
          </w:p>
        </w:tc>
        <w:tc>
          <w:tcPr>
            <w:tcW w:w="3058" w:type="dxa"/>
            <w:tcBorders>
              <w:tl2br w:val="nil"/>
              <w:tr2bl w:val="nil"/>
            </w:tcBorders>
            <w:tcMar>
              <w:top w:w="15" w:type="dxa"/>
              <w:left w:w="15" w:type="dxa"/>
              <w:bottom w:w="15" w:type="dxa"/>
              <w:right w:w="15" w:type="dxa"/>
            </w:tcMar>
            <w:vAlign w:val="center"/>
          </w:tcPr>
          <w:p w14:paraId="48DCCC8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kern w:val="0"/>
                <w:sz w:val="13"/>
                <w:szCs w:val="13"/>
                <w:highlight w:val="none"/>
              </w:rPr>
            </w:pPr>
            <w:r>
              <w:rPr>
                <w:rFonts w:hint="eastAsia" w:ascii="仿宋_GB2312" w:hAnsi="宋体" w:eastAsia="仿宋_GB2312" w:cs="宋体"/>
                <w:color w:val="auto"/>
                <w:sz w:val="13"/>
                <w:szCs w:val="13"/>
                <w:highlight w:val="none"/>
              </w:rPr>
              <w:t>可以处2万元以上3万元以下罚款。</w:t>
            </w:r>
          </w:p>
        </w:tc>
      </w:tr>
      <w:tr w14:paraId="29B4E29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169" w:hRule="atLeast"/>
          <w:jc w:val="center"/>
        </w:trPr>
        <w:tc>
          <w:tcPr>
            <w:tcW w:w="428" w:type="dxa"/>
            <w:vMerge w:val="restart"/>
            <w:tcBorders>
              <w:tl2br w:val="nil"/>
              <w:tr2bl w:val="nil"/>
            </w:tcBorders>
            <w:vAlign w:val="center"/>
          </w:tcPr>
          <w:p w14:paraId="030DC6C4">
            <w:pPr>
              <w:keepNext w:val="0"/>
              <w:keepLines w:val="0"/>
              <w:pageBreakBefore w:val="0"/>
              <w:widowControl/>
              <w:numPr>
                <w:ilvl w:val="0"/>
                <w:numId w:val="11"/>
              </w:numPr>
              <w:suppressLineNumbers w:val="0"/>
              <w:tabs>
                <w:tab w:val="clear" w:pos="397"/>
              </w:tabs>
              <w:kinsoku/>
              <w:overflowPunct/>
              <w:topLinePunct w:val="0"/>
              <w:autoSpaceDE/>
              <w:autoSpaceDN/>
              <w:bidi w:val="0"/>
              <w:adjustRightInd/>
              <w:snapToGrid/>
              <w:spacing w:beforeAutospacing="0" w:afterAutospacing="0" w:line="260" w:lineRule="exact"/>
              <w:ind w:left="638" w:leftChars="88" w:right="0" w:rightChars="0" w:hanging="453" w:hangingChars="349"/>
              <w:jc w:val="center"/>
              <w:textAlignment w:val="center"/>
              <w:rPr>
                <w:rFonts w:hint="default" w:ascii="仿宋_GB2312" w:hAnsi="宋体" w:eastAsia="仿宋_GB2312" w:cs="宋体"/>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314</w:t>
            </w:r>
          </w:p>
        </w:tc>
        <w:tc>
          <w:tcPr>
            <w:tcW w:w="1550" w:type="dxa"/>
            <w:vMerge w:val="restart"/>
            <w:tcBorders>
              <w:tl2br w:val="nil"/>
              <w:tr2bl w:val="nil"/>
            </w:tcBorders>
            <w:vAlign w:val="center"/>
          </w:tcPr>
          <w:p w14:paraId="5A49226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rPr>
                <w:rFonts w:ascii="仿宋_GB2312" w:hAnsi="宋体" w:eastAsia="仿宋_GB2312" w:cs="宋体"/>
                <w:color w:val="auto"/>
                <w:sz w:val="13"/>
                <w:szCs w:val="13"/>
                <w:highlight w:val="none"/>
              </w:rPr>
            </w:pPr>
            <w:r>
              <w:rPr>
                <w:rFonts w:hint="eastAsia" w:ascii="仿宋_GB2312" w:hAnsi="宋体" w:eastAsia="仿宋_GB2312" w:cs="宋体"/>
                <w:color w:val="auto"/>
                <w:sz w:val="13"/>
                <w:szCs w:val="13"/>
                <w:highlight w:val="none"/>
              </w:rPr>
              <w:t>从事危及城镇排水设施安全的活动的</w:t>
            </w:r>
          </w:p>
          <w:p w14:paraId="0AE287B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sz w:val="13"/>
                <w:szCs w:val="13"/>
                <w:highlight w:val="none"/>
              </w:rPr>
            </w:pPr>
          </w:p>
        </w:tc>
        <w:tc>
          <w:tcPr>
            <w:tcW w:w="4820" w:type="dxa"/>
            <w:vMerge w:val="restart"/>
            <w:tcBorders>
              <w:tl2br w:val="nil"/>
              <w:tr2bl w:val="nil"/>
            </w:tcBorders>
            <w:vAlign w:val="center"/>
          </w:tcPr>
          <w:p w14:paraId="31FC13F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sz w:val="13"/>
                <w:szCs w:val="13"/>
                <w:highlight w:val="none"/>
              </w:rPr>
            </w:pPr>
            <w:r>
              <w:rPr>
                <w:rFonts w:hint="eastAsia" w:ascii="仿宋_GB2312" w:hAnsi="宋体" w:eastAsia="仿宋_GB2312" w:cs="宋体"/>
                <w:color w:val="auto"/>
                <w:sz w:val="13"/>
                <w:szCs w:val="13"/>
                <w:highlight w:val="none"/>
              </w:rPr>
              <w:t>《城镇污水排入排水管网许可管理办法》</w:t>
            </w:r>
            <w:r>
              <w:rPr>
                <w:rFonts w:hint="eastAsia" w:ascii="仿宋_GB2312" w:hAnsi="宋体" w:eastAsia="仿宋_GB2312" w:cs="宋体"/>
                <w:b/>
                <w:bCs/>
                <w:color w:val="auto"/>
                <w:sz w:val="13"/>
                <w:szCs w:val="13"/>
                <w:highlight w:val="none"/>
              </w:rPr>
              <w:t>第三十</w:t>
            </w:r>
            <w:r>
              <w:rPr>
                <w:rFonts w:hint="eastAsia" w:ascii="仿宋_GB2312" w:hAnsi="宋体" w:eastAsia="仿宋_GB2312" w:cs="宋体"/>
                <w:b/>
                <w:bCs/>
                <w:color w:val="auto"/>
                <w:sz w:val="13"/>
                <w:szCs w:val="13"/>
                <w:highlight w:val="none"/>
                <w:lang w:val="en-US" w:eastAsia="zh-CN"/>
              </w:rPr>
              <w:t>二</w:t>
            </w:r>
            <w:r>
              <w:rPr>
                <w:rFonts w:hint="eastAsia" w:ascii="仿宋_GB2312" w:hAnsi="宋体" w:eastAsia="仿宋_GB2312" w:cs="宋体"/>
                <w:b/>
                <w:bCs/>
                <w:color w:val="auto"/>
                <w:sz w:val="13"/>
                <w:szCs w:val="13"/>
                <w:highlight w:val="none"/>
              </w:rPr>
              <w:t>条</w:t>
            </w:r>
            <w:r>
              <w:rPr>
                <w:rFonts w:hint="eastAsia" w:ascii="仿宋_GB2312" w:hAnsi="宋体" w:eastAsia="仿宋_GB2312" w:cs="宋体"/>
                <w:b/>
                <w:bCs/>
                <w:color w:val="auto"/>
                <w:sz w:val="13"/>
                <w:szCs w:val="13"/>
                <w:highlight w:val="none"/>
                <w:lang w:eastAsia="zh-CN"/>
              </w:rPr>
              <w:t>：</w:t>
            </w:r>
            <w:r>
              <w:rPr>
                <w:rFonts w:hint="eastAsia" w:ascii="仿宋_GB2312" w:hAnsi="宋体" w:eastAsia="仿宋_GB2312" w:cs="宋体"/>
                <w:color w:val="auto"/>
                <w:sz w:val="13"/>
                <w:szCs w:val="13"/>
                <w:highlight w:val="none"/>
              </w:rPr>
              <w:t>违反本办法规定，从事危及城镇排水设施安全的活动的，由城镇排水主管部门责令停止违法行为，限期恢复原状或者采取其他补救措施，并给予警告；逾期不采取补救措施或者造成严重后果的，对单位处10万元以上30万元以下罚款，对个人处2万元以上10万元以下罚款；造成损失的，依法承担赔偿责任；构成犯罪的，依法追究刑事责任。</w:t>
            </w:r>
          </w:p>
        </w:tc>
        <w:tc>
          <w:tcPr>
            <w:tcW w:w="823" w:type="dxa"/>
            <w:tcBorders>
              <w:tl2br w:val="nil"/>
              <w:tr2bl w:val="nil"/>
            </w:tcBorders>
            <w:tcMar>
              <w:top w:w="15" w:type="dxa"/>
              <w:left w:w="15" w:type="dxa"/>
              <w:bottom w:w="15" w:type="dxa"/>
              <w:right w:w="15" w:type="dxa"/>
            </w:tcMar>
            <w:vAlign w:val="center"/>
          </w:tcPr>
          <w:p w14:paraId="68D3399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从轻情节</w:t>
            </w:r>
          </w:p>
        </w:tc>
        <w:tc>
          <w:tcPr>
            <w:tcW w:w="3437" w:type="dxa"/>
            <w:gridSpan w:val="2"/>
            <w:tcBorders>
              <w:tl2br w:val="nil"/>
              <w:tr2bl w:val="nil"/>
            </w:tcBorders>
            <w:tcMar>
              <w:top w:w="15" w:type="dxa"/>
              <w:left w:w="15" w:type="dxa"/>
              <w:bottom w:w="15" w:type="dxa"/>
              <w:right w:w="15" w:type="dxa"/>
            </w:tcMar>
            <w:vAlign w:val="center"/>
          </w:tcPr>
          <w:p w14:paraId="128892A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sz w:val="13"/>
                <w:szCs w:val="13"/>
                <w:highlight w:val="none"/>
              </w:rPr>
              <w:t>初次违法，及时改正，未造成严重后果的。</w:t>
            </w:r>
          </w:p>
        </w:tc>
        <w:tc>
          <w:tcPr>
            <w:tcW w:w="3058" w:type="dxa"/>
            <w:tcBorders>
              <w:tl2br w:val="nil"/>
              <w:tr2bl w:val="nil"/>
            </w:tcBorders>
            <w:tcMar>
              <w:top w:w="15" w:type="dxa"/>
              <w:left w:w="15" w:type="dxa"/>
              <w:bottom w:w="15" w:type="dxa"/>
              <w:right w:w="15" w:type="dxa"/>
            </w:tcMar>
            <w:vAlign w:val="center"/>
          </w:tcPr>
          <w:p w14:paraId="268170C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kern w:val="0"/>
                <w:sz w:val="13"/>
                <w:szCs w:val="13"/>
                <w:highlight w:val="none"/>
              </w:rPr>
            </w:pPr>
            <w:r>
              <w:rPr>
                <w:rFonts w:hint="eastAsia" w:ascii="仿宋_GB2312" w:hAnsi="宋体" w:eastAsia="仿宋_GB2312" w:cs="宋体"/>
                <w:color w:val="auto"/>
                <w:sz w:val="13"/>
                <w:szCs w:val="13"/>
                <w:highlight w:val="none"/>
              </w:rPr>
              <w:t>责令停止违法行为，限期恢复原状或者采取其他补救措施，并给予警告。</w:t>
            </w:r>
          </w:p>
        </w:tc>
      </w:tr>
      <w:tr w14:paraId="072737C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247" w:hRule="atLeast"/>
          <w:jc w:val="center"/>
        </w:trPr>
        <w:tc>
          <w:tcPr>
            <w:tcW w:w="428" w:type="dxa"/>
            <w:vMerge w:val="continue"/>
            <w:tcBorders>
              <w:tl2br w:val="nil"/>
              <w:tr2bl w:val="nil"/>
            </w:tcBorders>
            <w:vAlign w:val="center"/>
          </w:tcPr>
          <w:p w14:paraId="2D3332DF">
            <w:pPr>
              <w:pStyle w:val="37"/>
              <w:keepNext w:val="0"/>
              <w:keepLines w:val="0"/>
              <w:pageBreakBefore w:val="0"/>
              <w:widowControl/>
              <w:numPr>
                <w:ilvl w:val="0"/>
                <w:numId w:val="12"/>
              </w:numPr>
              <w:kinsoku/>
              <w:overflowPunct/>
              <w:topLinePunct w:val="0"/>
              <w:autoSpaceDE/>
              <w:autoSpaceDN/>
              <w:bidi w:val="0"/>
              <w:adjustRightInd/>
              <w:snapToGrid/>
              <w:spacing w:beforeAutospacing="0" w:afterAutospacing="0" w:line="260" w:lineRule="exact"/>
              <w:ind w:left="638" w:leftChars="88" w:right="0" w:rightChars="0" w:hanging="453" w:hangingChars="349"/>
              <w:jc w:val="center"/>
              <w:textAlignment w:val="center"/>
              <w:rPr>
                <w:rFonts w:ascii="仿宋_GB2312" w:hAnsi="宋体" w:eastAsia="仿宋_GB2312" w:cs="宋体"/>
                <w:color w:val="auto"/>
                <w:sz w:val="13"/>
                <w:szCs w:val="13"/>
                <w:highlight w:val="none"/>
              </w:rPr>
            </w:pPr>
          </w:p>
        </w:tc>
        <w:tc>
          <w:tcPr>
            <w:tcW w:w="1550" w:type="dxa"/>
            <w:vMerge w:val="continue"/>
            <w:tcBorders>
              <w:tl2br w:val="nil"/>
              <w:tr2bl w:val="nil"/>
            </w:tcBorders>
            <w:vAlign w:val="center"/>
          </w:tcPr>
          <w:p w14:paraId="07783E5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sz w:val="13"/>
                <w:szCs w:val="13"/>
                <w:highlight w:val="none"/>
              </w:rPr>
            </w:pPr>
          </w:p>
        </w:tc>
        <w:tc>
          <w:tcPr>
            <w:tcW w:w="4820" w:type="dxa"/>
            <w:vMerge w:val="continue"/>
            <w:tcBorders>
              <w:tl2br w:val="nil"/>
              <w:tr2bl w:val="nil"/>
            </w:tcBorders>
            <w:vAlign w:val="center"/>
          </w:tcPr>
          <w:p w14:paraId="712712B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6634860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一般情节</w:t>
            </w:r>
          </w:p>
        </w:tc>
        <w:tc>
          <w:tcPr>
            <w:tcW w:w="3437" w:type="dxa"/>
            <w:gridSpan w:val="2"/>
            <w:tcBorders>
              <w:tl2br w:val="nil"/>
              <w:tr2bl w:val="nil"/>
            </w:tcBorders>
            <w:tcMar>
              <w:top w:w="15" w:type="dxa"/>
              <w:left w:w="15" w:type="dxa"/>
              <w:bottom w:w="15" w:type="dxa"/>
              <w:right w:w="15" w:type="dxa"/>
            </w:tcMar>
            <w:vAlign w:val="center"/>
          </w:tcPr>
          <w:p w14:paraId="289297D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sz w:val="13"/>
                <w:szCs w:val="13"/>
                <w:highlight w:val="none"/>
              </w:rPr>
              <w:t>逾期不采取补救措施，但尚未造成严重后果的</w:t>
            </w:r>
            <w:r>
              <w:rPr>
                <w:rFonts w:hint="eastAsia" w:ascii="仿宋_GB2312" w:hAnsi="宋体" w:eastAsia="仿宋_GB2312" w:cs="宋体"/>
                <w:color w:val="auto"/>
                <w:sz w:val="13"/>
                <w:szCs w:val="13"/>
                <w:highlight w:val="none"/>
                <w:lang w:eastAsia="zh-CN"/>
              </w:rPr>
              <w:t>，</w:t>
            </w:r>
            <w:r>
              <w:rPr>
                <w:rFonts w:hint="eastAsia" w:ascii="仿宋_GB2312" w:hAnsi="宋体" w:eastAsia="仿宋_GB2312" w:cs="宋体"/>
                <w:color w:val="auto"/>
                <w:sz w:val="13"/>
                <w:szCs w:val="13"/>
                <w:highlight w:val="none"/>
                <w:lang w:val="en-US" w:eastAsia="zh-CN"/>
              </w:rPr>
              <w:t>或</w:t>
            </w:r>
            <w:r>
              <w:rPr>
                <w:rFonts w:hint="eastAsia" w:ascii="仿宋_GB2312" w:hAnsi="宋体" w:eastAsia="仿宋_GB2312" w:cs="宋体"/>
                <w:color w:val="auto"/>
                <w:sz w:val="13"/>
                <w:szCs w:val="13"/>
                <w:highlight w:val="none"/>
              </w:rPr>
              <w:t>采取补救措施但仍造成严重后果的。</w:t>
            </w:r>
          </w:p>
        </w:tc>
        <w:tc>
          <w:tcPr>
            <w:tcW w:w="3058" w:type="dxa"/>
            <w:tcBorders>
              <w:tl2br w:val="nil"/>
              <w:tr2bl w:val="nil"/>
            </w:tcBorders>
            <w:tcMar>
              <w:top w:w="15" w:type="dxa"/>
              <w:left w:w="15" w:type="dxa"/>
              <w:bottom w:w="15" w:type="dxa"/>
              <w:right w:w="15" w:type="dxa"/>
            </w:tcMar>
            <w:vAlign w:val="center"/>
          </w:tcPr>
          <w:p w14:paraId="00DB6A5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kern w:val="0"/>
                <w:sz w:val="13"/>
                <w:szCs w:val="13"/>
                <w:highlight w:val="none"/>
              </w:rPr>
            </w:pPr>
            <w:r>
              <w:rPr>
                <w:rFonts w:hint="eastAsia" w:ascii="仿宋_GB2312" w:hAnsi="宋体" w:eastAsia="仿宋_GB2312" w:cs="宋体"/>
                <w:color w:val="auto"/>
                <w:sz w:val="13"/>
                <w:szCs w:val="13"/>
                <w:highlight w:val="none"/>
              </w:rPr>
              <w:t>对单位处10万元以上20万元以下罚款，对个人处2万元以上5万元以下罚款。</w:t>
            </w:r>
          </w:p>
        </w:tc>
      </w:tr>
      <w:tr w14:paraId="233FB65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325" w:hRule="atLeast"/>
          <w:jc w:val="center"/>
        </w:trPr>
        <w:tc>
          <w:tcPr>
            <w:tcW w:w="428" w:type="dxa"/>
            <w:vMerge w:val="continue"/>
            <w:tcBorders>
              <w:tl2br w:val="nil"/>
              <w:tr2bl w:val="nil"/>
            </w:tcBorders>
            <w:vAlign w:val="center"/>
          </w:tcPr>
          <w:p w14:paraId="15EF5CA0">
            <w:pPr>
              <w:pStyle w:val="37"/>
              <w:keepNext w:val="0"/>
              <w:keepLines w:val="0"/>
              <w:pageBreakBefore w:val="0"/>
              <w:widowControl/>
              <w:numPr>
                <w:ilvl w:val="0"/>
                <w:numId w:val="12"/>
              </w:numPr>
              <w:kinsoku/>
              <w:overflowPunct/>
              <w:topLinePunct w:val="0"/>
              <w:autoSpaceDE/>
              <w:autoSpaceDN/>
              <w:bidi w:val="0"/>
              <w:adjustRightInd/>
              <w:snapToGrid/>
              <w:spacing w:beforeAutospacing="0" w:afterAutospacing="0" w:line="260" w:lineRule="exact"/>
              <w:ind w:left="638" w:leftChars="88" w:right="0" w:rightChars="0" w:hanging="453" w:hangingChars="349"/>
              <w:jc w:val="center"/>
              <w:textAlignment w:val="center"/>
              <w:rPr>
                <w:rFonts w:ascii="仿宋_GB2312" w:hAnsi="宋体" w:eastAsia="仿宋_GB2312" w:cs="宋体"/>
                <w:color w:val="auto"/>
                <w:sz w:val="13"/>
                <w:szCs w:val="13"/>
                <w:highlight w:val="none"/>
              </w:rPr>
            </w:pPr>
          </w:p>
        </w:tc>
        <w:tc>
          <w:tcPr>
            <w:tcW w:w="1550" w:type="dxa"/>
            <w:vMerge w:val="continue"/>
            <w:tcBorders>
              <w:tl2br w:val="nil"/>
              <w:tr2bl w:val="nil"/>
            </w:tcBorders>
            <w:vAlign w:val="center"/>
          </w:tcPr>
          <w:p w14:paraId="2917771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sz w:val="13"/>
                <w:szCs w:val="13"/>
                <w:highlight w:val="none"/>
              </w:rPr>
            </w:pPr>
          </w:p>
        </w:tc>
        <w:tc>
          <w:tcPr>
            <w:tcW w:w="4820" w:type="dxa"/>
            <w:vMerge w:val="continue"/>
            <w:tcBorders>
              <w:tl2br w:val="nil"/>
              <w:tr2bl w:val="nil"/>
            </w:tcBorders>
            <w:vAlign w:val="center"/>
          </w:tcPr>
          <w:p w14:paraId="1DB84D0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01E9E87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从重情节</w:t>
            </w:r>
          </w:p>
        </w:tc>
        <w:tc>
          <w:tcPr>
            <w:tcW w:w="3437" w:type="dxa"/>
            <w:gridSpan w:val="2"/>
            <w:tcBorders>
              <w:tl2br w:val="nil"/>
              <w:tr2bl w:val="nil"/>
            </w:tcBorders>
            <w:tcMar>
              <w:top w:w="15" w:type="dxa"/>
              <w:left w:w="15" w:type="dxa"/>
              <w:bottom w:w="15" w:type="dxa"/>
              <w:right w:w="15" w:type="dxa"/>
            </w:tcMar>
            <w:vAlign w:val="center"/>
          </w:tcPr>
          <w:p w14:paraId="7C9A6D7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sz w:val="13"/>
                <w:szCs w:val="13"/>
                <w:highlight w:val="none"/>
              </w:rPr>
              <w:t>逾期不改正，且已造成严重后果的</w:t>
            </w:r>
            <w:r>
              <w:rPr>
                <w:rFonts w:hint="eastAsia" w:ascii="仿宋_GB2312" w:hAnsi="宋体" w:eastAsia="仿宋_GB2312" w:cs="宋体"/>
                <w:color w:val="auto"/>
                <w:sz w:val="13"/>
                <w:szCs w:val="13"/>
                <w:highlight w:val="none"/>
                <w:lang w:eastAsia="zh-CN"/>
              </w:rPr>
              <w:t>，</w:t>
            </w:r>
            <w:r>
              <w:rPr>
                <w:rFonts w:hint="eastAsia" w:ascii="仿宋_GB2312" w:hAnsi="宋体" w:eastAsia="仿宋_GB2312" w:cs="宋体"/>
                <w:color w:val="auto"/>
                <w:sz w:val="13"/>
                <w:szCs w:val="13"/>
                <w:highlight w:val="none"/>
                <w:lang w:val="en-US" w:eastAsia="zh-CN"/>
              </w:rPr>
              <w:t>或</w:t>
            </w:r>
            <w:r>
              <w:rPr>
                <w:rFonts w:hint="eastAsia" w:ascii="仿宋_GB2312" w:hAnsi="宋体" w:eastAsia="仿宋_GB2312" w:cs="宋体"/>
                <w:color w:val="auto"/>
                <w:sz w:val="13"/>
                <w:szCs w:val="13"/>
                <w:highlight w:val="none"/>
              </w:rPr>
              <w:t>曾因实施该违法行为被查处，再次实施该违法行为，且已造成严重后果的。</w:t>
            </w:r>
          </w:p>
          <w:p w14:paraId="1816D96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p>
        </w:tc>
        <w:tc>
          <w:tcPr>
            <w:tcW w:w="3058" w:type="dxa"/>
            <w:tcBorders>
              <w:tl2br w:val="nil"/>
              <w:tr2bl w:val="nil"/>
            </w:tcBorders>
            <w:tcMar>
              <w:top w:w="15" w:type="dxa"/>
              <w:left w:w="15" w:type="dxa"/>
              <w:bottom w:w="15" w:type="dxa"/>
              <w:right w:w="15" w:type="dxa"/>
            </w:tcMar>
            <w:vAlign w:val="center"/>
          </w:tcPr>
          <w:p w14:paraId="2C49B32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kern w:val="0"/>
                <w:sz w:val="13"/>
                <w:szCs w:val="13"/>
                <w:highlight w:val="none"/>
              </w:rPr>
            </w:pPr>
            <w:r>
              <w:rPr>
                <w:rFonts w:hint="eastAsia" w:ascii="仿宋_GB2312" w:hAnsi="宋体" w:eastAsia="仿宋_GB2312" w:cs="宋体"/>
                <w:color w:val="auto"/>
                <w:sz w:val="13"/>
                <w:szCs w:val="13"/>
                <w:highlight w:val="none"/>
              </w:rPr>
              <w:t>对单位处20万元以上30万元以下罚款，对个人处5万元以上10万元以下罚款。</w:t>
            </w:r>
          </w:p>
        </w:tc>
      </w:tr>
      <w:tr w14:paraId="4C6886C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169" w:hRule="atLeast"/>
          <w:jc w:val="center"/>
        </w:trPr>
        <w:tc>
          <w:tcPr>
            <w:tcW w:w="428" w:type="dxa"/>
            <w:vMerge w:val="restart"/>
            <w:tcBorders>
              <w:tl2br w:val="nil"/>
              <w:tr2bl w:val="nil"/>
            </w:tcBorders>
            <w:vAlign w:val="center"/>
          </w:tcPr>
          <w:p w14:paraId="54A40A10">
            <w:pPr>
              <w:keepNext w:val="0"/>
              <w:keepLines w:val="0"/>
              <w:pageBreakBefore w:val="0"/>
              <w:widowControl/>
              <w:numPr>
                <w:ilvl w:val="0"/>
                <w:numId w:val="11"/>
              </w:numPr>
              <w:suppressLineNumbers w:val="0"/>
              <w:tabs>
                <w:tab w:val="clear" w:pos="397"/>
              </w:tabs>
              <w:kinsoku/>
              <w:overflowPunct/>
              <w:topLinePunct w:val="0"/>
              <w:autoSpaceDE/>
              <w:autoSpaceDN/>
              <w:bidi w:val="0"/>
              <w:adjustRightInd/>
              <w:snapToGrid/>
              <w:spacing w:beforeAutospacing="0" w:afterAutospacing="0" w:line="260" w:lineRule="exact"/>
              <w:ind w:left="638" w:leftChars="88" w:right="0" w:rightChars="0" w:hanging="453" w:hangingChars="349"/>
              <w:jc w:val="center"/>
              <w:textAlignment w:val="center"/>
              <w:rPr>
                <w:rFonts w:hint="default" w:ascii="仿宋_GB2312" w:hAnsi="宋体" w:eastAsia="仿宋_GB2312" w:cs="宋体"/>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315</w:t>
            </w:r>
          </w:p>
        </w:tc>
        <w:tc>
          <w:tcPr>
            <w:tcW w:w="1550" w:type="dxa"/>
            <w:vMerge w:val="restart"/>
            <w:tcBorders>
              <w:tl2br w:val="nil"/>
              <w:tr2bl w:val="nil"/>
            </w:tcBorders>
            <w:vAlign w:val="center"/>
          </w:tcPr>
          <w:p w14:paraId="57BD971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rPr>
                <w:rFonts w:ascii="仿宋_GB2312" w:hAnsi="宋体" w:eastAsia="仿宋_GB2312" w:cs="宋体"/>
                <w:color w:val="auto"/>
                <w:sz w:val="13"/>
                <w:szCs w:val="13"/>
                <w:highlight w:val="none"/>
              </w:rPr>
            </w:pPr>
            <w:r>
              <w:rPr>
                <w:rFonts w:hint="eastAsia" w:ascii="仿宋_GB2312" w:hAnsi="宋体" w:eastAsia="仿宋_GB2312" w:cs="宋体"/>
                <w:color w:val="auto"/>
                <w:sz w:val="13"/>
                <w:szCs w:val="13"/>
                <w:highlight w:val="none"/>
              </w:rPr>
              <w:t>排水户拒不接受水质、水量监测或者妨碍、阻挠城镇排水主管部门依法监督检查的</w:t>
            </w:r>
          </w:p>
          <w:p w14:paraId="4E70C6F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sz w:val="13"/>
                <w:szCs w:val="13"/>
                <w:highlight w:val="none"/>
              </w:rPr>
            </w:pPr>
          </w:p>
        </w:tc>
        <w:tc>
          <w:tcPr>
            <w:tcW w:w="4820" w:type="dxa"/>
            <w:vMerge w:val="restart"/>
            <w:tcBorders>
              <w:tl2br w:val="nil"/>
              <w:tr2bl w:val="nil"/>
            </w:tcBorders>
            <w:vAlign w:val="center"/>
          </w:tcPr>
          <w:p w14:paraId="4FD2650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sz w:val="13"/>
                <w:szCs w:val="13"/>
                <w:highlight w:val="none"/>
              </w:rPr>
            </w:pPr>
            <w:r>
              <w:rPr>
                <w:rFonts w:hint="eastAsia" w:ascii="仿宋_GB2312" w:hAnsi="宋体" w:eastAsia="仿宋_GB2312" w:cs="宋体"/>
                <w:color w:val="auto"/>
                <w:sz w:val="13"/>
                <w:szCs w:val="13"/>
                <w:highlight w:val="none"/>
              </w:rPr>
              <w:t>《城镇污水排入排水管网许可管理办法》</w:t>
            </w:r>
            <w:r>
              <w:rPr>
                <w:rFonts w:hint="eastAsia" w:ascii="仿宋_GB2312" w:hAnsi="宋体" w:eastAsia="仿宋_GB2312" w:cs="宋体"/>
                <w:b/>
                <w:bCs/>
                <w:color w:val="auto"/>
                <w:sz w:val="13"/>
                <w:szCs w:val="13"/>
                <w:highlight w:val="none"/>
              </w:rPr>
              <w:t>第三十</w:t>
            </w:r>
            <w:r>
              <w:rPr>
                <w:rFonts w:hint="eastAsia" w:ascii="仿宋_GB2312" w:hAnsi="宋体" w:eastAsia="仿宋_GB2312" w:cs="宋体"/>
                <w:b/>
                <w:bCs/>
                <w:color w:val="auto"/>
                <w:sz w:val="13"/>
                <w:szCs w:val="13"/>
                <w:highlight w:val="none"/>
                <w:lang w:val="en-US" w:eastAsia="zh-CN"/>
              </w:rPr>
              <w:t>四</w:t>
            </w:r>
            <w:r>
              <w:rPr>
                <w:rFonts w:hint="eastAsia" w:ascii="仿宋_GB2312" w:hAnsi="宋体" w:eastAsia="仿宋_GB2312" w:cs="宋体"/>
                <w:b/>
                <w:bCs/>
                <w:color w:val="auto"/>
                <w:sz w:val="13"/>
                <w:szCs w:val="13"/>
                <w:highlight w:val="none"/>
              </w:rPr>
              <w:t>条</w:t>
            </w:r>
            <w:r>
              <w:rPr>
                <w:rFonts w:hint="eastAsia" w:ascii="仿宋_GB2312" w:hAnsi="宋体" w:eastAsia="仿宋_GB2312" w:cs="宋体"/>
                <w:b/>
                <w:bCs/>
                <w:color w:val="auto"/>
                <w:sz w:val="13"/>
                <w:szCs w:val="13"/>
                <w:highlight w:val="none"/>
                <w:lang w:eastAsia="zh-CN"/>
              </w:rPr>
              <w:t>：</w:t>
            </w:r>
            <w:r>
              <w:rPr>
                <w:rFonts w:hint="eastAsia" w:ascii="仿宋_GB2312" w:hAnsi="宋体" w:eastAsia="仿宋_GB2312" w:cs="宋体"/>
                <w:color w:val="auto"/>
                <w:sz w:val="13"/>
                <w:szCs w:val="13"/>
                <w:highlight w:val="none"/>
              </w:rPr>
              <w:t>排水户违反本办法规定，拒不接受水质、水量监测或者妨碍、阻挠城镇排水主管部门依法监督检查的，由城镇排水主管部门给予警告；情节严重的，处3万元以下罚款。</w:t>
            </w:r>
          </w:p>
          <w:p w14:paraId="7CEF449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6ED6824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从轻情节</w:t>
            </w:r>
          </w:p>
        </w:tc>
        <w:tc>
          <w:tcPr>
            <w:tcW w:w="3437" w:type="dxa"/>
            <w:gridSpan w:val="2"/>
            <w:tcBorders>
              <w:tl2br w:val="nil"/>
              <w:tr2bl w:val="nil"/>
            </w:tcBorders>
            <w:tcMar>
              <w:top w:w="15" w:type="dxa"/>
              <w:left w:w="15" w:type="dxa"/>
              <w:bottom w:w="15" w:type="dxa"/>
              <w:right w:w="15" w:type="dxa"/>
            </w:tcMar>
            <w:vAlign w:val="center"/>
          </w:tcPr>
          <w:p w14:paraId="14E9717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初次违法，危害后果轻微，主动消除或减轻违法行为后果的。</w:t>
            </w:r>
          </w:p>
        </w:tc>
        <w:tc>
          <w:tcPr>
            <w:tcW w:w="3058" w:type="dxa"/>
            <w:tcBorders>
              <w:tl2br w:val="nil"/>
              <w:tr2bl w:val="nil"/>
            </w:tcBorders>
            <w:tcMar>
              <w:top w:w="15" w:type="dxa"/>
              <w:left w:w="15" w:type="dxa"/>
              <w:bottom w:w="15" w:type="dxa"/>
              <w:right w:w="15" w:type="dxa"/>
            </w:tcMar>
            <w:vAlign w:val="center"/>
          </w:tcPr>
          <w:p w14:paraId="73162FC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kern w:val="0"/>
                <w:sz w:val="13"/>
                <w:szCs w:val="13"/>
                <w:highlight w:val="none"/>
              </w:rPr>
            </w:pPr>
            <w:r>
              <w:rPr>
                <w:rFonts w:hint="eastAsia" w:ascii="仿宋_GB2312" w:hAnsi="宋体" w:eastAsia="仿宋_GB2312" w:cs="宋体"/>
                <w:color w:val="auto"/>
                <w:kern w:val="0"/>
                <w:sz w:val="13"/>
                <w:szCs w:val="13"/>
                <w:highlight w:val="none"/>
              </w:rPr>
              <w:t>给予警告。</w:t>
            </w:r>
          </w:p>
        </w:tc>
      </w:tr>
      <w:tr w14:paraId="0AC5931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112" w:hRule="atLeast"/>
          <w:jc w:val="center"/>
        </w:trPr>
        <w:tc>
          <w:tcPr>
            <w:tcW w:w="428" w:type="dxa"/>
            <w:vMerge w:val="continue"/>
            <w:tcBorders>
              <w:tl2br w:val="nil"/>
              <w:tr2bl w:val="nil"/>
            </w:tcBorders>
            <w:vAlign w:val="center"/>
          </w:tcPr>
          <w:p w14:paraId="3E7F8943">
            <w:pPr>
              <w:pStyle w:val="37"/>
              <w:keepNext w:val="0"/>
              <w:keepLines w:val="0"/>
              <w:pageBreakBefore w:val="0"/>
              <w:widowControl/>
              <w:numPr>
                <w:ilvl w:val="0"/>
                <w:numId w:val="12"/>
              </w:numPr>
              <w:kinsoku/>
              <w:overflowPunct/>
              <w:topLinePunct w:val="0"/>
              <w:autoSpaceDE/>
              <w:autoSpaceDN/>
              <w:bidi w:val="0"/>
              <w:adjustRightInd/>
              <w:snapToGrid/>
              <w:spacing w:beforeAutospacing="0" w:afterAutospacing="0" w:line="260" w:lineRule="exact"/>
              <w:ind w:left="638" w:leftChars="88" w:right="0" w:rightChars="0" w:hanging="453" w:hangingChars="349"/>
              <w:jc w:val="center"/>
              <w:textAlignment w:val="center"/>
              <w:rPr>
                <w:rFonts w:ascii="仿宋_GB2312" w:hAnsi="宋体" w:eastAsia="仿宋_GB2312" w:cs="宋体"/>
                <w:color w:val="auto"/>
                <w:sz w:val="13"/>
                <w:szCs w:val="13"/>
                <w:highlight w:val="none"/>
              </w:rPr>
            </w:pPr>
          </w:p>
        </w:tc>
        <w:tc>
          <w:tcPr>
            <w:tcW w:w="1550" w:type="dxa"/>
            <w:vMerge w:val="continue"/>
            <w:tcBorders>
              <w:tl2br w:val="nil"/>
              <w:tr2bl w:val="nil"/>
            </w:tcBorders>
            <w:vAlign w:val="center"/>
          </w:tcPr>
          <w:p w14:paraId="1976F7B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sz w:val="13"/>
                <w:szCs w:val="13"/>
                <w:highlight w:val="none"/>
              </w:rPr>
            </w:pPr>
          </w:p>
        </w:tc>
        <w:tc>
          <w:tcPr>
            <w:tcW w:w="4820" w:type="dxa"/>
            <w:vMerge w:val="continue"/>
            <w:tcBorders>
              <w:tl2br w:val="nil"/>
              <w:tr2bl w:val="nil"/>
            </w:tcBorders>
            <w:vAlign w:val="center"/>
          </w:tcPr>
          <w:p w14:paraId="5333A43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7413D61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一般情节</w:t>
            </w:r>
          </w:p>
        </w:tc>
        <w:tc>
          <w:tcPr>
            <w:tcW w:w="3437" w:type="dxa"/>
            <w:gridSpan w:val="2"/>
            <w:tcBorders>
              <w:tl2br w:val="nil"/>
              <w:tr2bl w:val="nil"/>
            </w:tcBorders>
            <w:tcMar>
              <w:top w:w="15" w:type="dxa"/>
              <w:left w:w="15" w:type="dxa"/>
              <w:bottom w:w="15" w:type="dxa"/>
              <w:right w:w="15" w:type="dxa"/>
            </w:tcMar>
            <w:vAlign w:val="center"/>
          </w:tcPr>
          <w:p w14:paraId="7373426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sz w:val="13"/>
                <w:szCs w:val="13"/>
                <w:highlight w:val="none"/>
              </w:rPr>
              <w:t>情节严重，</w:t>
            </w:r>
            <w:r>
              <w:rPr>
                <w:rFonts w:hint="eastAsia" w:ascii="仿宋_GB2312" w:hAnsi="宋体" w:eastAsia="仿宋_GB2312" w:cs="宋体"/>
                <w:color w:val="auto"/>
                <w:kern w:val="0"/>
                <w:sz w:val="13"/>
                <w:szCs w:val="13"/>
                <w:highlight w:val="none"/>
              </w:rPr>
              <w:t>不具有</w:t>
            </w:r>
            <w:r>
              <w:rPr>
                <w:rFonts w:hint="eastAsia" w:ascii="仿宋_GB2312" w:hAnsi="宋体" w:eastAsia="仿宋_GB2312" w:cs="宋体"/>
                <w:color w:val="auto"/>
                <w:kern w:val="0"/>
                <w:sz w:val="13"/>
                <w:szCs w:val="13"/>
                <w:highlight w:val="none"/>
                <w:lang w:eastAsia="zh-CN"/>
              </w:rPr>
              <w:t>从重情节</w:t>
            </w:r>
            <w:r>
              <w:rPr>
                <w:rFonts w:hint="eastAsia" w:ascii="仿宋_GB2312" w:hAnsi="宋体" w:eastAsia="仿宋_GB2312" w:cs="宋体"/>
                <w:color w:val="auto"/>
                <w:kern w:val="0"/>
                <w:sz w:val="13"/>
                <w:szCs w:val="13"/>
                <w:highlight w:val="none"/>
              </w:rPr>
              <w:t>的。</w:t>
            </w:r>
          </w:p>
        </w:tc>
        <w:tc>
          <w:tcPr>
            <w:tcW w:w="3058" w:type="dxa"/>
            <w:tcBorders>
              <w:tl2br w:val="nil"/>
              <w:tr2bl w:val="nil"/>
            </w:tcBorders>
            <w:tcMar>
              <w:top w:w="15" w:type="dxa"/>
              <w:left w:w="15" w:type="dxa"/>
              <w:bottom w:w="15" w:type="dxa"/>
              <w:right w:w="15" w:type="dxa"/>
            </w:tcMar>
            <w:vAlign w:val="center"/>
          </w:tcPr>
          <w:p w14:paraId="04916AE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kern w:val="0"/>
                <w:sz w:val="13"/>
                <w:szCs w:val="13"/>
                <w:highlight w:val="none"/>
              </w:rPr>
            </w:pPr>
            <w:r>
              <w:rPr>
                <w:rFonts w:hint="eastAsia" w:ascii="仿宋_GB2312" w:hAnsi="宋体" w:eastAsia="仿宋_GB2312" w:cs="宋体"/>
                <w:color w:val="auto"/>
                <w:sz w:val="13"/>
                <w:szCs w:val="13"/>
                <w:highlight w:val="none"/>
              </w:rPr>
              <w:t>处1万元以下罚款。</w:t>
            </w:r>
          </w:p>
        </w:tc>
      </w:tr>
      <w:tr w14:paraId="171FD27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325" w:hRule="atLeast"/>
          <w:jc w:val="center"/>
        </w:trPr>
        <w:tc>
          <w:tcPr>
            <w:tcW w:w="428" w:type="dxa"/>
            <w:vMerge w:val="continue"/>
            <w:tcBorders>
              <w:tl2br w:val="nil"/>
              <w:tr2bl w:val="nil"/>
            </w:tcBorders>
            <w:vAlign w:val="center"/>
          </w:tcPr>
          <w:p w14:paraId="70D1F66A">
            <w:pPr>
              <w:pStyle w:val="37"/>
              <w:keepNext w:val="0"/>
              <w:keepLines w:val="0"/>
              <w:pageBreakBefore w:val="0"/>
              <w:widowControl/>
              <w:numPr>
                <w:ilvl w:val="0"/>
                <w:numId w:val="12"/>
              </w:numPr>
              <w:kinsoku/>
              <w:overflowPunct/>
              <w:topLinePunct w:val="0"/>
              <w:autoSpaceDE/>
              <w:autoSpaceDN/>
              <w:bidi w:val="0"/>
              <w:adjustRightInd/>
              <w:snapToGrid/>
              <w:spacing w:beforeAutospacing="0" w:afterAutospacing="0" w:line="260" w:lineRule="exact"/>
              <w:ind w:left="638" w:leftChars="88" w:right="0" w:rightChars="0" w:hanging="453" w:hangingChars="349"/>
              <w:jc w:val="center"/>
              <w:textAlignment w:val="center"/>
              <w:rPr>
                <w:rFonts w:ascii="仿宋_GB2312" w:hAnsi="宋体" w:eastAsia="仿宋_GB2312" w:cs="宋体"/>
                <w:color w:val="auto"/>
                <w:sz w:val="13"/>
                <w:szCs w:val="13"/>
                <w:highlight w:val="none"/>
              </w:rPr>
            </w:pPr>
          </w:p>
        </w:tc>
        <w:tc>
          <w:tcPr>
            <w:tcW w:w="1550" w:type="dxa"/>
            <w:vMerge w:val="continue"/>
            <w:tcBorders>
              <w:tl2br w:val="nil"/>
              <w:tr2bl w:val="nil"/>
            </w:tcBorders>
            <w:vAlign w:val="center"/>
          </w:tcPr>
          <w:p w14:paraId="513A561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sz w:val="13"/>
                <w:szCs w:val="13"/>
                <w:highlight w:val="none"/>
              </w:rPr>
            </w:pPr>
          </w:p>
        </w:tc>
        <w:tc>
          <w:tcPr>
            <w:tcW w:w="4820" w:type="dxa"/>
            <w:vMerge w:val="continue"/>
            <w:tcBorders>
              <w:tl2br w:val="nil"/>
              <w:tr2bl w:val="nil"/>
            </w:tcBorders>
            <w:vAlign w:val="center"/>
          </w:tcPr>
          <w:p w14:paraId="4F33BE3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332D341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从重情节</w:t>
            </w:r>
          </w:p>
        </w:tc>
        <w:tc>
          <w:tcPr>
            <w:tcW w:w="3437" w:type="dxa"/>
            <w:gridSpan w:val="2"/>
            <w:tcBorders>
              <w:tl2br w:val="nil"/>
              <w:tr2bl w:val="nil"/>
            </w:tcBorders>
            <w:tcMar>
              <w:top w:w="15" w:type="dxa"/>
              <w:left w:w="15" w:type="dxa"/>
              <w:bottom w:w="15" w:type="dxa"/>
              <w:right w:w="15" w:type="dxa"/>
            </w:tcMar>
            <w:vAlign w:val="center"/>
          </w:tcPr>
          <w:p w14:paraId="1B5C737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情节严重，责令限期改正后，不及时改正的</w:t>
            </w:r>
            <w:r>
              <w:rPr>
                <w:rFonts w:hint="eastAsia" w:ascii="仿宋_GB2312" w:hAnsi="宋体" w:eastAsia="仿宋_GB2312" w:cs="宋体"/>
                <w:color w:val="auto"/>
                <w:kern w:val="0"/>
                <w:sz w:val="13"/>
                <w:szCs w:val="13"/>
                <w:highlight w:val="none"/>
                <w:lang w:eastAsia="zh-CN"/>
              </w:rPr>
              <w:t>，</w:t>
            </w:r>
            <w:r>
              <w:rPr>
                <w:rFonts w:hint="eastAsia" w:ascii="仿宋_GB2312" w:hAnsi="宋体" w:eastAsia="仿宋_GB2312" w:cs="宋体"/>
                <w:color w:val="auto"/>
                <w:kern w:val="0"/>
                <w:sz w:val="13"/>
                <w:szCs w:val="13"/>
                <w:highlight w:val="none"/>
                <w:lang w:val="en-US" w:eastAsia="zh-CN"/>
              </w:rPr>
              <w:t>或</w:t>
            </w:r>
            <w:r>
              <w:rPr>
                <w:rFonts w:hint="eastAsia" w:ascii="仿宋_GB2312" w:hAnsi="宋体" w:eastAsia="仿宋_GB2312" w:cs="宋体"/>
                <w:color w:val="auto"/>
                <w:kern w:val="0"/>
                <w:sz w:val="13"/>
                <w:szCs w:val="13"/>
                <w:highlight w:val="none"/>
              </w:rPr>
              <w:t>情节严重，且曾因该违法行为被查处，再次实施该违法行为的</w:t>
            </w:r>
            <w:r>
              <w:rPr>
                <w:rFonts w:hint="eastAsia" w:ascii="仿宋_GB2312" w:hAnsi="宋体" w:eastAsia="仿宋_GB2312" w:cs="宋体"/>
                <w:color w:val="auto"/>
                <w:kern w:val="0"/>
                <w:sz w:val="13"/>
                <w:szCs w:val="13"/>
                <w:highlight w:val="none"/>
                <w:lang w:eastAsia="zh-CN"/>
              </w:rPr>
              <w:t>，</w:t>
            </w:r>
            <w:r>
              <w:rPr>
                <w:rFonts w:hint="eastAsia" w:ascii="仿宋_GB2312" w:hAnsi="宋体" w:eastAsia="仿宋_GB2312" w:cs="宋体"/>
                <w:color w:val="auto"/>
                <w:kern w:val="0"/>
                <w:sz w:val="13"/>
                <w:szCs w:val="13"/>
                <w:highlight w:val="none"/>
                <w:lang w:val="en-US" w:eastAsia="zh-CN"/>
              </w:rPr>
              <w:t>或</w:t>
            </w:r>
            <w:r>
              <w:rPr>
                <w:rFonts w:hint="eastAsia" w:ascii="仿宋_GB2312" w:hAnsi="宋体" w:eastAsia="仿宋_GB2312" w:cs="宋体"/>
                <w:color w:val="auto"/>
                <w:kern w:val="0"/>
                <w:sz w:val="13"/>
                <w:szCs w:val="13"/>
                <w:highlight w:val="none"/>
              </w:rPr>
              <w:t>情节严重，造成严重危害后果的。</w:t>
            </w:r>
          </w:p>
        </w:tc>
        <w:tc>
          <w:tcPr>
            <w:tcW w:w="3058" w:type="dxa"/>
            <w:tcBorders>
              <w:tl2br w:val="nil"/>
              <w:tr2bl w:val="nil"/>
            </w:tcBorders>
            <w:tcMar>
              <w:top w:w="15" w:type="dxa"/>
              <w:left w:w="15" w:type="dxa"/>
              <w:bottom w:w="15" w:type="dxa"/>
              <w:right w:w="15" w:type="dxa"/>
            </w:tcMar>
            <w:vAlign w:val="center"/>
          </w:tcPr>
          <w:p w14:paraId="7357F0A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kern w:val="0"/>
                <w:sz w:val="13"/>
                <w:szCs w:val="13"/>
                <w:highlight w:val="none"/>
              </w:rPr>
            </w:pPr>
            <w:r>
              <w:rPr>
                <w:rFonts w:hint="eastAsia" w:ascii="仿宋_GB2312" w:hAnsi="宋体" w:eastAsia="仿宋_GB2312" w:cs="宋体"/>
                <w:color w:val="auto"/>
                <w:sz w:val="13"/>
                <w:szCs w:val="13"/>
                <w:highlight w:val="none"/>
              </w:rPr>
              <w:t>处1万元以上3万元以下罚款。</w:t>
            </w:r>
          </w:p>
        </w:tc>
      </w:tr>
      <w:tr w14:paraId="37E4C9D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240" w:hRule="atLeast"/>
          <w:jc w:val="center"/>
        </w:trPr>
        <w:tc>
          <w:tcPr>
            <w:tcW w:w="428" w:type="dxa"/>
            <w:vMerge w:val="restart"/>
            <w:tcBorders>
              <w:tl2br w:val="nil"/>
              <w:tr2bl w:val="nil"/>
            </w:tcBorders>
            <w:tcMar>
              <w:top w:w="15" w:type="dxa"/>
              <w:left w:w="15" w:type="dxa"/>
              <w:bottom w:w="15" w:type="dxa"/>
              <w:right w:w="15" w:type="dxa"/>
            </w:tcMar>
            <w:vAlign w:val="center"/>
          </w:tcPr>
          <w:p w14:paraId="2F2C3E84">
            <w:pPr>
              <w:keepNext w:val="0"/>
              <w:keepLines w:val="0"/>
              <w:pageBreakBefore w:val="0"/>
              <w:widowControl/>
              <w:numPr>
                <w:ilvl w:val="0"/>
                <w:numId w:val="11"/>
              </w:numPr>
              <w:suppressLineNumbers w:val="0"/>
              <w:tabs>
                <w:tab w:val="clear" w:pos="397"/>
              </w:tabs>
              <w:kinsoku/>
              <w:overflowPunct/>
              <w:topLinePunct w:val="0"/>
              <w:autoSpaceDE/>
              <w:autoSpaceDN/>
              <w:bidi w:val="0"/>
              <w:adjustRightInd/>
              <w:snapToGrid/>
              <w:spacing w:beforeAutospacing="0" w:afterAutospacing="0" w:line="260" w:lineRule="exact"/>
              <w:ind w:left="638" w:leftChars="88" w:right="0" w:rightChars="0" w:hanging="453" w:hangingChars="349"/>
              <w:jc w:val="center"/>
              <w:textAlignment w:val="center"/>
              <w:rPr>
                <w:rFonts w:hint="default" w:ascii="仿宋_GB2312" w:hAnsi="宋体" w:eastAsia="仿宋_GB2312" w:cs="宋体"/>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316</w:t>
            </w:r>
          </w:p>
        </w:tc>
        <w:tc>
          <w:tcPr>
            <w:tcW w:w="1550" w:type="dxa"/>
            <w:vMerge w:val="restart"/>
            <w:tcBorders>
              <w:tl2br w:val="nil"/>
              <w:tr2bl w:val="nil"/>
            </w:tcBorders>
            <w:tcMar>
              <w:top w:w="15" w:type="dxa"/>
              <w:left w:w="15" w:type="dxa"/>
              <w:bottom w:w="15" w:type="dxa"/>
              <w:right w:w="15" w:type="dxa"/>
            </w:tcMar>
            <w:vAlign w:val="center"/>
          </w:tcPr>
          <w:p w14:paraId="284693A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有下列行为之一的：（1）未取得设计、施工资格或者未按照资质等级承担城市道路的设计、施工任务的；（2）未按照城市道路设计、施工技术规范设计、施工的；（3）未按照设计图纸施工或者擅自修改图纸的</w:t>
            </w:r>
          </w:p>
        </w:tc>
        <w:tc>
          <w:tcPr>
            <w:tcW w:w="4820" w:type="dxa"/>
            <w:vMerge w:val="restart"/>
            <w:tcBorders>
              <w:tl2br w:val="nil"/>
              <w:tr2bl w:val="nil"/>
            </w:tcBorders>
            <w:tcMar>
              <w:top w:w="15" w:type="dxa"/>
              <w:left w:w="15" w:type="dxa"/>
              <w:bottom w:w="15" w:type="dxa"/>
              <w:right w:w="15" w:type="dxa"/>
            </w:tcMar>
            <w:vAlign w:val="center"/>
          </w:tcPr>
          <w:p w14:paraId="1B77C6A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kern w:val="0"/>
                <w:sz w:val="13"/>
                <w:szCs w:val="13"/>
                <w:highlight w:val="none"/>
              </w:rPr>
            </w:pPr>
            <w:r>
              <w:rPr>
                <w:rFonts w:hint="eastAsia" w:ascii="仿宋_GB2312" w:hAnsi="宋体" w:eastAsia="仿宋_GB2312" w:cs="宋体"/>
                <w:color w:val="auto"/>
                <w:kern w:val="0"/>
                <w:sz w:val="13"/>
                <w:szCs w:val="13"/>
                <w:highlight w:val="none"/>
              </w:rPr>
              <w:t>《城市道路管理条例》</w:t>
            </w:r>
            <w:r>
              <w:rPr>
                <w:rFonts w:hint="eastAsia" w:ascii="仿宋_GB2312" w:hAnsi="宋体" w:eastAsia="仿宋_GB2312" w:cs="宋体"/>
                <w:b/>
                <w:bCs/>
                <w:color w:val="auto"/>
                <w:kern w:val="0"/>
                <w:sz w:val="13"/>
                <w:szCs w:val="13"/>
                <w:highlight w:val="none"/>
              </w:rPr>
              <w:t>第三十九条</w:t>
            </w:r>
            <w:r>
              <w:rPr>
                <w:rFonts w:hint="eastAsia" w:ascii="仿宋_GB2312" w:hAnsi="宋体" w:eastAsia="仿宋_GB2312" w:cs="宋体"/>
                <w:b/>
                <w:bCs/>
                <w:color w:val="auto"/>
                <w:kern w:val="0"/>
                <w:sz w:val="13"/>
                <w:szCs w:val="13"/>
                <w:highlight w:val="none"/>
                <w:lang w:eastAsia="zh-CN"/>
              </w:rPr>
              <w:t>：</w:t>
            </w:r>
            <w:r>
              <w:rPr>
                <w:rFonts w:hint="eastAsia" w:ascii="仿宋_GB2312" w:hAnsi="宋体" w:eastAsia="仿宋_GB2312" w:cs="宋体"/>
                <w:color w:val="auto"/>
                <w:kern w:val="0"/>
                <w:sz w:val="13"/>
                <w:szCs w:val="13"/>
                <w:highlight w:val="none"/>
              </w:rPr>
              <w:t>违反本条例的规定，有下列行为之一的，由市政工程行政主管部门责令停止设计、施工，限期改正，可以并处3万元以下的罚款；已经取得设计、施工资格证书，情节严重的，提请原发证机关吊销设计、施工资格证书：（一）未取得设计、施工资格或者未按照资质等级承担城市道路的设计、施工任务的；（二）未按照城市道路设计、施工技术规范设计、施工的；（三）未按照设计图纸施工或者擅自修改图纸的。</w:t>
            </w:r>
          </w:p>
          <w:p w14:paraId="75F8451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1367126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从轻情节</w:t>
            </w:r>
          </w:p>
        </w:tc>
        <w:tc>
          <w:tcPr>
            <w:tcW w:w="3437" w:type="dxa"/>
            <w:gridSpan w:val="2"/>
            <w:tcBorders>
              <w:tl2br w:val="nil"/>
              <w:tr2bl w:val="nil"/>
            </w:tcBorders>
            <w:tcMar>
              <w:top w:w="15" w:type="dxa"/>
              <w:left w:w="15" w:type="dxa"/>
              <w:bottom w:w="15" w:type="dxa"/>
              <w:right w:w="15" w:type="dxa"/>
            </w:tcMar>
            <w:vAlign w:val="center"/>
          </w:tcPr>
          <w:p w14:paraId="4B2AD87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初次违法，危害后果轻微，及时改正的。</w:t>
            </w:r>
          </w:p>
        </w:tc>
        <w:tc>
          <w:tcPr>
            <w:tcW w:w="3058" w:type="dxa"/>
            <w:tcBorders>
              <w:tl2br w:val="nil"/>
              <w:tr2bl w:val="nil"/>
            </w:tcBorders>
            <w:tcMar>
              <w:top w:w="15" w:type="dxa"/>
              <w:left w:w="15" w:type="dxa"/>
              <w:bottom w:w="15" w:type="dxa"/>
              <w:right w:w="15" w:type="dxa"/>
            </w:tcMar>
            <w:vAlign w:val="center"/>
          </w:tcPr>
          <w:p w14:paraId="34FDB0B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责令停止设计、施工，限期改正，可以并处1万元以下的罚款。</w:t>
            </w:r>
          </w:p>
        </w:tc>
      </w:tr>
      <w:tr w14:paraId="1440AC5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291" w:hRule="atLeast"/>
          <w:jc w:val="center"/>
        </w:trPr>
        <w:tc>
          <w:tcPr>
            <w:tcW w:w="428" w:type="dxa"/>
            <w:vMerge w:val="continue"/>
            <w:tcBorders>
              <w:tl2br w:val="nil"/>
              <w:tr2bl w:val="nil"/>
            </w:tcBorders>
            <w:vAlign w:val="center"/>
          </w:tcPr>
          <w:p w14:paraId="50C82F90">
            <w:pPr>
              <w:pStyle w:val="37"/>
              <w:keepNext w:val="0"/>
              <w:keepLines w:val="0"/>
              <w:pageBreakBefore w:val="0"/>
              <w:widowControl/>
              <w:numPr>
                <w:ilvl w:val="0"/>
                <w:numId w:val="12"/>
              </w:numPr>
              <w:kinsoku/>
              <w:overflowPunct/>
              <w:topLinePunct w:val="0"/>
              <w:autoSpaceDE/>
              <w:autoSpaceDN/>
              <w:bidi w:val="0"/>
              <w:adjustRightInd/>
              <w:snapToGrid/>
              <w:spacing w:beforeAutospacing="0" w:afterAutospacing="0" w:line="260" w:lineRule="exact"/>
              <w:ind w:left="638" w:leftChars="88" w:right="0" w:rightChars="0" w:hanging="453" w:hangingChars="349"/>
              <w:jc w:val="center"/>
              <w:rPr>
                <w:rFonts w:ascii="仿宋_GB2312" w:hAnsi="宋体" w:eastAsia="仿宋_GB2312" w:cs="宋体"/>
                <w:color w:val="auto"/>
                <w:sz w:val="13"/>
                <w:szCs w:val="13"/>
                <w:highlight w:val="none"/>
              </w:rPr>
            </w:pPr>
          </w:p>
        </w:tc>
        <w:tc>
          <w:tcPr>
            <w:tcW w:w="1550" w:type="dxa"/>
            <w:vMerge w:val="continue"/>
            <w:tcBorders>
              <w:tl2br w:val="nil"/>
              <w:tr2bl w:val="nil"/>
            </w:tcBorders>
            <w:vAlign w:val="center"/>
          </w:tcPr>
          <w:p w14:paraId="123F60C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sz w:val="13"/>
                <w:szCs w:val="13"/>
                <w:highlight w:val="none"/>
              </w:rPr>
            </w:pPr>
          </w:p>
        </w:tc>
        <w:tc>
          <w:tcPr>
            <w:tcW w:w="4820" w:type="dxa"/>
            <w:vMerge w:val="continue"/>
            <w:tcBorders>
              <w:tl2br w:val="nil"/>
              <w:tr2bl w:val="nil"/>
            </w:tcBorders>
            <w:vAlign w:val="center"/>
          </w:tcPr>
          <w:p w14:paraId="5E6A097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235D717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一般情节</w:t>
            </w:r>
          </w:p>
        </w:tc>
        <w:tc>
          <w:tcPr>
            <w:tcW w:w="3437" w:type="dxa"/>
            <w:gridSpan w:val="2"/>
            <w:tcBorders>
              <w:tl2br w:val="nil"/>
              <w:tr2bl w:val="nil"/>
            </w:tcBorders>
            <w:tcMar>
              <w:top w:w="15" w:type="dxa"/>
              <w:left w:w="15" w:type="dxa"/>
              <w:bottom w:w="15" w:type="dxa"/>
              <w:right w:w="15" w:type="dxa"/>
            </w:tcMar>
            <w:vAlign w:val="center"/>
          </w:tcPr>
          <w:p w14:paraId="40B6199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不具有从轻、</w:t>
            </w:r>
            <w:r>
              <w:rPr>
                <w:rFonts w:hint="eastAsia" w:ascii="仿宋_GB2312" w:hAnsi="宋体" w:eastAsia="仿宋_GB2312" w:cs="宋体"/>
                <w:color w:val="auto"/>
                <w:kern w:val="0"/>
                <w:sz w:val="13"/>
                <w:szCs w:val="13"/>
                <w:highlight w:val="none"/>
                <w:lang w:eastAsia="zh-CN"/>
              </w:rPr>
              <w:t>从重情节</w:t>
            </w:r>
            <w:r>
              <w:rPr>
                <w:rFonts w:hint="eastAsia" w:ascii="仿宋_GB2312" w:hAnsi="宋体" w:eastAsia="仿宋_GB2312" w:cs="宋体"/>
                <w:color w:val="auto"/>
                <w:kern w:val="0"/>
                <w:sz w:val="13"/>
                <w:szCs w:val="13"/>
                <w:highlight w:val="none"/>
              </w:rPr>
              <w:t>的。</w:t>
            </w:r>
          </w:p>
        </w:tc>
        <w:tc>
          <w:tcPr>
            <w:tcW w:w="3058" w:type="dxa"/>
            <w:tcBorders>
              <w:tl2br w:val="nil"/>
              <w:tr2bl w:val="nil"/>
            </w:tcBorders>
            <w:tcMar>
              <w:top w:w="15" w:type="dxa"/>
              <w:left w:w="15" w:type="dxa"/>
              <w:bottom w:w="15" w:type="dxa"/>
              <w:right w:w="15" w:type="dxa"/>
            </w:tcMar>
            <w:vAlign w:val="center"/>
          </w:tcPr>
          <w:p w14:paraId="681E5D3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责令停止设计、施工，限期改正，可以并处1万元以上2万元以下的罚款。</w:t>
            </w:r>
          </w:p>
        </w:tc>
      </w:tr>
      <w:tr w14:paraId="53118F5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716" w:hRule="atLeast"/>
          <w:jc w:val="center"/>
        </w:trPr>
        <w:tc>
          <w:tcPr>
            <w:tcW w:w="428" w:type="dxa"/>
            <w:vMerge w:val="continue"/>
            <w:tcBorders>
              <w:tl2br w:val="nil"/>
              <w:tr2bl w:val="nil"/>
            </w:tcBorders>
            <w:vAlign w:val="center"/>
          </w:tcPr>
          <w:p w14:paraId="374DBB94">
            <w:pPr>
              <w:pStyle w:val="37"/>
              <w:keepNext w:val="0"/>
              <w:keepLines w:val="0"/>
              <w:pageBreakBefore w:val="0"/>
              <w:widowControl/>
              <w:numPr>
                <w:ilvl w:val="0"/>
                <w:numId w:val="12"/>
              </w:numPr>
              <w:kinsoku/>
              <w:overflowPunct/>
              <w:topLinePunct w:val="0"/>
              <w:autoSpaceDE/>
              <w:autoSpaceDN/>
              <w:bidi w:val="0"/>
              <w:adjustRightInd/>
              <w:snapToGrid/>
              <w:spacing w:beforeAutospacing="0" w:afterAutospacing="0" w:line="260" w:lineRule="exact"/>
              <w:ind w:left="638" w:leftChars="88" w:right="0" w:rightChars="0" w:hanging="453" w:hangingChars="349"/>
              <w:jc w:val="center"/>
              <w:rPr>
                <w:rFonts w:ascii="仿宋_GB2312" w:hAnsi="宋体" w:eastAsia="仿宋_GB2312" w:cs="宋体"/>
                <w:color w:val="auto"/>
                <w:sz w:val="13"/>
                <w:szCs w:val="13"/>
                <w:highlight w:val="none"/>
              </w:rPr>
            </w:pPr>
          </w:p>
        </w:tc>
        <w:tc>
          <w:tcPr>
            <w:tcW w:w="1550" w:type="dxa"/>
            <w:vMerge w:val="continue"/>
            <w:tcBorders>
              <w:tl2br w:val="nil"/>
              <w:tr2bl w:val="nil"/>
            </w:tcBorders>
            <w:vAlign w:val="center"/>
          </w:tcPr>
          <w:p w14:paraId="5A94CCF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sz w:val="13"/>
                <w:szCs w:val="13"/>
                <w:highlight w:val="none"/>
              </w:rPr>
            </w:pPr>
          </w:p>
        </w:tc>
        <w:tc>
          <w:tcPr>
            <w:tcW w:w="4820" w:type="dxa"/>
            <w:vMerge w:val="continue"/>
            <w:tcBorders>
              <w:tl2br w:val="nil"/>
              <w:tr2bl w:val="nil"/>
            </w:tcBorders>
            <w:vAlign w:val="center"/>
          </w:tcPr>
          <w:p w14:paraId="6DF0205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312ADEA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从重情节</w:t>
            </w:r>
          </w:p>
        </w:tc>
        <w:tc>
          <w:tcPr>
            <w:tcW w:w="3437" w:type="dxa"/>
            <w:gridSpan w:val="2"/>
            <w:tcBorders>
              <w:tl2br w:val="nil"/>
              <w:tr2bl w:val="nil"/>
            </w:tcBorders>
            <w:tcMar>
              <w:top w:w="15" w:type="dxa"/>
              <w:left w:w="15" w:type="dxa"/>
              <w:bottom w:w="15" w:type="dxa"/>
              <w:right w:w="15" w:type="dxa"/>
            </w:tcMar>
            <w:vAlign w:val="center"/>
          </w:tcPr>
          <w:p w14:paraId="727CC6E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kern w:val="0"/>
                <w:sz w:val="13"/>
                <w:szCs w:val="13"/>
                <w:highlight w:val="none"/>
              </w:rPr>
            </w:pPr>
          </w:p>
          <w:p w14:paraId="00EB642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kern w:val="0"/>
                <w:sz w:val="13"/>
                <w:szCs w:val="13"/>
                <w:highlight w:val="none"/>
              </w:rPr>
            </w:pPr>
          </w:p>
          <w:p w14:paraId="33DD214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kern w:val="0"/>
                <w:sz w:val="13"/>
                <w:szCs w:val="13"/>
                <w:highlight w:val="none"/>
              </w:rPr>
            </w:pPr>
            <w:r>
              <w:rPr>
                <w:rFonts w:hint="eastAsia" w:ascii="仿宋_GB2312" w:hAnsi="宋体" w:eastAsia="仿宋_GB2312" w:cs="宋体"/>
                <w:color w:val="auto"/>
                <w:kern w:val="0"/>
                <w:sz w:val="13"/>
                <w:szCs w:val="13"/>
                <w:highlight w:val="none"/>
              </w:rPr>
              <w:t>经责令停止违法行为后，继续实施违法行为的</w:t>
            </w:r>
            <w:r>
              <w:rPr>
                <w:rFonts w:hint="eastAsia" w:ascii="仿宋_GB2312" w:hAnsi="宋体" w:eastAsia="仿宋_GB2312" w:cs="宋体"/>
                <w:color w:val="auto"/>
                <w:kern w:val="0"/>
                <w:sz w:val="13"/>
                <w:szCs w:val="13"/>
                <w:highlight w:val="none"/>
                <w:lang w:eastAsia="zh-CN"/>
              </w:rPr>
              <w:t>，</w:t>
            </w:r>
            <w:r>
              <w:rPr>
                <w:rFonts w:hint="eastAsia" w:ascii="仿宋_GB2312" w:hAnsi="宋体" w:eastAsia="仿宋_GB2312" w:cs="宋体"/>
                <w:color w:val="auto"/>
                <w:kern w:val="0"/>
                <w:sz w:val="13"/>
                <w:szCs w:val="13"/>
                <w:highlight w:val="none"/>
                <w:lang w:val="en-US" w:eastAsia="zh-CN"/>
              </w:rPr>
              <w:t>或</w:t>
            </w:r>
            <w:r>
              <w:rPr>
                <w:rFonts w:hint="eastAsia" w:ascii="仿宋_GB2312" w:hAnsi="宋体" w:eastAsia="仿宋_GB2312" w:cs="宋体"/>
                <w:color w:val="auto"/>
                <w:kern w:val="0"/>
                <w:sz w:val="13"/>
                <w:szCs w:val="13"/>
                <w:highlight w:val="none"/>
              </w:rPr>
              <w:t>曾因无资质或超资质被查处，再次实施该违法行为的。</w:t>
            </w:r>
          </w:p>
          <w:p w14:paraId="282B160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kern w:val="0"/>
                <w:sz w:val="13"/>
                <w:szCs w:val="13"/>
                <w:highlight w:val="none"/>
              </w:rPr>
            </w:pPr>
          </w:p>
          <w:p w14:paraId="458E0D4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kern w:val="0"/>
                <w:sz w:val="13"/>
                <w:szCs w:val="13"/>
                <w:highlight w:val="none"/>
              </w:rPr>
            </w:pPr>
          </w:p>
          <w:p w14:paraId="5A156A1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kern w:val="0"/>
                <w:sz w:val="13"/>
                <w:szCs w:val="13"/>
                <w:highlight w:val="none"/>
              </w:rPr>
            </w:pPr>
          </w:p>
          <w:p w14:paraId="01CA660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p>
        </w:tc>
        <w:tc>
          <w:tcPr>
            <w:tcW w:w="3058" w:type="dxa"/>
            <w:tcBorders>
              <w:tl2br w:val="nil"/>
              <w:tr2bl w:val="nil"/>
            </w:tcBorders>
            <w:tcMar>
              <w:top w:w="15" w:type="dxa"/>
              <w:left w:w="15" w:type="dxa"/>
              <w:bottom w:w="15" w:type="dxa"/>
              <w:right w:w="15" w:type="dxa"/>
            </w:tcMar>
            <w:vAlign w:val="center"/>
          </w:tcPr>
          <w:p w14:paraId="238E07F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责令停止设计、施工，限期改正，可以并处2万元以上3万元以下的罚款；提请原发证机关吊销设计、施工资格证书。</w:t>
            </w:r>
          </w:p>
        </w:tc>
      </w:tr>
      <w:tr w14:paraId="2FF66D0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169" w:hRule="atLeast"/>
          <w:jc w:val="center"/>
        </w:trPr>
        <w:tc>
          <w:tcPr>
            <w:tcW w:w="428" w:type="dxa"/>
            <w:vMerge w:val="restart"/>
            <w:tcBorders>
              <w:tl2br w:val="nil"/>
              <w:tr2bl w:val="nil"/>
            </w:tcBorders>
            <w:tcMar>
              <w:top w:w="15" w:type="dxa"/>
              <w:left w:w="15" w:type="dxa"/>
              <w:bottom w:w="15" w:type="dxa"/>
              <w:right w:w="15" w:type="dxa"/>
            </w:tcMar>
            <w:vAlign w:val="center"/>
          </w:tcPr>
          <w:p w14:paraId="36B0331D">
            <w:pPr>
              <w:keepNext w:val="0"/>
              <w:keepLines w:val="0"/>
              <w:pageBreakBefore w:val="0"/>
              <w:widowControl/>
              <w:numPr>
                <w:ilvl w:val="0"/>
                <w:numId w:val="11"/>
              </w:numPr>
              <w:suppressLineNumbers w:val="0"/>
              <w:tabs>
                <w:tab w:val="clear" w:pos="397"/>
              </w:tabs>
              <w:kinsoku/>
              <w:overflowPunct/>
              <w:topLinePunct w:val="0"/>
              <w:autoSpaceDE/>
              <w:autoSpaceDN/>
              <w:bidi w:val="0"/>
              <w:adjustRightInd/>
              <w:snapToGrid/>
              <w:spacing w:beforeAutospacing="0" w:afterAutospacing="0" w:line="260" w:lineRule="exact"/>
              <w:ind w:left="638" w:leftChars="88" w:right="0" w:rightChars="0" w:hanging="453" w:hangingChars="349"/>
              <w:jc w:val="center"/>
              <w:textAlignment w:val="center"/>
              <w:rPr>
                <w:rFonts w:hint="default" w:ascii="仿宋_GB2312" w:hAnsi="宋体" w:eastAsia="仿宋_GB2312" w:cs="宋体"/>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317</w:t>
            </w:r>
          </w:p>
        </w:tc>
        <w:tc>
          <w:tcPr>
            <w:tcW w:w="1550" w:type="dxa"/>
            <w:vMerge w:val="restart"/>
            <w:tcBorders>
              <w:tl2br w:val="nil"/>
              <w:tr2bl w:val="nil"/>
            </w:tcBorders>
            <w:tcMar>
              <w:top w:w="15" w:type="dxa"/>
              <w:left w:w="15" w:type="dxa"/>
              <w:bottom w:w="15" w:type="dxa"/>
              <w:right w:w="15" w:type="dxa"/>
            </w:tcMar>
            <w:vAlign w:val="center"/>
          </w:tcPr>
          <w:p w14:paraId="513E277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擅自使用未经验收或者验收不合格的城市道路的</w:t>
            </w:r>
          </w:p>
        </w:tc>
        <w:tc>
          <w:tcPr>
            <w:tcW w:w="4820" w:type="dxa"/>
            <w:vMerge w:val="restart"/>
            <w:tcBorders>
              <w:tl2br w:val="nil"/>
              <w:tr2bl w:val="nil"/>
            </w:tcBorders>
            <w:tcMar>
              <w:top w:w="15" w:type="dxa"/>
              <w:left w:w="15" w:type="dxa"/>
              <w:bottom w:w="15" w:type="dxa"/>
              <w:right w:w="15" w:type="dxa"/>
            </w:tcMar>
            <w:vAlign w:val="center"/>
          </w:tcPr>
          <w:p w14:paraId="2189462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《城市道路管理条例》</w:t>
            </w:r>
            <w:r>
              <w:rPr>
                <w:rFonts w:hint="eastAsia" w:ascii="仿宋_GB2312" w:hAnsi="宋体" w:eastAsia="仿宋_GB2312" w:cs="宋体"/>
                <w:b/>
                <w:bCs/>
                <w:color w:val="auto"/>
                <w:kern w:val="0"/>
                <w:sz w:val="13"/>
                <w:szCs w:val="13"/>
                <w:highlight w:val="none"/>
              </w:rPr>
              <w:t>第四十条</w:t>
            </w:r>
            <w:r>
              <w:rPr>
                <w:rFonts w:hint="eastAsia" w:ascii="仿宋_GB2312" w:hAnsi="宋体" w:eastAsia="仿宋_GB2312" w:cs="宋体"/>
                <w:b/>
                <w:bCs/>
                <w:color w:val="auto"/>
                <w:kern w:val="0"/>
                <w:sz w:val="13"/>
                <w:szCs w:val="13"/>
                <w:highlight w:val="none"/>
                <w:lang w:eastAsia="zh-CN"/>
              </w:rPr>
              <w:t>：</w:t>
            </w:r>
            <w:r>
              <w:rPr>
                <w:rFonts w:hint="eastAsia" w:ascii="仿宋_GB2312" w:hAnsi="宋体" w:eastAsia="仿宋_GB2312" w:cs="宋体"/>
                <w:color w:val="auto"/>
                <w:sz w:val="13"/>
                <w:szCs w:val="13"/>
                <w:highlight w:val="none"/>
              </w:rPr>
              <w:t>违反本条例第十七条规定，擅自使用未经验收或者验收不合格的城市道路的，由市政工程行政主管部门责令限期改正，给予警告，可以并处工程造价2%以下的罚款。</w:t>
            </w:r>
          </w:p>
        </w:tc>
        <w:tc>
          <w:tcPr>
            <w:tcW w:w="823" w:type="dxa"/>
            <w:tcBorders>
              <w:tl2br w:val="nil"/>
              <w:tr2bl w:val="nil"/>
            </w:tcBorders>
            <w:tcMar>
              <w:top w:w="15" w:type="dxa"/>
              <w:left w:w="15" w:type="dxa"/>
              <w:bottom w:w="15" w:type="dxa"/>
              <w:right w:w="15" w:type="dxa"/>
            </w:tcMar>
            <w:vAlign w:val="center"/>
          </w:tcPr>
          <w:p w14:paraId="303C4DE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从轻情节</w:t>
            </w:r>
          </w:p>
        </w:tc>
        <w:tc>
          <w:tcPr>
            <w:tcW w:w="3437" w:type="dxa"/>
            <w:gridSpan w:val="2"/>
            <w:tcBorders>
              <w:tl2br w:val="nil"/>
              <w:tr2bl w:val="nil"/>
            </w:tcBorders>
            <w:tcMar>
              <w:top w:w="15" w:type="dxa"/>
              <w:left w:w="15" w:type="dxa"/>
              <w:bottom w:w="15" w:type="dxa"/>
              <w:right w:w="15" w:type="dxa"/>
            </w:tcMar>
            <w:vAlign w:val="center"/>
          </w:tcPr>
          <w:p w14:paraId="707B49E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初次违法，危害后果轻微，及时改正的。</w:t>
            </w:r>
          </w:p>
        </w:tc>
        <w:tc>
          <w:tcPr>
            <w:tcW w:w="3058" w:type="dxa"/>
            <w:tcBorders>
              <w:tl2br w:val="nil"/>
              <w:tr2bl w:val="nil"/>
            </w:tcBorders>
            <w:tcMar>
              <w:top w:w="15" w:type="dxa"/>
              <w:left w:w="15" w:type="dxa"/>
              <w:bottom w:w="15" w:type="dxa"/>
              <w:right w:w="15" w:type="dxa"/>
            </w:tcMar>
            <w:vAlign w:val="center"/>
          </w:tcPr>
          <w:p w14:paraId="2171214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责令限期改正，给予警告，可以并处工程造价1%以下的罚款。</w:t>
            </w:r>
          </w:p>
        </w:tc>
      </w:tr>
      <w:tr w14:paraId="509D3C2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169" w:hRule="atLeast"/>
          <w:jc w:val="center"/>
        </w:trPr>
        <w:tc>
          <w:tcPr>
            <w:tcW w:w="428" w:type="dxa"/>
            <w:vMerge w:val="continue"/>
            <w:tcBorders>
              <w:tl2br w:val="nil"/>
              <w:tr2bl w:val="nil"/>
            </w:tcBorders>
            <w:vAlign w:val="center"/>
          </w:tcPr>
          <w:p w14:paraId="72DC34EC">
            <w:pPr>
              <w:pStyle w:val="37"/>
              <w:keepNext w:val="0"/>
              <w:keepLines w:val="0"/>
              <w:pageBreakBefore w:val="0"/>
              <w:widowControl/>
              <w:numPr>
                <w:ilvl w:val="0"/>
                <w:numId w:val="12"/>
              </w:numPr>
              <w:kinsoku/>
              <w:overflowPunct/>
              <w:topLinePunct w:val="0"/>
              <w:autoSpaceDE/>
              <w:autoSpaceDN/>
              <w:bidi w:val="0"/>
              <w:adjustRightInd/>
              <w:snapToGrid/>
              <w:spacing w:beforeAutospacing="0" w:afterAutospacing="0" w:line="260" w:lineRule="exact"/>
              <w:ind w:left="638" w:leftChars="88" w:right="0" w:rightChars="0" w:hanging="453" w:hangingChars="349"/>
              <w:jc w:val="center"/>
              <w:rPr>
                <w:rFonts w:ascii="仿宋_GB2312" w:hAnsi="宋体" w:eastAsia="仿宋_GB2312" w:cs="宋体"/>
                <w:color w:val="auto"/>
                <w:sz w:val="13"/>
                <w:szCs w:val="13"/>
                <w:highlight w:val="none"/>
              </w:rPr>
            </w:pPr>
          </w:p>
        </w:tc>
        <w:tc>
          <w:tcPr>
            <w:tcW w:w="1550" w:type="dxa"/>
            <w:vMerge w:val="continue"/>
            <w:tcBorders>
              <w:tl2br w:val="nil"/>
              <w:tr2bl w:val="nil"/>
            </w:tcBorders>
            <w:vAlign w:val="center"/>
          </w:tcPr>
          <w:p w14:paraId="76D333F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sz w:val="13"/>
                <w:szCs w:val="13"/>
                <w:highlight w:val="none"/>
              </w:rPr>
            </w:pPr>
          </w:p>
        </w:tc>
        <w:tc>
          <w:tcPr>
            <w:tcW w:w="4820" w:type="dxa"/>
            <w:vMerge w:val="continue"/>
            <w:tcBorders>
              <w:tl2br w:val="nil"/>
              <w:tr2bl w:val="nil"/>
            </w:tcBorders>
            <w:vAlign w:val="center"/>
          </w:tcPr>
          <w:p w14:paraId="6AFE5F6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12926D8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一般情节</w:t>
            </w:r>
          </w:p>
        </w:tc>
        <w:tc>
          <w:tcPr>
            <w:tcW w:w="3437" w:type="dxa"/>
            <w:gridSpan w:val="2"/>
            <w:tcBorders>
              <w:tl2br w:val="nil"/>
              <w:tr2bl w:val="nil"/>
            </w:tcBorders>
            <w:tcMar>
              <w:top w:w="15" w:type="dxa"/>
              <w:left w:w="15" w:type="dxa"/>
              <w:bottom w:w="15" w:type="dxa"/>
              <w:right w:w="15" w:type="dxa"/>
            </w:tcMar>
            <w:vAlign w:val="center"/>
          </w:tcPr>
          <w:p w14:paraId="50B11A1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不具有从轻、</w:t>
            </w:r>
            <w:r>
              <w:rPr>
                <w:rFonts w:hint="eastAsia" w:ascii="仿宋_GB2312" w:hAnsi="宋体" w:eastAsia="仿宋_GB2312" w:cs="宋体"/>
                <w:color w:val="auto"/>
                <w:kern w:val="0"/>
                <w:sz w:val="13"/>
                <w:szCs w:val="13"/>
                <w:highlight w:val="none"/>
                <w:lang w:eastAsia="zh-CN"/>
              </w:rPr>
              <w:t>从重情节</w:t>
            </w:r>
            <w:r>
              <w:rPr>
                <w:rFonts w:hint="eastAsia" w:ascii="仿宋_GB2312" w:hAnsi="宋体" w:eastAsia="仿宋_GB2312" w:cs="宋体"/>
                <w:color w:val="auto"/>
                <w:kern w:val="0"/>
                <w:sz w:val="13"/>
                <w:szCs w:val="13"/>
                <w:highlight w:val="none"/>
              </w:rPr>
              <w:t>的。</w:t>
            </w:r>
          </w:p>
        </w:tc>
        <w:tc>
          <w:tcPr>
            <w:tcW w:w="3058" w:type="dxa"/>
            <w:tcBorders>
              <w:tl2br w:val="nil"/>
              <w:tr2bl w:val="nil"/>
            </w:tcBorders>
            <w:tcMar>
              <w:top w:w="15" w:type="dxa"/>
              <w:left w:w="15" w:type="dxa"/>
              <w:bottom w:w="15" w:type="dxa"/>
              <w:right w:w="15" w:type="dxa"/>
            </w:tcMar>
            <w:vAlign w:val="center"/>
          </w:tcPr>
          <w:p w14:paraId="558C7D0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责令限期改正，给予警告，可以并处工程造价1%以上1.5%以下的罚款。</w:t>
            </w:r>
          </w:p>
        </w:tc>
      </w:tr>
      <w:tr w14:paraId="435ECFC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325" w:hRule="atLeast"/>
          <w:jc w:val="center"/>
        </w:trPr>
        <w:tc>
          <w:tcPr>
            <w:tcW w:w="428" w:type="dxa"/>
            <w:vMerge w:val="continue"/>
            <w:tcBorders>
              <w:tl2br w:val="nil"/>
              <w:tr2bl w:val="nil"/>
            </w:tcBorders>
            <w:vAlign w:val="center"/>
          </w:tcPr>
          <w:p w14:paraId="69D06BE5">
            <w:pPr>
              <w:pStyle w:val="37"/>
              <w:keepNext w:val="0"/>
              <w:keepLines w:val="0"/>
              <w:pageBreakBefore w:val="0"/>
              <w:widowControl/>
              <w:numPr>
                <w:ilvl w:val="0"/>
                <w:numId w:val="12"/>
              </w:numPr>
              <w:kinsoku/>
              <w:overflowPunct/>
              <w:topLinePunct w:val="0"/>
              <w:autoSpaceDE/>
              <w:autoSpaceDN/>
              <w:bidi w:val="0"/>
              <w:adjustRightInd/>
              <w:snapToGrid/>
              <w:spacing w:beforeAutospacing="0" w:afterAutospacing="0" w:line="260" w:lineRule="exact"/>
              <w:ind w:left="638" w:leftChars="88" w:right="0" w:rightChars="0" w:hanging="453" w:hangingChars="349"/>
              <w:jc w:val="center"/>
              <w:rPr>
                <w:rFonts w:ascii="仿宋_GB2312" w:hAnsi="宋体" w:eastAsia="仿宋_GB2312" w:cs="宋体"/>
                <w:color w:val="auto"/>
                <w:sz w:val="13"/>
                <w:szCs w:val="13"/>
                <w:highlight w:val="none"/>
              </w:rPr>
            </w:pPr>
          </w:p>
        </w:tc>
        <w:tc>
          <w:tcPr>
            <w:tcW w:w="1550" w:type="dxa"/>
            <w:vMerge w:val="continue"/>
            <w:tcBorders>
              <w:tl2br w:val="nil"/>
              <w:tr2bl w:val="nil"/>
            </w:tcBorders>
            <w:vAlign w:val="center"/>
          </w:tcPr>
          <w:p w14:paraId="379B958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sz w:val="13"/>
                <w:szCs w:val="13"/>
                <w:highlight w:val="none"/>
              </w:rPr>
            </w:pPr>
          </w:p>
        </w:tc>
        <w:tc>
          <w:tcPr>
            <w:tcW w:w="4820" w:type="dxa"/>
            <w:vMerge w:val="continue"/>
            <w:tcBorders>
              <w:tl2br w:val="nil"/>
              <w:tr2bl w:val="nil"/>
            </w:tcBorders>
            <w:vAlign w:val="center"/>
          </w:tcPr>
          <w:p w14:paraId="526F3A9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5072151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从重情节</w:t>
            </w:r>
          </w:p>
        </w:tc>
        <w:tc>
          <w:tcPr>
            <w:tcW w:w="3437" w:type="dxa"/>
            <w:gridSpan w:val="2"/>
            <w:tcBorders>
              <w:tl2br w:val="nil"/>
              <w:tr2bl w:val="nil"/>
            </w:tcBorders>
            <w:tcMar>
              <w:top w:w="15" w:type="dxa"/>
              <w:left w:w="15" w:type="dxa"/>
              <w:bottom w:w="15" w:type="dxa"/>
              <w:right w:w="15" w:type="dxa"/>
            </w:tcMar>
            <w:vAlign w:val="center"/>
          </w:tcPr>
          <w:p w14:paraId="72691B9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经责令停止违法行为后，继续实施违法行为的</w:t>
            </w:r>
            <w:r>
              <w:rPr>
                <w:rFonts w:hint="eastAsia" w:ascii="仿宋_GB2312" w:hAnsi="宋体" w:eastAsia="仿宋_GB2312" w:cs="宋体"/>
                <w:color w:val="auto"/>
                <w:kern w:val="0"/>
                <w:sz w:val="13"/>
                <w:szCs w:val="13"/>
                <w:highlight w:val="none"/>
                <w:lang w:eastAsia="zh-CN"/>
              </w:rPr>
              <w:t>，</w:t>
            </w:r>
            <w:r>
              <w:rPr>
                <w:rFonts w:hint="eastAsia" w:ascii="仿宋_GB2312" w:hAnsi="宋体" w:eastAsia="仿宋_GB2312" w:cs="宋体"/>
                <w:color w:val="auto"/>
                <w:kern w:val="0"/>
                <w:sz w:val="13"/>
                <w:szCs w:val="13"/>
                <w:highlight w:val="none"/>
                <w:lang w:val="en-US" w:eastAsia="zh-CN"/>
              </w:rPr>
              <w:t>或</w:t>
            </w:r>
            <w:r>
              <w:rPr>
                <w:rFonts w:hint="eastAsia" w:ascii="仿宋_GB2312" w:hAnsi="宋体" w:eastAsia="仿宋_GB2312" w:cs="宋体"/>
                <w:color w:val="auto"/>
                <w:kern w:val="0"/>
                <w:sz w:val="13"/>
                <w:szCs w:val="13"/>
                <w:highlight w:val="none"/>
              </w:rPr>
              <w:t>曾因实施该违法行为被查处，再次实施该违法行为的</w:t>
            </w:r>
            <w:r>
              <w:rPr>
                <w:rFonts w:hint="eastAsia" w:ascii="仿宋_GB2312" w:hAnsi="宋体" w:eastAsia="仿宋_GB2312" w:cs="宋体"/>
                <w:color w:val="auto"/>
                <w:kern w:val="0"/>
                <w:sz w:val="13"/>
                <w:szCs w:val="13"/>
                <w:highlight w:val="none"/>
                <w:lang w:eastAsia="zh-CN"/>
              </w:rPr>
              <w:t>，</w:t>
            </w:r>
            <w:r>
              <w:rPr>
                <w:rFonts w:hint="eastAsia" w:ascii="仿宋_GB2312" w:hAnsi="宋体" w:eastAsia="仿宋_GB2312" w:cs="宋体"/>
                <w:color w:val="auto"/>
                <w:kern w:val="0"/>
                <w:sz w:val="13"/>
                <w:szCs w:val="13"/>
                <w:highlight w:val="none"/>
                <w:lang w:val="en-US" w:eastAsia="zh-CN"/>
              </w:rPr>
              <w:t>或</w:t>
            </w:r>
            <w:r>
              <w:rPr>
                <w:rFonts w:hint="eastAsia" w:ascii="仿宋_GB2312" w:hAnsi="宋体" w:eastAsia="仿宋_GB2312" w:cs="宋体"/>
                <w:color w:val="auto"/>
                <w:kern w:val="0"/>
                <w:sz w:val="13"/>
                <w:szCs w:val="13"/>
                <w:highlight w:val="none"/>
              </w:rPr>
              <w:t>造成重大社会影响的。</w:t>
            </w:r>
          </w:p>
        </w:tc>
        <w:tc>
          <w:tcPr>
            <w:tcW w:w="3058" w:type="dxa"/>
            <w:tcBorders>
              <w:tl2br w:val="nil"/>
              <w:tr2bl w:val="nil"/>
            </w:tcBorders>
            <w:tcMar>
              <w:top w:w="15" w:type="dxa"/>
              <w:left w:w="15" w:type="dxa"/>
              <w:bottom w:w="15" w:type="dxa"/>
              <w:right w:w="15" w:type="dxa"/>
            </w:tcMar>
            <w:vAlign w:val="center"/>
          </w:tcPr>
          <w:p w14:paraId="1CE5CD1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责令限期改正，给予警告，可以并处工程造价1.5%以上2%以下的罚款。</w:t>
            </w:r>
          </w:p>
        </w:tc>
      </w:tr>
      <w:tr w14:paraId="0472F92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514" w:hRule="atLeast"/>
          <w:jc w:val="center"/>
        </w:trPr>
        <w:tc>
          <w:tcPr>
            <w:tcW w:w="428" w:type="dxa"/>
            <w:vMerge w:val="restart"/>
            <w:tcBorders>
              <w:tl2br w:val="nil"/>
              <w:tr2bl w:val="nil"/>
            </w:tcBorders>
            <w:vAlign w:val="center"/>
          </w:tcPr>
          <w:p w14:paraId="44491E9C">
            <w:pPr>
              <w:keepNext w:val="0"/>
              <w:keepLines w:val="0"/>
              <w:pageBreakBefore w:val="0"/>
              <w:widowControl/>
              <w:numPr>
                <w:ilvl w:val="0"/>
                <w:numId w:val="11"/>
              </w:numPr>
              <w:suppressLineNumbers w:val="0"/>
              <w:tabs>
                <w:tab w:val="clear" w:pos="397"/>
              </w:tabs>
              <w:kinsoku/>
              <w:overflowPunct/>
              <w:topLinePunct w:val="0"/>
              <w:autoSpaceDE/>
              <w:autoSpaceDN/>
              <w:bidi w:val="0"/>
              <w:adjustRightInd/>
              <w:snapToGrid/>
              <w:spacing w:beforeAutospacing="0" w:afterAutospacing="0" w:line="260" w:lineRule="exact"/>
              <w:ind w:left="638" w:leftChars="88" w:right="0" w:rightChars="0" w:hanging="453" w:hangingChars="349"/>
              <w:jc w:val="center"/>
              <w:textAlignment w:val="center"/>
              <w:rPr>
                <w:rFonts w:hint="default" w:ascii="仿宋_GB2312" w:hAnsi="宋体" w:eastAsia="仿宋_GB2312" w:cs="宋体"/>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318</w:t>
            </w:r>
          </w:p>
        </w:tc>
        <w:tc>
          <w:tcPr>
            <w:tcW w:w="1550" w:type="dxa"/>
            <w:vMerge w:val="restart"/>
            <w:tcBorders>
              <w:tl2br w:val="nil"/>
              <w:tr2bl w:val="nil"/>
            </w:tcBorders>
            <w:vAlign w:val="center"/>
          </w:tcPr>
          <w:p w14:paraId="382EE76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hint="eastAsia" w:ascii="仿宋_GB2312" w:hAnsi="宋体" w:eastAsia="仿宋_GB2312" w:cs="宋体"/>
                <w:color w:val="auto"/>
                <w:kern w:val="0"/>
                <w:sz w:val="13"/>
                <w:szCs w:val="13"/>
                <w:highlight w:val="none"/>
                <w:lang w:val="en-US" w:eastAsia="zh-CN"/>
              </w:rPr>
            </w:pPr>
            <w:r>
              <w:rPr>
                <w:rFonts w:hint="eastAsia" w:ascii="仿宋_GB2312" w:hAnsi="宋体" w:eastAsia="仿宋_GB2312" w:cs="宋体"/>
                <w:color w:val="auto"/>
                <w:kern w:val="0"/>
                <w:sz w:val="13"/>
                <w:szCs w:val="13"/>
                <w:highlight w:val="none"/>
                <w:lang w:val="en-US" w:eastAsia="zh-CN"/>
              </w:rPr>
              <w:t>存在下列行为之一的：</w:t>
            </w:r>
          </w:p>
          <w:p w14:paraId="7443C4A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hint="eastAsia" w:ascii="仿宋_GB2312" w:hAnsi="宋体" w:eastAsia="仿宋_GB2312" w:cs="宋体"/>
                <w:color w:val="auto"/>
                <w:kern w:val="0"/>
                <w:sz w:val="13"/>
                <w:szCs w:val="13"/>
                <w:highlight w:val="none"/>
                <w:lang w:val="en-US" w:eastAsia="zh-CN"/>
              </w:rPr>
            </w:pPr>
            <w:r>
              <w:rPr>
                <w:rFonts w:hint="eastAsia" w:ascii="仿宋_GB2312" w:hAnsi="宋体" w:eastAsia="仿宋_GB2312" w:cs="宋体"/>
                <w:color w:val="auto"/>
                <w:kern w:val="0"/>
                <w:sz w:val="13"/>
                <w:szCs w:val="13"/>
                <w:highlight w:val="none"/>
                <w:lang w:val="en-US" w:eastAsia="zh-CN"/>
              </w:rPr>
              <w:t>　　（一）擅自占用或者挖掘城市道路；</w:t>
            </w:r>
          </w:p>
          <w:p w14:paraId="21A2650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hint="eastAsia" w:ascii="仿宋_GB2312" w:hAnsi="宋体" w:eastAsia="仿宋_GB2312" w:cs="宋体"/>
                <w:color w:val="auto"/>
                <w:kern w:val="0"/>
                <w:sz w:val="13"/>
                <w:szCs w:val="13"/>
                <w:highlight w:val="none"/>
                <w:lang w:val="en-US" w:eastAsia="zh-CN"/>
              </w:rPr>
            </w:pPr>
            <w:r>
              <w:rPr>
                <w:rFonts w:hint="eastAsia" w:ascii="仿宋_GB2312" w:hAnsi="宋体" w:eastAsia="仿宋_GB2312" w:cs="宋体"/>
                <w:color w:val="auto"/>
                <w:kern w:val="0"/>
                <w:sz w:val="13"/>
                <w:szCs w:val="13"/>
                <w:highlight w:val="none"/>
                <w:lang w:val="en-US" w:eastAsia="zh-CN"/>
              </w:rPr>
              <w:t>　　（二）履带车、铁轮车或者超重、超高、超长车辆擅自在城市道路上行驶；</w:t>
            </w:r>
          </w:p>
          <w:p w14:paraId="5C16D5F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hint="eastAsia" w:ascii="仿宋_GB2312" w:hAnsi="宋体" w:eastAsia="仿宋_GB2312" w:cs="宋体"/>
                <w:color w:val="auto"/>
                <w:kern w:val="0"/>
                <w:sz w:val="13"/>
                <w:szCs w:val="13"/>
                <w:highlight w:val="none"/>
                <w:lang w:val="en-US" w:eastAsia="zh-CN"/>
              </w:rPr>
            </w:pPr>
            <w:r>
              <w:rPr>
                <w:rFonts w:hint="eastAsia" w:ascii="仿宋_GB2312" w:hAnsi="宋体" w:eastAsia="仿宋_GB2312" w:cs="宋体"/>
                <w:color w:val="auto"/>
                <w:kern w:val="0"/>
                <w:sz w:val="13"/>
                <w:szCs w:val="13"/>
                <w:highlight w:val="none"/>
                <w:lang w:val="en-US" w:eastAsia="zh-CN"/>
              </w:rPr>
              <w:t>　　（三）机动车在桥梁或者非指定的城市道路上试刹车；</w:t>
            </w:r>
          </w:p>
          <w:p w14:paraId="0B96CB3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hint="eastAsia" w:ascii="仿宋_GB2312" w:hAnsi="宋体" w:eastAsia="仿宋_GB2312" w:cs="宋体"/>
                <w:color w:val="auto"/>
                <w:kern w:val="0"/>
                <w:sz w:val="13"/>
                <w:szCs w:val="13"/>
                <w:highlight w:val="none"/>
                <w:lang w:val="en-US" w:eastAsia="zh-CN"/>
              </w:rPr>
            </w:pPr>
            <w:r>
              <w:rPr>
                <w:rFonts w:hint="eastAsia" w:ascii="仿宋_GB2312" w:hAnsi="宋体" w:eastAsia="仿宋_GB2312" w:cs="宋体"/>
                <w:color w:val="auto"/>
                <w:kern w:val="0"/>
                <w:sz w:val="13"/>
                <w:szCs w:val="13"/>
                <w:highlight w:val="none"/>
                <w:lang w:val="en-US" w:eastAsia="zh-CN"/>
              </w:rPr>
              <w:t>　　（四）擅自在城市道路上建设建筑物、构筑物；</w:t>
            </w:r>
          </w:p>
          <w:p w14:paraId="614FBCC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hint="eastAsia" w:ascii="仿宋_GB2312" w:hAnsi="宋体" w:eastAsia="仿宋_GB2312" w:cs="宋体"/>
                <w:color w:val="auto"/>
                <w:kern w:val="0"/>
                <w:sz w:val="13"/>
                <w:szCs w:val="13"/>
                <w:highlight w:val="none"/>
                <w:lang w:val="en-US" w:eastAsia="zh-CN"/>
              </w:rPr>
            </w:pPr>
            <w:r>
              <w:rPr>
                <w:rFonts w:hint="eastAsia" w:ascii="仿宋_GB2312" w:hAnsi="宋体" w:eastAsia="仿宋_GB2312" w:cs="宋体"/>
                <w:color w:val="auto"/>
                <w:kern w:val="0"/>
                <w:sz w:val="13"/>
                <w:szCs w:val="13"/>
                <w:highlight w:val="none"/>
                <w:lang w:val="en-US" w:eastAsia="zh-CN"/>
              </w:rPr>
              <w:t>　　（五）在桥梁上架设压力在4公斤/平方厘米、10千伏以上的高压电力线和其他易燃易爆管线；</w:t>
            </w:r>
          </w:p>
          <w:p w14:paraId="69E4E30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hint="eastAsia" w:ascii="仿宋_GB2312" w:hAnsi="宋体" w:eastAsia="仿宋_GB2312" w:cs="宋体"/>
                <w:color w:val="auto"/>
                <w:kern w:val="0"/>
                <w:sz w:val="13"/>
                <w:szCs w:val="13"/>
                <w:highlight w:val="none"/>
                <w:lang w:val="en-US" w:eastAsia="zh-CN"/>
              </w:rPr>
            </w:pPr>
            <w:r>
              <w:rPr>
                <w:rFonts w:hint="eastAsia" w:ascii="仿宋_GB2312" w:hAnsi="宋体" w:eastAsia="仿宋_GB2312" w:cs="宋体"/>
                <w:color w:val="auto"/>
                <w:kern w:val="0"/>
                <w:sz w:val="13"/>
                <w:szCs w:val="13"/>
                <w:highlight w:val="none"/>
                <w:lang w:val="en-US" w:eastAsia="zh-CN"/>
              </w:rPr>
              <w:t>　　（六）擅自在桥梁或者路灯设施上设置广告牌或者其他挂浮物；</w:t>
            </w:r>
          </w:p>
          <w:p w14:paraId="7C57185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lang w:val="en-US" w:eastAsia="zh-CN"/>
              </w:rPr>
              <w:t>　　（七）其他损害、侵占城市道路的行为。</w:t>
            </w:r>
          </w:p>
        </w:tc>
        <w:tc>
          <w:tcPr>
            <w:tcW w:w="4820" w:type="dxa"/>
            <w:vMerge w:val="restart"/>
            <w:tcBorders>
              <w:tl2br w:val="nil"/>
              <w:tr2bl w:val="nil"/>
            </w:tcBorders>
            <w:vAlign w:val="center"/>
          </w:tcPr>
          <w:p w14:paraId="1A94F43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hint="eastAsia" w:ascii="仿宋_GB2312" w:hAnsi="宋体" w:eastAsia="仿宋_GB2312" w:cs="宋体"/>
                <w:color w:val="auto"/>
                <w:kern w:val="0"/>
                <w:sz w:val="13"/>
                <w:szCs w:val="13"/>
                <w:highlight w:val="none"/>
              </w:rPr>
            </w:pPr>
            <w:r>
              <w:rPr>
                <w:rFonts w:hint="eastAsia" w:ascii="仿宋_GB2312" w:hAnsi="宋体" w:eastAsia="仿宋_GB2312" w:cs="宋体"/>
                <w:color w:val="auto"/>
                <w:kern w:val="0"/>
                <w:sz w:val="13"/>
                <w:szCs w:val="13"/>
                <w:highlight w:val="none"/>
              </w:rPr>
              <w:t>《城市道路管理条例》</w:t>
            </w:r>
            <w:r>
              <w:rPr>
                <w:rFonts w:hint="eastAsia" w:ascii="仿宋_GB2312" w:hAnsi="宋体" w:eastAsia="仿宋_GB2312" w:cs="宋体"/>
                <w:b/>
                <w:bCs/>
                <w:color w:val="auto"/>
                <w:kern w:val="0"/>
                <w:sz w:val="13"/>
                <w:szCs w:val="13"/>
                <w:highlight w:val="none"/>
              </w:rPr>
              <w:t>第四十二条</w:t>
            </w:r>
            <w:r>
              <w:rPr>
                <w:rFonts w:hint="eastAsia" w:ascii="仿宋_GB2312" w:hAnsi="宋体" w:eastAsia="仿宋_GB2312" w:cs="宋体"/>
                <w:b/>
                <w:bCs/>
                <w:color w:val="auto"/>
                <w:kern w:val="0"/>
                <w:sz w:val="13"/>
                <w:szCs w:val="13"/>
                <w:highlight w:val="none"/>
                <w:lang w:eastAsia="zh-CN"/>
              </w:rPr>
              <w:t>：</w:t>
            </w:r>
            <w:r>
              <w:rPr>
                <w:rFonts w:hint="eastAsia" w:ascii="仿宋_GB2312" w:hAnsi="宋体" w:eastAsia="仿宋_GB2312" w:cs="宋体"/>
                <w:color w:val="auto"/>
                <w:kern w:val="0"/>
                <w:sz w:val="13"/>
                <w:szCs w:val="13"/>
                <w:highlight w:val="none"/>
              </w:rPr>
              <w:t>违反本条例第二十七条规定，或者有下列行为之一的，由市政工程行政主管部门或者其他有关部门责令限期改正，可以处以2万元以下的罚款；造成损失的，应当依法承担赔偿责任：</w:t>
            </w:r>
          </w:p>
          <w:p w14:paraId="59B1CB1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hint="default" w:ascii="仿宋_GB2312" w:hAnsi="宋体" w:eastAsia="仿宋_GB2312" w:cs="宋体"/>
                <w:color w:val="auto"/>
                <w:kern w:val="0"/>
                <w:sz w:val="13"/>
                <w:szCs w:val="13"/>
                <w:highlight w:val="none"/>
                <w:lang w:val="en-US" w:eastAsia="zh-CN"/>
              </w:rPr>
            </w:pPr>
          </w:p>
          <w:p w14:paraId="505130E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hint="eastAsia" w:ascii="仿宋_GB2312" w:hAnsi="宋体" w:eastAsia="仿宋_GB2312" w:cs="宋体"/>
                <w:color w:val="auto"/>
                <w:kern w:val="0"/>
                <w:sz w:val="13"/>
                <w:szCs w:val="13"/>
                <w:highlight w:val="none"/>
                <w:lang w:val="en-US" w:eastAsia="zh-CN"/>
              </w:rPr>
            </w:pPr>
            <w:r>
              <w:rPr>
                <w:rFonts w:hint="eastAsia" w:ascii="仿宋_GB2312" w:hAnsi="宋体" w:eastAsia="仿宋_GB2312" w:cs="宋体"/>
                <w:b/>
                <w:bCs/>
                <w:color w:val="auto"/>
                <w:kern w:val="0"/>
                <w:sz w:val="13"/>
                <w:szCs w:val="13"/>
                <w:highlight w:val="none"/>
                <w:lang w:val="en-US" w:eastAsia="zh-CN"/>
              </w:rPr>
              <w:t>第二十七条</w:t>
            </w:r>
            <w:r>
              <w:rPr>
                <w:rFonts w:hint="eastAsia" w:ascii="仿宋_GB2312" w:hAnsi="宋体" w:eastAsia="仿宋_GB2312" w:cs="宋体"/>
                <w:color w:val="auto"/>
                <w:kern w:val="0"/>
                <w:sz w:val="13"/>
                <w:szCs w:val="13"/>
                <w:highlight w:val="none"/>
                <w:lang w:val="en-US" w:eastAsia="zh-CN"/>
              </w:rPr>
              <w:t>　城市道路范围内禁止下列行为：</w:t>
            </w:r>
          </w:p>
          <w:p w14:paraId="0E5F300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hint="eastAsia" w:ascii="仿宋_GB2312" w:hAnsi="宋体" w:eastAsia="仿宋_GB2312" w:cs="宋体"/>
                <w:color w:val="auto"/>
                <w:kern w:val="0"/>
                <w:sz w:val="13"/>
                <w:szCs w:val="13"/>
                <w:highlight w:val="none"/>
                <w:lang w:val="en-US" w:eastAsia="zh-CN"/>
              </w:rPr>
            </w:pPr>
            <w:r>
              <w:rPr>
                <w:rFonts w:hint="eastAsia" w:ascii="仿宋_GB2312" w:hAnsi="宋体" w:eastAsia="仿宋_GB2312" w:cs="宋体"/>
                <w:color w:val="auto"/>
                <w:kern w:val="0"/>
                <w:sz w:val="13"/>
                <w:szCs w:val="13"/>
                <w:highlight w:val="none"/>
                <w:lang w:val="en-US" w:eastAsia="zh-CN"/>
              </w:rPr>
              <w:t>　　（一）擅自占用或者挖掘城市道路；</w:t>
            </w:r>
          </w:p>
          <w:p w14:paraId="08A706D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hint="eastAsia" w:ascii="仿宋_GB2312" w:hAnsi="宋体" w:eastAsia="仿宋_GB2312" w:cs="宋体"/>
                <w:color w:val="auto"/>
                <w:kern w:val="0"/>
                <w:sz w:val="13"/>
                <w:szCs w:val="13"/>
                <w:highlight w:val="none"/>
                <w:lang w:val="en-US" w:eastAsia="zh-CN"/>
              </w:rPr>
            </w:pPr>
            <w:r>
              <w:rPr>
                <w:rFonts w:hint="eastAsia" w:ascii="仿宋_GB2312" w:hAnsi="宋体" w:eastAsia="仿宋_GB2312" w:cs="宋体"/>
                <w:color w:val="auto"/>
                <w:kern w:val="0"/>
                <w:sz w:val="13"/>
                <w:szCs w:val="13"/>
                <w:highlight w:val="none"/>
                <w:lang w:val="en-US" w:eastAsia="zh-CN"/>
              </w:rPr>
              <w:t>　　（二）履带车、铁轮车或者超重、超高、超长车辆擅自在城市道路上行驶；</w:t>
            </w:r>
          </w:p>
          <w:p w14:paraId="2A366BD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hint="eastAsia" w:ascii="仿宋_GB2312" w:hAnsi="宋体" w:eastAsia="仿宋_GB2312" w:cs="宋体"/>
                <w:color w:val="auto"/>
                <w:kern w:val="0"/>
                <w:sz w:val="13"/>
                <w:szCs w:val="13"/>
                <w:highlight w:val="none"/>
                <w:lang w:val="en-US" w:eastAsia="zh-CN"/>
              </w:rPr>
            </w:pPr>
            <w:r>
              <w:rPr>
                <w:rFonts w:hint="eastAsia" w:ascii="仿宋_GB2312" w:hAnsi="宋体" w:eastAsia="仿宋_GB2312" w:cs="宋体"/>
                <w:color w:val="auto"/>
                <w:kern w:val="0"/>
                <w:sz w:val="13"/>
                <w:szCs w:val="13"/>
                <w:highlight w:val="none"/>
                <w:lang w:val="en-US" w:eastAsia="zh-CN"/>
              </w:rPr>
              <w:t>　　（三）机动车在桥梁或者非指定的城市道路上试刹车；</w:t>
            </w:r>
          </w:p>
          <w:p w14:paraId="15F035C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hint="eastAsia" w:ascii="仿宋_GB2312" w:hAnsi="宋体" w:eastAsia="仿宋_GB2312" w:cs="宋体"/>
                <w:color w:val="auto"/>
                <w:kern w:val="0"/>
                <w:sz w:val="13"/>
                <w:szCs w:val="13"/>
                <w:highlight w:val="none"/>
                <w:lang w:val="en-US" w:eastAsia="zh-CN"/>
              </w:rPr>
            </w:pPr>
            <w:r>
              <w:rPr>
                <w:rFonts w:hint="eastAsia" w:ascii="仿宋_GB2312" w:hAnsi="宋体" w:eastAsia="仿宋_GB2312" w:cs="宋体"/>
                <w:color w:val="auto"/>
                <w:kern w:val="0"/>
                <w:sz w:val="13"/>
                <w:szCs w:val="13"/>
                <w:highlight w:val="none"/>
                <w:lang w:val="en-US" w:eastAsia="zh-CN"/>
              </w:rPr>
              <w:t>　　（四）擅自在城市道路上建设建筑物、构筑物；</w:t>
            </w:r>
          </w:p>
          <w:p w14:paraId="30AEB48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hint="eastAsia" w:ascii="仿宋_GB2312" w:hAnsi="宋体" w:eastAsia="仿宋_GB2312" w:cs="宋体"/>
                <w:color w:val="auto"/>
                <w:kern w:val="0"/>
                <w:sz w:val="13"/>
                <w:szCs w:val="13"/>
                <w:highlight w:val="none"/>
                <w:lang w:val="en-US" w:eastAsia="zh-CN"/>
              </w:rPr>
            </w:pPr>
            <w:r>
              <w:rPr>
                <w:rFonts w:hint="eastAsia" w:ascii="仿宋_GB2312" w:hAnsi="宋体" w:eastAsia="仿宋_GB2312" w:cs="宋体"/>
                <w:color w:val="auto"/>
                <w:kern w:val="0"/>
                <w:sz w:val="13"/>
                <w:szCs w:val="13"/>
                <w:highlight w:val="none"/>
                <w:lang w:val="en-US" w:eastAsia="zh-CN"/>
              </w:rPr>
              <w:t>　　（五）在桥梁上架设压力在4公斤/平方厘米、10千伏以上的高压电力线和其他易燃易爆管线；</w:t>
            </w:r>
          </w:p>
          <w:p w14:paraId="41C8863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hint="eastAsia" w:ascii="仿宋_GB2312" w:hAnsi="宋体" w:eastAsia="仿宋_GB2312" w:cs="宋体"/>
                <w:color w:val="auto"/>
                <w:kern w:val="0"/>
                <w:sz w:val="13"/>
                <w:szCs w:val="13"/>
                <w:highlight w:val="none"/>
                <w:lang w:val="en-US" w:eastAsia="zh-CN"/>
              </w:rPr>
            </w:pPr>
            <w:r>
              <w:rPr>
                <w:rFonts w:hint="eastAsia" w:ascii="仿宋_GB2312" w:hAnsi="宋体" w:eastAsia="仿宋_GB2312" w:cs="宋体"/>
                <w:color w:val="auto"/>
                <w:kern w:val="0"/>
                <w:sz w:val="13"/>
                <w:szCs w:val="13"/>
                <w:highlight w:val="none"/>
                <w:lang w:val="en-US" w:eastAsia="zh-CN"/>
              </w:rPr>
              <w:t>　　（六）擅自在桥梁或者路灯设施上设置广告牌或者其他挂浮物；</w:t>
            </w:r>
          </w:p>
          <w:p w14:paraId="6D812D1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hint="default" w:ascii="仿宋_GB2312" w:hAnsi="宋体" w:eastAsia="仿宋_GB2312" w:cs="宋体"/>
                <w:color w:val="auto"/>
                <w:kern w:val="0"/>
                <w:sz w:val="13"/>
                <w:szCs w:val="13"/>
                <w:highlight w:val="none"/>
                <w:lang w:val="en-US" w:eastAsia="zh-CN"/>
              </w:rPr>
            </w:pPr>
            <w:r>
              <w:rPr>
                <w:rFonts w:hint="eastAsia" w:ascii="仿宋_GB2312" w:hAnsi="宋体" w:eastAsia="仿宋_GB2312" w:cs="宋体"/>
                <w:color w:val="auto"/>
                <w:kern w:val="0"/>
                <w:sz w:val="13"/>
                <w:szCs w:val="13"/>
                <w:highlight w:val="none"/>
                <w:lang w:val="en-US" w:eastAsia="zh-CN"/>
              </w:rPr>
              <w:t>　　（七）其他损害、侵占城市道路的行为。</w:t>
            </w:r>
          </w:p>
        </w:tc>
        <w:tc>
          <w:tcPr>
            <w:tcW w:w="823" w:type="dxa"/>
            <w:tcBorders>
              <w:tl2br w:val="nil"/>
              <w:tr2bl w:val="nil"/>
            </w:tcBorders>
            <w:tcMar>
              <w:top w:w="15" w:type="dxa"/>
              <w:left w:w="15" w:type="dxa"/>
              <w:bottom w:w="15" w:type="dxa"/>
              <w:right w:w="15" w:type="dxa"/>
            </w:tcMar>
            <w:vAlign w:val="center"/>
          </w:tcPr>
          <w:p w14:paraId="6329F3D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从轻情节</w:t>
            </w:r>
          </w:p>
        </w:tc>
        <w:tc>
          <w:tcPr>
            <w:tcW w:w="3437" w:type="dxa"/>
            <w:gridSpan w:val="2"/>
            <w:tcBorders>
              <w:tl2br w:val="nil"/>
              <w:tr2bl w:val="nil"/>
            </w:tcBorders>
            <w:tcMar>
              <w:top w:w="15" w:type="dxa"/>
              <w:left w:w="15" w:type="dxa"/>
              <w:bottom w:w="15" w:type="dxa"/>
              <w:right w:w="15" w:type="dxa"/>
            </w:tcMar>
            <w:vAlign w:val="center"/>
          </w:tcPr>
          <w:p w14:paraId="3667F94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初次违法，危害后果轻微，积极采取改正措施消除影响的。</w:t>
            </w:r>
          </w:p>
        </w:tc>
        <w:tc>
          <w:tcPr>
            <w:tcW w:w="3058" w:type="dxa"/>
            <w:tcBorders>
              <w:tl2br w:val="nil"/>
              <w:tr2bl w:val="nil"/>
            </w:tcBorders>
            <w:tcMar>
              <w:top w:w="15" w:type="dxa"/>
              <w:left w:w="15" w:type="dxa"/>
              <w:bottom w:w="15" w:type="dxa"/>
              <w:right w:w="15" w:type="dxa"/>
            </w:tcMar>
            <w:vAlign w:val="center"/>
          </w:tcPr>
          <w:p w14:paraId="7F8B1D3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责令限期改正，可以处以5千元以下的罚款。</w:t>
            </w:r>
          </w:p>
        </w:tc>
      </w:tr>
      <w:tr w14:paraId="5448650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482" w:hRule="atLeast"/>
          <w:jc w:val="center"/>
        </w:trPr>
        <w:tc>
          <w:tcPr>
            <w:tcW w:w="428" w:type="dxa"/>
            <w:vMerge w:val="continue"/>
            <w:tcBorders>
              <w:tl2br w:val="nil"/>
              <w:tr2bl w:val="nil"/>
            </w:tcBorders>
            <w:vAlign w:val="center"/>
          </w:tcPr>
          <w:p w14:paraId="2CB6A9C2">
            <w:pPr>
              <w:pStyle w:val="37"/>
              <w:keepNext w:val="0"/>
              <w:keepLines w:val="0"/>
              <w:pageBreakBefore w:val="0"/>
              <w:widowControl/>
              <w:numPr>
                <w:ilvl w:val="0"/>
                <w:numId w:val="12"/>
              </w:numPr>
              <w:kinsoku/>
              <w:overflowPunct/>
              <w:topLinePunct w:val="0"/>
              <w:autoSpaceDE/>
              <w:autoSpaceDN/>
              <w:bidi w:val="0"/>
              <w:adjustRightInd/>
              <w:snapToGrid/>
              <w:spacing w:beforeAutospacing="0" w:afterAutospacing="0" w:line="260" w:lineRule="exact"/>
              <w:ind w:left="638" w:leftChars="88" w:right="0" w:rightChars="0" w:hanging="453" w:hangingChars="349"/>
              <w:jc w:val="center"/>
              <w:textAlignment w:val="center"/>
              <w:rPr>
                <w:rFonts w:ascii="仿宋_GB2312" w:hAnsi="宋体" w:eastAsia="仿宋_GB2312" w:cs="宋体"/>
                <w:color w:val="auto"/>
                <w:sz w:val="13"/>
                <w:szCs w:val="13"/>
                <w:highlight w:val="none"/>
              </w:rPr>
            </w:pPr>
          </w:p>
        </w:tc>
        <w:tc>
          <w:tcPr>
            <w:tcW w:w="1550" w:type="dxa"/>
            <w:vMerge w:val="continue"/>
            <w:tcBorders>
              <w:tl2br w:val="nil"/>
              <w:tr2bl w:val="nil"/>
            </w:tcBorders>
            <w:vAlign w:val="center"/>
          </w:tcPr>
          <w:p w14:paraId="603DC82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sz w:val="13"/>
                <w:szCs w:val="13"/>
                <w:highlight w:val="none"/>
              </w:rPr>
            </w:pPr>
          </w:p>
        </w:tc>
        <w:tc>
          <w:tcPr>
            <w:tcW w:w="4820" w:type="dxa"/>
            <w:vMerge w:val="continue"/>
            <w:tcBorders>
              <w:tl2br w:val="nil"/>
              <w:tr2bl w:val="nil"/>
            </w:tcBorders>
            <w:vAlign w:val="center"/>
          </w:tcPr>
          <w:p w14:paraId="3C78FAE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2AF448D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一般情节</w:t>
            </w:r>
          </w:p>
        </w:tc>
        <w:tc>
          <w:tcPr>
            <w:tcW w:w="3437" w:type="dxa"/>
            <w:gridSpan w:val="2"/>
            <w:tcBorders>
              <w:tl2br w:val="nil"/>
              <w:tr2bl w:val="nil"/>
            </w:tcBorders>
            <w:tcMar>
              <w:top w:w="15" w:type="dxa"/>
              <w:left w:w="15" w:type="dxa"/>
              <w:bottom w:w="15" w:type="dxa"/>
              <w:right w:w="15" w:type="dxa"/>
            </w:tcMar>
            <w:vAlign w:val="center"/>
          </w:tcPr>
          <w:p w14:paraId="54B67FC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不具有从轻、</w:t>
            </w:r>
            <w:r>
              <w:rPr>
                <w:rFonts w:hint="eastAsia" w:ascii="仿宋_GB2312" w:hAnsi="宋体" w:eastAsia="仿宋_GB2312" w:cs="宋体"/>
                <w:color w:val="auto"/>
                <w:kern w:val="0"/>
                <w:sz w:val="13"/>
                <w:szCs w:val="13"/>
                <w:highlight w:val="none"/>
                <w:lang w:eastAsia="zh-CN"/>
              </w:rPr>
              <w:t>从重情节</w:t>
            </w:r>
            <w:r>
              <w:rPr>
                <w:rFonts w:hint="eastAsia" w:ascii="仿宋_GB2312" w:hAnsi="宋体" w:eastAsia="仿宋_GB2312" w:cs="宋体"/>
                <w:color w:val="auto"/>
                <w:kern w:val="0"/>
                <w:sz w:val="13"/>
                <w:szCs w:val="13"/>
                <w:highlight w:val="none"/>
              </w:rPr>
              <w:t>的。</w:t>
            </w:r>
          </w:p>
        </w:tc>
        <w:tc>
          <w:tcPr>
            <w:tcW w:w="3058" w:type="dxa"/>
            <w:tcBorders>
              <w:tl2br w:val="nil"/>
              <w:tr2bl w:val="nil"/>
            </w:tcBorders>
            <w:tcMar>
              <w:top w:w="15" w:type="dxa"/>
              <w:left w:w="15" w:type="dxa"/>
              <w:bottom w:w="15" w:type="dxa"/>
              <w:right w:w="15" w:type="dxa"/>
            </w:tcMar>
            <w:vAlign w:val="center"/>
          </w:tcPr>
          <w:p w14:paraId="3F83B73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责令限期改正，可处以5千元以上1万元以下的罚款。</w:t>
            </w:r>
          </w:p>
        </w:tc>
      </w:tr>
      <w:tr w14:paraId="75A95B0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325" w:hRule="atLeast"/>
          <w:jc w:val="center"/>
        </w:trPr>
        <w:tc>
          <w:tcPr>
            <w:tcW w:w="428" w:type="dxa"/>
            <w:vMerge w:val="continue"/>
            <w:tcBorders>
              <w:tl2br w:val="nil"/>
              <w:tr2bl w:val="nil"/>
            </w:tcBorders>
            <w:vAlign w:val="center"/>
          </w:tcPr>
          <w:p w14:paraId="042E0C34">
            <w:pPr>
              <w:pStyle w:val="37"/>
              <w:keepNext w:val="0"/>
              <w:keepLines w:val="0"/>
              <w:pageBreakBefore w:val="0"/>
              <w:widowControl/>
              <w:numPr>
                <w:ilvl w:val="0"/>
                <w:numId w:val="12"/>
              </w:numPr>
              <w:kinsoku/>
              <w:overflowPunct/>
              <w:topLinePunct w:val="0"/>
              <w:autoSpaceDE/>
              <w:autoSpaceDN/>
              <w:bidi w:val="0"/>
              <w:adjustRightInd/>
              <w:snapToGrid/>
              <w:spacing w:beforeAutospacing="0" w:afterAutospacing="0" w:line="260" w:lineRule="exact"/>
              <w:ind w:left="638" w:leftChars="88" w:right="0" w:rightChars="0" w:hanging="453" w:hangingChars="349"/>
              <w:jc w:val="center"/>
              <w:textAlignment w:val="center"/>
              <w:rPr>
                <w:rFonts w:ascii="仿宋_GB2312" w:hAnsi="宋体" w:eastAsia="仿宋_GB2312" w:cs="宋体"/>
                <w:color w:val="auto"/>
                <w:kern w:val="0"/>
                <w:sz w:val="13"/>
                <w:szCs w:val="13"/>
                <w:highlight w:val="none"/>
              </w:rPr>
            </w:pPr>
          </w:p>
        </w:tc>
        <w:tc>
          <w:tcPr>
            <w:tcW w:w="1550" w:type="dxa"/>
            <w:vMerge w:val="continue"/>
            <w:tcBorders>
              <w:tl2br w:val="nil"/>
              <w:tr2bl w:val="nil"/>
            </w:tcBorders>
            <w:vAlign w:val="center"/>
          </w:tcPr>
          <w:p w14:paraId="131EF10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kern w:val="0"/>
                <w:sz w:val="13"/>
                <w:szCs w:val="13"/>
                <w:highlight w:val="none"/>
              </w:rPr>
            </w:pPr>
          </w:p>
        </w:tc>
        <w:tc>
          <w:tcPr>
            <w:tcW w:w="4820" w:type="dxa"/>
            <w:vMerge w:val="continue"/>
            <w:tcBorders>
              <w:tl2br w:val="nil"/>
              <w:tr2bl w:val="nil"/>
            </w:tcBorders>
            <w:vAlign w:val="center"/>
          </w:tcPr>
          <w:p w14:paraId="30D3094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kern w:val="0"/>
                <w:sz w:val="13"/>
                <w:szCs w:val="13"/>
                <w:highlight w:val="none"/>
              </w:rPr>
            </w:pPr>
          </w:p>
        </w:tc>
        <w:tc>
          <w:tcPr>
            <w:tcW w:w="823" w:type="dxa"/>
            <w:tcBorders>
              <w:tl2br w:val="nil"/>
              <w:tr2bl w:val="nil"/>
            </w:tcBorders>
            <w:tcMar>
              <w:top w:w="15" w:type="dxa"/>
              <w:left w:w="15" w:type="dxa"/>
              <w:bottom w:w="15" w:type="dxa"/>
              <w:right w:w="15" w:type="dxa"/>
            </w:tcMar>
            <w:vAlign w:val="center"/>
          </w:tcPr>
          <w:p w14:paraId="324872A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从重情节</w:t>
            </w:r>
          </w:p>
        </w:tc>
        <w:tc>
          <w:tcPr>
            <w:tcW w:w="3437" w:type="dxa"/>
            <w:gridSpan w:val="2"/>
            <w:tcBorders>
              <w:tl2br w:val="nil"/>
              <w:tr2bl w:val="nil"/>
            </w:tcBorders>
            <w:tcMar>
              <w:top w:w="15" w:type="dxa"/>
              <w:left w:w="15" w:type="dxa"/>
              <w:bottom w:w="15" w:type="dxa"/>
              <w:right w:w="15" w:type="dxa"/>
            </w:tcMar>
            <w:vAlign w:val="center"/>
          </w:tcPr>
          <w:p w14:paraId="0DE0E03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经责令停止违法行为后，继续实施违法行为的</w:t>
            </w:r>
            <w:r>
              <w:rPr>
                <w:rFonts w:hint="eastAsia" w:ascii="仿宋_GB2312" w:hAnsi="宋体" w:eastAsia="仿宋_GB2312" w:cs="宋体"/>
                <w:color w:val="auto"/>
                <w:kern w:val="0"/>
                <w:sz w:val="13"/>
                <w:szCs w:val="13"/>
                <w:highlight w:val="none"/>
                <w:lang w:eastAsia="zh-CN"/>
              </w:rPr>
              <w:t>，</w:t>
            </w:r>
            <w:r>
              <w:rPr>
                <w:rFonts w:hint="eastAsia" w:ascii="仿宋_GB2312" w:hAnsi="宋体" w:eastAsia="仿宋_GB2312" w:cs="宋体"/>
                <w:color w:val="auto"/>
                <w:kern w:val="0"/>
                <w:sz w:val="13"/>
                <w:szCs w:val="13"/>
                <w:highlight w:val="none"/>
                <w:lang w:val="en-US" w:eastAsia="zh-CN"/>
              </w:rPr>
              <w:t>或</w:t>
            </w:r>
            <w:r>
              <w:rPr>
                <w:rFonts w:hint="eastAsia" w:ascii="仿宋_GB2312" w:hAnsi="宋体" w:eastAsia="仿宋_GB2312" w:cs="宋体"/>
                <w:color w:val="auto"/>
                <w:kern w:val="0"/>
                <w:sz w:val="13"/>
                <w:szCs w:val="13"/>
                <w:highlight w:val="none"/>
              </w:rPr>
              <w:t>曾因实施该违法行为被查处，再次实施该违法行为的</w:t>
            </w:r>
            <w:r>
              <w:rPr>
                <w:rFonts w:hint="eastAsia" w:ascii="仿宋_GB2312" w:hAnsi="宋体" w:eastAsia="仿宋_GB2312" w:cs="宋体"/>
                <w:color w:val="auto"/>
                <w:kern w:val="0"/>
                <w:sz w:val="13"/>
                <w:szCs w:val="13"/>
                <w:highlight w:val="none"/>
                <w:lang w:eastAsia="zh-CN"/>
              </w:rPr>
              <w:t>，</w:t>
            </w:r>
            <w:r>
              <w:rPr>
                <w:rFonts w:hint="eastAsia" w:ascii="仿宋_GB2312" w:hAnsi="宋体" w:eastAsia="仿宋_GB2312" w:cs="宋体"/>
                <w:color w:val="auto"/>
                <w:kern w:val="0"/>
                <w:sz w:val="13"/>
                <w:szCs w:val="13"/>
                <w:highlight w:val="none"/>
                <w:lang w:val="en-US" w:eastAsia="zh-CN"/>
              </w:rPr>
              <w:t>或</w:t>
            </w:r>
            <w:r>
              <w:rPr>
                <w:rFonts w:hint="eastAsia" w:ascii="仿宋_GB2312" w:hAnsi="宋体" w:eastAsia="仿宋_GB2312" w:cs="宋体"/>
                <w:color w:val="auto"/>
                <w:kern w:val="0"/>
                <w:sz w:val="13"/>
                <w:szCs w:val="13"/>
                <w:highlight w:val="none"/>
              </w:rPr>
              <w:t>造成严重危害后果的。</w:t>
            </w:r>
          </w:p>
        </w:tc>
        <w:tc>
          <w:tcPr>
            <w:tcW w:w="3058" w:type="dxa"/>
            <w:tcBorders>
              <w:tl2br w:val="nil"/>
              <w:tr2bl w:val="nil"/>
            </w:tcBorders>
            <w:tcMar>
              <w:top w:w="15" w:type="dxa"/>
              <w:left w:w="15" w:type="dxa"/>
              <w:bottom w:w="15" w:type="dxa"/>
              <w:right w:w="15" w:type="dxa"/>
            </w:tcMar>
            <w:vAlign w:val="center"/>
          </w:tcPr>
          <w:p w14:paraId="70634F1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责令限期改正，可处以1万元以上2万元以下的罚款。</w:t>
            </w:r>
          </w:p>
        </w:tc>
      </w:tr>
      <w:tr w14:paraId="215C0F8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546" w:hRule="atLeast"/>
          <w:jc w:val="center"/>
        </w:trPr>
        <w:tc>
          <w:tcPr>
            <w:tcW w:w="428" w:type="dxa"/>
            <w:vMerge w:val="restart"/>
            <w:tcBorders>
              <w:tl2br w:val="nil"/>
              <w:tr2bl w:val="nil"/>
            </w:tcBorders>
            <w:tcMar>
              <w:top w:w="15" w:type="dxa"/>
              <w:left w:w="15" w:type="dxa"/>
              <w:bottom w:w="15" w:type="dxa"/>
              <w:right w:w="15" w:type="dxa"/>
            </w:tcMar>
            <w:vAlign w:val="center"/>
          </w:tcPr>
          <w:p w14:paraId="29B94D6A">
            <w:pPr>
              <w:keepNext w:val="0"/>
              <w:keepLines w:val="0"/>
              <w:pageBreakBefore w:val="0"/>
              <w:widowControl/>
              <w:numPr>
                <w:ilvl w:val="0"/>
                <w:numId w:val="11"/>
              </w:numPr>
              <w:suppressLineNumbers w:val="0"/>
              <w:tabs>
                <w:tab w:val="clear" w:pos="397"/>
              </w:tabs>
              <w:kinsoku/>
              <w:overflowPunct/>
              <w:topLinePunct w:val="0"/>
              <w:autoSpaceDE/>
              <w:autoSpaceDN/>
              <w:bidi w:val="0"/>
              <w:adjustRightInd/>
              <w:snapToGrid/>
              <w:spacing w:beforeAutospacing="0" w:afterAutospacing="0" w:line="260" w:lineRule="exact"/>
              <w:ind w:left="638" w:leftChars="88" w:right="0" w:rightChars="0" w:hanging="453" w:hangingChars="349"/>
              <w:jc w:val="center"/>
              <w:textAlignment w:val="center"/>
              <w:rPr>
                <w:rFonts w:hint="default" w:ascii="仿宋_GB2312" w:hAnsi="宋体" w:eastAsia="仿宋_GB2312" w:cs="宋体"/>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319</w:t>
            </w:r>
          </w:p>
        </w:tc>
        <w:tc>
          <w:tcPr>
            <w:tcW w:w="1550" w:type="dxa"/>
            <w:vMerge w:val="restart"/>
            <w:tcBorders>
              <w:tl2br w:val="nil"/>
              <w:tr2bl w:val="nil"/>
            </w:tcBorders>
            <w:tcMar>
              <w:top w:w="15" w:type="dxa"/>
              <w:left w:w="15" w:type="dxa"/>
              <w:bottom w:w="15" w:type="dxa"/>
              <w:right w:w="15" w:type="dxa"/>
            </w:tcMar>
            <w:vAlign w:val="center"/>
          </w:tcPr>
          <w:p w14:paraId="6C7298F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hint="eastAsia" w:ascii="仿宋_GB2312" w:hAnsi="宋体" w:eastAsia="仿宋_GB2312" w:cs="宋体"/>
                <w:color w:val="auto"/>
                <w:kern w:val="0"/>
                <w:sz w:val="13"/>
                <w:szCs w:val="13"/>
                <w:highlight w:val="none"/>
              </w:rPr>
            </w:pPr>
            <w:r>
              <w:rPr>
                <w:rFonts w:hint="eastAsia" w:ascii="仿宋_GB2312" w:hAnsi="宋体" w:eastAsia="仿宋_GB2312" w:cs="宋体"/>
                <w:color w:val="auto"/>
                <w:kern w:val="0"/>
                <w:sz w:val="13"/>
                <w:szCs w:val="13"/>
                <w:highlight w:val="none"/>
              </w:rPr>
              <w:t>有下列行为之一的（一）未对设在城市道路上的各种管线的检查井、箱盖或者城市道路附属设施的缺损及时补缺或者修复的；</w:t>
            </w:r>
          </w:p>
          <w:p w14:paraId="38CFBEF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hint="eastAsia" w:ascii="仿宋_GB2312" w:hAnsi="宋体" w:eastAsia="仿宋_GB2312" w:cs="宋体"/>
                <w:color w:val="auto"/>
                <w:kern w:val="0"/>
                <w:sz w:val="13"/>
                <w:szCs w:val="13"/>
                <w:highlight w:val="none"/>
                <w:lang w:eastAsia="zh-CN"/>
              </w:rPr>
            </w:pPr>
            <w:r>
              <w:rPr>
                <w:rFonts w:hint="eastAsia" w:ascii="仿宋_GB2312" w:hAnsi="宋体" w:eastAsia="仿宋_GB2312" w:cs="宋体"/>
                <w:color w:val="auto"/>
                <w:kern w:val="0"/>
                <w:sz w:val="13"/>
                <w:szCs w:val="13"/>
                <w:highlight w:val="none"/>
              </w:rPr>
              <w:t>（二）未在城市道路施工现场设置明显标志和安全防围设施的；</w:t>
            </w:r>
          </w:p>
          <w:p w14:paraId="56A0F77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hint="eastAsia" w:ascii="仿宋_GB2312" w:hAnsi="宋体" w:eastAsia="仿宋_GB2312" w:cs="宋体"/>
                <w:color w:val="auto"/>
                <w:kern w:val="0"/>
                <w:sz w:val="13"/>
                <w:szCs w:val="13"/>
                <w:highlight w:val="none"/>
              </w:rPr>
            </w:pPr>
            <w:r>
              <w:rPr>
                <w:rFonts w:hint="eastAsia" w:ascii="仿宋_GB2312" w:hAnsi="宋体" w:eastAsia="仿宋_GB2312" w:cs="宋体"/>
                <w:color w:val="auto"/>
                <w:kern w:val="0"/>
                <w:sz w:val="13"/>
                <w:szCs w:val="13"/>
                <w:highlight w:val="none"/>
              </w:rPr>
              <w:t>（四）依附于城市道路建设各种管线、杆线等设施，不按照规定办理批准手续的；</w:t>
            </w:r>
          </w:p>
          <w:p w14:paraId="3ED1A57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kern w:val="0"/>
                <w:sz w:val="13"/>
                <w:szCs w:val="13"/>
                <w:highlight w:val="none"/>
              </w:rPr>
            </w:pPr>
            <w:r>
              <w:rPr>
                <w:rFonts w:hint="eastAsia" w:ascii="仿宋_GB2312" w:hAnsi="宋体" w:eastAsia="仿宋_GB2312" w:cs="宋体"/>
                <w:color w:val="auto"/>
                <w:kern w:val="0"/>
                <w:sz w:val="13"/>
                <w:szCs w:val="13"/>
                <w:highlight w:val="none"/>
              </w:rPr>
              <w:t>（六）未按照批准的位置、面积、期限占用或者挖掘城市道路，或者需要移动位置、扩大面积、延长时间，未提前办理变更审批手续的。</w:t>
            </w:r>
          </w:p>
        </w:tc>
        <w:tc>
          <w:tcPr>
            <w:tcW w:w="4820" w:type="dxa"/>
            <w:vMerge w:val="restart"/>
            <w:tcBorders>
              <w:tl2br w:val="nil"/>
              <w:tr2bl w:val="nil"/>
            </w:tcBorders>
            <w:tcMar>
              <w:top w:w="15" w:type="dxa"/>
              <w:left w:w="15" w:type="dxa"/>
              <w:bottom w:w="15" w:type="dxa"/>
              <w:right w:w="15" w:type="dxa"/>
            </w:tcMar>
            <w:vAlign w:val="center"/>
          </w:tcPr>
          <w:p w14:paraId="457D405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hint="eastAsia" w:ascii="仿宋_GB2312" w:hAnsi="宋体" w:eastAsia="仿宋_GB2312" w:cs="宋体"/>
                <w:color w:val="auto"/>
                <w:kern w:val="0"/>
                <w:sz w:val="13"/>
                <w:szCs w:val="13"/>
                <w:highlight w:val="none"/>
              </w:rPr>
            </w:pPr>
            <w:r>
              <w:rPr>
                <w:rFonts w:hint="eastAsia" w:ascii="仿宋_GB2312" w:hAnsi="宋体" w:eastAsia="仿宋_GB2312" w:cs="宋体"/>
                <w:color w:val="auto"/>
                <w:kern w:val="0"/>
                <w:sz w:val="13"/>
                <w:szCs w:val="13"/>
                <w:highlight w:val="none"/>
              </w:rPr>
              <w:t>《城市道路管理条例》</w:t>
            </w:r>
            <w:r>
              <w:rPr>
                <w:rFonts w:hint="eastAsia" w:ascii="仿宋_GB2312" w:hAnsi="宋体" w:eastAsia="仿宋_GB2312" w:cs="宋体"/>
                <w:b/>
                <w:bCs/>
                <w:color w:val="auto"/>
                <w:kern w:val="0"/>
                <w:sz w:val="13"/>
                <w:szCs w:val="13"/>
                <w:highlight w:val="none"/>
              </w:rPr>
              <w:t>第四十二条</w:t>
            </w:r>
            <w:r>
              <w:rPr>
                <w:rFonts w:hint="eastAsia" w:ascii="仿宋_GB2312" w:hAnsi="宋体" w:eastAsia="仿宋_GB2312" w:cs="宋体"/>
                <w:b/>
                <w:bCs/>
                <w:color w:val="auto"/>
                <w:kern w:val="0"/>
                <w:sz w:val="13"/>
                <w:szCs w:val="13"/>
                <w:highlight w:val="none"/>
                <w:lang w:eastAsia="zh-CN"/>
              </w:rPr>
              <w:t>：</w:t>
            </w:r>
            <w:r>
              <w:rPr>
                <w:rFonts w:hint="eastAsia" w:ascii="仿宋_GB2312" w:hAnsi="宋体" w:eastAsia="仿宋_GB2312" w:cs="宋体"/>
                <w:color w:val="auto"/>
                <w:kern w:val="0"/>
                <w:sz w:val="13"/>
                <w:szCs w:val="13"/>
                <w:highlight w:val="none"/>
              </w:rPr>
              <w:t>违反本条例第二十七条规定，或者有下列行为之一的，由市政工程行政主管部门或者其他有关部门责令限期改正，可以处以2万元以下的罚款；造成损失的，应当依法承担赔偿责任：</w:t>
            </w:r>
          </w:p>
          <w:p w14:paraId="18C24B8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hint="eastAsia" w:ascii="仿宋_GB2312" w:hAnsi="宋体" w:eastAsia="仿宋_GB2312" w:cs="宋体"/>
                <w:color w:val="auto"/>
                <w:kern w:val="0"/>
                <w:sz w:val="13"/>
                <w:szCs w:val="13"/>
                <w:highlight w:val="none"/>
              </w:rPr>
            </w:pPr>
            <w:r>
              <w:rPr>
                <w:rFonts w:hint="eastAsia" w:ascii="仿宋_GB2312" w:hAnsi="宋体" w:eastAsia="仿宋_GB2312" w:cs="宋体"/>
                <w:color w:val="auto"/>
                <w:kern w:val="0"/>
                <w:sz w:val="13"/>
                <w:szCs w:val="13"/>
                <w:highlight w:val="none"/>
              </w:rPr>
              <w:t>（一）未对设在城市道路上的各种管线的检查井、箱盖或者城市道路附属设施的缺损及时补缺或者修复的；</w:t>
            </w:r>
          </w:p>
          <w:p w14:paraId="1D362EA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hint="eastAsia" w:ascii="仿宋_GB2312" w:hAnsi="宋体" w:eastAsia="仿宋_GB2312" w:cs="宋体"/>
                <w:color w:val="auto"/>
                <w:kern w:val="0"/>
                <w:sz w:val="13"/>
                <w:szCs w:val="13"/>
                <w:highlight w:val="none"/>
                <w:lang w:eastAsia="zh-CN"/>
              </w:rPr>
            </w:pPr>
            <w:r>
              <w:rPr>
                <w:rFonts w:hint="eastAsia" w:ascii="仿宋_GB2312" w:hAnsi="宋体" w:eastAsia="仿宋_GB2312" w:cs="宋体"/>
                <w:color w:val="auto"/>
                <w:kern w:val="0"/>
                <w:sz w:val="13"/>
                <w:szCs w:val="13"/>
                <w:highlight w:val="none"/>
              </w:rPr>
              <w:t>（二）未在城市道路施工现场设置明显标志和安全防围设施的；</w:t>
            </w:r>
          </w:p>
          <w:p w14:paraId="2286487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hint="eastAsia" w:ascii="仿宋_GB2312" w:hAnsi="宋体" w:eastAsia="仿宋_GB2312" w:cs="宋体"/>
                <w:color w:val="auto"/>
                <w:kern w:val="0"/>
                <w:sz w:val="13"/>
                <w:szCs w:val="13"/>
                <w:highlight w:val="none"/>
                <w:lang w:eastAsia="zh-CN"/>
              </w:rPr>
            </w:pPr>
            <w:r>
              <w:rPr>
                <w:rFonts w:hint="eastAsia" w:ascii="仿宋_GB2312" w:hAnsi="宋体" w:eastAsia="仿宋_GB2312" w:cs="宋体"/>
                <w:color w:val="auto"/>
                <w:kern w:val="0"/>
                <w:sz w:val="13"/>
                <w:szCs w:val="13"/>
                <w:highlight w:val="none"/>
              </w:rPr>
              <w:t>（三）占用城市道路期满或者挖掘城市道路后，不及时清理现场的；</w:t>
            </w:r>
          </w:p>
          <w:p w14:paraId="6C99EEA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hint="eastAsia" w:ascii="仿宋_GB2312" w:hAnsi="宋体" w:eastAsia="仿宋_GB2312" w:cs="宋体"/>
                <w:color w:val="auto"/>
                <w:kern w:val="0"/>
                <w:sz w:val="13"/>
                <w:szCs w:val="13"/>
                <w:highlight w:val="none"/>
              </w:rPr>
            </w:pPr>
            <w:r>
              <w:rPr>
                <w:rFonts w:hint="eastAsia" w:ascii="仿宋_GB2312" w:hAnsi="宋体" w:eastAsia="仿宋_GB2312" w:cs="宋体"/>
                <w:color w:val="auto"/>
                <w:kern w:val="0"/>
                <w:sz w:val="13"/>
                <w:szCs w:val="13"/>
                <w:highlight w:val="none"/>
              </w:rPr>
              <w:t>（四）依附于城市道路建设各种管线、杆线等设施，不按照规定办理批准手续的；</w:t>
            </w:r>
          </w:p>
          <w:p w14:paraId="6B82044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hint="eastAsia" w:ascii="仿宋_GB2312" w:hAnsi="宋体" w:eastAsia="仿宋_GB2312" w:cs="宋体"/>
                <w:color w:val="auto"/>
                <w:kern w:val="0"/>
                <w:sz w:val="13"/>
                <w:szCs w:val="13"/>
                <w:highlight w:val="none"/>
              </w:rPr>
            </w:pPr>
            <w:r>
              <w:rPr>
                <w:rFonts w:hint="eastAsia" w:ascii="仿宋_GB2312" w:hAnsi="宋体" w:eastAsia="仿宋_GB2312" w:cs="宋体"/>
                <w:color w:val="auto"/>
                <w:kern w:val="0"/>
                <w:sz w:val="13"/>
                <w:szCs w:val="13"/>
                <w:highlight w:val="none"/>
              </w:rPr>
              <w:t>（五）紧急抢修埋设在城市道路下的管线，不按照规定补办批准手续的；</w:t>
            </w:r>
          </w:p>
          <w:p w14:paraId="1AEBA76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kern w:val="0"/>
                <w:sz w:val="13"/>
                <w:szCs w:val="13"/>
                <w:highlight w:val="none"/>
              </w:rPr>
            </w:pPr>
            <w:r>
              <w:rPr>
                <w:rFonts w:hint="eastAsia" w:ascii="仿宋_GB2312" w:hAnsi="宋体" w:eastAsia="仿宋_GB2312" w:cs="宋体"/>
                <w:color w:val="auto"/>
                <w:kern w:val="0"/>
                <w:sz w:val="13"/>
                <w:szCs w:val="13"/>
                <w:highlight w:val="none"/>
              </w:rPr>
              <w:t>（六）未按照批准的位置、面积、期限占用或者挖掘城市道路，或者需要移动位置、扩大面积、延长时间，未提前办理变更审批手续的。</w:t>
            </w:r>
          </w:p>
        </w:tc>
        <w:tc>
          <w:tcPr>
            <w:tcW w:w="823" w:type="dxa"/>
            <w:tcBorders>
              <w:tl2br w:val="nil"/>
              <w:tr2bl w:val="nil"/>
            </w:tcBorders>
            <w:tcMar>
              <w:top w:w="15" w:type="dxa"/>
              <w:left w:w="15" w:type="dxa"/>
              <w:bottom w:w="15" w:type="dxa"/>
              <w:right w:w="15" w:type="dxa"/>
            </w:tcMar>
            <w:vAlign w:val="center"/>
          </w:tcPr>
          <w:p w14:paraId="451DFC4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sz w:val="13"/>
                <w:szCs w:val="13"/>
                <w:highlight w:val="none"/>
                <w:lang w:eastAsia="zh-CN"/>
              </w:rPr>
              <w:t>从轻情节</w:t>
            </w:r>
          </w:p>
        </w:tc>
        <w:tc>
          <w:tcPr>
            <w:tcW w:w="3437" w:type="dxa"/>
            <w:gridSpan w:val="2"/>
            <w:tcBorders>
              <w:tl2br w:val="nil"/>
              <w:tr2bl w:val="nil"/>
            </w:tcBorders>
            <w:tcMar>
              <w:top w:w="15" w:type="dxa"/>
              <w:left w:w="15" w:type="dxa"/>
              <w:bottom w:w="15" w:type="dxa"/>
              <w:right w:w="15" w:type="dxa"/>
            </w:tcMar>
            <w:vAlign w:val="center"/>
          </w:tcPr>
          <w:p w14:paraId="301C342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初次违法，危害后果轻微，积极采取改正措施消除影响的。</w:t>
            </w:r>
          </w:p>
        </w:tc>
        <w:tc>
          <w:tcPr>
            <w:tcW w:w="3058" w:type="dxa"/>
            <w:tcBorders>
              <w:tl2br w:val="nil"/>
              <w:tr2bl w:val="nil"/>
            </w:tcBorders>
            <w:tcMar>
              <w:top w:w="15" w:type="dxa"/>
              <w:left w:w="15" w:type="dxa"/>
              <w:bottom w:w="15" w:type="dxa"/>
              <w:right w:w="15" w:type="dxa"/>
            </w:tcMar>
            <w:vAlign w:val="center"/>
          </w:tcPr>
          <w:p w14:paraId="18A7BED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责令限期改正，可以处以5千元以下的罚款。</w:t>
            </w:r>
          </w:p>
        </w:tc>
      </w:tr>
      <w:tr w14:paraId="7F65D9F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505" w:hRule="atLeast"/>
          <w:jc w:val="center"/>
        </w:trPr>
        <w:tc>
          <w:tcPr>
            <w:tcW w:w="428" w:type="dxa"/>
            <w:vMerge w:val="continue"/>
            <w:tcBorders>
              <w:tl2br w:val="nil"/>
              <w:tr2bl w:val="nil"/>
            </w:tcBorders>
            <w:tcMar>
              <w:top w:w="15" w:type="dxa"/>
              <w:left w:w="15" w:type="dxa"/>
              <w:bottom w:w="15" w:type="dxa"/>
              <w:right w:w="15" w:type="dxa"/>
            </w:tcMar>
            <w:vAlign w:val="center"/>
          </w:tcPr>
          <w:p w14:paraId="1BCF396B">
            <w:pPr>
              <w:pStyle w:val="37"/>
              <w:keepNext w:val="0"/>
              <w:keepLines w:val="0"/>
              <w:pageBreakBefore w:val="0"/>
              <w:widowControl/>
              <w:numPr>
                <w:ilvl w:val="0"/>
                <w:numId w:val="12"/>
              </w:numPr>
              <w:kinsoku/>
              <w:overflowPunct/>
              <w:topLinePunct w:val="0"/>
              <w:autoSpaceDE/>
              <w:autoSpaceDN/>
              <w:bidi w:val="0"/>
              <w:adjustRightInd/>
              <w:snapToGrid/>
              <w:spacing w:beforeAutospacing="0" w:afterAutospacing="0" w:line="260" w:lineRule="exact"/>
              <w:ind w:left="638" w:leftChars="88" w:right="0" w:rightChars="0" w:hanging="453" w:hangingChars="349"/>
              <w:jc w:val="center"/>
              <w:textAlignment w:val="center"/>
              <w:rPr>
                <w:rFonts w:ascii="仿宋_GB2312" w:hAnsi="宋体" w:eastAsia="仿宋_GB2312" w:cs="宋体"/>
                <w:color w:val="auto"/>
                <w:sz w:val="13"/>
                <w:szCs w:val="13"/>
                <w:highlight w:val="none"/>
              </w:rPr>
            </w:pPr>
          </w:p>
        </w:tc>
        <w:tc>
          <w:tcPr>
            <w:tcW w:w="1550" w:type="dxa"/>
            <w:vMerge w:val="continue"/>
            <w:tcBorders>
              <w:tl2br w:val="nil"/>
              <w:tr2bl w:val="nil"/>
            </w:tcBorders>
            <w:tcMar>
              <w:top w:w="15" w:type="dxa"/>
              <w:left w:w="15" w:type="dxa"/>
              <w:bottom w:w="15" w:type="dxa"/>
              <w:right w:w="15" w:type="dxa"/>
            </w:tcMar>
            <w:vAlign w:val="center"/>
          </w:tcPr>
          <w:p w14:paraId="3CB9D8A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sz w:val="13"/>
                <w:szCs w:val="13"/>
                <w:highlight w:val="none"/>
              </w:rPr>
            </w:pPr>
          </w:p>
        </w:tc>
        <w:tc>
          <w:tcPr>
            <w:tcW w:w="4820" w:type="dxa"/>
            <w:vMerge w:val="continue"/>
            <w:tcBorders>
              <w:tl2br w:val="nil"/>
              <w:tr2bl w:val="nil"/>
            </w:tcBorders>
            <w:tcMar>
              <w:top w:w="15" w:type="dxa"/>
              <w:left w:w="15" w:type="dxa"/>
              <w:bottom w:w="15" w:type="dxa"/>
              <w:right w:w="15" w:type="dxa"/>
            </w:tcMar>
            <w:vAlign w:val="center"/>
          </w:tcPr>
          <w:p w14:paraId="04764A0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42AD806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sz w:val="13"/>
                <w:szCs w:val="13"/>
                <w:highlight w:val="none"/>
                <w:lang w:eastAsia="zh-CN"/>
              </w:rPr>
              <w:t>一般情节</w:t>
            </w:r>
          </w:p>
        </w:tc>
        <w:tc>
          <w:tcPr>
            <w:tcW w:w="3437" w:type="dxa"/>
            <w:gridSpan w:val="2"/>
            <w:tcBorders>
              <w:tl2br w:val="nil"/>
              <w:tr2bl w:val="nil"/>
            </w:tcBorders>
            <w:tcMar>
              <w:top w:w="15" w:type="dxa"/>
              <w:left w:w="15" w:type="dxa"/>
              <w:bottom w:w="15" w:type="dxa"/>
              <w:right w:w="15" w:type="dxa"/>
            </w:tcMar>
            <w:vAlign w:val="center"/>
          </w:tcPr>
          <w:p w14:paraId="0F7A38E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不具有从轻、</w:t>
            </w:r>
            <w:r>
              <w:rPr>
                <w:rFonts w:hint="eastAsia" w:ascii="仿宋_GB2312" w:hAnsi="宋体" w:eastAsia="仿宋_GB2312" w:cs="宋体"/>
                <w:color w:val="auto"/>
                <w:kern w:val="0"/>
                <w:sz w:val="13"/>
                <w:szCs w:val="13"/>
                <w:highlight w:val="none"/>
                <w:lang w:eastAsia="zh-CN"/>
              </w:rPr>
              <w:t>从重情节</w:t>
            </w:r>
            <w:r>
              <w:rPr>
                <w:rFonts w:hint="eastAsia" w:ascii="仿宋_GB2312" w:hAnsi="宋体" w:eastAsia="仿宋_GB2312" w:cs="宋体"/>
                <w:color w:val="auto"/>
                <w:kern w:val="0"/>
                <w:sz w:val="13"/>
                <w:szCs w:val="13"/>
                <w:highlight w:val="none"/>
              </w:rPr>
              <w:t>的。</w:t>
            </w:r>
          </w:p>
        </w:tc>
        <w:tc>
          <w:tcPr>
            <w:tcW w:w="3058" w:type="dxa"/>
            <w:tcBorders>
              <w:tl2br w:val="nil"/>
              <w:tr2bl w:val="nil"/>
            </w:tcBorders>
            <w:tcMar>
              <w:top w:w="15" w:type="dxa"/>
              <w:left w:w="15" w:type="dxa"/>
              <w:bottom w:w="15" w:type="dxa"/>
              <w:right w:w="15" w:type="dxa"/>
            </w:tcMar>
            <w:vAlign w:val="center"/>
          </w:tcPr>
          <w:p w14:paraId="41CDE57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责令限期改正，可处以5千元以上1万元以下的罚款。</w:t>
            </w:r>
          </w:p>
        </w:tc>
      </w:tr>
      <w:tr w14:paraId="172DC67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325" w:hRule="atLeast"/>
          <w:jc w:val="center"/>
        </w:trPr>
        <w:tc>
          <w:tcPr>
            <w:tcW w:w="428" w:type="dxa"/>
            <w:vMerge w:val="continue"/>
            <w:tcBorders>
              <w:tl2br w:val="nil"/>
              <w:tr2bl w:val="nil"/>
            </w:tcBorders>
            <w:tcMar>
              <w:top w:w="15" w:type="dxa"/>
              <w:left w:w="15" w:type="dxa"/>
              <w:bottom w:w="15" w:type="dxa"/>
              <w:right w:w="15" w:type="dxa"/>
            </w:tcMar>
            <w:vAlign w:val="center"/>
          </w:tcPr>
          <w:p w14:paraId="152E6C7B">
            <w:pPr>
              <w:pStyle w:val="37"/>
              <w:keepNext w:val="0"/>
              <w:keepLines w:val="0"/>
              <w:pageBreakBefore w:val="0"/>
              <w:widowControl/>
              <w:numPr>
                <w:ilvl w:val="0"/>
                <w:numId w:val="12"/>
              </w:numPr>
              <w:kinsoku/>
              <w:overflowPunct/>
              <w:topLinePunct w:val="0"/>
              <w:autoSpaceDE/>
              <w:autoSpaceDN/>
              <w:bidi w:val="0"/>
              <w:adjustRightInd/>
              <w:snapToGrid/>
              <w:spacing w:beforeAutospacing="0" w:afterAutospacing="0" w:line="260" w:lineRule="exact"/>
              <w:ind w:left="638" w:leftChars="88" w:right="0" w:rightChars="0" w:hanging="453" w:hangingChars="349"/>
              <w:jc w:val="center"/>
              <w:textAlignment w:val="center"/>
              <w:rPr>
                <w:rFonts w:ascii="仿宋_GB2312" w:hAnsi="宋体" w:eastAsia="仿宋_GB2312" w:cs="宋体"/>
                <w:color w:val="auto"/>
                <w:sz w:val="13"/>
                <w:szCs w:val="13"/>
                <w:highlight w:val="none"/>
              </w:rPr>
            </w:pPr>
          </w:p>
        </w:tc>
        <w:tc>
          <w:tcPr>
            <w:tcW w:w="1550" w:type="dxa"/>
            <w:vMerge w:val="continue"/>
            <w:tcBorders>
              <w:tl2br w:val="nil"/>
              <w:tr2bl w:val="nil"/>
            </w:tcBorders>
            <w:tcMar>
              <w:top w:w="15" w:type="dxa"/>
              <w:left w:w="15" w:type="dxa"/>
              <w:bottom w:w="15" w:type="dxa"/>
              <w:right w:w="15" w:type="dxa"/>
            </w:tcMar>
            <w:vAlign w:val="center"/>
          </w:tcPr>
          <w:p w14:paraId="5110325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sz w:val="13"/>
                <w:szCs w:val="13"/>
                <w:highlight w:val="none"/>
              </w:rPr>
            </w:pPr>
          </w:p>
        </w:tc>
        <w:tc>
          <w:tcPr>
            <w:tcW w:w="4820" w:type="dxa"/>
            <w:vMerge w:val="continue"/>
            <w:tcBorders>
              <w:tl2br w:val="nil"/>
              <w:tr2bl w:val="nil"/>
            </w:tcBorders>
            <w:tcMar>
              <w:top w:w="15" w:type="dxa"/>
              <w:left w:w="15" w:type="dxa"/>
              <w:bottom w:w="15" w:type="dxa"/>
              <w:right w:w="15" w:type="dxa"/>
            </w:tcMar>
            <w:vAlign w:val="center"/>
          </w:tcPr>
          <w:p w14:paraId="5AD98C3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425063B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sz w:val="13"/>
                <w:szCs w:val="13"/>
                <w:highlight w:val="none"/>
                <w:lang w:eastAsia="zh-CN"/>
              </w:rPr>
              <w:t>从重情节</w:t>
            </w:r>
          </w:p>
        </w:tc>
        <w:tc>
          <w:tcPr>
            <w:tcW w:w="3437" w:type="dxa"/>
            <w:gridSpan w:val="2"/>
            <w:tcBorders>
              <w:tl2br w:val="nil"/>
              <w:tr2bl w:val="nil"/>
            </w:tcBorders>
            <w:tcMar>
              <w:top w:w="15" w:type="dxa"/>
              <w:left w:w="15" w:type="dxa"/>
              <w:bottom w:w="15" w:type="dxa"/>
              <w:right w:w="15" w:type="dxa"/>
            </w:tcMar>
            <w:vAlign w:val="center"/>
          </w:tcPr>
          <w:p w14:paraId="53F615F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经责令停止违法行为后，继续实施违法行为的</w:t>
            </w:r>
            <w:r>
              <w:rPr>
                <w:rFonts w:hint="eastAsia" w:ascii="仿宋_GB2312" w:hAnsi="宋体" w:eastAsia="仿宋_GB2312" w:cs="宋体"/>
                <w:color w:val="auto"/>
                <w:kern w:val="0"/>
                <w:sz w:val="13"/>
                <w:szCs w:val="13"/>
                <w:highlight w:val="none"/>
                <w:lang w:eastAsia="zh-CN"/>
              </w:rPr>
              <w:t>，</w:t>
            </w:r>
            <w:r>
              <w:rPr>
                <w:rFonts w:hint="eastAsia" w:ascii="仿宋_GB2312" w:hAnsi="宋体" w:eastAsia="仿宋_GB2312" w:cs="宋体"/>
                <w:color w:val="auto"/>
                <w:kern w:val="0"/>
                <w:sz w:val="13"/>
                <w:szCs w:val="13"/>
                <w:highlight w:val="none"/>
                <w:lang w:val="en-US" w:eastAsia="zh-CN"/>
              </w:rPr>
              <w:t>或</w:t>
            </w:r>
            <w:r>
              <w:rPr>
                <w:rFonts w:hint="eastAsia" w:ascii="仿宋_GB2312" w:hAnsi="宋体" w:eastAsia="仿宋_GB2312" w:cs="宋体"/>
                <w:color w:val="auto"/>
                <w:kern w:val="0"/>
                <w:sz w:val="13"/>
                <w:szCs w:val="13"/>
                <w:highlight w:val="none"/>
              </w:rPr>
              <w:t>曾因实施该违法行为被查处，再次实施该违法行为的</w:t>
            </w:r>
            <w:r>
              <w:rPr>
                <w:rFonts w:hint="eastAsia" w:ascii="仿宋_GB2312" w:hAnsi="宋体" w:eastAsia="仿宋_GB2312" w:cs="宋体"/>
                <w:color w:val="auto"/>
                <w:kern w:val="0"/>
                <w:sz w:val="13"/>
                <w:szCs w:val="13"/>
                <w:highlight w:val="none"/>
                <w:lang w:eastAsia="zh-CN"/>
              </w:rPr>
              <w:t>，</w:t>
            </w:r>
            <w:r>
              <w:rPr>
                <w:rFonts w:hint="eastAsia" w:ascii="仿宋_GB2312" w:hAnsi="宋体" w:eastAsia="仿宋_GB2312" w:cs="宋体"/>
                <w:color w:val="auto"/>
                <w:kern w:val="0"/>
                <w:sz w:val="13"/>
                <w:szCs w:val="13"/>
                <w:highlight w:val="none"/>
                <w:lang w:val="en-US" w:eastAsia="zh-CN"/>
              </w:rPr>
              <w:t>或</w:t>
            </w:r>
            <w:r>
              <w:rPr>
                <w:rFonts w:hint="eastAsia" w:ascii="仿宋_GB2312" w:hAnsi="宋体" w:eastAsia="仿宋_GB2312" w:cs="宋体"/>
                <w:color w:val="auto"/>
                <w:kern w:val="0"/>
                <w:sz w:val="13"/>
                <w:szCs w:val="13"/>
                <w:highlight w:val="none"/>
              </w:rPr>
              <w:t>造成严重危害后果的。</w:t>
            </w:r>
          </w:p>
        </w:tc>
        <w:tc>
          <w:tcPr>
            <w:tcW w:w="3058" w:type="dxa"/>
            <w:tcBorders>
              <w:tl2br w:val="nil"/>
              <w:tr2bl w:val="nil"/>
            </w:tcBorders>
            <w:tcMar>
              <w:top w:w="15" w:type="dxa"/>
              <w:left w:w="15" w:type="dxa"/>
              <w:bottom w:w="15" w:type="dxa"/>
              <w:right w:w="15" w:type="dxa"/>
            </w:tcMar>
            <w:vAlign w:val="center"/>
          </w:tcPr>
          <w:p w14:paraId="1CAD80D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责令限期改正，可处以1万元以上2万元以下的罚款。</w:t>
            </w:r>
          </w:p>
        </w:tc>
      </w:tr>
      <w:tr w14:paraId="4CA04FF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376" w:hRule="atLeast"/>
          <w:jc w:val="center"/>
        </w:trPr>
        <w:tc>
          <w:tcPr>
            <w:tcW w:w="428" w:type="dxa"/>
            <w:vMerge w:val="restart"/>
            <w:tcBorders>
              <w:tl2br w:val="nil"/>
              <w:tr2bl w:val="nil"/>
            </w:tcBorders>
            <w:vAlign w:val="center"/>
          </w:tcPr>
          <w:p w14:paraId="170DF827">
            <w:pPr>
              <w:keepNext w:val="0"/>
              <w:keepLines w:val="0"/>
              <w:pageBreakBefore w:val="0"/>
              <w:widowControl/>
              <w:numPr>
                <w:ilvl w:val="0"/>
                <w:numId w:val="11"/>
              </w:numPr>
              <w:suppressLineNumbers w:val="0"/>
              <w:tabs>
                <w:tab w:val="clear" w:pos="397"/>
              </w:tabs>
              <w:kinsoku/>
              <w:overflowPunct/>
              <w:topLinePunct w:val="0"/>
              <w:autoSpaceDE/>
              <w:autoSpaceDN/>
              <w:bidi w:val="0"/>
              <w:adjustRightInd/>
              <w:snapToGrid/>
              <w:spacing w:beforeAutospacing="0" w:afterAutospacing="0" w:line="260" w:lineRule="exact"/>
              <w:ind w:left="638" w:leftChars="88" w:right="0" w:rightChars="0" w:hanging="453" w:hangingChars="349"/>
              <w:jc w:val="center"/>
              <w:textAlignment w:val="center"/>
              <w:rPr>
                <w:rFonts w:hint="default" w:ascii="仿宋_GB2312" w:hAnsi="宋体" w:eastAsia="仿宋_GB2312" w:cs="宋体"/>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320</w:t>
            </w:r>
          </w:p>
        </w:tc>
        <w:tc>
          <w:tcPr>
            <w:tcW w:w="1550" w:type="dxa"/>
            <w:vMerge w:val="restart"/>
            <w:tcBorders>
              <w:tl2br w:val="nil"/>
              <w:tr2bl w:val="nil"/>
            </w:tcBorders>
            <w:vAlign w:val="center"/>
          </w:tcPr>
          <w:p w14:paraId="0AC03D0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占用城市道路期满或者挖掘城市道路后，不及时清理现场的</w:t>
            </w:r>
          </w:p>
        </w:tc>
        <w:tc>
          <w:tcPr>
            <w:tcW w:w="4820" w:type="dxa"/>
            <w:vMerge w:val="restart"/>
            <w:tcBorders>
              <w:tl2br w:val="nil"/>
              <w:tr2bl w:val="nil"/>
            </w:tcBorders>
            <w:vAlign w:val="center"/>
          </w:tcPr>
          <w:p w14:paraId="1C995D6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《城市道路管理条例》</w:t>
            </w:r>
            <w:r>
              <w:rPr>
                <w:rFonts w:hint="eastAsia" w:ascii="仿宋_GB2312" w:hAnsi="宋体" w:eastAsia="仿宋_GB2312" w:cs="宋体"/>
                <w:b/>
                <w:bCs/>
                <w:color w:val="auto"/>
                <w:kern w:val="0"/>
                <w:sz w:val="13"/>
                <w:szCs w:val="13"/>
                <w:highlight w:val="none"/>
              </w:rPr>
              <w:t>第四十二条</w:t>
            </w:r>
            <w:r>
              <w:rPr>
                <w:rFonts w:hint="eastAsia" w:ascii="仿宋_GB2312" w:hAnsi="宋体" w:eastAsia="仿宋_GB2312" w:cs="宋体"/>
                <w:b/>
                <w:bCs/>
                <w:color w:val="auto"/>
                <w:kern w:val="0"/>
                <w:sz w:val="13"/>
                <w:szCs w:val="13"/>
                <w:highlight w:val="none"/>
                <w:lang w:val="en-US" w:eastAsia="zh-CN"/>
              </w:rPr>
              <w:t>（三）项</w:t>
            </w:r>
            <w:r>
              <w:rPr>
                <w:rFonts w:hint="eastAsia" w:ascii="仿宋_GB2312" w:hAnsi="宋体" w:eastAsia="仿宋_GB2312" w:cs="宋体"/>
                <w:b/>
                <w:bCs/>
                <w:color w:val="auto"/>
                <w:kern w:val="0"/>
                <w:sz w:val="13"/>
                <w:szCs w:val="13"/>
                <w:highlight w:val="none"/>
                <w:lang w:eastAsia="zh-CN"/>
              </w:rPr>
              <w:t>：</w:t>
            </w:r>
            <w:r>
              <w:rPr>
                <w:rFonts w:hint="eastAsia" w:ascii="仿宋_GB2312" w:hAnsi="宋体" w:eastAsia="仿宋_GB2312" w:cs="宋体"/>
                <w:color w:val="auto"/>
                <w:kern w:val="0"/>
                <w:sz w:val="13"/>
                <w:szCs w:val="13"/>
                <w:highlight w:val="none"/>
              </w:rPr>
              <w:t>违反本条例第二十七条规定，或者有下列行为之一的，由市政工程行政主管部门或者其他有关部门责令限期改正，可以处以2万元以下的罚款；造成损失的，应当依法承担赔偿责任：（一）未对设在城市道路上的各种管线的检查井、箱盖或者城市道路附属设施的缺损及时补缺或者修复的；（二）未在城市道路施工现场设置明显标志和安全防围设施的；（三）占用城市道路期满或者挖掘城市道路后，不及时清理现场的；（四）依附于城市道路建设各种管线、杆线等设施，不按照规定办理批准手续的；（五）紧急抢修埋设在城市道路下的管线，不按照规定补办批准手续的；（六）未按照批准的位置、面积、期限占用或者挖掘城市道路，或者需要移动位置、扩大面积、延长时间，未提前办理变更审批手续的。</w:t>
            </w:r>
          </w:p>
        </w:tc>
        <w:tc>
          <w:tcPr>
            <w:tcW w:w="823" w:type="dxa"/>
            <w:tcBorders>
              <w:tl2br w:val="nil"/>
              <w:tr2bl w:val="nil"/>
            </w:tcBorders>
            <w:tcMar>
              <w:top w:w="15" w:type="dxa"/>
              <w:left w:w="15" w:type="dxa"/>
              <w:bottom w:w="15" w:type="dxa"/>
              <w:right w:w="15" w:type="dxa"/>
            </w:tcMar>
            <w:vAlign w:val="center"/>
          </w:tcPr>
          <w:p w14:paraId="7D4AA20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sz w:val="13"/>
                <w:szCs w:val="13"/>
                <w:highlight w:val="none"/>
                <w:lang w:eastAsia="zh-CN"/>
              </w:rPr>
              <w:t>从轻情节</w:t>
            </w:r>
          </w:p>
        </w:tc>
        <w:tc>
          <w:tcPr>
            <w:tcW w:w="3437" w:type="dxa"/>
            <w:gridSpan w:val="2"/>
            <w:tcBorders>
              <w:tl2br w:val="nil"/>
              <w:tr2bl w:val="nil"/>
            </w:tcBorders>
            <w:tcMar>
              <w:top w:w="15" w:type="dxa"/>
              <w:left w:w="15" w:type="dxa"/>
              <w:bottom w:w="15" w:type="dxa"/>
              <w:right w:w="15" w:type="dxa"/>
            </w:tcMar>
            <w:vAlign w:val="center"/>
          </w:tcPr>
          <w:p w14:paraId="4299792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kern w:val="0"/>
                <w:sz w:val="13"/>
                <w:szCs w:val="13"/>
                <w:highlight w:val="none"/>
              </w:rPr>
            </w:pPr>
            <w:r>
              <w:rPr>
                <w:rFonts w:hint="eastAsia" w:ascii="仿宋_GB2312" w:hAnsi="宋体" w:eastAsia="仿宋_GB2312" w:cs="宋体"/>
                <w:color w:val="auto"/>
                <w:kern w:val="0"/>
                <w:sz w:val="13"/>
                <w:szCs w:val="13"/>
                <w:highlight w:val="none"/>
              </w:rPr>
              <w:t>占用期满或挖掘城市道路后，未及时清理现场1日以内的。</w:t>
            </w:r>
          </w:p>
        </w:tc>
        <w:tc>
          <w:tcPr>
            <w:tcW w:w="3058" w:type="dxa"/>
            <w:tcBorders>
              <w:tl2br w:val="nil"/>
              <w:tr2bl w:val="nil"/>
            </w:tcBorders>
            <w:tcMar>
              <w:top w:w="15" w:type="dxa"/>
              <w:left w:w="15" w:type="dxa"/>
              <w:bottom w:w="15" w:type="dxa"/>
              <w:right w:w="15" w:type="dxa"/>
            </w:tcMar>
            <w:vAlign w:val="center"/>
          </w:tcPr>
          <w:p w14:paraId="2FD7CB7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kern w:val="0"/>
                <w:sz w:val="13"/>
                <w:szCs w:val="13"/>
                <w:highlight w:val="none"/>
              </w:rPr>
            </w:pPr>
            <w:r>
              <w:rPr>
                <w:rFonts w:hint="eastAsia" w:ascii="仿宋_GB2312" w:hAnsi="宋体" w:eastAsia="仿宋_GB2312" w:cs="宋体"/>
                <w:color w:val="auto"/>
                <w:kern w:val="0"/>
                <w:sz w:val="13"/>
                <w:szCs w:val="13"/>
                <w:highlight w:val="none"/>
              </w:rPr>
              <w:t>责令限期改正，可以处以5千元以下的罚款。</w:t>
            </w:r>
          </w:p>
        </w:tc>
      </w:tr>
      <w:tr w14:paraId="2695761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561" w:hRule="atLeast"/>
          <w:jc w:val="center"/>
        </w:trPr>
        <w:tc>
          <w:tcPr>
            <w:tcW w:w="428" w:type="dxa"/>
            <w:vMerge w:val="continue"/>
            <w:tcBorders>
              <w:tl2br w:val="nil"/>
              <w:tr2bl w:val="nil"/>
            </w:tcBorders>
            <w:vAlign w:val="center"/>
          </w:tcPr>
          <w:p w14:paraId="581090B3">
            <w:pPr>
              <w:pStyle w:val="37"/>
              <w:keepNext w:val="0"/>
              <w:keepLines w:val="0"/>
              <w:pageBreakBefore w:val="0"/>
              <w:widowControl/>
              <w:numPr>
                <w:ilvl w:val="0"/>
                <w:numId w:val="12"/>
              </w:numPr>
              <w:kinsoku/>
              <w:overflowPunct/>
              <w:topLinePunct w:val="0"/>
              <w:autoSpaceDE/>
              <w:autoSpaceDN/>
              <w:bidi w:val="0"/>
              <w:adjustRightInd/>
              <w:snapToGrid/>
              <w:spacing w:beforeAutospacing="0" w:afterAutospacing="0" w:line="260" w:lineRule="exact"/>
              <w:ind w:left="638" w:leftChars="88" w:right="0" w:rightChars="0" w:hanging="453" w:hangingChars="349"/>
              <w:jc w:val="center"/>
              <w:textAlignment w:val="center"/>
              <w:rPr>
                <w:rFonts w:ascii="仿宋_GB2312" w:hAnsi="宋体" w:eastAsia="仿宋_GB2312" w:cs="宋体"/>
                <w:color w:val="auto"/>
                <w:sz w:val="13"/>
                <w:szCs w:val="13"/>
                <w:highlight w:val="none"/>
              </w:rPr>
            </w:pPr>
          </w:p>
        </w:tc>
        <w:tc>
          <w:tcPr>
            <w:tcW w:w="1550" w:type="dxa"/>
            <w:vMerge w:val="continue"/>
            <w:tcBorders>
              <w:tl2br w:val="nil"/>
              <w:tr2bl w:val="nil"/>
            </w:tcBorders>
            <w:vAlign w:val="center"/>
          </w:tcPr>
          <w:p w14:paraId="3C2FC80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sz w:val="13"/>
                <w:szCs w:val="13"/>
                <w:highlight w:val="none"/>
              </w:rPr>
            </w:pPr>
          </w:p>
        </w:tc>
        <w:tc>
          <w:tcPr>
            <w:tcW w:w="4820" w:type="dxa"/>
            <w:vMerge w:val="continue"/>
            <w:tcBorders>
              <w:tl2br w:val="nil"/>
              <w:tr2bl w:val="nil"/>
            </w:tcBorders>
            <w:vAlign w:val="center"/>
          </w:tcPr>
          <w:p w14:paraId="6B7349A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5A40E6E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sz w:val="13"/>
                <w:szCs w:val="13"/>
                <w:highlight w:val="none"/>
                <w:lang w:eastAsia="zh-CN"/>
              </w:rPr>
              <w:t>一般情节</w:t>
            </w:r>
          </w:p>
        </w:tc>
        <w:tc>
          <w:tcPr>
            <w:tcW w:w="3437" w:type="dxa"/>
            <w:gridSpan w:val="2"/>
            <w:tcBorders>
              <w:tl2br w:val="nil"/>
              <w:tr2bl w:val="nil"/>
            </w:tcBorders>
            <w:tcMar>
              <w:top w:w="15" w:type="dxa"/>
              <w:left w:w="15" w:type="dxa"/>
              <w:bottom w:w="15" w:type="dxa"/>
              <w:right w:w="15" w:type="dxa"/>
            </w:tcMar>
            <w:vAlign w:val="center"/>
          </w:tcPr>
          <w:p w14:paraId="624BA5F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kern w:val="0"/>
                <w:sz w:val="13"/>
                <w:szCs w:val="13"/>
                <w:highlight w:val="none"/>
              </w:rPr>
            </w:pPr>
            <w:r>
              <w:rPr>
                <w:rFonts w:hint="eastAsia" w:ascii="仿宋_GB2312" w:hAnsi="宋体" w:eastAsia="仿宋_GB2312" w:cs="宋体"/>
                <w:color w:val="auto"/>
                <w:kern w:val="0"/>
                <w:sz w:val="13"/>
                <w:szCs w:val="13"/>
                <w:highlight w:val="none"/>
              </w:rPr>
              <w:t>占用期满或挖掘城市道路后，未及时清理现场1日以上2日以下的。</w:t>
            </w:r>
          </w:p>
        </w:tc>
        <w:tc>
          <w:tcPr>
            <w:tcW w:w="3058" w:type="dxa"/>
            <w:tcBorders>
              <w:tl2br w:val="nil"/>
              <w:tr2bl w:val="nil"/>
            </w:tcBorders>
            <w:tcMar>
              <w:top w:w="15" w:type="dxa"/>
              <w:left w:w="15" w:type="dxa"/>
              <w:bottom w:w="15" w:type="dxa"/>
              <w:right w:w="15" w:type="dxa"/>
            </w:tcMar>
            <w:vAlign w:val="center"/>
          </w:tcPr>
          <w:p w14:paraId="379337A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责令限期改正，可处以5千元以上1万元以下的罚款。</w:t>
            </w:r>
          </w:p>
        </w:tc>
      </w:tr>
      <w:tr w14:paraId="310629F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679" w:hRule="atLeast"/>
          <w:jc w:val="center"/>
        </w:trPr>
        <w:tc>
          <w:tcPr>
            <w:tcW w:w="428" w:type="dxa"/>
            <w:vMerge w:val="continue"/>
            <w:tcBorders>
              <w:tl2br w:val="nil"/>
              <w:tr2bl w:val="nil"/>
            </w:tcBorders>
            <w:vAlign w:val="center"/>
          </w:tcPr>
          <w:p w14:paraId="30A6A3EA">
            <w:pPr>
              <w:pStyle w:val="37"/>
              <w:keepNext w:val="0"/>
              <w:keepLines w:val="0"/>
              <w:pageBreakBefore w:val="0"/>
              <w:widowControl/>
              <w:numPr>
                <w:ilvl w:val="0"/>
                <w:numId w:val="12"/>
              </w:numPr>
              <w:kinsoku/>
              <w:overflowPunct/>
              <w:topLinePunct w:val="0"/>
              <w:autoSpaceDE/>
              <w:autoSpaceDN/>
              <w:bidi w:val="0"/>
              <w:adjustRightInd/>
              <w:snapToGrid/>
              <w:spacing w:beforeAutospacing="0" w:afterAutospacing="0" w:line="260" w:lineRule="exact"/>
              <w:ind w:left="638" w:leftChars="88" w:right="0" w:rightChars="0" w:hanging="453" w:hangingChars="349"/>
              <w:jc w:val="center"/>
              <w:textAlignment w:val="center"/>
              <w:rPr>
                <w:rFonts w:ascii="仿宋_GB2312" w:hAnsi="宋体" w:eastAsia="仿宋_GB2312" w:cs="宋体"/>
                <w:color w:val="auto"/>
                <w:sz w:val="13"/>
                <w:szCs w:val="13"/>
                <w:highlight w:val="none"/>
              </w:rPr>
            </w:pPr>
          </w:p>
        </w:tc>
        <w:tc>
          <w:tcPr>
            <w:tcW w:w="1550" w:type="dxa"/>
            <w:vMerge w:val="continue"/>
            <w:tcBorders>
              <w:tl2br w:val="nil"/>
              <w:tr2bl w:val="nil"/>
            </w:tcBorders>
            <w:vAlign w:val="center"/>
          </w:tcPr>
          <w:p w14:paraId="5401521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sz w:val="13"/>
                <w:szCs w:val="13"/>
                <w:highlight w:val="none"/>
              </w:rPr>
            </w:pPr>
          </w:p>
        </w:tc>
        <w:tc>
          <w:tcPr>
            <w:tcW w:w="4820" w:type="dxa"/>
            <w:vMerge w:val="continue"/>
            <w:tcBorders>
              <w:tl2br w:val="nil"/>
              <w:tr2bl w:val="nil"/>
            </w:tcBorders>
            <w:vAlign w:val="center"/>
          </w:tcPr>
          <w:p w14:paraId="708D95D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2BC7323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sz w:val="13"/>
                <w:szCs w:val="13"/>
                <w:highlight w:val="none"/>
                <w:lang w:eastAsia="zh-CN"/>
              </w:rPr>
              <w:t>从重情节</w:t>
            </w:r>
          </w:p>
        </w:tc>
        <w:tc>
          <w:tcPr>
            <w:tcW w:w="3437" w:type="dxa"/>
            <w:gridSpan w:val="2"/>
            <w:tcBorders>
              <w:tl2br w:val="nil"/>
              <w:tr2bl w:val="nil"/>
            </w:tcBorders>
            <w:tcMar>
              <w:top w:w="15" w:type="dxa"/>
              <w:left w:w="15" w:type="dxa"/>
              <w:bottom w:w="15" w:type="dxa"/>
              <w:right w:w="15" w:type="dxa"/>
            </w:tcMar>
            <w:vAlign w:val="center"/>
          </w:tcPr>
          <w:p w14:paraId="7F79845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kern w:val="0"/>
                <w:sz w:val="13"/>
                <w:szCs w:val="13"/>
                <w:highlight w:val="none"/>
              </w:rPr>
            </w:pPr>
            <w:r>
              <w:rPr>
                <w:rFonts w:hint="eastAsia" w:ascii="仿宋_GB2312" w:hAnsi="宋体" w:eastAsia="仿宋_GB2312" w:cs="宋体"/>
                <w:color w:val="auto"/>
                <w:kern w:val="0"/>
                <w:sz w:val="13"/>
                <w:szCs w:val="13"/>
                <w:highlight w:val="none"/>
              </w:rPr>
              <w:t>占用期满或挖掘城市道路后，未及时清理现场2日以上的</w:t>
            </w:r>
            <w:r>
              <w:rPr>
                <w:rFonts w:hint="eastAsia" w:ascii="仿宋_GB2312" w:hAnsi="宋体" w:eastAsia="仿宋_GB2312" w:cs="宋体"/>
                <w:color w:val="auto"/>
                <w:kern w:val="0"/>
                <w:sz w:val="13"/>
                <w:szCs w:val="13"/>
                <w:highlight w:val="none"/>
                <w:lang w:eastAsia="zh-CN"/>
              </w:rPr>
              <w:t>，</w:t>
            </w:r>
            <w:r>
              <w:rPr>
                <w:rFonts w:hint="eastAsia" w:ascii="仿宋_GB2312" w:hAnsi="宋体" w:eastAsia="仿宋_GB2312" w:cs="宋体"/>
                <w:color w:val="auto"/>
                <w:kern w:val="0"/>
                <w:sz w:val="13"/>
                <w:szCs w:val="13"/>
                <w:highlight w:val="none"/>
                <w:lang w:val="en-US" w:eastAsia="zh-CN"/>
              </w:rPr>
              <w:t>或</w:t>
            </w:r>
            <w:r>
              <w:rPr>
                <w:rFonts w:hint="eastAsia" w:ascii="仿宋_GB2312" w:hAnsi="宋体" w:eastAsia="仿宋_GB2312" w:cs="宋体"/>
                <w:color w:val="auto"/>
                <w:kern w:val="0"/>
                <w:sz w:val="13"/>
                <w:szCs w:val="13"/>
                <w:highlight w:val="none"/>
              </w:rPr>
              <w:t>造成严重危害后果的。</w:t>
            </w:r>
          </w:p>
        </w:tc>
        <w:tc>
          <w:tcPr>
            <w:tcW w:w="3058" w:type="dxa"/>
            <w:tcBorders>
              <w:tl2br w:val="nil"/>
              <w:tr2bl w:val="nil"/>
            </w:tcBorders>
            <w:tcMar>
              <w:top w:w="15" w:type="dxa"/>
              <w:left w:w="15" w:type="dxa"/>
              <w:bottom w:w="15" w:type="dxa"/>
              <w:right w:w="15" w:type="dxa"/>
            </w:tcMar>
            <w:vAlign w:val="center"/>
          </w:tcPr>
          <w:p w14:paraId="1A464BC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kern w:val="0"/>
                <w:sz w:val="13"/>
                <w:szCs w:val="13"/>
                <w:highlight w:val="none"/>
              </w:rPr>
            </w:pPr>
            <w:r>
              <w:rPr>
                <w:rFonts w:hint="eastAsia" w:ascii="仿宋_GB2312" w:hAnsi="宋体" w:eastAsia="仿宋_GB2312" w:cs="宋体"/>
                <w:color w:val="auto"/>
                <w:kern w:val="0"/>
                <w:sz w:val="13"/>
                <w:szCs w:val="13"/>
                <w:highlight w:val="none"/>
              </w:rPr>
              <w:t>责令限期改正，可处以1万元以上2万元以下的罚款。</w:t>
            </w:r>
          </w:p>
        </w:tc>
      </w:tr>
      <w:tr w14:paraId="0207192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247" w:hRule="atLeast"/>
          <w:jc w:val="center"/>
        </w:trPr>
        <w:tc>
          <w:tcPr>
            <w:tcW w:w="428" w:type="dxa"/>
            <w:vMerge w:val="restart"/>
            <w:tcBorders>
              <w:tl2br w:val="nil"/>
              <w:tr2bl w:val="nil"/>
            </w:tcBorders>
            <w:vAlign w:val="center"/>
          </w:tcPr>
          <w:p w14:paraId="26CC872E">
            <w:pPr>
              <w:keepNext w:val="0"/>
              <w:keepLines w:val="0"/>
              <w:pageBreakBefore w:val="0"/>
              <w:widowControl/>
              <w:numPr>
                <w:ilvl w:val="0"/>
                <w:numId w:val="11"/>
              </w:numPr>
              <w:suppressLineNumbers w:val="0"/>
              <w:tabs>
                <w:tab w:val="clear" w:pos="397"/>
              </w:tabs>
              <w:kinsoku/>
              <w:overflowPunct/>
              <w:topLinePunct w:val="0"/>
              <w:autoSpaceDE/>
              <w:autoSpaceDN/>
              <w:bidi w:val="0"/>
              <w:adjustRightInd/>
              <w:snapToGrid/>
              <w:spacing w:beforeAutospacing="0" w:afterAutospacing="0" w:line="260" w:lineRule="exact"/>
              <w:ind w:left="638" w:leftChars="88" w:right="0" w:rightChars="0" w:hanging="453" w:hangingChars="349"/>
              <w:jc w:val="center"/>
              <w:textAlignment w:val="center"/>
              <w:rPr>
                <w:rFonts w:hint="default" w:ascii="仿宋_GB2312" w:hAnsi="宋体" w:eastAsia="仿宋_GB2312" w:cs="宋体"/>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321</w:t>
            </w:r>
          </w:p>
        </w:tc>
        <w:tc>
          <w:tcPr>
            <w:tcW w:w="1550" w:type="dxa"/>
            <w:vMerge w:val="restart"/>
            <w:tcBorders>
              <w:tl2br w:val="nil"/>
              <w:tr2bl w:val="nil"/>
            </w:tcBorders>
            <w:vAlign w:val="center"/>
          </w:tcPr>
          <w:p w14:paraId="11C2323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rPr>
                <w:rFonts w:ascii="仿宋_GB2312" w:hAnsi="宋体" w:eastAsia="仿宋_GB2312" w:cs="宋体"/>
                <w:color w:val="auto"/>
                <w:kern w:val="0"/>
                <w:sz w:val="13"/>
                <w:szCs w:val="13"/>
                <w:highlight w:val="none"/>
              </w:rPr>
            </w:pPr>
            <w:r>
              <w:rPr>
                <w:rFonts w:hint="eastAsia" w:ascii="仿宋_GB2312" w:hAnsi="宋体" w:eastAsia="仿宋_GB2312" w:cs="宋体"/>
                <w:color w:val="auto"/>
                <w:kern w:val="0"/>
                <w:sz w:val="13"/>
                <w:szCs w:val="13"/>
                <w:highlight w:val="none"/>
              </w:rPr>
              <w:t>紧急抢修埋设在城市道路下的管线，不按照规定补办批准手续的</w:t>
            </w:r>
          </w:p>
          <w:p w14:paraId="137D815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kern w:val="0"/>
                <w:sz w:val="13"/>
                <w:szCs w:val="13"/>
                <w:highlight w:val="none"/>
              </w:rPr>
            </w:pPr>
          </w:p>
          <w:p w14:paraId="1D29F71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kern w:val="0"/>
                <w:sz w:val="13"/>
                <w:szCs w:val="13"/>
                <w:highlight w:val="none"/>
              </w:rPr>
            </w:pPr>
          </w:p>
        </w:tc>
        <w:tc>
          <w:tcPr>
            <w:tcW w:w="4820" w:type="dxa"/>
            <w:vMerge w:val="restart"/>
            <w:tcBorders>
              <w:tl2br w:val="nil"/>
              <w:tr2bl w:val="nil"/>
            </w:tcBorders>
            <w:vAlign w:val="center"/>
          </w:tcPr>
          <w:p w14:paraId="04590CD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hint="eastAsia" w:ascii="仿宋_GB2312" w:hAnsi="宋体" w:eastAsia="仿宋_GB2312" w:cs="宋体"/>
                <w:color w:val="auto"/>
                <w:kern w:val="0"/>
                <w:sz w:val="13"/>
                <w:szCs w:val="13"/>
                <w:highlight w:val="none"/>
              </w:rPr>
            </w:pPr>
            <w:r>
              <w:rPr>
                <w:rFonts w:hint="eastAsia" w:ascii="仿宋_GB2312" w:hAnsi="宋体" w:eastAsia="仿宋_GB2312" w:cs="宋体"/>
                <w:color w:val="auto"/>
                <w:kern w:val="0"/>
                <w:sz w:val="13"/>
                <w:szCs w:val="13"/>
                <w:highlight w:val="none"/>
              </w:rPr>
              <w:t>《城市道路管理条例》</w:t>
            </w:r>
            <w:r>
              <w:rPr>
                <w:rFonts w:hint="eastAsia" w:ascii="仿宋_GB2312" w:hAnsi="宋体" w:eastAsia="仿宋_GB2312" w:cs="宋体"/>
                <w:b/>
                <w:bCs/>
                <w:color w:val="auto"/>
                <w:kern w:val="0"/>
                <w:sz w:val="13"/>
                <w:szCs w:val="13"/>
                <w:highlight w:val="none"/>
              </w:rPr>
              <w:t>第四十二条</w:t>
            </w:r>
            <w:r>
              <w:rPr>
                <w:rFonts w:hint="eastAsia" w:ascii="仿宋_GB2312" w:hAnsi="宋体" w:eastAsia="仿宋_GB2312" w:cs="宋体"/>
                <w:b/>
                <w:bCs/>
                <w:color w:val="auto"/>
                <w:kern w:val="0"/>
                <w:sz w:val="13"/>
                <w:szCs w:val="13"/>
                <w:highlight w:val="none"/>
                <w:lang w:val="en-US" w:eastAsia="zh-CN"/>
              </w:rPr>
              <w:t>（五）项</w:t>
            </w:r>
            <w:r>
              <w:rPr>
                <w:rFonts w:hint="eastAsia" w:ascii="仿宋_GB2312" w:hAnsi="宋体" w:eastAsia="仿宋_GB2312" w:cs="宋体"/>
                <w:b/>
                <w:bCs/>
                <w:color w:val="auto"/>
                <w:kern w:val="0"/>
                <w:sz w:val="13"/>
                <w:szCs w:val="13"/>
                <w:highlight w:val="none"/>
                <w:lang w:eastAsia="zh-CN"/>
              </w:rPr>
              <w:t>：</w:t>
            </w:r>
            <w:r>
              <w:rPr>
                <w:rFonts w:hint="eastAsia" w:ascii="仿宋_GB2312" w:hAnsi="宋体" w:eastAsia="仿宋_GB2312" w:cs="宋体"/>
                <w:color w:val="auto"/>
                <w:kern w:val="0"/>
                <w:sz w:val="13"/>
                <w:szCs w:val="13"/>
                <w:highlight w:val="none"/>
              </w:rPr>
              <w:t>违反本条例第二十七条规定，或者有下列行为之一的，由市政工程行政主管部门或者其他有关部门责令限期改正，可以处以2万元以下的罚款；造成损失的，应当依法承担赔偿责任：</w:t>
            </w:r>
          </w:p>
          <w:p w14:paraId="7D8020B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一）未对设在城市道路上的各种管线的检查井、箱盖或者城市道路附属设施的缺损及时补缺或者修复的；（二）未在城市道路施工现场设置明显标志和安全防围设施的；（三）占用城市道路期满或者挖掘城市道路后，不及时清理现场的；（四）依附于城市道路建设各种管线、杆线等设施，不按照规定办理批准手续的；（五）紧急抢修埋设在城市道路下的管线，不按照规定补办批准手续的；（六）未按照批准的位置、面积、期限占用或者挖掘城市道路，或者需要移动位置、扩大面积、延长时间，未提前办理变更审批手续的。</w:t>
            </w:r>
          </w:p>
        </w:tc>
        <w:tc>
          <w:tcPr>
            <w:tcW w:w="823" w:type="dxa"/>
            <w:tcBorders>
              <w:tl2br w:val="nil"/>
              <w:tr2bl w:val="nil"/>
            </w:tcBorders>
            <w:tcMar>
              <w:top w:w="15" w:type="dxa"/>
              <w:left w:w="15" w:type="dxa"/>
              <w:bottom w:w="15" w:type="dxa"/>
              <w:right w:w="15" w:type="dxa"/>
            </w:tcMar>
            <w:vAlign w:val="center"/>
          </w:tcPr>
          <w:p w14:paraId="5761CF5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sz w:val="13"/>
                <w:szCs w:val="13"/>
                <w:highlight w:val="none"/>
                <w:lang w:eastAsia="zh-CN"/>
              </w:rPr>
              <w:t>从轻情节</w:t>
            </w:r>
          </w:p>
        </w:tc>
        <w:tc>
          <w:tcPr>
            <w:tcW w:w="3437" w:type="dxa"/>
            <w:gridSpan w:val="2"/>
            <w:tcBorders>
              <w:tl2br w:val="nil"/>
              <w:tr2bl w:val="nil"/>
            </w:tcBorders>
            <w:tcMar>
              <w:top w:w="15" w:type="dxa"/>
              <w:left w:w="15" w:type="dxa"/>
              <w:bottom w:w="15" w:type="dxa"/>
              <w:right w:w="15" w:type="dxa"/>
            </w:tcMar>
            <w:vAlign w:val="center"/>
          </w:tcPr>
          <w:p w14:paraId="29931F2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kern w:val="0"/>
                <w:sz w:val="13"/>
                <w:szCs w:val="13"/>
                <w:highlight w:val="none"/>
              </w:rPr>
            </w:pPr>
            <w:r>
              <w:rPr>
                <w:rFonts w:hint="eastAsia" w:ascii="仿宋_GB2312" w:hAnsi="宋体" w:eastAsia="仿宋_GB2312" w:cs="宋体"/>
                <w:color w:val="auto"/>
                <w:kern w:val="0"/>
                <w:sz w:val="13"/>
                <w:szCs w:val="13"/>
                <w:highlight w:val="none"/>
              </w:rPr>
              <w:t>紧急抢修埋设在城市道路下的管线，不按照规定补办批准手续，超过规定时限5日以下的。</w:t>
            </w:r>
          </w:p>
        </w:tc>
        <w:tc>
          <w:tcPr>
            <w:tcW w:w="3058" w:type="dxa"/>
            <w:tcBorders>
              <w:tl2br w:val="nil"/>
              <w:tr2bl w:val="nil"/>
            </w:tcBorders>
            <w:tcMar>
              <w:top w:w="15" w:type="dxa"/>
              <w:left w:w="15" w:type="dxa"/>
              <w:bottom w:w="15" w:type="dxa"/>
              <w:right w:w="15" w:type="dxa"/>
            </w:tcMar>
            <w:vAlign w:val="center"/>
          </w:tcPr>
          <w:p w14:paraId="15E298F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kern w:val="0"/>
                <w:sz w:val="13"/>
                <w:szCs w:val="13"/>
                <w:highlight w:val="none"/>
              </w:rPr>
            </w:pPr>
            <w:r>
              <w:rPr>
                <w:rFonts w:hint="eastAsia" w:ascii="仿宋_GB2312" w:hAnsi="宋体" w:eastAsia="仿宋_GB2312" w:cs="宋体"/>
                <w:color w:val="auto"/>
                <w:kern w:val="0"/>
                <w:sz w:val="13"/>
                <w:szCs w:val="13"/>
                <w:highlight w:val="none"/>
              </w:rPr>
              <w:t>责令限期改正，可以处以5千元以下的罚款。</w:t>
            </w:r>
          </w:p>
        </w:tc>
      </w:tr>
      <w:tr w14:paraId="554DD7E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578" w:hRule="atLeast"/>
          <w:jc w:val="center"/>
        </w:trPr>
        <w:tc>
          <w:tcPr>
            <w:tcW w:w="428" w:type="dxa"/>
            <w:vMerge w:val="continue"/>
            <w:tcBorders>
              <w:tl2br w:val="nil"/>
              <w:tr2bl w:val="nil"/>
            </w:tcBorders>
            <w:vAlign w:val="center"/>
          </w:tcPr>
          <w:p w14:paraId="3A724F44">
            <w:pPr>
              <w:pStyle w:val="37"/>
              <w:keepNext w:val="0"/>
              <w:keepLines w:val="0"/>
              <w:pageBreakBefore w:val="0"/>
              <w:widowControl/>
              <w:numPr>
                <w:ilvl w:val="0"/>
                <w:numId w:val="12"/>
              </w:numPr>
              <w:kinsoku/>
              <w:overflowPunct/>
              <w:topLinePunct w:val="0"/>
              <w:autoSpaceDE/>
              <w:autoSpaceDN/>
              <w:bidi w:val="0"/>
              <w:adjustRightInd/>
              <w:snapToGrid/>
              <w:spacing w:beforeAutospacing="0" w:afterAutospacing="0" w:line="260" w:lineRule="exact"/>
              <w:ind w:left="638" w:leftChars="88" w:right="0" w:rightChars="0" w:hanging="453" w:hangingChars="349"/>
              <w:jc w:val="center"/>
              <w:textAlignment w:val="center"/>
              <w:rPr>
                <w:rFonts w:ascii="仿宋_GB2312" w:hAnsi="宋体" w:eastAsia="仿宋_GB2312" w:cs="宋体"/>
                <w:color w:val="auto"/>
                <w:sz w:val="13"/>
                <w:szCs w:val="13"/>
                <w:highlight w:val="none"/>
              </w:rPr>
            </w:pPr>
          </w:p>
        </w:tc>
        <w:tc>
          <w:tcPr>
            <w:tcW w:w="1550" w:type="dxa"/>
            <w:vMerge w:val="continue"/>
            <w:tcBorders>
              <w:tl2br w:val="nil"/>
              <w:tr2bl w:val="nil"/>
            </w:tcBorders>
            <w:vAlign w:val="center"/>
          </w:tcPr>
          <w:p w14:paraId="5981C89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sz w:val="13"/>
                <w:szCs w:val="13"/>
                <w:highlight w:val="none"/>
              </w:rPr>
            </w:pPr>
          </w:p>
        </w:tc>
        <w:tc>
          <w:tcPr>
            <w:tcW w:w="4820" w:type="dxa"/>
            <w:vMerge w:val="continue"/>
            <w:tcBorders>
              <w:tl2br w:val="nil"/>
              <w:tr2bl w:val="nil"/>
            </w:tcBorders>
            <w:vAlign w:val="center"/>
          </w:tcPr>
          <w:p w14:paraId="758844C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7B4A324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sz w:val="13"/>
                <w:szCs w:val="13"/>
                <w:highlight w:val="none"/>
                <w:lang w:eastAsia="zh-CN"/>
              </w:rPr>
              <w:t>一般情节</w:t>
            </w:r>
          </w:p>
        </w:tc>
        <w:tc>
          <w:tcPr>
            <w:tcW w:w="3437" w:type="dxa"/>
            <w:gridSpan w:val="2"/>
            <w:tcBorders>
              <w:tl2br w:val="nil"/>
              <w:tr2bl w:val="nil"/>
            </w:tcBorders>
            <w:tcMar>
              <w:top w:w="15" w:type="dxa"/>
              <w:left w:w="15" w:type="dxa"/>
              <w:bottom w:w="15" w:type="dxa"/>
              <w:right w:w="15" w:type="dxa"/>
            </w:tcMar>
            <w:vAlign w:val="center"/>
          </w:tcPr>
          <w:p w14:paraId="0F33E86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kern w:val="0"/>
                <w:sz w:val="13"/>
                <w:szCs w:val="13"/>
                <w:highlight w:val="none"/>
              </w:rPr>
            </w:pPr>
            <w:r>
              <w:rPr>
                <w:rFonts w:hint="eastAsia" w:ascii="仿宋_GB2312" w:hAnsi="宋体" w:eastAsia="仿宋_GB2312" w:cs="宋体"/>
                <w:color w:val="auto"/>
                <w:kern w:val="0"/>
                <w:sz w:val="13"/>
                <w:szCs w:val="13"/>
                <w:highlight w:val="none"/>
              </w:rPr>
              <w:t>紧急抢修埋设在城市道路下的管线，不按照规定补办批准手续，超过规定时限5日以上10日以下的。</w:t>
            </w:r>
          </w:p>
        </w:tc>
        <w:tc>
          <w:tcPr>
            <w:tcW w:w="3058" w:type="dxa"/>
            <w:tcBorders>
              <w:tl2br w:val="nil"/>
              <w:tr2bl w:val="nil"/>
            </w:tcBorders>
            <w:tcMar>
              <w:top w:w="15" w:type="dxa"/>
              <w:left w:w="15" w:type="dxa"/>
              <w:bottom w:w="15" w:type="dxa"/>
              <w:right w:w="15" w:type="dxa"/>
            </w:tcMar>
            <w:vAlign w:val="center"/>
          </w:tcPr>
          <w:p w14:paraId="3D79ED4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责令限期改正，可处以5千元以上1万元以下的罚款。</w:t>
            </w:r>
          </w:p>
          <w:p w14:paraId="5F874EE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sz w:val="13"/>
                <w:szCs w:val="13"/>
                <w:highlight w:val="none"/>
              </w:rPr>
            </w:pPr>
          </w:p>
        </w:tc>
      </w:tr>
      <w:tr w14:paraId="1E5C732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498" w:hRule="atLeast"/>
          <w:jc w:val="center"/>
        </w:trPr>
        <w:tc>
          <w:tcPr>
            <w:tcW w:w="428" w:type="dxa"/>
            <w:vMerge w:val="continue"/>
            <w:tcBorders>
              <w:tl2br w:val="nil"/>
              <w:tr2bl w:val="nil"/>
            </w:tcBorders>
            <w:vAlign w:val="center"/>
          </w:tcPr>
          <w:p w14:paraId="562FF95D">
            <w:pPr>
              <w:pStyle w:val="37"/>
              <w:keepNext w:val="0"/>
              <w:keepLines w:val="0"/>
              <w:pageBreakBefore w:val="0"/>
              <w:widowControl/>
              <w:numPr>
                <w:ilvl w:val="0"/>
                <w:numId w:val="12"/>
              </w:numPr>
              <w:kinsoku/>
              <w:overflowPunct/>
              <w:topLinePunct w:val="0"/>
              <w:autoSpaceDE/>
              <w:autoSpaceDN/>
              <w:bidi w:val="0"/>
              <w:adjustRightInd/>
              <w:snapToGrid/>
              <w:spacing w:beforeAutospacing="0" w:afterAutospacing="0" w:line="260" w:lineRule="exact"/>
              <w:ind w:left="638" w:leftChars="88" w:right="0" w:rightChars="0" w:hanging="453" w:hangingChars="349"/>
              <w:jc w:val="center"/>
              <w:textAlignment w:val="center"/>
              <w:rPr>
                <w:rFonts w:ascii="仿宋_GB2312" w:hAnsi="宋体" w:eastAsia="仿宋_GB2312" w:cs="宋体"/>
                <w:color w:val="auto"/>
                <w:kern w:val="0"/>
                <w:sz w:val="13"/>
                <w:szCs w:val="13"/>
                <w:highlight w:val="none"/>
              </w:rPr>
            </w:pPr>
          </w:p>
        </w:tc>
        <w:tc>
          <w:tcPr>
            <w:tcW w:w="1550" w:type="dxa"/>
            <w:vMerge w:val="continue"/>
            <w:tcBorders>
              <w:tl2br w:val="nil"/>
              <w:tr2bl w:val="nil"/>
            </w:tcBorders>
            <w:vAlign w:val="center"/>
          </w:tcPr>
          <w:p w14:paraId="7580D63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kern w:val="0"/>
                <w:sz w:val="13"/>
                <w:szCs w:val="13"/>
                <w:highlight w:val="none"/>
              </w:rPr>
            </w:pPr>
          </w:p>
        </w:tc>
        <w:tc>
          <w:tcPr>
            <w:tcW w:w="4820" w:type="dxa"/>
            <w:vMerge w:val="continue"/>
            <w:tcBorders>
              <w:tl2br w:val="nil"/>
              <w:tr2bl w:val="nil"/>
            </w:tcBorders>
            <w:vAlign w:val="center"/>
          </w:tcPr>
          <w:p w14:paraId="5943BFA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kern w:val="0"/>
                <w:sz w:val="13"/>
                <w:szCs w:val="13"/>
                <w:highlight w:val="none"/>
              </w:rPr>
            </w:pPr>
          </w:p>
        </w:tc>
        <w:tc>
          <w:tcPr>
            <w:tcW w:w="823" w:type="dxa"/>
            <w:tcBorders>
              <w:tl2br w:val="nil"/>
              <w:tr2bl w:val="nil"/>
            </w:tcBorders>
            <w:tcMar>
              <w:top w:w="15" w:type="dxa"/>
              <w:left w:w="15" w:type="dxa"/>
              <w:bottom w:w="15" w:type="dxa"/>
              <w:right w:w="15" w:type="dxa"/>
            </w:tcMar>
            <w:vAlign w:val="center"/>
          </w:tcPr>
          <w:p w14:paraId="6C472A5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sz w:val="13"/>
                <w:szCs w:val="13"/>
                <w:highlight w:val="none"/>
                <w:lang w:eastAsia="zh-CN"/>
              </w:rPr>
              <w:t>从重情节</w:t>
            </w:r>
          </w:p>
        </w:tc>
        <w:tc>
          <w:tcPr>
            <w:tcW w:w="3437" w:type="dxa"/>
            <w:gridSpan w:val="2"/>
            <w:tcBorders>
              <w:tl2br w:val="nil"/>
              <w:tr2bl w:val="nil"/>
            </w:tcBorders>
            <w:tcMar>
              <w:top w:w="15" w:type="dxa"/>
              <w:left w:w="15" w:type="dxa"/>
              <w:bottom w:w="15" w:type="dxa"/>
              <w:right w:w="15" w:type="dxa"/>
            </w:tcMar>
            <w:vAlign w:val="center"/>
          </w:tcPr>
          <w:p w14:paraId="517F044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kern w:val="0"/>
                <w:sz w:val="13"/>
                <w:szCs w:val="13"/>
                <w:highlight w:val="none"/>
              </w:rPr>
            </w:pPr>
            <w:r>
              <w:rPr>
                <w:rFonts w:hint="eastAsia" w:ascii="仿宋_GB2312" w:hAnsi="宋体" w:eastAsia="仿宋_GB2312" w:cs="宋体"/>
                <w:color w:val="auto"/>
                <w:kern w:val="0"/>
                <w:sz w:val="13"/>
                <w:szCs w:val="13"/>
                <w:highlight w:val="none"/>
              </w:rPr>
              <w:t>紧急抢修埋设在城市道路下的管线，不按照规定补办批准手续，超过规定时限10日以上的</w:t>
            </w:r>
            <w:r>
              <w:rPr>
                <w:rFonts w:hint="eastAsia" w:ascii="仿宋_GB2312" w:hAnsi="宋体" w:eastAsia="仿宋_GB2312" w:cs="宋体"/>
                <w:color w:val="auto"/>
                <w:kern w:val="0"/>
                <w:sz w:val="13"/>
                <w:szCs w:val="13"/>
                <w:highlight w:val="none"/>
                <w:lang w:eastAsia="zh-CN"/>
              </w:rPr>
              <w:t>，</w:t>
            </w:r>
            <w:r>
              <w:rPr>
                <w:rFonts w:hint="eastAsia" w:ascii="仿宋_GB2312" w:hAnsi="宋体" w:eastAsia="仿宋_GB2312" w:cs="宋体"/>
                <w:color w:val="auto"/>
                <w:kern w:val="0"/>
                <w:sz w:val="13"/>
                <w:szCs w:val="13"/>
                <w:highlight w:val="none"/>
                <w:lang w:val="en-US" w:eastAsia="zh-CN"/>
              </w:rPr>
              <w:t>或</w:t>
            </w:r>
            <w:r>
              <w:rPr>
                <w:rFonts w:hint="eastAsia" w:ascii="仿宋_GB2312" w:hAnsi="宋体" w:eastAsia="仿宋_GB2312" w:cs="宋体"/>
                <w:color w:val="auto"/>
                <w:kern w:val="0"/>
                <w:sz w:val="13"/>
                <w:szCs w:val="13"/>
                <w:highlight w:val="none"/>
              </w:rPr>
              <w:t>造成严重危害后果的。</w:t>
            </w:r>
          </w:p>
        </w:tc>
        <w:tc>
          <w:tcPr>
            <w:tcW w:w="3058" w:type="dxa"/>
            <w:tcBorders>
              <w:tl2br w:val="nil"/>
              <w:tr2bl w:val="nil"/>
            </w:tcBorders>
            <w:tcMar>
              <w:top w:w="15" w:type="dxa"/>
              <w:left w:w="15" w:type="dxa"/>
              <w:bottom w:w="15" w:type="dxa"/>
              <w:right w:w="15" w:type="dxa"/>
            </w:tcMar>
            <w:vAlign w:val="center"/>
          </w:tcPr>
          <w:p w14:paraId="740B047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责令限期改正，可处以1万元以上2万元以下的罚款。</w:t>
            </w:r>
          </w:p>
        </w:tc>
      </w:tr>
      <w:tr w14:paraId="0D561DD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785" w:hRule="atLeast"/>
          <w:jc w:val="center"/>
        </w:trPr>
        <w:tc>
          <w:tcPr>
            <w:tcW w:w="428" w:type="dxa"/>
            <w:vMerge w:val="restart"/>
            <w:tcBorders>
              <w:tl2br w:val="nil"/>
              <w:tr2bl w:val="nil"/>
            </w:tcBorders>
            <w:vAlign w:val="center"/>
          </w:tcPr>
          <w:p w14:paraId="5A8444A1">
            <w:pPr>
              <w:keepNext w:val="0"/>
              <w:keepLines w:val="0"/>
              <w:pageBreakBefore w:val="0"/>
              <w:widowControl/>
              <w:numPr>
                <w:ilvl w:val="0"/>
                <w:numId w:val="11"/>
              </w:numPr>
              <w:suppressLineNumbers w:val="0"/>
              <w:tabs>
                <w:tab w:val="clear" w:pos="397"/>
              </w:tabs>
              <w:kinsoku/>
              <w:overflowPunct/>
              <w:topLinePunct w:val="0"/>
              <w:autoSpaceDE/>
              <w:autoSpaceDN/>
              <w:bidi w:val="0"/>
              <w:adjustRightInd/>
              <w:snapToGrid/>
              <w:spacing w:beforeAutospacing="0" w:afterAutospacing="0" w:line="260" w:lineRule="exact"/>
              <w:ind w:left="638" w:leftChars="88" w:right="0" w:rightChars="0" w:hanging="453" w:hangingChars="349"/>
              <w:jc w:val="center"/>
              <w:textAlignment w:val="center"/>
              <w:rPr>
                <w:rFonts w:hint="default" w:ascii="仿宋_GB2312" w:hAnsi="宋体" w:eastAsia="仿宋_GB2312" w:cs="仿宋_GB2312"/>
                <w:i w:val="0"/>
                <w:color w:val="auto"/>
                <w:kern w:val="0"/>
                <w:sz w:val="13"/>
                <w:szCs w:val="13"/>
                <w:highlight w:val="none"/>
                <w:u w:val="none"/>
                <w:lang w:val="en-US" w:eastAsia="zh-CN" w:bidi="ar"/>
              </w:rPr>
            </w:pPr>
            <w:r>
              <w:rPr>
                <w:rFonts w:hint="eastAsia" w:ascii="仿宋_GB2312" w:hAnsi="宋体" w:eastAsia="仿宋_GB2312" w:cs="仿宋_GB2312"/>
                <w:i w:val="0"/>
                <w:color w:val="auto"/>
                <w:kern w:val="0"/>
                <w:sz w:val="13"/>
                <w:szCs w:val="13"/>
                <w:highlight w:val="none"/>
                <w:u w:val="none"/>
                <w:lang w:val="en-US" w:eastAsia="zh-CN" w:bidi="ar"/>
              </w:rPr>
              <w:t>322</w:t>
            </w:r>
          </w:p>
        </w:tc>
        <w:tc>
          <w:tcPr>
            <w:tcW w:w="1550" w:type="dxa"/>
            <w:vMerge w:val="restart"/>
            <w:tcBorders>
              <w:tl2br w:val="nil"/>
              <w:tr2bl w:val="nil"/>
            </w:tcBorders>
            <w:vAlign w:val="center"/>
          </w:tcPr>
          <w:p w14:paraId="1D7FA54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hint="eastAsia" w:ascii="仿宋_GB2312" w:eastAsia="仿宋_GB2312"/>
                <w:color w:val="auto"/>
                <w:sz w:val="13"/>
                <w:szCs w:val="13"/>
                <w:highlight w:val="none"/>
              </w:rPr>
            </w:pPr>
            <w:r>
              <w:rPr>
                <w:rFonts w:hint="eastAsia" w:ascii="仿宋_GB2312" w:hAnsi="宋体" w:eastAsia="仿宋_GB2312" w:cs="宋体"/>
                <w:color w:val="auto"/>
                <w:kern w:val="0"/>
                <w:sz w:val="13"/>
                <w:szCs w:val="13"/>
                <w:highlight w:val="none"/>
              </w:rPr>
              <w:t>未取得燃气经营许可证从事燃气经营活动的</w:t>
            </w:r>
          </w:p>
        </w:tc>
        <w:tc>
          <w:tcPr>
            <w:tcW w:w="4820" w:type="dxa"/>
            <w:vMerge w:val="restart"/>
            <w:tcBorders>
              <w:tl2br w:val="nil"/>
              <w:tr2bl w:val="nil"/>
            </w:tcBorders>
            <w:vAlign w:val="center"/>
          </w:tcPr>
          <w:p w14:paraId="790D12D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hint="eastAsia" w:ascii="仿宋_GB2312" w:hAnsi="宋体" w:eastAsia="仿宋_GB2312" w:cs="宋体"/>
                <w:color w:val="auto"/>
                <w:kern w:val="0"/>
                <w:sz w:val="13"/>
                <w:szCs w:val="13"/>
                <w:highlight w:val="none"/>
              </w:rPr>
            </w:pPr>
            <w:r>
              <w:rPr>
                <w:rFonts w:hint="eastAsia" w:ascii="仿宋_GB2312" w:hAnsi="宋体" w:eastAsia="仿宋_GB2312" w:cs="宋体"/>
                <w:color w:val="auto"/>
                <w:kern w:val="0"/>
                <w:sz w:val="13"/>
                <w:szCs w:val="13"/>
                <w:highlight w:val="none"/>
              </w:rPr>
              <w:t>《城镇燃气管理条例》</w:t>
            </w:r>
            <w:r>
              <w:rPr>
                <w:rFonts w:hint="eastAsia" w:ascii="仿宋_GB2312" w:hAnsi="宋体" w:eastAsia="仿宋_GB2312" w:cs="宋体"/>
                <w:b/>
                <w:bCs/>
                <w:color w:val="auto"/>
                <w:kern w:val="0"/>
                <w:sz w:val="13"/>
                <w:szCs w:val="13"/>
                <w:highlight w:val="none"/>
              </w:rPr>
              <w:t>第四十五条第一款</w:t>
            </w:r>
            <w:r>
              <w:rPr>
                <w:rFonts w:hint="eastAsia" w:ascii="仿宋_GB2312" w:hAnsi="宋体" w:eastAsia="仿宋_GB2312" w:cs="宋体"/>
                <w:b/>
                <w:bCs/>
                <w:color w:val="auto"/>
                <w:kern w:val="0"/>
                <w:sz w:val="13"/>
                <w:szCs w:val="13"/>
                <w:highlight w:val="none"/>
                <w:lang w:eastAsia="zh-CN"/>
              </w:rPr>
              <w:t>：</w:t>
            </w:r>
            <w:r>
              <w:rPr>
                <w:rFonts w:hint="eastAsia" w:ascii="仿宋_GB2312" w:hAnsi="宋体" w:eastAsia="仿宋_GB2312" w:cs="宋体"/>
                <w:color w:val="auto"/>
                <w:kern w:val="0"/>
                <w:sz w:val="13"/>
                <w:szCs w:val="13"/>
                <w:highlight w:val="none"/>
              </w:rPr>
              <w:t>违反本条例规定，未取得燃气经营许可证从事燃气经营活动的，由燃气管理部门责令停止违法行为，处5万元以上50万元以下罚款；有违法所得的，没收违法所得；构成犯罪的，依法追究刑事责任。</w:t>
            </w:r>
          </w:p>
        </w:tc>
        <w:tc>
          <w:tcPr>
            <w:tcW w:w="823" w:type="dxa"/>
            <w:tcBorders>
              <w:tl2br w:val="nil"/>
              <w:tr2bl w:val="nil"/>
            </w:tcBorders>
            <w:tcMar>
              <w:top w:w="15" w:type="dxa"/>
              <w:left w:w="15" w:type="dxa"/>
              <w:bottom w:w="15" w:type="dxa"/>
              <w:right w:w="15" w:type="dxa"/>
            </w:tcMar>
            <w:vAlign w:val="center"/>
          </w:tcPr>
          <w:p w14:paraId="453ACC7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kern w:val="0"/>
                <w:sz w:val="13"/>
                <w:szCs w:val="13"/>
                <w:highlight w:val="none"/>
                <w:lang w:eastAsia="zh-CN"/>
              </w:rPr>
            </w:pPr>
            <w:r>
              <w:rPr>
                <w:rFonts w:hint="eastAsia" w:ascii="仿宋_GB2312" w:hAnsi="宋体" w:eastAsia="仿宋_GB2312" w:cs="宋体"/>
                <w:color w:val="auto"/>
                <w:kern w:val="0"/>
                <w:sz w:val="13"/>
                <w:szCs w:val="13"/>
                <w:highlight w:val="none"/>
                <w:lang w:eastAsia="zh-CN"/>
              </w:rPr>
              <w:t>从轻情节</w:t>
            </w:r>
          </w:p>
        </w:tc>
        <w:tc>
          <w:tcPr>
            <w:tcW w:w="3437" w:type="dxa"/>
            <w:gridSpan w:val="2"/>
            <w:tcBorders>
              <w:tl2br w:val="nil"/>
              <w:tr2bl w:val="nil"/>
            </w:tcBorders>
            <w:tcMar>
              <w:top w:w="15" w:type="dxa"/>
              <w:left w:w="15" w:type="dxa"/>
              <w:bottom w:w="15" w:type="dxa"/>
              <w:right w:w="15" w:type="dxa"/>
            </w:tcMar>
            <w:vAlign w:val="center"/>
          </w:tcPr>
          <w:p w14:paraId="0B58C61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hint="eastAsia" w:ascii="仿宋_GB2312" w:hAnsi="宋体" w:eastAsia="仿宋_GB2312" w:cs="宋体"/>
                <w:color w:val="auto"/>
                <w:kern w:val="0"/>
                <w:sz w:val="13"/>
                <w:szCs w:val="13"/>
                <w:highlight w:val="none"/>
              </w:rPr>
            </w:pPr>
            <w:r>
              <w:rPr>
                <w:rFonts w:hint="eastAsia" w:ascii="仿宋_GB2312" w:hAnsi="宋体" w:eastAsia="仿宋_GB2312" w:cs="宋体"/>
                <w:color w:val="auto"/>
                <w:kern w:val="0"/>
                <w:sz w:val="13"/>
                <w:szCs w:val="13"/>
                <w:highlight w:val="none"/>
              </w:rPr>
              <w:t>初次违法，危害后果轻微，积极采取改正措施消除影响的。</w:t>
            </w:r>
          </w:p>
        </w:tc>
        <w:tc>
          <w:tcPr>
            <w:tcW w:w="3058" w:type="dxa"/>
            <w:tcBorders>
              <w:tl2br w:val="nil"/>
              <w:tr2bl w:val="nil"/>
            </w:tcBorders>
            <w:tcMar>
              <w:top w:w="15" w:type="dxa"/>
              <w:left w:w="15" w:type="dxa"/>
              <w:bottom w:w="15" w:type="dxa"/>
              <w:right w:w="15" w:type="dxa"/>
            </w:tcMar>
            <w:vAlign w:val="center"/>
          </w:tcPr>
          <w:p w14:paraId="44E146A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hint="eastAsia" w:ascii="仿宋_GB2312" w:hAnsi="宋体" w:eastAsia="仿宋_GB2312" w:cs="宋体"/>
                <w:color w:val="auto"/>
                <w:kern w:val="0"/>
                <w:sz w:val="13"/>
                <w:szCs w:val="13"/>
                <w:highlight w:val="none"/>
              </w:rPr>
            </w:pPr>
            <w:r>
              <w:rPr>
                <w:rFonts w:hint="eastAsia" w:ascii="仿宋_GB2312" w:hAnsi="宋体" w:eastAsia="仿宋_GB2312" w:cs="宋体"/>
                <w:color w:val="auto"/>
                <w:kern w:val="0"/>
                <w:sz w:val="13"/>
                <w:szCs w:val="13"/>
                <w:highlight w:val="none"/>
              </w:rPr>
              <w:t>责令停止违法行为，处5万元以上10万元以下罚款；有违法所得的，没收违法所得。</w:t>
            </w:r>
          </w:p>
        </w:tc>
      </w:tr>
      <w:tr w14:paraId="7372C61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877" w:hRule="atLeast"/>
          <w:jc w:val="center"/>
        </w:trPr>
        <w:tc>
          <w:tcPr>
            <w:tcW w:w="428" w:type="dxa"/>
            <w:vMerge w:val="continue"/>
            <w:tcBorders>
              <w:tl2br w:val="nil"/>
              <w:tr2bl w:val="nil"/>
            </w:tcBorders>
            <w:vAlign w:val="center"/>
          </w:tcPr>
          <w:p w14:paraId="2C91B8F0">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638" w:leftChars="88" w:right="0" w:rightChars="0" w:hanging="453" w:hangingChars="349"/>
              <w:jc w:val="center"/>
              <w:textAlignment w:val="center"/>
              <w:rPr>
                <w:rFonts w:hint="eastAsia" w:ascii="仿宋_GB2312" w:hAnsi="宋体" w:eastAsia="仿宋_GB2312" w:cs="仿宋_GB2312"/>
                <w:i w:val="0"/>
                <w:color w:val="auto"/>
                <w:kern w:val="0"/>
                <w:sz w:val="13"/>
                <w:szCs w:val="13"/>
                <w:highlight w:val="none"/>
                <w:u w:val="none"/>
                <w:lang w:val="en-US" w:eastAsia="zh-CN" w:bidi="ar"/>
              </w:rPr>
            </w:pPr>
          </w:p>
        </w:tc>
        <w:tc>
          <w:tcPr>
            <w:tcW w:w="1550" w:type="dxa"/>
            <w:vMerge w:val="continue"/>
            <w:tcBorders>
              <w:tl2br w:val="nil"/>
              <w:tr2bl w:val="nil"/>
            </w:tcBorders>
            <w:vAlign w:val="center"/>
          </w:tcPr>
          <w:p w14:paraId="7C03895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rPr>
                <w:rFonts w:hint="eastAsia" w:ascii="仿宋_GB2312" w:eastAsia="仿宋_GB2312"/>
                <w:color w:val="auto"/>
                <w:sz w:val="13"/>
                <w:szCs w:val="13"/>
                <w:highlight w:val="none"/>
              </w:rPr>
            </w:pPr>
          </w:p>
        </w:tc>
        <w:tc>
          <w:tcPr>
            <w:tcW w:w="4820" w:type="dxa"/>
            <w:vMerge w:val="continue"/>
            <w:tcBorders>
              <w:tl2br w:val="nil"/>
              <w:tr2bl w:val="nil"/>
            </w:tcBorders>
            <w:vAlign w:val="center"/>
          </w:tcPr>
          <w:p w14:paraId="31949A8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hint="eastAsia" w:ascii="仿宋_GB2312" w:hAnsi="宋体" w:eastAsia="仿宋_GB2312" w:cs="宋体"/>
                <w:color w:val="auto"/>
                <w:kern w:val="0"/>
                <w:sz w:val="13"/>
                <w:szCs w:val="13"/>
                <w:highlight w:val="none"/>
              </w:rPr>
            </w:pPr>
          </w:p>
        </w:tc>
        <w:tc>
          <w:tcPr>
            <w:tcW w:w="823" w:type="dxa"/>
            <w:tcBorders>
              <w:tl2br w:val="nil"/>
              <w:tr2bl w:val="nil"/>
            </w:tcBorders>
            <w:tcMar>
              <w:top w:w="15" w:type="dxa"/>
              <w:left w:w="15" w:type="dxa"/>
              <w:bottom w:w="15" w:type="dxa"/>
              <w:right w:w="15" w:type="dxa"/>
            </w:tcMar>
            <w:vAlign w:val="center"/>
          </w:tcPr>
          <w:p w14:paraId="0DF98BF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kern w:val="0"/>
                <w:sz w:val="13"/>
                <w:szCs w:val="13"/>
                <w:highlight w:val="none"/>
                <w:lang w:eastAsia="zh-CN"/>
              </w:rPr>
            </w:pPr>
            <w:r>
              <w:rPr>
                <w:rFonts w:hint="eastAsia" w:ascii="仿宋_GB2312" w:hAnsi="宋体" w:eastAsia="仿宋_GB2312" w:cs="宋体"/>
                <w:color w:val="auto"/>
                <w:kern w:val="0"/>
                <w:sz w:val="13"/>
                <w:szCs w:val="13"/>
                <w:highlight w:val="none"/>
                <w:lang w:eastAsia="zh-CN"/>
              </w:rPr>
              <w:t>一般情节</w:t>
            </w:r>
          </w:p>
        </w:tc>
        <w:tc>
          <w:tcPr>
            <w:tcW w:w="3437" w:type="dxa"/>
            <w:gridSpan w:val="2"/>
            <w:tcBorders>
              <w:tl2br w:val="nil"/>
              <w:tr2bl w:val="nil"/>
            </w:tcBorders>
            <w:tcMar>
              <w:top w:w="15" w:type="dxa"/>
              <w:left w:w="15" w:type="dxa"/>
              <w:bottom w:w="15" w:type="dxa"/>
              <w:right w:w="15" w:type="dxa"/>
            </w:tcMar>
            <w:vAlign w:val="center"/>
          </w:tcPr>
          <w:p w14:paraId="5623E85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hint="eastAsia" w:ascii="仿宋_GB2312" w:hAnsi="宋体" w:eastAsia="仿宋_GB2312" w:cs="宋体"/>
                <w:color w:val="auto"/>
                <w:kern w:val="0"/>
                <w:sz w:val="13"/>
                <w:szCs w:val="13"/>
                <w:highlight w:val="none"/>
              </w:rPr>
            </w:pPr>
            <w:r>
              <w:rPr>
                <w:rFonts w:hint="eastAsia" w:ascii="仿宋_GB2312" w:hAnsi="宋体" w:eastAsia="仿宋_GB2312" w:cs="宋体"/>
                <w:color w:val="auto"/>
                <w:kern w:val="0"/>
                <w:sz w:val="13"/>
                <w:szCs w:val="13"/>
                <w:highlight w:val="none"/>
              </w:rPr>
              <w:t>不具有从轻、</w:t>
            </w:r>
            <w:r>
              <w:rPr>
                <w:rFonts w:hint="eastAsia" w:ascii="仿宋_GB2312" w:hAnsi="宋体" w:eastAsia="仿宋_GB2312" w:cs="宋体"/>
                <w:color w:val="auto"/>
                <w:kern w:val="0"/>
                <w:sz w:val="13"/>
                <w:szCs w:val="13"/>
                <w:highlight w:val="none"/>
                <w:lang w:eastAsia="zh-CN"/>
              </w:rPr>
              <w:t>从重情节</w:t>
            </w:r>
            <w:r>
              <w:rPr>
                <w:rFonts w:hint="eastAsia" w:ascii="仿宋_GB2312" w:hAnsi="宋体" w:eastAsia="仿宋_GB2312" w:cs="宋体"/>
                <w:color w:val="auto"/>
                <w:kern w:val="0"/>
                <w:sz w:val="13"/>
                <w:szCs w:val="13"/>
                <w:highlight w:val="none"/>
              </w:rPr>
              <w:t>的。</w:t>
            </w:r>
          </w:p>
        </w:tc>
        <w:tc>
          <w:tcPr>
            <w:tcW w:w="3058" w:type="dxa"/>
            <w:tcBorders>
              <w:tl2br w:val="nil"/>
              <w:tr2bl w:val="nil"/>
            </w:tcBorders>
            <w:tcMar>
              <w:top w:w="15" w:type="dxa"/>
              <w:left w:w="15" w:type="dxa"/>
              <w:bottom w:w="15" w:type="dxa"/>
              <w:right w:w="15" w:type="dxa"/>
            </w:tcMar>
            <w:vAlign w:val="center"/>
          </w:tcPr>
          <w:p w14:paraId="19AC176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hint="eastAsia" w:ascii="仿宋_GB2312" w:hAnsi="宋体" w:eastAsia="仿宋_GB2312" w:cs="宋体"/>
                <w:color w:val="auto"/>
                <w:kern w:val="0"/>
                <w:sz w:val="13"/>
                <w:szCs w:val="13"/>
                <w:highlight w:val="none"/>
              </w:rPr>
            </w:pPr>
            <w:r>
              <w:rPr>
                <w:rFonts w:hint="eastAsia" w:ascii="仿宋_GB2312" w:hAnsi="宋体" w:eastAsia="仿宋_GB2312" w:cs="宋体"/>
                <w:color w:val="auto"/>
                <w:kern w:val="0"/>
                <w:sz w:val="13"/>
                <w:szCs w:val="13"/>
                <w:highlight w:val="none"/>
              </w:rPr>
              <w:t>责令停止违法行为，处10万元以上30万元以下罚款；有违法所得的，没收违法所得。</w:t>
            </w:r>
          </w:p>
        </w:tc>
      </w:tr>
      <w:tr w14:paraId="1030307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239" w:hRule="atLeast"/>
          <w:jc w:val="center"/>
        </w:trPr>
        <w:tc>
          <w:tcPr>
            <w:tcW w:w="428" w:type="dxa"/>
            <w:vMerge w:val="continue"/>
            <w:tcBorders>
              <w:tl2br w:val="nil"/>
              <w:tr2bl w:val="nil"/>
            </w:tcBorders>
            <w:vAlign w:val="center"/>
          </w:tcPr>
          <w:p w14:paraId="26171B4F">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638" w:leftChars="88" w:right="0" w:rightChars="0" w:hanging="453" w:hangingChars="349"/>
              <w:jc w:val="center"/>
              <w:textAlignment w:val="center"/>
              <w:rPr>
                <w:rFonts w:hint="eastAsia" w:ascii="仿宋_GB2312" w:hAnsi="宋体" w:eastAsia="仿宋_GB2312" w:cs="仿宋_GB2312"/>
                <w:i w:val="0"/>
                <w:color w:val="auto"/>
                <w:kern w:val="0"/>
                <w:sz w:val="13"/>
                <w:szCs w:val="13"/>
                <w:highlight w:val="none"/>
                <w:u w:val="none"/>
                <w:lang w:val="en-US" w:eastAsia="zh-CN" w:bidi="ar"/>
              </w:rPr>
            </w:pPr>
          </w:p>
        </w:tc>
        <w:tc>
          <w:tcPr>
            <w:tcW w:w="1550" w:type="dxa"/>
            <w:vMerge w:val="continue"/>
            <w:tcBorders>
              <w:tl2br w:val="nil"/>
              <w:tr2bl w:val="nil"/>
            </w:tcBorders>
            <w:vAlign w:val="center"/>
          </w:tcPr>
          <w:p w14:paraId="70A2356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rPr>
                <w:rFonts w:hint="eastAsia" w:ascii="仿宋_GB2312" w:eastAsia="仿宋_GB2312"/>
                <w:color w:val="auto"/>
                <w:sz w:val="13"/>
                <w:szCs w:val="13"/>
                <w:highlight w:val="none"/>
              </w:rPr>
            </w:pPr>
          </w:p>
        </w:tc>
        <w:tc>
          <w:tcPr>
            <w:tcW w:w="4820" w:type="dxa"/>
            <w:vMerge w:val="continue"/>
            <w:tcBorders>
              <w:tl2br w:val="nil"/>
              <w:tr2bl w:val="nil"/>
            </w:tcBorders>
            <w:vAlign w:val="center"/>
          </w:tcPr>
          <w:p w14:paraId="5BBC624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hint="eastAsia" w:ascii="仿宋_GB2312" w:hAnsi="宋体" w:eastAsia="仿宋_GB2312" w:cs="宋体"/>
                <w:color w:val="auto"/>
                <w:kern w:val="0"/>
                <w:sz w:val="13"/>
                <w:szCs w:val="13"/>
                <w:highlight w:val="none"/>
              </w:rPr>
            </w:pPr>
          </w:p>
        </w:tc>
        <w:tc>
          <w:tcPr>
            <w:tcW w:w="823" w:type="dxa"/>
            <w:vMerge w:val="restart"/>
            <w:tcBorders>
              <w:tl2br w:val="nil"/>
              <w:tr2bl w:val="nil"/>
            </w:tcBorders>
            <w:tcMar>
              <w:top w:w="15" w:type="dxa"/>
              <w:left w:w="15" w:type="dxa"/>
              <w:bottom w:w="15" w:type="dxa"/>
              <w:right w:w="15" w:type="dxa"/>
            </w:tcMar>
            <w:vAlign w:val="center"/>
          </w:tcPr>
          <w:p w14:paraId="2E23B62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kern w:val="0"/>
                <w:sz w:val="13"/>
                <w:szCs w:val="13"/>
                <w:highlight w:val="none"/>
                <w:lang w:eastAsia="zh-CN"/>
              </w:rPr>
            </w:pPr>
            <w:r>
              <w:rPr>
                <w:rFonts w:hint="eastAsia" w:ascii="仿宋_GB2312" w:hAnsi="宋体" w:eastAsia="仿宋_GB2312" w:cs="宋体"/>
                <w:color w:val="auto"/>
                <w:kern w:val="0"/>
                <w:sz w:val="13"/>
                <w:szCs w:val="13"/>
                <w:highlight w:val="none"/>
                <w:lang w:eastAsia="zh-CN"/>
              </w:rPr>
              <w:t>从重情节</w:t>
            </w:r>
          </w:p>
        </w:tc>
        <w:tc>
          <w:tcPr>
            <w:tcW w:w="3437" w:type="dxa"/>
            <w:gridSpan w:val="2"/>
            <w:tcBorders>
              <w:tl2br w:val="nil"/>
              <w:tr2bl w:val="nil"/>
            </w:tcBorders>
            <w:tcMar>
              <w:top w:w="15" w:type="dxa"/>
              <w:left w:w="15" w:type="dxa"/>
              <w:bottom w:w="15" w:type="dxa"/>
              <w:right w:w="15" w:type="dxa"/>
            </w:tcMar>
            <w:vAlign w:val="center"/>
          </w:tcPr>
          <w:p w14:paraId="58B389C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hint="eastAsia" w:ascii="仿宋_GB2312" w:hAnsi="宋体" w:eastAsia="仿宋_GB2312" w:cs="宋体"/>
                <w:color w:val="auto"/>
                <w:kern w:val="0"/>
                <w:sz w:val="13"/>
                <w:szCs w:val="13"/>
                <w:highlight w:val="none"/>
              </w:rPr>
            </w:pPr>
            <w:r>
              <w:rPr>
                <w:rFonts w:hint="eastAsia" w:ascii="仿宋_GB2312" w:hAnsi="宋体" w:eastAsia="仿宋_GB2312" w:cs="Times New Roman"/>
                <w:color w:val="auto"/>
                <w:kern w:val="0"/>
                <w:sz w:val="13"/>
                <w:szCs w:val="13"/>
                <w:highlight w:val="none"/>
                <w:lang w:val="en-US" w:eastAsia="zh-CN"/>
              </w:rPr>
              <w:t>经责令停止违法行为后，继续实施违法行为的或者曾因实施该违法行为被查处，再次实施该违法行为的，或者发生一般事故的。</w:t>
            </w:r>
          </w:p>
        </w:tc>
        <w:tc>
          <w:tcPr>
            <w:tcW w:w="3058" w:type="dxa"/>
            <w:tcBorders>
              <w:tl2br w:val="nil"/>
              <w:tr2bl w:val="nil"/>
            </w:tcBorders>
            <w:tcMar>
              <w:top w:w="15" w:type="dxa"/>
              <w:left w:w="15" w:type="dxa"/>
              <w:bottom w:w="15" w:type="dxa"/>
              <w:right w:w="15" w:type="dxa"/>
            </w:tcMar>
            <w:vAlign w:val="center"/>
          </w:tcPr>
          <w:p w14:paraId="10C26CE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hint="eastAsia" w:ascii="仿宋_GB2312" w:hAnsi="宋体" w:eastAsia="仿宋_GB2312" w:cs="宋体"/>
                <w:color w:val="auto"/>
                <w:kern w:val="0"/>
                <w:sz w:val="13"/>
                <w:szCs w:val="13"/>
                <w:highlight w:val="none"/>
              </w:rPr>
            </w:pPr>
            <w:r>
              <w:rPr>
                <w:rFonts w:hint="eastAsia" w:ascii="仿宋_GB2312" w:hAnsi="宋体" w:eastAsia="仿宋_GB2312" w:cs="Times New Roman"/>
                <w:color w:val="auto"/>
                <w:kern w:val="0"/>
                <w:sz w:val="13"/>
                <w:szCs w:val="13"/>
                <w:highlight w:val="none"/>
                <w:lang w:val="en-US" w:eastAsia="zh-CN"/>
              </w:rPr>
              <w:t>责令停止违法行为，处30万元以上40万元以下罚款；有违法所得的，没收违法所得。</w:t>
            </w:r>
          </w:p>
        </w:tc>
      </w:tr>
      <w:tr w14:paraId="5A0BE96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239" w:hRule="atLeast"/>
          <w:jc w:val="center"/>
        </w:trPr>
        <w:tc>
          <w:tcPr>
            <w:tcW w:w="428" w:type="dxa"/>
            <w:vMerge w:val="continue"/>
            <w:tcBorders>
              <w:tl2br w:val="nil"/>
              <w:tr2bl w:val="nil"/>
            </w:tcBorders>
            <w:vAlign w:val="center"/>
          </w:tcPr>
          <w:p w14:paraId="31D6D703">
            <w:pPr>
              <w:keepNext w:val="0"/>
              <w:keepLines w:val="0"/>
              <w:pageBreakBefore w:val="0"/>
              <w:widowControl/>
              <w:kinsoku/>
              <w:overflowPunct/>
              <w:topLinePunct w:val="0"/>
              <w:autoSpaceDE/>
              <w:autoSpaceDN/>
              <w:bidi w:val="0"/>
              <w:adjustRightInd/>
              <w:snapToGrid/>
              <w:spacing w:beforeAutospacing="0" w:afterAutospacing="0" w:line="260" w:lineRule="exact"/>
              <w:ind w:left="917" w:leftChars="88" w:right="0" w:rightChars="0" w:hanging="732" w:hangingChars="349"/>
              <w:textAlignment w:val="center"/>
              <w:rPr>
                <w:color w:val="auto"/>
                <w:highlight w:val="none"/>
              </w:rPr>
            </w:pPr>
          </w:p>
        </w:tc>
        <w:tc>
          <w:tcPr>
            <w:tcW w:w="1550" w:type="dxa"/>
            <w:vMerge w:val="continue"/>
            <w:tcBorders>
              <w:tl2br w:val="nil"/>
              <w:tr2bl w:val="nil"/>
            </w:tcBorders>
            <w:vAlign w:val="center"/>
          </w:tcPr>
          <w:p w14:paraId="00AFFA1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10" w:firstLineChars="100"/>
              <w:textAlignment w:val="center"/>
              <w:rPr>
                <w:color w:val="auto"/>
                <w:highlight w:val="none"/>
              </w:rPr>
            </w:pPr>
          </w:p>
        </w:tc>
        <w:tc>
          <w:tcPr>
            <w:tcW w:w="4820" w:type="dxa"/>
            <w:vMerge w:val="continue"/>
            <w:tcBorders>
              <w:tl2br w:val="nil"/>
              <w:tr2bl w:val="nil"/>
            </w:tcBorders>
            <w:vAlign w:val="center"/>
          </w:tcPr>
          <w:p w14:paraId="0A2E1EC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10" w:firstLineChars="100"/>
              <w:textAlignment w:val="center"/>
              <w:rPr>
                <w:color w:val="auto"/>
                <w:highlight w:val="none"/>
              </w:rPr>
            </w:pPr>
          </w:p>
        </w:tc>
        <w:tc>
          <w:tcPr>
            <w:tcW w:w="823" w:type="dxa"/>
            <w:vMerge w:val="continue"/>
            <w:tcBorders>
              <w:tl2br w:val="nil"/>
              <w:tr2bl w:val="nil"/>
            </w:tcBorders>
            <w:tcMar>
              <w:top w:w="15" w:type="dxa"/>
              <w:left w:w="15" w:type="dxa"/>
              <w:bottom w:w="15" w:type="dxa"/>
              <w:right w:w="15" w:type="dxa"/>
            </w:tcMar>
            <w:vAlign w:val="center"/>
          </w:tcPr>
          <w:p w14:paraId="7C6DA0A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10" w:firstLineChars="100"/>
              <w:textAlignment w:val="center"/>
              <w:rPr>
                <w:color w:val="auto"/>
                <w:highlight w:val="none"/>
              </w:rPr>
            </w:pPr>
          </w:p>
        </w:tc>
        <w:tc>
          <w:tcPr>
            <w:tcW w:w="3437" w:type="dxa"/>
            <w:gridSpan w:val="2"/>
            <w:tcBorders>
              <w:tl2br w:val="nil"/>
              <w:tr2bl w:val="nil"/>
            </w:tcBorders>
            <w:tcMar>
              <w:top w:w="15" w:type="dxa"/>
              <w:left w:w="15" w:type="dxa"/>
              <w:bottom w:w="15" w:type="dxa"/>
              <w:right w:w="15" w:type="dxa"/>
            </w:tcMar>
            <w:vAlign w:val="center"/>
          </w:tcPr>
          <w:p w14:paraId="5B129EA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hint="eastAsia" w:ascii="仿宋_GB2312" w:hAnsi="宋体" w:eastAsia="仿宋_GB2312" w:cs="宋体"/>
                <w:color w:val="auto"/>
                <w:kern w:val="0"/>
                <w:sz w:val="13"/>
                <w:szCs w:val="13"/>
                <w:highlight w:val="none"/>
              </w:rPr>
            </w:pPr>
            <w:r>
              <w:rPr>
                <w:rFonts w:hint="eastAsia" w:ascii="仿宋_GB2312" w:hAnsi="宋体" w:eastAsia="仿宋_GB2312" w:cs="Times New Roman"/>
                <w:color w:val="auto"/>
                <w:kern w:val="0"/>
                <w:sz w:val="13"/>
                <w:szCs w:val="13"/>
                <w:highlight w:val="none"/>
                <w:lang w:val="en-US" w:eastAsia="zh-CN"/>
              </w:rPr>
              <w:t>造成较大安全事故的</w:t>
            </w:r>
          </w:p>
        </w:tc>
        <w:tc>
          <w:tcPr>
            <w:tcW w:w="3058" w:type="dxa"/>
            <w:tcBorders>
              <w:tl2br w:val="nil"/>
              <w:tr2bl w:val="nil"/>
            </w:tcBorders>
            <w:tcMar>
              <w:top w:w="15" w:type="dxa"/>
              <w:left w:w="15" w:type="dxa"/>
              <w:bottom w:w="15" w:type="dxa"/>
              <w:right w:w="15" w:type="dxa"/>
            </w:tcMar>
            <w:vAlign w:val="center"/>
          </w:tcPr>
          <w:p w14:paraId="2C1A7A4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hint="eastAsia" w:ascii="仿宋_GB2312" w:hAnsi="宋体" w:eastAsia="仿宋_GB2312" w:cs="宋体"/>
                <w:color w:val="auto"/>
                <w:kern w:val="0"/>
                <w:sz w:val="13"/>
                <w:szCs w:val="13"/>
                <w:highlight w:val="none"/>
              </w:rPr>
            </w:pPr>
            <w:r>
              <w:rPr>
                <w:rFonts w:hint="eastAsia" w:ascii="仿宋_GB2312" w:hAnsi="宋体" w:eastAsia="仿宋_GB2312" w:cs="Times New Roman"/>
                <w:color w:val="auto"/>
                <w:kern w:val="0"/>
                <w:sz w:val="13"/>
                <w:szCs w:val="13"/>
                <w:highlight w:val="none"/>
                <w:lang w:val="en-US" w:eastAsia="zh-CN"/>
              </w:rPr>
              <w:t>责令停止违法行为，处40万元以上45万元以下罚款；有违法所得的，没收违法所得。</w:t>
            </w:r>
          </w:p>
        </w:tc>
      </w:tr>
      <w:tr w14:paraId="20E2837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239" w:hRule="atLeast"/>
          <w:jc w:val="center"/>
        </w:trPr>
        <w:tc>
          <w:tcPr>
            <w:tcW w:w="428" w:type="dxa"/>
            <w:vMerge w:val="continue"/>
            <w:tcBorders>
              <w:tl2br w:val="nil"/>
              <w:tr2bl w:val="nil"/>
            </w:tcBorders>
            <w:vAlign w:val="center"/>
          </w:tcPr>
          <w:p w14:paraId="7565B69E">
            <w:pPr>
              <w:keepNext w:val="0"/>
              <w:keepLines w:val="0"/>
              <w:pageBreakBefore w:val="0"/>
              <w:widowControl/>
              <w:kinsoku/>
              <w:overflowPunct/>
              <w:topLinePunct w:val="0"/>
              <w:autoSpaceDE/>
              <w:autoSpaceDN/>
              <w:bidi w:val="0"/>
              <w:adjustRightInd/>
              <w:snapToGrid/>
              <w:spacing w:beforeAutospacing="0" w:afterAutospacing="0" w:line="260" w:lineRule="exact"/>
              <w:ind w:left="638" w:leftChars="88" w:right="0" w:rightChars="0" w:hanging="453" w:hangingChars="349"/>
              <w:textAlignment w:val="center"/>
              <w:rPr>
                <w:rFonts w:hint="eastAsia" w:ascii="仿宋_GB2312" w:hAnsi="宋体" w:eastAsia="仿宋_GB2312" w:cs="宋体"/>
                <w:color w:val="auto"/>
                <w:kern w:val="0"/>
                <w:sz w:val="13"/>
                <w:szCs w:val="13"/>
                <w:highlight w:val="none"/>
              </w:rPr>
            </w:pPr>
          </w:p>
        </w:tc>
        <w:tc>
          <w:tcPr>
            <w:tcW w:w="1550" w:type="dxa"/>
            <w:vMerge w:val="continue"/>
            <w:tcBorders>
              <w:tl2br w:val="nil"/>
              <w:tr2bl w:val="nil"/>
            </w:tcBorders>
            <w:vAlign w:val="center"/>
          </w:tcPr>
          <w:p w14:paraId="20CE3B3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hint="eastAsia" w:ascii="仿宋_GB2312" w:hAnsi="宋体" w:eastAsia="仿宋_GB2312" w:cs="宋体"/>
                <w:color w:val="auto"/>
                <w:kern w:val="0"/>
                <w:sz w:val="13"/>
                <w:szCs w:val="13"/>
                <w:highlight w:val="none"/>
              </w:rPr>
            </w:pPr>
          </w:p>
        </w:tc>
        <w:tc>
          <w:tcPr>
            <w:tcW w:w="4820" w:type="dxa"/>
            <w:vMerge w:val="continue"/>
            <w:tcBorders>
              <w:tl2br w:val="nil"/>
              <w:tr2bl w:val="nil"/>
            </w:tcBorders>
            <w:vAlign w:val="center"/>
          </w:tcPr>
          <w:p w14:paraId="2F4BAE8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hint="eastAsia" w:ascii="仿宋_GB2312" w:hAnsi="宋体" w:eastAsia="仿宋_GB2312" w:cs="宋体"/>
                <w:color w:val="auto"/>
                <w:kern w:val="0"/>
                <w:sz w:val="13"/>
                <w:szCs w:val="13"/>
                <w:highlight w:val="none"/>
              </w:rPr>
            </w:pPr>
          </w:p>
        </w:tc>
        <w:tc>
          <w:tcPr>
            <w:tcW w:w="823" w:type="dxa"/>
            <w:vMerge w:val="continue"/>
            <w:tcBorders>
              <w:tl2br w:val="nil"/>
              <w:tr2bl w:val="nil"/>
            </w:tcBorders>
            <w:tcMar>
              <w:top w:w="15" w:type="dxa"/>
              <w:left w:w="15" w:type="dxa"/>
              <w:bottom w:w="15" w:type="dxa"/>
              <w:right w:w="15" w:type="dxa"/>
            </w:tcMar>
            <w:vAlign w:val="center"/>
          </w:tcPr>
          <w:p w14:paraId="0B48AF9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hint="eastAsia" w:ascii="仿宋_GB2312" w:hAnsi="宋体" w:eastAsia="仿宋_GB2312" w:cs="宋体"/>
                <w:color w:val="auto"/>
                <w:kern w:val="0"/>
                <w:sz w:val="13"/>
                <w:szCs w:val="13"/>
                <w:highlight w:val="none"/>
              </w:rPr>
            </w:pPr>
          </w:p>
        </w:tc>
        <w:tc>
          <w:tcPr>
            <w:tcW w:w="3437" w:type="dxa"/>
            <w:gridSpan w:val="2"/>
            <w:tcBorders>
              <w:tl2br w:val="nil"/>
              <w:tr2bl w:val="nil"/>
            </w:tcBorders>
            <w:tcMar>
              <w:top w:w="15" w:type="dxa"/>
              <w:left w:w="15" w:type="dxa"/>
              <w:bottom w:w="15" w:type="dxa"/>
              <w:right w:w="15" w:type="dxa"/>
            </w:tcMar>
            <w:vAlign w:val="center"/>
          </w:tcPr>
          <w:p w14:paraId="4BD3F77B">
            <w:pPr>
              <w:keepNext w:val="0"/>
              <w:keepLines w:val="0"/>
              <w:pageBreakBefore w:val="0"/>
              <w:widowControl/>
              <w:kinsoku/>
              <w:overflowPunct/>
              <w:topLinePunct w:val="0"/>
              <w:autoSpaceDE/>
              <w:autoSpaceDN/>
              <w:bidi w:val="0"/>
              <w:adjustRightInd/>
              <w:snapToGrid/>
              <w:spacing w:beforeAutospacing="0" w:afterAutospacing="0" w:line="260" w:lineRule="exact"/>
              <w:ind w:right="0" w:rightChars="0" w:firstLine="130" w:firstLineChars="100"/>
              <w:jc w:val="left"/>
              <w:textAlignment w:val="center"/>
              <w:rPr>
                <w:rFonts w:hint="eastAsia" w:ascii="仿宋_GB2312" w:hAnsi="宋体" w:eastAsia="仿宋_GB2312" w:cs="宋体"/>
                <w:color w:val="auto"/>
                <w:kern w:val="0"/>
                <w:sz w:val="13"/>
                <w:szCs w:val="13"/>
                <w:highlight w:val="none"/>
              </w:rPr>
            </w:pPr>
            <w:r>
              <w:rPr>
                <w:rFonts w:hint="eastAsia" w:ascii="仿宋_GB2312" w:hAnsi="宋体" w:eastAsia="仿宋_GB2312" w:cs="Times New Roman"/>
                <w:color w:val="auto"/>
                <w:kern w:val="0"/>
                <w:sz w:val="13"/>
                <w:szCs w:val="13"/>
                <w:highlight w:val="none"/>
                <w:lang w:val="en-US" w:eastAsia="zh-CN"/>
              </w:rPr>
              <w:t>造成重大安全事故的</w:t>
            </w:r>
          </w:p>
        </w:tc>
        <w:tc>
          <w:tcPr>
            <w:tcW w:w="3058" w:type="dxa"/>
            <w:tcBorders>
              <w:tl2br w:val="nil"/>
              <w:tr2bl w:val="nil"/>
            </w:tcBorders>
            <w:tcMar>
              <w:top w:w="15" w:type="dxa"/>
              <w:left w:w="15" w:type="dxa"/>
              <w:bottom w:w="15" w:type="dxa"/>
              <w:right w:w="15" w:type="dxa"/>
            </w:tcMar>
            <w:vAlign w:val="center"/>
          </w:tcPr>
          <w:p w14:paraId="00A22F8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hint="eastAsia" w:ascii="仿宋_GB2312" w:hAnsi="宋体" w:eastAsia="仿宋_GB2312" w:cs="宋体"/>
                <w:color w:val="auto"/>
                <w:kern w:val="0"/>
                <w:sz w:val="13"/>
                <w:szCs w:val="13"/>
                <w:highlight w:val="none"/>
              </w:rPr>
            </w:pPr>
            <w:r>
              <w:rPr>
                <w:rFonts w:hint="eastAsia" w:ascii="仿宋_GB2312" w:hAnsi="宋体" w:eastAsia="仿宋_GB2312" w:cs="Times New Roman"/>
                <w:color w:val="auto"/>
                <w:kern w:val="0"/>
                <w:sz w:val="13"/>
                <w:szCs w:val="13"/>
                <w:highlight w:val="none"/>
                <w:lang w:val="en-US" w:eastAsia="zh-CN"/>
              </w:rPr>
              <w:t>责令停止违法行为，处45万元以上50万元以下罚款；有违法所得的，没收违法所得。</w:t>
            </w:r>
          </w:p>
        </w:tc>
      </w:tr>
      <w:tr w14:paraId="33947C2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239" w:hRule="atLeast"/>
          <w:jc w:val="center"/>
        </w:trPr>
        <w:tc>
          <w:tcPr>
            <w:tcW w:w="428" w:type="dxa"/>
            <w:vMerge w:val="continue"/>
            <w:tcBorders>
              <w:tl2br w:val="nil"/>
              <w:tr2bl w:val="nil"/>
            </w:tcBorders>
            <w:vAlign w:val="center"/>
          </w:tcPr>
          <w:p w14:paraId="652AF79B">
            <w:pPr>
              <w:keepNext w:val="0"/>
              <w:keepLines w:val="0"/>
              <w:pageBreakBefore w:val="0"/>
              <w:widowControl/>
              <w:kinsoku/>
              <w:overflowPunct/>
              <w:topLinePunct w:val="0"/>
              <w:autoSpaceDE/>
              <w:autoSpaceDN/>
              <w:bidi w:val="0"/>
              <w:adjustRightInd/>
              <w:snapToGrid/>
              <w:spacing w:beforeAutospacing="0" w:afterAutospacing="0" w:line="260" w:lineRule="exact"/>
              <w:ind w:left="638" w:leftChars="88" w:right="0" w:rightChars="0" w:hanging="453" w:hangingChars="349"/>
              <w:textAlignment w:val="center"/>
              <w:rPr>
                <w:rFonts w:hint="eastAsia" w:ascii="仿宋_GB2312" w:hAnsi="宋体" w:eastAsia="仿宋_GB2312" w:cs="宋体"/>
                <w:color w:val="auto"/>
                <w:kern w:val="0"/>
                <w:sz w:val="13"/>
                <w:szCs w:val="13"/>
                <w:highlight w:val="none"/>
              </w:rPr>
            </w:pPr>
          </w:p>
        </w:tc>
        <w:tc>
          <w:tcPr>
            <w:tcW w:w="1550" w:type="dxa"/>
            <w:vMerge w:val="continue"/>
            <w:tcBorders>
              <w:tl2br w:val="nil"/>
              <w:tr2bl w:val="nil"/>
            </w:tcBorders>
            <w:vAlign w:val="center"/>
          </w:tcPr>
          <w:p w14:paraId="7C50F06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hint="eastAsia" w:ascii="仿宋_GB2312" w:hAnsi="宋体" w:eastAsia="仿宋_GB2312" w:cs="宋体"/>
                <w:color w:val="auto"/>
                <w:kern w:val="0"/>
                <w:sz w:val="13"/>
                <w:szCs w:val="13"/>
                <w:highlight w:val="none"/>
              </w:rPr>
            </w:pPr>
          </w:p>
        </w:tc>
        <w:tc>
          <w:tcPr>
            <w:tcW w:w="4820" w:type="dxa"/>
            <w:vMerge w:val="continue"/>
            <w:tcBorders>
              <w:tl2br w:val="nil"/>
              <w:tr2bl w:val="nil"/>
            </w:tcBorders>
            <w:vAlign w:val="center"/>
          </w:tcPr>
          <w:p w14:paraId="787F4C1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hint="eastAsia" w:ascii="仿宋_GB2312" w:hAnsi="宋体" w:eastAsia="仿宋_GB2312" w:cs="宋体"/>
                <w:color w:val="auto"/>
                <w:kern w:val="0"/>
                <w:sz w:val="13"/>
                <w:szCs w:val="13"/>
                <w:highlight w:val="none"/>
              </w:rPr>
            </w:pPr>
          </w:p>
        </w:tc>
        <w:tc>
          <w:tcPr>
            <w:tcW w:w="823" w:type="dxa"/>
            <w:vMerge w:val="continue"/>
            <w:tcBorders>
              <w:tl2br w:val="nil"/>
              <w:tr2bl w:val="nil"/>
            </w:tcBorders>
            <w:tcMar>
              <w:top w:w="15" w:type="dxa"/>
              <w:left w:w="15" w:type="dxa"/>
              <w:bottom w:w="15" w:type="dxa"/>
              <w:right w:w="15" w:type="dxa"/>
            </w:tcMar>
            <w:vAlign w:val="center"/>
          </w:tcPr>
          <w:p w14:paraId="07F9CBD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hint="eastAsia" w:ascii="仿宋_GB2312" w:hAnsi="宋体" w:eastAsia="仿宋_GB2312" w:cs="宋体"/>
                <w:color w:val="auto"/>
                <w:kern w:val="0"/>
                <w:sz w:val="13"/>
                <w:szCs w:val="13"/>
                <w:highlight w:val="none"/>
              </w:rPr>
            </w:pPr>
          </w:p>
        </w:tc>
        <w:tc>
          <w:tcPr>
            <w:tcW w:w="3437" w:type="dxa"/>
            <w:gridSpan w:val="2"/>
            <w:tcBorders>
              <w:tl2br w:val="nil"/>
              <w:tr2bl w:val="nil"/>
            </w:tcBorders>
            <w:tcMar>
              <w:top w:w="15" w:type="dxa"/>
              <w:left w:w="15" w:type="dxa"/>
              <w:bottom w:w="15" w:type="dxa"/>
              <w:right w:w="15" w:type="dxa"/>
            </w:tcMar>
            <w:vAlign w:val="center"/>
          </w:tcPr>
          <w:p w14:paraId="4FBD5346">
            <w:pPr>
              <w:keepNext w:val="0"/>
              <w:keepLines w:val="0"/>
              <w:pageBreakBefore w:val="0"/>
              <w:widowControl/>
              <w:kinsoku/>
              <w:overflowPunct/>
              <w:topLinePunct w:val="0"/>
              <w:autoSpaceDE/>
              <w:autoSpaceDN/>
              <w:bidi w:val="0"/>
              <w:adjustRightInd/>
              <w:snapToGrid/>
              <w:spacing w:beforeAutospacing="0" w:afterAutospacing="0" w:line="260" w:lineRule="exact"/>
              <w:ind w:right="0" w:rightChars="0" w:firstLine="130" w:firstLineChars="100"/>
              <w:jc w:val="left"/>
              <w:textAlignment w:val="center"/>
              <w:rPr>
                <w:rFonts w:hint="eastAsia" w:ascii="仿宋_GB2312" w:hAnsi="宋体" w:eastAsia="仿宋_GB2312" w:cs="宋体"/>
                <w:color w:val="auto"/>
                <w:kern w:val="0"/>
                <w:sz w:val="13"/>
                <w:szCs w:val="13"/>
                <w:highlight w:val="none"/>
              </w:rPr>
            </w:pPr>
            <w:r>
              <w:rPr>
                <w:rFonts w:hint="eastAsia" w:ascii="仿宋_GB2312" w:hAnsi="宋体" w:eastAsia="仿宋_GB2312" w:cs="Times New Roman"/>
                <w:color w:val="auto"/>
                <w:kern w:val="0"/>
                <w:sz w:val="13"/>
                <w:szCs w:val="13"/>
                <w:highlight w:val="none"/>
                <w:lang w:val="en-US" w:eastAsia="zh-CN"/>
              </w:rPr>
              <w:t>造成特别重大安全事故的</w:t>
            </w:r>
          </w:p>
        </w:tc>
        <w:tc>
          <w:tcPr>
            <w:tcW w:w="3058" w:type="dxa"/>
            <w:tcBorders>
              <w:tl2br w:val="nil"/>
              <w:tr2bl w:val="nil"/>
            </w:tcBorders>
            <w:tcMar>
              <w:top w:w="15" w:type="dxa"/>
              <w:left w:w="15" w:type="dxa"/>
              <w:bottom w:w="15" w:type="dxa"/>
              <w:right w:w="15" w:type="dxa"/>
            </w:tcMar>
            <w:vAlign w:val="center"/>
          </w:tcPr>
          <w:p w14:paraId="69BAB2A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hint="eastAsia" w:ascii="仿宋_GB2312" w:hAnsi="宋体" w:eastAsia="仿宋_GB2312" w:cs="宋体"/>
                <w:color w:val="auto"/>
                <w:kern w:val="0"/>
                <w:sz w:val="13"/>
                <w:szCs w:val="13"/>
                <w:highlight w:val="none"/>
              </w:rPr>
            </w:pPr>
            <w:r>
              <w:rPr>
                <w:rFonts w:hint="eastAsia" w:ascii="仿宋_GB2312" w:hAnsi="宋体" w:eastAsia="仿宋_GB2312" w:cs="Times New Roman"/>
                <w:color w:val="auto"/>
                <w:kern w:val="0"/>
                <w:sz w:val="13"/>
                <w:szCs w:val="13"/>
                <w:highlight w:val="none"/>
                <w:lang w:val="en-US" w:eastAsia="zh-CN"/>
              </w:rPr>
              <w:t>责令停止违法行为，处50万元罚款；有违法所得的，没收违法所得。</w:t>
            </w:r>
          </w:p>
        </w:tc>
      </w:tr>
      <w:tr w14:paraId="6A2BDE3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939" w:hRule="atLeast"/>
          <w:jc w:val="center"/>
        </w:trPr>
        <w:tc>
          <w:tcPr>
            <w:tcW w:w="428" w:type="dxa"/>
            <w:vMerge w:val="restart"/>
            <w:tcBorders>
              <w:tl2br w:val="nil"/>
              <w:tr2bl w:val="nil"/>
            </w:tcBorders>
            <w:vAlign w:val="center"/>
          </w:tcPr>
          <w:p w14:paraId="7ACFA92B">
            <w:pPr>
              <w:keepNext w:val="0"/>
              <w:keepLines w:val="0"/>
              <w:pageBreakBefore w:val="0"/>
              <w:widowControl/>
              <w:numPr>
                <w:ilvl w:val="0"/>
                <w:numId w:val="11"/>
              </w:numPr>
              <w:suppressLineNumbers w:val="0"/>
              <w:tabs>
                <w:tab w:val="clear" w:pos="397"/>
              </w:tabs>
              <w:kinsoku/>
              <w:overflowPunct/>
              <w:topLinePunct w:val="0"/>
              <w:autoSpaceDE/>
              <w:autoSpaceDN/>
              <w:bidi w:val="0"/>
              <w:adjustRightInd/>
              <w:snapToGrid/>
              <w:spacing w:beforeAutospacing="0" w:afterAutospacing="0" w:line="260" w:lineRule="exact"/>
              <w:ind w:left="638" w:leftChars="88" w:right="0" w:rightChars="0" w:hanging="453" w:hangingChars="349"/>
              <w:jc w:val="center"/>
              <w:textAlignment w:val="center"/>
              <w:rPr>
                <w:rFonts w:hint="default" w:ascii="仿宋_GB2312" w:hAnsi="宋体" w:eastAsia="仿宋_GB2312" w:cs="仿宋_GB2312"/>
                <w:i w:val="0"/>
                <w:color w:val="auto"/>
                <w:kern w:val="0"/>
                <w:sz w:val="13"/>
                <w:szCs w:val="13"/>
                <w:highlight w:val="none"/>
                <w:u w:val="none"/>
                <w:lang w:val="en-US" w:eastAsia="zh-CN" w:bidi="ar"/>
              </w:rPr>
            </w:pPr>
            <w:r>
              <w:rPr>
                <w:rFonts w:hint="eastAsia" w:ascii="仿宋_GB2312" w:hAnsi="宋体" w:eastAsia="仿宋_GB2312" w:cs="仿宋_GB2312"/>
                <w:i w:val="0"/>
                <w:color w:val="auto"/>
                <w:kern w:val="0"/>
                <w:sz w:val="13"/>
                <w:szCs w:val="13"/>
                <w:highlight w:val="none"/>
                <w:u w:val="none"/>
                <w:lang w:val="en-US" w:eastAsia="zh-CN" w:bidi="ar"/>
              </w:rPr>
              <w:t>323</w:t>
            </w:r>
          </w:p>
        </w:tc>
        <w:tc>
          <w:tcPr>
            <w:tcW w:w="1550" w:type="dxa"/>
            <w:vMerge w:val="restart"/>
            <w:tcBorders>
              <w:tl2br w:val="nil"/>
              <w:tr2bl w:val="nil"/>
            </w:tcBorders>
            <w:vAlign w:val="center"/>
          </w:tcPr>
          <w:p w14:paraId="5702738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hint="eastAsia" w:ascii="仿宋_GB2312" w:eastAsia="仿宋_GB2312"/>
                <w:color w:val="auto"/>
                <w:sz w:val="13"/>
                <w:szCs w:val="13"/>
                <w:highlight w:val="none"/>
              </w:rPr>
            </w:pPr>
            <w:r>
              <w:rPr>
                <w:rFonts w:hint="eastAsia" w:ascii="仿宋_GB2312" w:hAnsi="宋体" w:eastAsia="仿宋_GB2312" w:cs="宋体"/>
                <w:color w:val="auto"/>
                <w:kern w:val="0"/>
                <w:sz w:val="13"/>
                <w:szCs w:val="13"/>
                <w:highlight w:val="none"/>
              </w:rPr>
              <w:t>燃气经营者不按照燃气经营许可证的规定从事燃气经营活动的</w:t>
            </w:r>
          </w:p>
        </w:tc>
        <w:tc>
          <w:tcPr>
            <w:tcW w:w="4820" w:type="dxa"/>
            <w:vMerge w:val="restart"/>
            <w:tcBorders>
              <w:tl2br w:val="nil"/>
              <w:tr2bl w:val="nil"/>
            </w:tcBorders>
            <w:vAlign w:val="center"/>
          </w:tcPr>
          <w:p w14:paraId="3A0B5A0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hint="eastAsia" w:ascii="仿宋_GB2312" w:hAnsi="宋体" w:eastAsia="仿宋_GB2312" w:cs="宋体"/>
                <w:color w:val="auto"/>
                <w:kern w:val="0"/>
                <w:sz w:val="13"/>
                <w:szCs w:val="13"/>
                <w:highlight w:val="none"/>
              </w:rPr>
            </w:pPr>
            <w:r>
              <w:rPr>
                <w:rFonts w:hint="eastAsia" w:ascii="仿宋_GB2312" w:hAnsi="宋体" w:eastAsia="仿宋_GB2312" w:cs="宋体"/>
                <w:color w:val="auto"/>
                <w:kern w:val="0"/>
                <w:sz w:val="13"/>
                <w:szCs w:val="13"/>
                <w:highlight w:val="none"/>
              </w:rPr>
              <w:t>《城镇燃气管理条例》</w:t>
            </w:r>
            <w:r>
              <w:rPr>
                <w:rFonts w:hint="eastAsia" w:ascii="仿宋_GB2312" w:hAnsi="宋体" w:eastAsia="仿宋_GB2312" w:cs="宋体"/>
                <w:b/>
                <w:bCs/>
                <w:color w:val="auto"/>
                <w:kern w:val="0"/>
                <w:sz w:val="13"/>
                <w:szCs w:val="13"/>
                <w:highlight w:val="none"/>
              </w:rPr>
              <w:t>第四十五条第二款</w:t>
            </w:r>
            <w:r>
              <w:rPr>
                <w:rFonts w:hint="eastAsia" w:ascii="仿宋_GB2312" w:hAnsi="宋体" w:eastAsia="仿宋_GB2312" w:cs="宋体"/>
                <w:b/>
                <w:bCs/>
                <w:color w:val="auto"/>
                <w:kern w:val="0"/>
                <w:sz w:val="13"/>
                <w:szCs w:val="13"/>
                <w:highlight w:val="none"/>
                <w:lang w:eastAsia="zh-CN"/>
              </w:rPr>
              <w:t>：</w:t>
            </w:r>
            <w:r>
              <w:rPr>
                <w:rFonts w:hint="eastAsia" w:ascii="仿宋_GB2312" w:hAnsi="宋体" w:eastAsia="仿宋_GB2312" w:cs="宋体"/>
                <w:color w:val="auto"/>
                <w:kern w:val="0"/>
                <w:sz w:val="13"/>
                <w:szCs w:val="13"/>
                <w:highlight w:val="none"/>
              </w:rPr>
              <w:t>违反本条例规定，燃气经营者不按照燃气经营许可证的规定从事燃气经营活动的，由燃气管理部门责令限期改正，处3万元以上20万元以下罚款；有违法所得的，没收违法所得；情节严重的，吊销燃气经营许可证；构成犯罪的，依法追究刑事责任。</w:t>
            </w:r>
          </w:p>
        </w:tc>
        <w:tc>
          <w:tcPr>
            <w:tcW w:w="823" w:type="dxa"/>
            <w:tcBorders>
              <w:tl2br w:val="nil"/>
              <w:tr2bl w:val="nil"/>
            </w:tcBorders>
            <w:tcMar>
              <w:top w:w="15" w:type="dxa"/>
              <w:left w:w="15" w:type="dxa"/>
              <w:bottom w:w="15" w:type="dxa"/>
              <w:right w:w="15" w:type="dxa"/>
            </w:tcMar>
            <w:vAlign w:val="center"/>
          </w:tcPr>
          <w:p w14:paraId="2094816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kern w:val="0"/>
                <w:sz w:val="13"/>
                <w:szCs w:val="13"/>
                <w:highlight w:val="none"/>
                <w:lang w:eastAsia="zh-CN"/>
              </w:rPr>
            </w:pPr>
            <w:r>
              <w:rPr>
                <w:rFonts w:hint="eastAsia" w:ascii="仿宋_GB2312" w:hAnsi="宋体" w:eastAsia="仿宋_GB2312" w:cs="宋体"/>
                <w:color w:val="auto"/>
                <w:kern w:val="0"/>
                <w:sz w:val="13"/>
                <w:szCs w:val="13"/>
                <w:highlight w:val="none"/>
                <w:lang w:eastAsia="zh-CN"/>
              </w:rPr>
              <w:t>从轻情节</w:t>
            </w:r>
          </w:p>
        </w:tc>
        <w:tc>
          <w:tcPr>
            <w:tcW w:w="3437" w:type="dxa"/>
            <w:gridSpan w:val="2"/>
            <w:tcBorders>
              <w:tl2br w:val="nil"/>
              <w:tr2bl w:val="nil"/>
            </w:tcBorders>
            <w:tcMar>
              <w:top w:w="15" w:type="dxa"/>
              <w:left w:w="15" w:type="dxa"/>
              <w:bottom w:w="15" w:type="dxa"/>
              <w:right w:w="15" w:type="dxa"/>
            </w:tcMar>
            <w:vAlign w:val="center"/>
          </w:tcPr>
          <w:p w14:paraId="1DB1F17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hint="eastAsia" w:ascii="仿宋_GB2312" w:hAnsi="宋体" w:eastAsia="仿宋_GB2312" w:cs="宋体"/>
                <w:color w:val="auto"/>
                <w:kern w:val="0"/>
                <w:sz w:val="13"/>
                <w:szCs w:val="13"/>
                <w:highlight w:val="none"/>
              </w:rPr>
            </w:pPr>
            <w:r>
              <w:rPr>
                <w:rFonts w:hint="eastAsia" w:ascii="仿宋_GB2312" w:hAnsi="宋体" w:eastAsia="仿宋_GB2312" w:cs="宋体"/>
                <w:color w:val="auto"/>
                <w:kern w:val="0"/>
                <w:sz w:val="13"/>
                <w:szCs w:val="13"/>
                <w:highlight w:val="none"/>
              </w:rPr>
              <w:t>初次违法，危害后果轻微，积极采取改正措施消除影响的。</w:t>
            </w:r>
          </w:p>
        </w:tc>
        <w:tc>
          <w:tcPr>
            <w:tcW w:w="3058" w:type="dxa"/>
            <w:tcBorders>
              <w:tl2br w:val="nil"/>
              <w:tr2bl w:val="nil"/>
            </w:tcBorders>
            <w:tcMar>
              <w:top w:w="15" w:type="dxa"/>
              <w:left w:w="15" w:type="dxa"/>
              <w:bottom w:w="15" w:type="dxa"/>
              <w:right w:w="15" w:type="dxa"/>
            </w:tcMar>
            <w:vAlign w:val="center"/>
          </w:tcPr>
          <w:p w14:paraId="6BCEADC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hint="eastAsia" w:ascii="仿宋_GB2312" w:hAnsi="宋体" w:eastAsia="仿宋_GB2312" w:cs="宋体"/>
                <w:color w:val="auto"/>
                <w:kern w:val="0"/>
                <w:sz w:val="13"/>
                <w:szCs w:val="13"/>
                <w:highlight w:val="none"/>
              </w:rPr>
            </w:pPr>
            <w:r>
              <w:rPr>
                <w:rFonts w:hint="eastAsia" w:ascii="仿宋_GB2312" w:hAnsi="宋体" w:eastAsia="仿宋_GB2312" w:cs="宋体"/>
                <w:color w:val="auto"/>
                <w:kern w:val="0"/>
                <w:sz w:val="13"/>
                <w:szCs w:val="13"/>
                <w:highlight w:val="none"/>
              </w:rPr>
              <w:t>责令限期改正，处3万元以上10万元以下罚款；有违法所得的，没收违法所得。</w:t>
            </w:r>
          </w:p>
        </w:tc>
      </w:tr>
      <w:tr w14:paraId="18E99B2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939" w:hRule="atLeast"/>
          <w:jc w:val="center"/>
        </w:trPr>
        <w:tc>
          <w:tcPr>
            <w:tcW w:w="428" w:type="dxa"/>
            <w:vMerge w:val="continue"/>
            <w:tcBorders>
              <w:tl2br w:val="nil"/>
              <w:tr2bl w:val="nil"/>
            </w:tcBorders>
            <w:vAlign w:val="center"/>
          </w:tcPr>
          <w:p w14:paraId="643D9C25">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638" w:leftChars="88" w:right="0" w:rightChars="0" w:hanging="453" w:hangingChars="349"/>
              <w:jc w:val="center"/>
              <w:textAlignment w:val="center"/>
              <w:rPr>
                <w:rFonts w:hint="eastAsia" w:ascii="仿宋_GB2312" w:hAnsi="宋体" w:eastAsia="仿宋_GB2312" w:cs="仿宋_GB2312"/>
                <w:i w:val="0"/>
                <w:color w:val="auto"/>
                <w:kern w:val="0"/>
                <w:sz w:val="13"/>
                <w:szCs w:val="13"/>
                <w:highlight w:val="none"/>
                <w:u w:val="none"/>
                <w:lang w:val="en-US" w:eastAsia="zh-CN" w:bidi="ar"/>
              </w:rPr>
            </w:pPr>
          </w:p>
        </w:tc>
        <w:tc>
          <w:tcPr>
            <w:tcW w:w="1550" w:type="dxa"/>
            <w:vMerge w:val="continue"/>
            <w:tcBorders>
              <w:tl2br w:val="nil"/>
              <w:tr2bl w:val="nil"/>
            </w:tcBorders>
            <w:vAlign w:val="center"/>
          </w:tcPr>
          <w:p w14:paraId="4D60CD1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rPr>
                <w:rFonts w:hint="eastAsia" w:ascii="仿宋_GB2312" w:eastAsia="仿宋_GB2312"/>
                <w:color w:val="auto"/>
                <w:sz w:val="13"/>
                <w:szCs w:val="13"/>
                <w:highlight w:val="none"/>
              </w:rPr>
            </w:pPr>
          </w:p>
        </w:tc>
        <w:tc>
          <w:tcPr>
            <w:tcW w:w="4820" w:type="dxa"/>
            <w:vMerge w:val="continue"/>
            <w:tcBorders>
              <w:tl2br w:val="nil"/>
              <w:tr2bl w:val="nil"/>
            </w:tcBorders>
            <w:vAlign w:val="center"/>
          </w:tcPr>
          <w:p w14:paraId="4816541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hint="eastAsia" w:ascii="仿宋_GB2312" w:hAnsi="宋体" w:eastAsia="仿宋_GB2312" w:cs="宋体"/>
                <w:color w:val="auto"/>
                <w:kern w:val="0"/>
                <w:sz w:val="13"/>
                <w:szCs w:val="13"/>
                <w:highlight w:val="none"/>
              </w:rPr>
            </w:pPr>
          </w:p>
        </w:tc>
        <w:tc>
          <w:tcPr>
            <w:tcW w:w="823" w:type="dxa"/>
            <w:tcBorders>
              <w:tl2br w:val="nil"/>
              <w:tr2bl w:val="nil"/>
            </w:tcBorders>
            <w:tcMar>
              <w:top w:w="15" w:type="dxa"/>
              <w:left w:w="15" w:type="dxa"/>
              <w:bottom w:w="15" w:type="dxa"/>
              <w:right w:w="15" w:type="dxa"/>
            </w:tcMar>
            <w:vAlign w:val="center"/>
          </w:tcPr>
          <w:p w14:paraId="5CEC10C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kern w:val="0"/>
                <w:sz w:val="13"/>
                <w:szCs w:val="13"/>
                <w:highlight w:val="none"/>
                <w:lang w:eastAsia="zh-CN"/>
              </w:rPr>
            </w:pPr>
            <w:r>
              <w:rPr>
                <w:rFonts w:hint="eastAsia" w:ascii="仿宋_GB2312" w:hAnsi="宋体" w:eastAsia="仿宋_GB2312" w:cs="宋体"/>
                <w:color w:val="auto"/>
                <w:kern w:val="0"/>
                <w:sz w:val="13"/>
                <w:szCs w:val="13"/>
                <w:highlight w:val="none"/>
                <w:lang w:eastAsia="zh-CN"/>
              </w:rPr>
              <w:t>一般情节</w:t>
            </w:r>
          </w:p>
        </w:tc>
        <w:tc>
          <w:tcPr>
            <w:tcW w:w="3437" w:type="dxa"/>
            <w:gridSpan w:val="2"/>
            <w:tcBorders>
              <w:tl2br w:val="nil"/>
              <w:tr2bl w:val="nil"/>
            </w:tcBorders>
            <w:tcMar>
              <w:top w:w="15" w:type="dxa"/>
              <w:left w:w="15" w:type="dxa"/>
              <w:bottom w:w="15" w:type="dxa"/>
              <w:right w:w="15" w:type="dxa"/>
            </w:tcMar>
            <w:vAlign w:val="center"/>
          </w:tcPr>
          <w:p w14:paraId="6998691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hint="eastAsia" w:ascii="仿宋_GB2312" w:hAnsi="宋体" w:eastAsia="仿宋_GB2312" w:cs="宋体"/>
                <w:color w:val="auto"/>
                <w:kern w:val="0"/>
                <w:sz w:val="13"/>
                <w:szCs w:val="13"/>
                <w:highlight w:val="none"/>
              </w:rPr>
            </w:pPr>
            <w:r>
              <w:rPr>
                <w:rFonts w:hint="eastAsia" w:ascii="仿宋_GB2312" w:hAnsi="宋体" w:eastAsia="仿宋_GB2312" w:cs="宋体"/>
                <w:color w:val="auto"/>
                <w:kern w:val="0"/>
                <w:sz w:val="13"/>
                <w:szCs w:val="13"/>
                <w:highlight w:val="none"/>
              </w:rPr>
              <w:t>不具有从轻、</w:t>
            </w:r>
            <w:r>
              <w:rPr>
                <w:rFonts w:hint="eastAsia" w:ascii="仿宋_GB2312" w:hAnsi="宋体" w:eastAsia="仿宋_GB2312" w:cs="宋体"/>
                <w:color w:val="auto"/>
                <w:kern w:val="0"/>
                <w:sz w:val="13"/>
                <w:szCs w:val="13"/>
                <w:highlight w:val="none"/>
                <w:lang w:eastAsia="zh-CN"/>
              </w:rPr>
              <w:t>从重情节</w:t>
            </w:r>
            <w:r>
              <w:rPr>
                <w:rFonts w:hint="eastAsia" w:ascii="仿宋_GB2312" w:hAnsi="宋体" w:eastAsia="仿宋_GB2312" w:cs="宋体"/>
                <w:color w:val="auto"/>
                <w:kern w:val="0"/>
                <w:sz w:val="13"/>
                <w:szCs w:val="13"/>
                <w:highlight w:val="none"/>
              </w:rPr>
              <w:t>的。</w:t>
            </w:r>
          </w:p>
        </w:tc>
        <w:tc>
          <w:tcPr>
            <w:tcW w:w="3058" w:type="dxa"/>
            <w:tcBorders>
              <w:tl2br w:val="nil"/>
              <w:tr2bl w:val="nil"/>
            </w:tcBorders>
            <w:tcMar>
              <w:top w:w="15" w:type="dxa"/>
              <w:left w:w="15" w:type="dxa"/>
              <w:bottom w:w="15" w:type="dxa"/>
              <w:right w:w="15" w:type="dxa"/>
            </w:tcMar>
            <w:vAlign w:val="center"/>
          </w:tcPr>
          <w:p w14:paraId="2A6C21B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hint="eastAsia" w:ascii="仿宋_GB2312" w:hAnsi="宋体" w:eastAsia="仿宋_GB2312" w:cs="宋体"/>
                <w:color w:val="auto"/>
                <w:kern w:val="0"/>
                <w:sz w:val="13"/>
                <w:szCs w:val="13"/>
                <w:highlight w:val="none"/>
              </w:rPr>
            </w:pPr>
            <w:r>
              <w:rPr>
                <w:rFonts w:hint="eastAsia" w:ascii="仿宋_GB2312" w:hAnsi="宋体" w:eastAsia="仿宋_GB2312" w:cs="宋体"/>
                <w:color w:val="auto"/>
                <w:kern w:val="0"/>
                <w:sz w:val="13"/>
                <w:szCs w:val="13"/>
                <w:highlight w:val="none"/>
              </w:rPr>
              <w:t>责令限期改正，处10万元以上15万元以下罚款；有违法所得的，没收违法所得。</w:t>
            </w:r>
          </w:p>
        </w:tc>
      </w:tr>
      <w:tr w14:paraId="3D5590C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239" w:hRule="atLeast"/>
          <w:jc w:val="center"/>
        </w:trPr>
        <w:tc>
          <w:tcPr>
            <w:tcW w:w="428" w:type="dxa"/>
            <w:vMerge w:val="continue"/>
            <w:tcBorders>
              <w:tl2br w:val="nil"/>
              <w:tr2bl w:val="nil"/>
            </w:tcBorders>
            <w:vAlign w:val="center"/>
          </w:tcPr>
          <w:p w14:paraId="188919DD">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638" w:leftChars="88" w:right="0" w:rightChars="0" w:hanging="453" w:hangingChars="349"/>
              <w:jc w:val="center"/>
              <w:textAlignment w:val="center"/>
              <w:rPr>
                <w:rFonts w:hint="eastAsia" w:ascii="仿宋_GB2312" w:hAnsi="宋体" w:eastAsia="仿宋_GB2312" w:cs="仿宋_GB2312"/>
                <w:i w:val="0"/>
                <w:color w:val="auto"/>
                <w:kern w:val="0"/>
                <w:sz w:val="13"/>
                <w:szCs w:val="13"/>
                <w:highlight w:val="none"/>
                <w:u w:val="none"/>
                <w:lang w:val="en-US" w:eastAsia="zh-CN" w:bidi="ar"/>
              </w:rPr>
            </w:pPr>
          </w:p>
        </w:tc>
        <w:tc>
          <w:tcPr>
            <w:tcW w:w="1550" w:type="dxa"/>
            <w:vMerge w:val="continue"/>
            <w:tcBorders>
              <w:tl2br w:val="nil"/>
              <w:tr2bl w:val="nil"/>
            </w:tcBorders>
            <w:vAlign w:val="center"/>
          </w:tcPr>
          <w:p w14:paraId="16F969A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rPr>
                <w:rFonts w:hint="eastAsia" w:ascii="仿宋_GB2312" w:eastAsia="仿宋_GB2312"/>
                <w:color w:val="auto"/>
                <w:sz w:val="13"/>
                <w:szCs w:val="13"/>
                <w:highlight w:val="none"/>
              </w:rPr>
            </w:pPr>
          </w:p>
        </w:tc>
        <w:tc>
          <w:tcPr>
            <w:tcW w:w="4820" w:type="dxa"/>
            <w:vMerge w:val="continue"/>
            <w:tcBorders>
              <w:tl2br w:val="nil"/>
              <w:tr2bl w:val="nil"/>
            </w:tcBorders>
            <w:vAlign w:val="center"/>
          </w:tcPr>
          <w:p w14:paraId="121EB6A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hint="eastAsia" w:ascii="仿宋_GB2312" w:hAnsi="宋体" w:eastAsia="仿宋_GB2312" w:cs="宋体"/>
                <w:color w:val="auto"/>
                <w:kern w:val="0"/>
                <w:sz w:val="13"/>
                <w:szCs w:val="13"/>
                <w:highlight w:val="none"/>
              </w:rPr>
            </w:pPr>
          </w:p>
        </w:tc>
        <w:tc>
          <w:tcPr>
            <w:tcW w:w="823" w:type="dxa"/>
            <w:vMerge w:val="restart"/>
            <w:tcBorders>
              <w:tl2br w:val="nil"/>
              <w:tr2bl w:val="nil"/>
            </w:tcBorders>
            <w:tcMar>
              <w:top w:w="15" w:type="dxa"/>
              <w:left w:w="15" w:type="dxa"/>
              <w:bottom w:w="15" w:type="dxa"/>
              <w:right w:w="15" w:type="dxa"/>
            </w:tcMar>
            <w:vAlign w:val="center"/>
          </w:tcPr>
          <w:p w14:paraId="66374CB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kern w:val="0"/>
                <w:sz w:val="13"/>
                <w:szCs w:val="13"/>
                <w:highlight w:val="none"/>
                <w:lang w:eastAsia="zh-CN"/>
              </w:rPr>
            </w:pPr>
            <w:r>
              <w:rPr>
                <w:rFonts w:hint="eastAsia" w:ascii="仿宋_GB2312" w:hAnsi="宋体" w:eastAsia="仿宋_GB2312" w:cs="宋体"/>
                <w:color w:val="auto"/>
                <w:kern w:val="0"/>
                <w:sz w:val="13"/>
                <w:szCs w:val="13"/>
                <w:highlight w:val="none"/>
                <w:lang w:eastAsia="zh-CN"/>
              </w:rPr>
              <w:t>从重情节</w:t>
            </w:r>
          </w:p>
        </w:tc>
        <w:tc>
          <w:tcPr>
            <w:tcW w:w="3437" w:type="dxa"/>
            <w:gridSpan w:val="2"/>
            <w:tcBorders>
              <w:tl2br w:val="nil"/>
              <w:tr2bl w:val="nil"/>
            </w:tcBorders>
            <w:tcMar>
              <w:top w:w="15" w:type="dxa"/>
              <w:left w:w="15" w:type="dxa"/>
              <w:bottom w:w="15" w:type="dxa"/>
              <w:right w:w="15" w:type="dxa"/>
            </w:tcMar>
            <w:vAlign w:val="center"/>
          </w:tcPr>
          <w:p w14:paraId="1FF7016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hint="eastAsia" w:ascii="仿宋_GB2312" w:hAnsi="宋体" w:eastAsia="仿宋_GB2312" w:cs="宋体"/>
                <w:color w:val="auto"/>
                <w:kern w:val="0"/>
                <w:sz w:val="13"/>
                <w:szCs w:val="13"/>
                <w:highlight w:val="none"/>
              </w:rPr>
            </w:pPr>
            <w:r>
              <w:rPr>
                <w:rFonts w:hint="eastAsia" w:ascii="仿宋_GB2312" w:hAnsi="宋体" w:eastAsia="仿宋_GB2312" w:cs="Times New Roman"/>
                <w:color w:val="auto"/>
                <w:kern w:val="0"/>
                <w:sz w:val="13"/>
                <w:szCs w:val="13"/>
                <w:highlight w:val="none"/>
                <w:lang w:val="en-US" w:eastAsia="zh-CN"/>
              </w:rPr>
              <w:t>经责令停止违法行为后，继续实施违法行为的或者曾因实施该违法行为被查处，再次实施该违法行为的，或者发生一般事故的。</w:t>
            </w:r>
          </w:p>
        </w:tc>
        <w:tc>
          <w:tcPr>
            <w:tcW w:w="3058" w:type="dxa"/>
            <w:tcBorders>
              <w:tl2br w:val="nil"/>
              <w:tr2bl w:val="nil"/>
            </w:tcBorders>
            <w:tcMar>
              <w:top w:w="15" w:type="dxa"/>
              <w:left w:w="15" w:type="dxa"/>
              <w:bottom w:w="15" w:type="dxa"/>
              <w:right w:w="15" w:type="dxa"/>
            </w:tcMar>
            <w:vAlign w:val="center"/>
          </w:tcPr>
          <w:p w14:paraId="288AD6B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hint="eastAsia" w:ascii="仿宋_GB2312" w:hAnsi="宋体" w:eastAsia="仿宋_GB2312" w:cs="宋体"/>
                <w:color w:val="auto"/>
                <w:kern w:val="0"/>
                <w:sz w:val="13"/>
                <w:szCs w:val="13"/>
                <w:highlight w:val="none"/>
              </w:rPr>
            </w:pPr>
            <w:r>
              <w:rPr>
                <w:rFonts w:hint="eastAsia" w:ascii="仿宋_GB2312" w:hAnsi="宋体" w:eastAsia="仿宋_GB2312" w:cs="宋体"/>
                <w:color w:val="auto"/>
                <w:kern w:val="0"/>
                <w:sz w:val="13"/>
                <w:szCs w:val="13"/>
                <w:highlight w:val="none"/>
              </w:rPr>
              <w:t>责令限期改正，处15万元罚款；有违法所得的，没收违法所得；吊销燃气经营许可证。</w:t>
            </w:r>
          </w:p>
        </w:tc>
      </w:tr>
      <w:tr w14:paraId="268555A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239" w:hRule="atLeast"/>
          <w:jc w:val="center"/>
        </w:trPr>
        <w:tc>
          <w:tcPr>
            <w:tcW w:w="428" w:type="dxa"/>
            <w:vMerge w:val="continue"/>
            <w:tcBorders>
              <w:tl2br w:val="nil"/>
              <w:tr2bl w:val="nil"/>
            </w:tcBorders>
            <w:vAlign w:val="center"/>
          </w:tcPr>
          <w:p w14:paraId="5035D395">
            <w:pPr>
              <w:keepNext w:val="0"/>
              <w:keepLines w:val="0"/>
              <w:pageBreakBefore w:val="0"/>
              <w:widowControl/>
              <w:kinsoku/>
              <w:overflowPunct/>
              <w:topLinePunct w:val="0"/>
              <w:autoSpaceDE/>
              <w:autoSpaceDN/>
              <w:bidi w:val="0"/>
              <w:adjustRightInd/>
              <w:snapToGrid/>
              <w:spacing w:beforeAutospacing="0" w:afterAutospacing="0" w:line="260" w:lineRule="exact"/>
              <w:ind w:left="917" w:leftChars="88" w:right="0" w:rightChars="0" w:hanging="732" w:hangingChars="349"/>
              <w:textAlignment w:val="center"/>
              <w:rPr>
                <w:color w:val="auto"/>
                <w:highlight w:val="none"/>
              </w:rPr>
            </w:pPr>
          </w:p>
        </w:tc>
        <w:tc>
          <w:tcPr>
            <w:tcW w:w="1550" w:type="dxa"/>
            <w:vMerge w:val="continue"/>
            <w:tcBorders>
              <w:tl2br w:val="nil"/>
              <w:tr2bl w:val="nil"/>
            </w:tcBorders>
            <w:vAlign w:val="center"/>
          </w:tcPr>
          <w:p w14:paraId="3E62894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10" w:firstLineChars="100"/>
              <w:textAlignment w:val="center"/>
              <w:rPr>
                <w:color w:val="auto"/>
                <w:highlight w:val="none"/>
              </w:rPr>
            </w:pPr>
          </w:p>
        </w:tc>
        <w:tc>
          <w:tcPr>
            <w:tcW w:w="4820" w:type="dxa"/>
            <w:vMerge w:val="continue"/>
            <w:tcBorders>
              <w:tl2br w:val="nil"/>
              <w:tr2bl w:val="nil"/>
            </w:tcBorders>
            <w:vAlign w:val="center"/>
          </w:tcPr>
          <w:p w14:paraId="27F2EF6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10" w:firstLineChars="100"/>
              <w:textAlignment w:val="center"/>
              <w:rPr>
                <w:color w:val="auto"/>
                <w:highlight w:val="none"/>
              </w:rPr>
            </w:pPr>
          </w:p>
        </w:tc>
        <w:tc>
          <w:tcPr>
            <w:tcW w:w="823" w:type="dxa"/>
            <w:vMerge w:val="continue"/>
            <w:tcBorders>
              <w:tl2br w:val="nil"/>
              <w:tr2bl w:val="nil"/>
            </w:tcBorders>
            <w:tcMar>
              <w:top w:w="15" w:type="dxa"/>
              <w:left w:w="15" w:type="dxa"/>
              <w:bottom w:w="15" w:type="dxa"/>
              <w:right w:w="15" w:type="dxa"/>
            </w:tcMar>
            <w:vAlign w:val="center"/>
          </w:tcPr>
          <w:p w14:paraId="2E05441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10" w:firstLineChars="100"/>
              <w:textAlignment w:val="center"/>
              <w:rPr>
                <w:color w:val="auto"/>
                <w:highlight w:val="none"/>
              </w:rPr>
            </w:pPr>
          </w:p>
        </w:tc>
        <w:tc>
          <w:tcPr>
            <w:tcW w:w="3437" w:type="dxa"/>
            <w:gridSpan w:val="2"/>
            <w:tcBorders>
              <w:tl2br w:val="nil"/>
              <w:tr2bl w:val="nil"/>
            </w:tcBorders>
            <w:tcMar>
              <w:top w:w="15" w:type="dxa"/>
              <w:left w:w="15" w:type="dxa"/>
              <w:bottom w:w="15" w:type="dxa"/>
              <w:right w:w="15" w:type="dxa"/>
            </w:tcMar>
            <w:vAlign w:val="center"/>
          </w:tcPr>
          <w:p w14:paraId="401FB73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hint="eastAsia" w:ascii="仿宋_GB2312" w:hAnsi="宋体" w:eastAsia="仿宋_GB2312" w:cs="宋体"/>
                <w:color w:val="auto"/>
                <w:kern w:val="0"/>
                <w:sz w:val="13"/>
                <w:szCs w:val="13"/>
                <w:highlight w:val="none"/>
              </w:rPr>
            </w:pPr>
            <w:r>
              <w:rPr>
                <w:rFonts w:hint="eastAsia" w:ascii="仿宋_GB2312" w:hAnsi="宋体" w:eastAsia="仿宋_GB2312" w:cs="Times New Roman"/>
                <w:color w:val="auto"/>
                <w:kern w:val="0"/>
                <w:sz w:val="13"/>
                <w:szCs w:val="13"/>
                <w:highlight w:val="none"/>
                <w:lang w:val="en-US" w:eastAsia="zh-CN"/>
              </w:rPr>
              <w:t>造成较大安全事故的</w:t>
            </w:r>
          </w:p>
        </w:tc>
        <w:tc>
          <w:tcPr>
            <w:tcW w:w="3058" w:type="dxa"/>
            <w:tcBorders>
              <w:tl2br w:val="nil"/>
              <w:tr2bl w:val="nil"/>
            </w:tcBorders>
            <w:tcMar>
              <w:top w:w="15" w:type="dxa"/>
              <w:left w:w="15" w:type="dxa"/>
              <w:bottom w:w="15" w:type="dxa"/>
              <w:right w:w="15" w:type="dxa"/>
            </w:tcMar>
            <w:vAlign w:val="center"/>
          </w:tcPr>
          <w:p w14:paraId="581DF04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hint="eastAsia" w:ascii="仿宋_GB2312" w:hAnsi="宋体" w:eastAsia="仿宋_GB2312" w:cs="宋体"/>
                <w:color w:val="auto"/>
                <w:kern w:val="0"/>
                <w:sz w:val="13"/>
                <w:szCs w:val="13"/>
                <w:highlight w:val="none"/>
              </w:rPr>
            </w:pPr>
            <w:r>
              <w:rPr>
                <w:rFonts w:hint="eastAsia" w:ascii="仿宋_GB2312" w:hAnsi="宋体" w:eastAsia="仿宋_GB2312" w:cs="Times New Roman"/>
                <w:color w:val="auto"/>
                <w:kern w:val="0"/>
                <w:sz w:val="13"/>
                <w:szCs w:val="13"/>
                <w:highlight w:val="none"/>
                <w:lang w:val="en-US" w:eastAsia="zh-CN"/>
              </w:rPr>
              <w:t>责令限期改正，处15万元以上18万元以下罚款；有违法所得的，没收违法所得；吊销燃气经营许可证。</w:t>
            </w:r>
          </w:p>
        </w:tc>
      </w:tr>
      <w:tr w14:paraId="7D94217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239" w:hRule="atLeast"/>
          <w:jc w:val="center"/>
        </w:trPr>
        <w:tc>
          <w:tcPr>
            <w:tcW w:w="428" w:type="dxa"/>
            <w:vMerge w:val="continue"/>
            <w:tcBorders>
              <w:tl2br w:val="nil"/>
              <w:tr2bl w:val="nil"/>
            </w:tcBorders>
            <w:vAlign w:val="center"/>
          </w:tcPr>
          <w:p w14:paraId="6168CB12">
            <w:pPr>
              <w:keepNext w:val="0"/>
              <w:keepLines w:val="0"/>
              <w:pageBreakBefore w:val="0"/>
              <w:widowControl/>
              <w:kinsoku/>
              <w:overflowPunct/>
              <w:topLinePunct w:val="0"/>
              <w:autoSpaceDE/>
              <w:autoSpaceDN/>
              <w:bidi w:val="0"/>
              <w:adjustRightInd/>
              <w:snapToGrid/>
              <w:spacing w:beforeAutospacing="0" w:afterAutospacing="0" w:line="260" w:lineRule="exact"/>
              <w:ind w:left="638" w:leftChars="88" w:right="0" w:rightChars="0" w:hanging="453" w:hangingChars="349"/>
              <w:textAlignment w:val="center"/>
              <w:rPr>
                <w:rFonts w:hint="eastAsia" w:ascii="仿宋_GB2312" w:hAnsi="宋体" w:eastAsia="仿宋_GB2312" w:cs="宋体"/>
                <w:color w:val="auto"/>
                <w:kern w:val="0"/>
                <w:sz w:val="13"/>
                <w:szCs w:val="13"/>
                <w:highlight w:val="none"/>
              </w:rPr>
            </w:pPr>
          </w:p>
        </w:tc>
        <w:tc>
          <w:tcPr>
            <w:tcW w:w="1550" w:type="dxa"/>
            <w:vMerge w:val="continue"/>
            <w:tcBorders>
              <w:tl2br w:val="nil"/>
              <w:tr2bl w:val="nil"/>
            </w:tcBorders>
            <w:vAlign w:val="center"/>
          </w:tcPr>
          <w:p w14:paraId="4278F4F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hint="eastAsia" w:ascii="仿宋_GB2312" w:hAnsi="宋体" w:eastAsia="仿宋_GB2312" w:cs="宋体"/>
                <w:color w:val="auto"/>
                <w:kern w:val="0"/>
                <w:sz w:val="13"/>
                <w:szCs w:val="13"/>
                <w:highlight w:val="none"/>
              </w:rPr>
            </w:pPr>
          </w:p>
        </w:tc>
        <w:tc>
          <w:tcPr>
            <w:tcW w:w="4820" w:type="dxa"/>
            <w:vMerge w:val="continue"/>
            <w:tcBorders>
              <w:tl2br w:val="nil"/>
              <w:tr2bl w:val="nil"/>
            </w:tcBorders>
            <w:vAlign w:val="center"/>
          </w:tcPr>
          <w:p w14:paraId="13BE37E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hint="eastAsia" w:ascii="仿宋_GB2312" w:hAnsi="宋体" w:eastAsia="仿宋_GB2312" w:cs="宋体"/>
                <w:color w:val="auto"/>
                <w:kern w:val="0"/>
                <w:sz w:val="13"/>
                <w:szCs w:val="13"/>
                <w:highlight w:val="none"/>
              </w:rPr>
            </w:pPr>
          </w:p>
        </w:tc>
        <w:tc>
          <w:tcPr>
            <w:tcW w:w="823" w:type="dxa"/>
            <w:vMerge w:val="continue"/>
            <w:tcBorders>
              <w:tl2br w:val="nil"/>
              <w:tr2bl w:val="nil"/>
            </w:tcBorders>
            <w:tcMar>
              <w:top w:w="15" w:type="dxa"/>
              <w:left w:w="15" w:type="dxa"/>
              <w:bottom w:w="15" w:type="dxa"/>
              <w:right w:w="15" w:type="dxa"/>
            </w:tcMar>
            <w:vAlign w:val="center"/>
          </w:tcPr>
          <w:p w14:paraId="6E2CBAA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hint="eastAsia" w:ascii="仿宋_GB2312" w:hAnsi="宋体" w:eastAsia="仿宋_GB2312" w:cs="宋体"/>
                <w:color w:val="auto"/>
                <w:kern w:val="0"/>
                <w:sz w:val="13"/>
                <w:szCs w:val="13"/>
                <w:highlight w:val="none"/>
              </w:rPr>
            </w:pPr>
          </w:p>
        </w:tc>
        <w:tc>
          <w:tcPr>
            <w:tcW w:w="3437" w:type="dxa"/>
            <w:gridSpan w:val="2"/>
            <w:tcBorders>
              <w:tl2br w:val="nil"/>
              <w:tr2bl w:val="nil"/>
            </w:tcBorders>
            <w:tcMar>
              <w:top w:w="15" w:type="dxa"/>
              <w:left w:w="15" w:type="dxa"/>
              <w:bottom w:w="15" w:type="dxa"/>
              <w:right w:w="15" w:type="dxa"/>
            </w:tcMar>
            <w:vAlign w:val="center"/>
          </w:tcPr>
          <w:p w14:paraId="727591CB">
            <w:pPr>
              <w:keepNext w:val="0"/>
              <w:keepLines w:val="0"/>
              <w:pageBreakBefore w:val="0"/>
              <w:widowControl/>
              <w:kinsoku/>
              <w:overflowPunct/>
              <w:topLinePunct w:val="0"/>
              <w:autoSpaceDE/>
              <w:autoSpaceDN/>
              <w:bidi w:val="0"/>
              <w:adjustRightInd/>
              <w:snapToGrid/>
              <w:spacing w:beforeAutospacing="0" w:afterAutospacing="0" w:line="260" w:lineRule="exact"/>
              <w:ind w:right="0" w:rightChars="0" w:firstLine="130" w:firstLineChars="100"/>
              <w:jc w:val="left"/>
              <w:textAlignment w:val="center"/>
              <w:rPr>
                <w:rFonts w:hint="eastAsia" w:ascii="仿宋_GB2312" w:hAnsi="宋体" w:eastAsia="仿宋_GB2312" w:cs="宋体"/>
                <w:color w:val="auto"/>
                <w:kern w:val="0"/>
                <w:sz w:val="13"/>
                <w:szCs w:val="13"/>
                <w:highlight w:val="none"/>
              </w:rPr>
            </w:pPr>
            <w:r>
              <w:rPr>
                <w:rFonts w:hint="eastAsia" w:ascii="仿宋_GB2312" w:hAnsi="宋体" w:eastAsia="仿宋_GB2312" w:cs="Times New Roman"/>
                <w:color w:val="auto"/>
                <w:kern w:val="0"/>
                <w:sz w:val="13"/>
                <w:szCs w:val="13"/>
                <w:highlight w:val="none"/>
                <w:lang w:val="en-US" w:eastAsia="zh-CN"/>
              </w:rPr>
              <w:t>造成重大安全事故的</w:t>
            </w:r>
          </w:p>
        </w:tc>
        <w:tc>
          <w:tcPr>
            <w:tcW w:w="3058" w:type="dxa"/>
            <w:tcBorders>
              <w:tl2br w:val="nil"/>
              <w:tr2bl w:val="nil"/>
            </w:tcBorders>
            <w:tcMar>
              <w:top w:w="15" w:type="dxa"/>
              <w:left w:w="15" w:type="dxa"/>
              <w:bottom w:w="15" w:type="dxa"/>
              <w:right w:w="15" w:type="dxa"/>
            </w:tcMar>
            <w:vAlign w:val="center"/>
          </w:tcPr>
          <w:p w14:paraId="62E6DE7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hint="eastAsia" w:ascii="仿宋_GB2312" w:hAnsi="宋体" w:eastAsia="仿宋_GB2312" w:cs="宋体"/>
                <w:color w:val="auto"/>
                <w:kern w:val="0"/>
                <w:sz w:val="13"/>
                <w:szCs w:val="13"/>
                <w:highlight w:val="none"/>
              </w:rPr>
            </w:pPr>
            <w:r>
              <w:rPr>
                <w:rFonts w:hint="eastAsia" w:ascii="仿宋_GB2312" w:hAnsi="宋体" w:eastAsia="仿宋_GB2312" w:cs="Times New Roman"/>
                <w:color w:val="auto"/>
                <w:kern w:val="0"/>
                <w:sz w:val="13"/>
                <w:szCs w:val="13"/>
                <w:highlight w:val="none"/>
                <w:lang w:val="en-US" w:eastAsia="zh-CN"/>
              </w:rPr>
              <w:t>责令限期改正，处18万元以上20万元以下罚款；有违法所得的，没收违法所得；吊销燃气经营许可证。</w:t>
            </w:r>
          </w:p>
        </w:tc>
      </w:tr>
      <w:tr w14:paraId="64B8432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239" w:hRule="atLeast"/>
          <w:jc w:val="center"/>
        </w:trPr>
        <w:tc>
          <w:tcPr>
            <w:tcW w:w="428" w:type="dxa"/>
            <w:vMerge w:val="continue"/>
            <w:tcBorders>
              <w:tl2br w:val="nil"/>
              <w:tr2bl w:val="nil"/>
            </w:tcBorders>
            <w:vAlign w:val="center"/>
          </w:tcPr>
          <w:p w14:paraId="5AC3CFF1">
            <w:pPr>
              <w:keepNext w:val="0"/>
              <w:keepLines w:val="0"/>
              <w:pageBreakBefore w:val="0"/>
              <w:widowControl/>
              <w:kinsoku/>
              <w:overflowPunct/>
              <w:topLinePunct w:val="0"/>
              <w:autoSpaceDE/>
              <w:autoSpaceDN/>
              <w:bidi w:val="0"/>
              <w:adjustRightInd/>
              <w:snapToGrid/>
              <w:spacing w:beforeAutospacing="0" w:afterAutospacing="0" w:line="260" w:lineRule="exact"/>
              <w:ind w:left="638" w:leftChars="88" w:right="0" w:rightChars="0" w:hanging="453" w:hangingChars="349"/>
              <w:textAlignment w:val="center"/>
              <w:rPr>
                <w:rFonts w:hint="eastAsia" w:ascii="仿宋_GB2312" w:hAnsi="宋体" w:eastAsia="仿宋_GB2312" w:cs="宋体"/>
                <w:color w:val="auto"/>
                <w:kern w:val="0"/>
                <w:sz w:val="13"/>
                <w:szCs w:val="13"/>
                <w:highlight w:val="none"/>
              </w:rPr>
            </w:pPr>
          </w:p>
        </w:tc>
        <w:tc>
          <w:tcPr>
            <w:tcW w:w="1550" w:type="dxa"/>
            <w:vMerge w:val="continue"/>
            <w:tcBorders>
              <w:tl2br w:val="nil"/>
              <w:tr2bl w:val="nil"/>
            </w:tcBorders>
            <w:vAlign w:val="center"/>
          </w:tcPr>
          <w:p w14:paraId="2442460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hint="eastAsia" w:ascii="仿宋_GB2312" w:hAnsi="宋体" w:eastAsia="仿宋_GB2312" w:cs="宋体"/>
                <w:color w:val="auto"/>
                <w:kern w:val="0"/>
                <w:sz w:val="13"/>
                <w:szCs w:val="13"/>
                <w:highlight w:val="none"/>
              </w:rPr>
            </w:pPr>
          </w:p>
        </w:tc>
        <w:tc>
          <w:tcPr>
            <w:tcW w:w="4820" w:type="dxa"/>
            <w:vMerge w:val="continue"/>
            <w:tcBorders>
              <w:tl2br w:val="nil"/>
              <w:tr2bl w:val="nil"/>
            </w:tcBorders>
            <w:vAlign w:val="center"/>
          </w:tcPr>
          <w:p w14:paraId="2358F4E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hint="eastAsia" w:ascii="仿宋_GB2312" w:hAnsi="宋体" w:eastAsia="仿宋_GB2312" w:cs="宋体"/>
                <w:color w:val="auto"/>
                <w:kern w:val="0"/>
                <w:sz w:val="13"/>
                <w:szCs w:val="13"/>
                <w:highlight w:val="none"/>
              </w:rPr>
            </w:pPr>
          </w:p>
        </w:tc>
        <w:tc>
          <w:tcPr>
            <w:tcW w:w="823" w:type="dxa"/>
            <w:vMerge w:val="continue"/>
            <w:tcBorders>
              <w:tl2br w:val="nil"/>
              <w:tr2bl w:val="nil"/>
            </w:tcBorders>
            <w:tcMar>
              <w:top w:w="15" w:type="dxa"/>
              <w:left w:w="15" w:type="dxa"/>
              <w:bottom w:w="15" w:type="dxa"/>
              <w:right w:w="15" w:type="dxa"/>
            </w:tcMar>
            <w:vAlign w:val="center"/>
          </w:tcPr>
          <w:p w14:paraId="0470B16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hint="eastAsia" w:ascii="仿宋_GB2312" w:hAnsi="宋体" w:eastAsia="仿宋_GB2312" w:cs="宋体"/>
                <w:color w:val="auto"/>
                <w:kern w:val="0"/>
                <w:sz w:val="13"/>
                <w:szCs w:val="13"/>
                <w:highlight w:val="none"/>
              </w:rPr>
            </w:pPr>
          </w:p>
        </w:tc>
        <w:tc>
          <w:tcPr>
            <w:tcW w:w="3437" w:type="dxa"/>
            <w:gridSpan w:val="2"/>
            <w:tcBorders>
              <w:tl2br w:val="nil"/>
              <w:tr2bl w:val="nil"/>
            </w:tcBorders>
            <w:tcMar>
              <w:top w:w="15" w:type="dxa"/>
              <w:left w:w="15" w:type="dxa"/>
              <w:bottom w:w="15" w:type="dxa"/>
              <w:right w:w="15" w:type="dxa"/>
            </w:tcMar>
            <w:vAlign w:val="center"/>
          </w:tcPr>
          <w:p w14:paraId="4B9CBED1">
            <w:pPr>
              <w:keepNext w:val="0"/>
              <w:keepLines w:val="0"/>
              <w:pageBreakBefore w:val="0"/>
              <w:widowControl/>
              <w:kinsoku/>
              <w:overflowPunct/>
              <w:topLinePunct w:val="0"/>
              <w:autoSpaceDE/>
              <w:autoSpaceDN/>
              <w:bidi w:val="0"/>
              <w:adjustRightInd/>
              <w:snapToGrid/>
              <w:spacing w:beforeAutospacing="0" w:afterAutospacing="0" w:line="260" w:lineRule="exact"/>
              <w:ind w:right="0" w:rightChars="0" w:firstLine="130" w:firstLineChars="100"/>
              <w:jc w:val="left"/>
              <w:textAlignment w:val="center"/>
              <w:rPr>
                <w:rFonts w:hint="eastAsia" w:ascii="仿宋_GB2312" w:hAnsi="宋体" w:eastAsia="仿宋_GB2312" w:cs="宋体"/>
                <w:color w:val="auto"/>
                <w:kern w:val="0"/>
                <w:sz w:val="13"/>
                <w:szCs w:val="13"/>
                <w:highlight w:val="none"/>
              </w:rPr>
            </w:pPr>
            <w:r>
              <w:rPr>
                <w:rFonts w:hint="eastAsia" w:ascii="仿宋_GB2312" w:hAnsi="宋体" w:eastAsia="仿宋_GB2312" w:cs="Times New Roman"/>
                <w:color w:val="auto"/>
                <w:kern w:val="0"/>
                <w:sz w:val="13"/>
                <w:szCs w:val="13"/>
                <w:highlight w:val="none"/>
                <w:lang w:val="en-US" w:eastAsia="zh-CN"/>
              </w:rPr>
              <w:t>造成特别重大安全事故的</w:t>
            </w:r>
          </w:p>
        </w:tc>
        <w:tc>
          <w:tcPr>
            <w:tcW w:w="3058" w:type="dxa"/>
            <w:tcBorders>
              <w:tl2br w:val="nil"/>
              <w:tr2bl w:val="nil"/>
            </w:tcBorders>
            <w:tcMar>
              <w:top w:w="15" w:type="dxa"/>
              <w:left w:w="15" w:type="dxa"/>
              <w:bottom w:w="15" w:type="dxa"/>
              <w:right w:w="15" w:type="dxa"/>
            </w:tcMar>
            <w:vAlign w:val="center"/>
          </w:tcPr>
          <w:p w14:paraId="11411E7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hint="eastAsia" w:ascii="仿宋_GB2312" w:hAnsi="宋体" w:eastAsia="仿宋_GB2312" w:cs="宋体"/>
                <w:color w:val="auto"/>
                <w:kern w:val="0"/>
                <w:sz w:val="13"/>
                <w:szCs w:val="13"/>
                <w:highlight w:val="none"/>
              </w:rPr>
            </w:pPr>
            <w:r>
              <w:rPr>
                <w:rFonts w:hint="eastAsia" w:ascii="仿宋_GB2312" w:hAnsi="宋体" w:eastAsia="仿宋_GB2312" w:cs="Times New Roman"/>
                <w:color w:val="auto"/>
                <w:kern w:val="0"/>
                <w:sz w:val="13"/>
                <w:szCs w:val="13"/>
                <w:highlight w:val="none"/>
                <w:lang w:val="en-US" w:eastAsia="zh-CN"/>
              </w:rPr>
              <w:t>责令限期改正，处20万元罚款；有违法所得的，没收违法所得；吊销燃气经营许可证。</w:t>
            </w:r>
          </w:p>
        </w:tc>
      </w:tr>
      <w:tr w14:paraId="68289F9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939" w:hRule="atLeast"/>
          <w:jc w:val="center"/>
        </w:trPr>
        <w:tc>
          <w:tcPr>
            <w:tcW w:w="428" w:type="dxa"/>
            <w:vMerge w:val="restart"/>
            <w:tcBorders>
              <w:tl2br w:val="nil"/>
              <w:tr2bl w:val="nil"/>
            </w:tcBorders>
            <w:vAlign w:val="center"/>
          </w:tcPr>
          <w:p w14:paraId="0428E57C">
            <w:pPr>
              <w:keepNext w:val="0"/>
              <w:keepLines w:val="0"/>
              <w:pageBreakBefore w:val="0"/>
              <w:widowControl/>
              <w:numPr>
                <w:ilvl w:val="0"/>
                <w:numId w:val="11"/>
              </w:numPr>
              <w:suppressLineNumbers w:val="0"/>
              <w:tabs>
                <w:tab w:val="clear" w:pos="397"/>
              </w:tabs>
              <w:kinsoku/>
              <w:overflowPunct/>
              <w:topLinePunct w:val="0"/>
              <w:autoSpaceDE/>
              <w:autoSpaceDN/>
              <w:bidi w:val="0"/>
              <w:adjustRightInd/>
              <w:snapToGrid/>
              <w:spacing w:beforeAutospacing="0" w:afterAutospacing="0" w:line="260" w:lineRule="exact"/>
              <w:ind w:left="638" w:leftChars="88" w:right="0" w:rightChars="0" w:hanging="453" w:hangingChars="349"/>
              <w:jc w:val="center"/>
              <w:textAlignment w:val="center"/>
              <w:rPr>
                <w:rFonts w:hint="default" w:ascii="仿宋_GB2312" w:hAnsi="宋体" w:eastAsia="仿宋_GB2312" w:cs="宋体"/>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324</w:t>
            </w:r>
          </w:p>
        </w:tc>
        <w:tc>
          <w:tcPr>
            <w:tcW w:w="1550" w:type="dxa"/>
            <w:vMerge w:val="restart"/>
            <w:tcBorders>
              <w:tl2br w:val="nil"/>
              <w:tr2bl w:val="nil"/>
            </w:tcBorders>
            <w:vAlign w:val="center"/>
          </w:tcPr>
          <w:p w14:paraId="0CBFDE9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rPr>
                <w:rFonts w:hint="eastAsia" w:ascii="仿宋_GB2312" w:eastAsia="仿宋_GB2312"/>
                <w:color w:val="auto"/>
                <w:sz w:val="13"/>
                <w:szCs w:val="13"/>
                <w:highlight w:val="none"/>
                <w:lang w:eastAsia="zh-CN"/>
              </w:rPr>
            </w:pPr>
            <w:r>
              <w:rPr>
                <w:rFonts w:hint="eastAsia" w:ascii="仿宋_GB2312" w:eastAsia="仿宋_GB2312"/>
                <w:color w:val="auto"/>
                <w:sz w:val="13"/>
                <w:szCs w:val="13"/>
                <w:highlight w:val="none"/>
              </w:rPr>
              <w:t>燃气经营者有下列行为之一的</w:t>
            </w:r>
            <w:r>
              <w:rPr>
                <w:rFonts w:hint="eastAsia" w:ascii="仿宋_GB2312" w:eastAsia="仿宋_GB2312"/>
                <w:color w:val="auto"/>
                <w:sz w:val="13"/>
                <w:szCs w:val="13"/>
                <w:highlight w:val="none"/>
                <w:lang w:eastAsia="zh-CN"/>
              </w:rPr>
              <w:t>：</w:t>
            </w:r>
          </w:p>
          <w:p w14:paraId="61611D1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rPr>
                <w:rFonts w:ascii="仿宋_GB2312" w:hAnsi="宋体" w:eastAsia="仿宋_GB2312" w:cs="宋体"/>
                <w:color w:val="auto"/>
                <w:sz w:val="13"/>
                <w:szCs w:val="13"/>
                <w:highlight w:val="none"/>
              </w:rPr>
            </w:pPr>
            <w:r>
              <w:rPr>
                <w:rFonts w:hint="eastAsia" w:ascii="仿宋_GB2312" w:eastAsia="仿宋_GB2312"/>
                <w:color w:val="auto"/>
                <w:sz w:val="13"/>
                <w:szCs w:val="13"/>
                <w:highlight w:val="none"/>
              </w:rPr>
              <w:t>（一）拒绝向市政燃气管网覆盖范围内符合用气条件的单位或者个人供气的；（二）倒卖、抵押、出租、出借、转让、涂改燃气经营许可证的；（三）未履行必要告知义务擅自停止供气、调整供气量，或者未经审批擅自停业或者歇业的；（四）向未取得燃气经营许可证的单位或者个人提供用于经营的燃气的；（五）在不具备安全条件的场所储存燃气的；（六）要求燃气用户购买其指定的产品或者接受其提供的服务；</w:t>
            </w:r>
          </w:p>
        </w:tc>
        <w:tc>
          <w:tcPr>
            <w:tcW w:w="4820" w:type="dxa"/>
            <w:vMerge w:val="restart"/>
            <w:tcBorders>
              <w:tl2br w:val="nil"/>
              <w:tr2bl w:val="nil"/>
            </w:tcBorders>
            <w:vAlign w:val="center"/>
          </w:tcPr>
          <w:p w14:paraId="2E14D32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《城镇燃气管理条例》</w:t>
            </w:r>
            <w:r>
              <w:rPr>
                <w:rFonts w:hint="eastAsia" w:ascii="仿宋_GB2312" w:hAnsi="宋体" w:eastAsia="仿宋_GB2312" w:cs="宋体"/>
                <w:b/>
                <w:bCs/>
                <w:color w:val="auto"/>
                <w:kern w:val="0"/>
                <w:sz w:val="13"/>
                <w:szCs w:val="13"/>
                <w:highlight w:val="none"/>
              </w:rPr>
              <w:t>第四十六条</w:t>
            </w:r>
            <w:r>
              <w:rPr>
                <w:rFonts w:hint="eastAsia" w:ascii="仿宋_GB2312" w:hAnsi="宋体" w:eastAsia="仿宋_GB2312" w:cs="宋体"/>
                <w:b/>
                <w:bCs/>
                <w:color w:val="auto"/>
                <w:kern w:val="0"/>
                <w:sz w:val="13"/>
                <w:szCs w:val="13"/>
                <w:highlight w:val="none"/>
                <w:lang w:eastAsia="zh-CN"/>
              </w:rPr>
              <w:t>：</w:t>
            </w:r>
            <w:r>
              <w:rPr>
                <w:rFonts w:hint="eastAsia" w:ascii="仿宋_GB2312" w:eastAsia="仿宋_GB2312"/>
                <w:color w:val="auto"/>
                <w:sz w:val="13"/>
                <w:szCs w:val="13"/>
                <w:highlight w:val="none"/>
              </w:rPr>
              <w:t>违反本条例规定，燃气经营者有下列行为之一的，由燃气管理部门责令限期改正，处1万元以上10万元以下罚款；有违法所得的，没收违法所得；情节严重的，吊销燃气经营许可证；造成损失的，依法承担赔偿责任；构成犯罪的，依法追究刑事责任：（一）拒绝向市政燃气管网覆盖范围内符合用气条件的单位或者个人供气的；（二）倒卖、抵押、出租、出借、转让、涂改燃气经营许可证的；（三）未履行必要告知义务擅自停止供气、调整供气量，或者未经审批擅自停业或者歇业的；（四）向未取得燃气经营许可证的单位或者个人提供用于经营的燃气的；（五）在不具备安全条件的场所储存燃气的；（六）要求燃气用户购买其指定的产品或者接受其提供的服务；</w:t>
            </w:r>
          </w:p>
        </w:tc>
        <w:tc>
          <w:tcPr>
            <w:tcW w:w="823" w:type="dxa"/>
            <w:tcBorders>
              <w:tl2br w:val="nil"/>
              <w:tr2bl w:val="nil"/>
            </w:tcBorders>
            <w:tcMar>
              <w:top w:w="15" w:type="dxa"/>
              <w:left w:w="15" w:type="dxa"/>
              <w:bottom w:w="15" w:type="dxa"/>
              <w:right w:w="15" w:type="dxa"/>
            </w:tcMar>
            <w:vAlign w:val="center"/>
          </w:tcPr>
          <w:p w14:paraId="13F32B9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从轻情节</w:t>
            </w:r>
          </w:p>
        </w:tc>
        <w:tc>
          <w:tcPr>
            <w:tcW w:w="3437" w:type="dxa"/>
            <w:gridSpan w:val="2"/>
            <w:tcBorders>
              <w:tl2br w:val="nil"/>
              <w:tr2bl w:val="nil"/>
            </w:tcBorders>
            <w:tcMar>
              <w:top w:w="15" w:type="dxa"/>
              <w:left w:w="15" w:type="dxa"/>
              <w:bottom w:w="15" w:type="dxa"/>
              <w:right w:w="15" w:type="dxa"/>
            </w:tcMar>
            <w:vAlign w:val="center"/>
          </w:tcPr>
          <w:p w14:paraId="44D6EA0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初次违法，危害后果轻微，积极采取改正措施消除影响的。</w:t>
            </w:r>
          </w:p>
        </w:tc>
        <w:tc>
          <w:tcPr>
            <w:tcW w:w="3058" w:type="dxa"/>
            <w:tcBorders>
              <w:tl2br w:val="nil"/>
              <w:tr2bl w:val="nil"/>
            </w:tcBorders>
            <w:tcMar>
              <w:top w:w="15" w:type="dxa"/>
              <w:left w:w="15" w:type="dxa"/>
              <w:bottom w:w="15" w:type="dxa"/>
              <w:right w:w="15" w:type="dxa"/>
            </w:tcMar>
            <w:vAlign w:val="center"/>
          </w:tcPr>
          <w:p w14:paraId="7F34D9E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责令限期改正，处</w:t>
            </w:r>
            <w:r>
              <w:rPr>
                <w:rFonts w:hint="eastAsia" w:ascii="仿宋_GB2312" w:hAnsi="宋体" w:eastAsia="仿宋_GB2312" w:cs="宋体"/>
                <w:color w:val="auto"/>
                <w:kern w:val="0"/>
                <w:sz w:val="13"/>
                <w:szCs w:val="13"/>
                <w:highlight w:val="none"/>
                <w:lang w:val="en-US" w:eastAsia="zh-CN"/>
              </w:rPr>
              <w:t>1</w:t>
            </w:r>
            <w:r>
              <w:rPr>
                <w:rFonts w:hint="eastAsia" w:ascii="仿宋_GB2312" w:hAnsi="宋体" w:eastAsia="仿宋_GB2312" w:cs="宋体"/>
                <w:color w:val="auto"/>
                <w:kern w:val="0"/>
                <w:sz w:val="13"/>
                <w:szCs w:val="13"/>
                <w:highlight w:val="none"/>
              </w:rPr>
              <w:t>万元以上4万元以下罚款；有违法所得的，没收违法所得。</w:t>
            </w:r>
          </w:p>
        </w:tc>
      </w:tr>
      <w:tr w14:paraId="1EC7A38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978" w:hRule="atLeast"/>
          <w:jc w:val="center"/>
        </w:trPr>
        <w:tc>
          <w:tcPr>
            <w:tcW w:w="428" w:type="dxa"/>
            <w:vMerge w:val="continue"/>
            <w:tcBorders>
              <w:tl2br w:val="nil"/>
              <w:tr2bl w:val="nil"/>
            </w:tcBorders>
            <w:vAlign w:val="center"/>
          </w:tcPr>
          <w:p w14:paraId="68A58AD6">
            <w:pPr>
              <w:pStyle w:val="37"/>
              <w:keepNext w:val="0"/>
              <w:keepLines w:val="0"/>
              <w:pageBreakBefore w:val="0"/>
              <w:widowControl/>
              <w:numPr>
                <w:ilvl w:val="0"/>
                <w:numId w:val="12"/>
              </w:numPr>
              <w:kinsoku/>
              <w:overflowPunct/>
              <w:topLinePunct w:val="0"/>
              <w:autoSpaceDE/>
              <w:autoSpaceDN/>
              <w:bidi w:val="0"/>
              <w:adjustRightInd/>
              <w:snapToGrid/>
              <w:spacing w:beforeAutospacing="0" w:afterAutospacing="0" w:line="260" w:lineRule="exact"/>
              <w:ind w:left="638" w:leftChars="88" w:right="0" w:rightChars="0" w:hanging="453" w:hangingChars="349"/>
              <w:jc w:val="center"/>
              <w:textAlignment w:val="center"/>
              <w:rPr>
                <w:rFonts w:ascii="仿宋_GB2312" w:hAnsi="宋体" w:eastAsia="仿宋_GB2312" w:cs="宋体"/>
                <w:color w:val="auto"/>
                <w:sz w:val="13"/>
                <w:szCs w:val="13"/>
                <w:highlight w:val="none"/>
              </w:rPr>
            </w:pPr>
          </w:p>
        </w:tc>
        <w:tc>
          <w:tcPr>
            <w:tcW w:w="1550" w:type="dxa"/>
            <w:vMerge w:val="continue"/>
            <w:tcBorders>
              <w:tl2br w:val="nil"/>
              <w:tr2bl w:val="nil"/>
            </w:tcBorders>
            <w:vAlign w:val="center"/>
          </w:tcPr>
          <w:p w14:paraId="73E049B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sz w:val="13"/>
                <w:szCs w:val="13"/>
                <w:highlight w:val="none"/>
              </w:rPr>
            </w:pPr>
          </w:p>
        </w:tc>
        <w:tc>
          <w:tcPr>
            <w:tcW w:w="4820" w:type="dxa"/>
            <w:vMerge w:val="continue"/>
            <w:tcBorders>
              <w:tl2br w:val="nil"/>
              <w:tr2bl w:val="nil"/>
            </w:tcBorders>
            <w:vAlign w:val="center"/>
          </w:tcPr>
          <w:p w14:paraId="0235D72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55C42AB2">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sz w:val="13"/>
                <w:szCs w:val="13"/>
                <w:highlight w:val="none"/>
                <w:lang w:eastAsia="zh-CN"/>
              </w:rPr>
              <w:t>一般情节</w:t>
            </w:r>
          </w:p>
        </w:tc>
        <w:tc>
          <w:tcPr>
            <w:tcW w:w="3437" w:type="dxa"/>
            <w:gridSpan w:val="2"/>
            <w:tcBorders>
              <w:tl2br w:val="nil"/>
              <w:tr2bl w:val="nil"/>
            </w:tcBorders>
            <w:tcMar>
              <w:top w:w="15" w:type="dxa"/>
              <w:left w:w="15" w:type="dxa"/>
              <w:bottom w:w="15" w:type="dxa"/>
              <w:right w:w="15" w:type="dxa"/>
            </w:tcMar>
            <w:vAlign w:val="center"/>
          </w:tcPr>
          <w:p w14:paraId="5528006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不具有从轻、</w:t>
            </w:r>
            <w:r>
              <w:rPr>
                <w:rFonts w:hint="eastAsia" w:ascii="仿宋_GB2312" w:hAnsi="宋体" w:eastAsia="仿宋_GB2312" w:cs="宋体"/>
                <w:color w:val="auto"/>
                <w:kern w:val="0"/>
                <w:sz w:val="13"/>
                <w:szCs w:val="13"/>
                <w:highlight w:val="none"/>
                <w:lang w:eastAsia="zh-CN"/>
              </w:rPr>
              <w:t>从重情节</w:t>
            </w:r>
            <w:r>
              <w:rPr>
                <w:rFonts w:hint="eastAsia" w:ascii="仿宋_GB2312" w:hAnsi="宋体" w:eastAsia="仿宋_GB2312" w:cs="宋体"/>
                <w:color w:val="auto"/>
                <w:kern w:val="0"/>
                <w:sz w:val="13"/>
                <w:szCs w:val="13"/>
                <w:highlight w:val="none"/>
              </w:rPr>
              <w:t>的。</w:t>
            </w:r>
          </w:p>
        </w:tc>
        <w:tc>
          <w:tcPr>
            <w:tcW w:w="3058" w:type="dxa"/>
            <w:tcBorders>
              <w:tl2br w:val="nil"/>
              <w:tr2bl w:val="nil"/>
            </w:tcBorders>
            <w:tcMar>
              <w:top w:w="15" w:type="dxa"/>
              <w:left w:w="15" w:type="dxa"/>
              <w:bottom w:w="15" w:type="dxa"/>
              <w:right w:w="15" w:type="dxa"/>
            </w:tcMar>
            <w:vAlign w:val="center"/>
          </w:tcPr>
          <w:p w14:paraId="442778C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责令限期改正，处4万元以上7万元以下罚款；有违法所得的，没收违法所得。</w:t>
            </w:r>
          </w:p>
        </w:tc>
      </w:tr>
      <w:tr w14:paraId="78C8BE8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583" w:hRule="atLeast"/>
          <w:jc w:val="center"/>
        </w:trPr>
        <w:tc>
          <w:tcPr>
            <w:tcW w:w="428" w:type="dxa"/>
            <w:vMerge w:val="continue"/>
            <w:tcBorders>
              <w:tl2br w:val="nil"/>
              <w:tr2bl w:val="nil"/>
            </w:tcBorders>
            <w:vAlign w:val="center"/>
          </w:tcPr>
          <w:p w14:paraId="5A3AA687">
            <w:pPr>
              <w:pStyle w:val="37"/>
              <w:keepNext w:val="0"/>
              <w:keepLines w:val="0"/>
              <w:pageBreakBefore w:val="0"/>
              <w:widowControl/>
              <w:numPr>
                <w:ilvl w:val="0"/>
                <w:numId w:val="12"/>
              </w:numPr>
              <w:kinsoku/>
              <w:overflowPunct/>
              <w:topLinePunct w:val="0"/>
              <w:autoSpaceDE/>
              <w:autoSpaceDN/>
              <w:bidi w:val="0"/>
              <w:adjustRightInd/>
              <w:snapToGrid/>
              <w:spacing w:beforeAutospacing="0" w:afterAutospacing="0" w:line="260" w:lineRule="exact"/>
              <w:ind w:left="638" w:leftChars="88" w:right="0" w:rightChars="0" w:hanging="453" w:hangingChars="349"/>
              <w:jc w:val="center"/>
              <w:textAlignment w:val="center"/>
              <w:rPr>
                <w:rFonts w:ascii="仿宋_GB2312" w:hAnsi="宋体" w:eastAsia="仿宋_GB2312" w:cs="宋体"/>
                <w:color w:val="auto"/>
                <w:kern w:val="0"/>
                <w:sz w:val="13"/>
                <w:szCs w:val="13"/>
                <w:highlight w:val="none"/>
              </w:rPr>
            </w:pPr>
          </w:p>
        </w:tc>
        <w:tc>
          <w:tcPr>
            <w:tcW w:w="1550" w:type="dxa"/>
            <w:vMerge w:val="continue"/>
            <w:tcBorders>
              <w:tl2br w:val="nil"/>
              <w:tr2bl w:val="nil"/>
            </w:tcBorders>
            <w:vAlign w:val="center"/>
          </w:tcPr>
          <w:p w14:paraId="3389EE5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kern w:val="0"/>
                <w:sz w:val="13"/>
                <w:szCs w:val="13"/>
                <w:highlight w:val="none"/>
              </w:rPr>
            </w:pPr>
          </w:p>
        </w:tc>
        <w:tc>
          <w:tcPr>
            <w:tcW w:w="4820" w:type="dxa"/>
            <w:vMerge w:val="continue"/>
            <w:tcBorders>
              <w:tl2br w:val="nil"/>
              <w:tr2bl w:val="nil"/>
            </w:tcBorders>
            <w:vAlign w:val="center"/>
          </w:tcPr>
          <w:p w14:paraId="3B48B42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kern w:val="0"/>
                <w:sz w:val="13"/>
                <w:szCs w:val="13"/>
                <w:highlight w:val="none"/>
              </w:rPr>
            </w:pPr>
          </w:p>
        </w:tc>
        <w:tc>
          <w:tcPr>
            <w:tcW w:w="823" w:type="dxa"/>
            <w:tcBorders>
              <w:tl2br w:val="nil"/>
              <w:tr2bl w:val="nil"/>
            </w:tcBorders>
            <w:tcMar>
              <w:top w:w="15" w:type="dxa"/>
              <w:left w:w="15" w:type="dxa"/>
              <w:bottom w:w="15" w:type="dxa"/>
              <w:right w:w="15" w:type="dxa"/>
            </w:tcMar>
            <w:vAlign w:val="center"/>
          </w:tcPr>
          <w:p w14:paraId="3A929B1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sz w:val="13"/>
                <w:szCs w:val="13"/>
                <w:highlight w:val="none"/>
                <w:lang w:eastAsia="zh-CN"/>
              </w:rPr>
              <w:t>从重情节</w:t>
            </w:r>
          </w:p>
        </w:tc>
        <w:tc>
          <w:tcPr>
            <w:tcW w:w="3437" w:type="dxa"/>
            <w:gridSpan w:val="2"/>
            <w:tcBorders>
              <w:tl2br w:val="nil"/>
              <w:tr2bl w:val="nil"/>
            </w:tcBorders>
            <w:tcMar>
              <w:top w:w="15" w:type="dxa"/>
              <w:left w:w="15" w:type="dxa"/>
              <w:bottom w:w="15" w:type="dxa"/>
              <w:right w:w="15" w:type="dxa"/>
            </w:tcMar>
            <w:vAlign w:val="center"/>
          </w:tcPr>
          <w:p w14:paraId="12ACBC8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经责令停止违法行为后，继续实施违法行为的</w:t>
            </w:r>
            <w:r>
              <w:rPr>
                <w:rFonts w:hint="eastAsia" w:ascii="仿宋_GB2312" w:hAnsi="宋体" w:eastAsia="仿宋_GB2312" w:cs="宋体"/>
                <w:color w:val="auto"/>
                <w:kern w:val="0"/>
                <w:sz w:val="13"/>
                <w:szCs w:val="13"/>
                <w:highlight w:val="none"/>
                <w:lang w:eastAsia="zh-CN"/>
              </w:rPr>
              <w:t>，</w:t>
            </w:r>
            <w:r>
              <w:rPr>
                <w:rFonts w:hint="eastAsia" w:ascii="仿宋_GB2312" w:hAnsi="宋体" w:eastAsia="仿宋_GB2312" w:cs="宋体"/>
                <w:color w:val="auto"/>
                <w:kern w:val="0"/>
                <w:sz w:val="13"/>
                <w:szCs w:val="13"/>
                <w:highlight w:val="none"/>
                <w:lang w:val="en-US" w:eastAsia="zh-CN"/>
              </w:rPr>
              <w:t>或</w:t>
            </w:r>
            <w:r>
              <w:rPr>
                <w:rFonts w:hint="eastAsia" w:ascii="仿宋_GB2312" w:hAnsi="宋体" w:eastAsia="仿宋_GB2312" w:cs="宋体"/>
                <w:color w:val="auto"/>
                <w:kern w:val="0"/>
                <w:sz w:val="13"/>
                <w:szCs w:val="13"/>
                <w:highlight w:val="none"/>
              </w:rPr>
              <w:t>曾因实施该违法行为被查处，再次实施该违法行为的</w:t>
            </w:r>
            <w:r>
              <w:rPr>
                <w:rFonts w:hint="eastAsia" w:ascii="仿宋_GB2312" w:hAnsi="宋体" w:eastAsia="仿宋_GB2312" w:cs="宋体"/>
                <w:color w:val="auto"/>
                <w:kern w:val="0"/>
                <w:sz w:val="13"/>
                <w:szCs w:val="13"/>
                <w:highlight w:val="none"/>
                <w:lang w:eastAsia="zh-CN"/>
              </w:rPr>
              <w:t>，</w:t>
            </w:r>
            <w:r>
              <w:rPr>
                <w:rFonts w:hint="eastAsia" w:ascii="仿宋_GB2312" w:hAnsi="宋体" w:eastAsia="仿宋_GB2312" w:cs="宋体"/>
                <w:color w:val="auto"/>
                <w:kern w:val="0"/>
                <w:sz w:val="13"/>
                <w:szCs w:val="13"/>
                <w:highlight w:val="none"/>
                <w:lang w:val="en-US" w:eastAsia="zh-CN"/>
              </w:rPr>
              <w:t>或</w:t>
            </w:r>
            <w:r>
              <w:rPr>
                <w:rFonts w:hint="eastAsia" w:ascii="仿宋_GB2312" w:hAnsi="宋体" w:eastAsia="仿宋_GB2312" w:cs="宋体"/>
                <w:color w:val="auto"/>
                <w:kern w:val="0"/>
                <w:sz w:val="13"/>
                <w:szCs w:val="13"/>
                <w:highlight w:val="none"/>
              </w:rPr>
              <w:t>造成严重危害后果的。</w:t>
            </w:r>
          </w:p>
        </w:tc>
        <w:tc>
          <w:tcPr>
            <w:tcW w:w="3058" w:type="dxa"/>
            <w:tcBorders>
              <w:tl2br w:val="nil"/>
              <w:tr2bl w:val="nil"/>
            </w:tcBorders>
            <w:tcMar>
              <w:top w:w="15" w:type="dxa"/>
              <w:left w:w="15" w:type="dxa"/>
              <w:bottom w:w="15" w:type="dxa"/>
              <w:right w:w="15" w:type="dxa"/>
            </w:tcMar>
            <w:vAlign w:val="center"/>
          </w:tcPr>
          <w:p w14:paraId="732EA6F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责令限期改正，处7万元以上10万元以下罚款；有违法所得的，没收违法所得；吊销燃气经营许可证。</w:t>
            </w:r>
          </w:p>
        </w:tc>
      </w:tr>
      <w:tr w14:paraId="329B9B6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641" w:hRule="atLeast"/>
          <w:jc w:val="center"/>
        </w:trPr>
        <w:tc>
          <w:tcPr>
            <w:tcW w:w="428" w:type="dxa"/>
            <w:vMerge w:val="restart"/>
            <w:tcBorders>
              <w:tl2br w:val="nil"/>
              <w:tr2bl w:val="nil"/>
            </w:tcBorders>
            <w:vAlign w:val="center"/>
          </w:tcPr>
          <w:p w14:paraId="6A8A0927">
            <w:pPr>
              <w:keepNext w:val="0"/>
              <w:keepLines w:val="0"/>
              <w:pageBreakBefore w:val="0"/>
              <w:widowControl/>
              <w:numPr>
                <w:ilvl w:val="0"/>
                <w:numId w:val="11"/>
              </w:numPr>
              <w:suppressLineNumbers w:val="0"/>
              <w:tabs>
                <w:tab w:val="clear" w:pos="397"/>
              </w:tabs>
              <w:kinsoku/>
              <w:overflowPunct/>
              <w:topLinePunct w:val="0"/>
              <w:autoSpaceDE/>
              <w:autoSpaceDN/>
              <w:bidi w:val="0"/>
              <w:adjustRightInd/>
              <w:snapToGrid/>
              <w:spacing w:beforeAutospacing="0" w:afterAutospacing="0" w:line="260" w:lineRule="exact"/>
              <w:ind w:left="638" w:leftChars="88" w:right="0" w:rightChars="0" w:hanging="453" w:hangingChars="349"/>
              <w:jc w:val="center"/>
              <w:textAlignment w:val="center"/>
              <w:rPr>
                <w:rFonts w:hint="default" w:ascii="仿宋_GB2312" w:hAnsi="宋体" w:eastAsia="仿宋_GB2312" w:cs="宋体"/>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325</w:t>
            </w:r>
          </w:p>
        </w:tc>
        <w:tc>
          <w:tcPr>
            <w:tcW w:w="1550" w:type="dxa"/>
            <w:vMerge w:val="restart"/>
            <w:tcBorders>
              <w:tl2br w:val="nil"/>
              <w:tr2bl w:val="nil"/>
            </w:tcBorders>
            <w:vAlign w:val="center"/>
          </w:tcPr>
          <w:p w14:paraId="1BA861C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燃气经营者未向燃气用户持续、稳定、安全供应符合国家质量标准的燃气，或者未对燃气用户的燃气设施定期进行安全检查的</w:t>
            </w:r>
          </w:p>
        </w:tc>
        <w:tc>
          <w:tcPr>
            <w:tcW w:w="4820" w:type="dxa"/>
            <w:vMerge w:val="restart"/>
            <w:tcBorders>
              <w:tl2br w:val="nil"/>
              <w:tr2bl w:val="nil"/>
            </w:tcBorders>
            <w:vAlign w:val="center"/>
          </w:tcPr>
          <w:p w14:paraId="16DAFF7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hint="eastAsia" w:ascii="仿宋_GB2312" w:hAnsi="宋体" w:eastAsia="仿宋_GB2312" w:cs="宋体"/>
                <w:color w:val="auto"/>
                <w:kern w:val="0"/>
                <w:sz w:val="13"/>
                <w:szCs w:val="13"/>
                <w:highlight w:val="none"/>
              </w:rPr>
            </w:pPr>
            <w:r>
              <w:rPr>
                <w:rFonts w:hint="eastAsia" w:ascii="仿宋_GB2312" w:hAnsi="宋体" w:eastAsia="仿宋_GB2312" w:cs="宋体"/>
                <w:color w:val="auto"/>
                <w:kern w:val="0"/>
                <w:sz w:val="13"/>
                <w:szCs w:val="13"/>
                <w:highlight w:val="none"/>
              </w:rPr>
              <w:t>《城镇燃气管理条例》</w:t>
            </w:r>
            <w:r>
              <w:rPr>
                <w:rFonts w:hint="eastAsia" w:ascii="仿宋_GB2312" w:hAnsi="宋体" w:eastAsia="仿宋_GB2312" w:cs="宋体"/>
                <w:b/>
                <w:bCs/>
                <w:color w:val="auto"/>
                <w:kern w:val="0"/>
                <w:sz w:val="13"/>
                <w:szCs w:val="13"/>
                <w:highlight w:val="none"/>
              </w:rPr>
              <w:t>第四十六条</w:t>
            </w:r>
            <w:r>
              <w:rPr>
                <w:rFonts w:hint="eastAsia" w:ascii="仿宋_GB2312" w:hAnsi="宋体" w:eastAsia="仿宋_GB2312" w:cs="宋体"/>
                <w:b/>
                <w:bCs/>
                <w:color w:val="auto"/>
                <w:kern w:val="0"/>
                <w:sz w:val="13"/>
                <w:szCs w:val="13"/>
                <w:highlight w:val="none"/>
                <w:lang w:eastAsia="zh-CN"/>
              </w:rPr>
              <w:t>（七）</w:t>
            </w:r>
            <w:r>
              <w:rPr>
                <w:rFonts w:hint="eastAsia" w:ascii="仿宋_GB2312" w:hAnsi="宋体" w:eastAsia="仿宋_GB2312" w:cs="宋体"/>
                <w:b/>
                <w:bCs/>
                <w:color w:val="auto"/>
                <w:kern w:val="0"/>
                <w:sz w:val="13"/>
                <w:szCs w:val="13"/>
                <w:highlight w:val="none"/>
              </w:rPr>
              <w:t>项</w:t>
            </w:r>
            <w:r>
              <w:rPr>
                <w:rFonts w:hint="eastAsia" w:ascii="仿宋_GB2312" w:hAnsi="宋体" w:eastAsia="仿宋_GB2312" w:cs="宋体"/>
                <w:b/>
                <w:bCs/>
                <w:color w:val="auto"/>
                <w:kern w:val="0"/>
                <w:sz w:val="13"/>
                <w:szCs w:val="13"/>
                <w:highlight w:val="none"/>
                <w:lang w:eastAsia="zh-CN"/>
              </w:rPr>
              <w:t>：</w:t>
            </w:r>
            <w:r>
              <w:rPr>
                <w:rFonts w:hint="eastAsia" w:ascii="仿宋_GB2312" w:hAnsi="宋体" w:eastAsia="仿宋_GB2312" w:cs="宋体"/>
                <w:color w:val="auto"/>
                <w:kern w:val="0"/>
                <w:sz w:val="13"/>
                <w:szCs w:val="13"/>
                <w:highlight w:val="none"/>
              </w:rPr>
              <w:t>违反本条例规定，燃气经营者有下列行为之一的，由燃气管理部门责令限期改正，处1万元以上10万元以下罚款；有违法所得的，没收违法所得；情节严重的，吊销燃气经营许可证；造成损失的，依法承担赔偿责任；构成犯罪的，依法追究刑事责任：</w:t>
            </w:r>
          </w:p>
          <w:p w14:paraId="4606C0D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0" w:firstLineChars="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（七）燃气经营者未向燃气用户持续、稳定、安全供应符合国家质量标准的燃气，或者未对燃气用户的燃气设施定期进行安全检查。</w:t>
            </w:r>
          </w:p>
        </w:tc>
        <w:tc>
          <w:tcPr>
            <w:tcW w:w="823" w:type="dxa"/>
            <w:tcBorders>
              <w:tl2br w:val="nil"/>
              <w:tr2bl w:val="nil"/>
            </w:tcBorders>
            <w:tcMar>
              <w:top w:w="15" w:type="dxa"/>
              <w:left w:w="15" w:type="dxa"/>
              <w:bottom w:w="15" w:type="dxa"/>
              <w:right w:w="15" w:type="dxa"/>
            </w:tcMar>
            <w:vAlign w:val="center"/>
          </w:tcPr>
          <w:p w14:paraId="60C2A03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从轻情节</w:t>
            </w:r>
          </w:p>
        </w:tc>
        <w:tc>
          <w:tcPr>
            <w:tcW w:w="3437" w:type="dxa"/>
            <w:gridSpan w:val="2"/>
            <w:tcBorders>
              <w:tl2br w:val="nil"/>
              <w:tr2bl w:val="nil"/>
            </w:tcBorders>
            <w:tcMar>
              <w:top w:w="15" w:type="dxa"/>
              <w:left w:w="15" w:type="dxa"/>
              <w:bottom w:w="15" w:type="dxa"/>
              <w:right w:w="15" w:type="dxa"/>
            </w:tcMar>
            <w:vAlign w:val="center"/>
          </w:tcPr>
          <w:p w14:paraId="3E15737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kern w:val="0"/>
                <w:sz w:val="13"/>
                <w:szCs w:val="13"/>
                <w:highlight w:val="none"/>
              </w:rPr>
            </w:pPr>
            <w:r>
              <w:rPr>
                <w:rFonts w:hint="eastAsia" w:ascii="仿宋_GB2312" w:hAnsi="宋体" w:eastAsia="仿宋_GB2312" w:cs="宋体"/>
                <w:color w:val="auto"/>
                <w:kern w:val="0"/>
                <w:sz w:val="13"/>
                <w:szCs w:val="13"/>
                <w:highlight w:val="none"/>
              </w:rPr>
              <w:t>未持续、稳定、安全供气2日以下，或未对50户以下燃气用户的燃气设施定期进行安全检查的。</w:t>
            </w:r>
          </w:p>
        </w:tc>
        <w:tc>
          <w:tcPr>
            <w:tcW w:w="3058" w:type="dxa"/>
            <w:tcBorders>
              <w:tl2br w:val="nil"/>
              <w:tr2bl w:val="nil"/>
            </w:tcBorders>
            <w:tcMar>
              <w:top w:w="15" w:type="dxa"/>
              <w:left w:w="15" w:type="dxa"/>
              <w:bottom w:w="15" w:type="dxa"/>
              <w:right w:w="15" w:type="dxa"/>
            </w:tcMar>
            <w:vAlign w:val="center"/>
          </w:tcPr>
          <w:p w14:paraId="54C1D39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责令限期改正，处1万元以上4万元以下罚款；有违法所得的，没收违法所得。</w:t>
            </w:r>
          </w:p>
        </w:tc>
      </w:tr>
      <w:tr w14:paraId="1E9DF60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668" w:hRule="atLeast"/>
          <w:jc w:val="center"/>
        </w:trPr>
        <w:tc>
          <w:tcPr>
            <w:tcW w:w="428" w:type="dxa"/>
            <w:vMerge w:val="continue"/>
            <w:tcBorders>
              <w:tl2br w:val="nil"/>
              <w:tr2bl w:val="nil"/>
            </w:tcBorders>
            <w:vAlign w:val="center"/>
          </w:tcPr>
          <w:p w14:paraId="50BAD892">
            <w:pPr>
              <w:pStyle w:val="37"/>
              <w:keepNext w:val="0"/>
              <w:keepLines w:val="0"/>
              <w:pageBreakBefore w:val="0"/>
              <w:widowControl/>
              <w:numPr>
                <w:ilvl w:val="0"/>
                <w:numId w:val="12"/>
              </w:numPr>
              <w:kinsoku/>
              <w:overflowPunct/>
              <w:topLinePunct w:val="0"/>
              <w:autoSpaceDE/>
              <w:autoSpaceDN/>
              <w:bidi w:val="0"/>
              <w:adjustRightInd/>
              <w:snapToGrid/>
              <w:spacing w:beforeAutospacing="0" w:afterAutospacing="0" w:line="260" w:lineRule="exact"/>
              <w:ind w:left="638" w:leftChars="88" w:right="0" w:rightChars="0" w:hanging="453" w:hangingChars="349"/>
              <w:jc w:val="center"/>
              <w:textAlignment w:val="center"/>
              <w:rPr>
                <w:rFonts w:ascii="仿宋_GB2312" w:hAnsi="宋体" w:eastAsia="仿宋_GB2312" w:cs="宋体"/>
                <w:color w:val="auto"/>
                <w:sz w:val="13"/>
                <w:szCs w:val="13"/>
                <w:highlight w:val="none"/>
              </w:rPr>
            </w:pPr>
          </w:p>
        </w:tc>
        <w:tc>
          <w:tcPr>
            <w:tcW w:w="1550" w:type="dxa"/>
            <w:vMerge w:val="continue"/>
            <w:tcBorders>
              <w:tl2br w:val="nil"/>
              <w:tr2bl w:val="nil"/>
            </w:tcBorders>
            <w:vAlign w:val="center"/>
          </w:tcPr>
          <w:p w14:paraId="3526D63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sz w:val="13"/>
                <w:szCs w:val="13"/>
                <w:highlight w:val="none"/>
              </w:rPr>
            </w:pPr>
          </w:p>
        </w:tc>
        <w:tc>
          <w:tcPr>
            <w:tcW w:w="4820" w:type="dxa"/>
            <w:vMerge w:val="continue"/>
            <w:tcBorders>
              <w:tl2br w:val="nil"/>
              <w:tr2bl w:val="nil"/>
            </w:tcBorders>
            <w:vAlign w:val="center"/>
          </w:tcPr>
          <w:p w14:paraId="6724D46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078920B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一般情节</w:t>
            </w:r>
          </w:p>
        </w:tc>
        <w:tc>
          <w:tcPr>
            <w:tcW w:w="3437" w:type="dxa"/>
            <w:gridSpan w:val="2"/>
            <w:tcBorders>
              <w:tl2br w:val="nil"/>
              <w:tr2bl w:val="nil"/>
            </w:tcBorders>
            <w:tcMar>
              <w:top w:w="15" w:type="dxa"/>
              <w:left w:w="15" w:type="dxa"/>
              <w:bottom w:w="15" w:type="dxa"/>
              <w:right w:w="15" w:type="dxa"/>
            </w:tcMar>
            <w:vAlign w:val="center"/>
          </w:tcPr>
          <w:p w14:paraId="3746E66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kern w:val="0"/>
                <w:sz w:val="13"/>
                <w:szCs w:val="13"/>
                <w:highlight w:val="none"/>
              </w:rPr>
            </w:pPr>
            <w:r>
              <w:rPr>
                <w:rFonts w:hint="eastAsia" w:ascii="仿宋_GB2312" w:hAnsi="宋体" w:eastAsia="仿宋_GB2312" w:cs="宋体"/>
                <w:color w:val="auto"/>
                <w:kern w:val="0"/>
                <w:sz w:val="13"/>
                <w:szCs w:val="13"/>
                <w:highlight w:val="none"/>
              </w:rPr>
              <w:t>未持续、稳定、安全供气2日以上5日以下的，或未对50户以上500户以下燃气用户的燃气设施定期进行安全检查的。</w:t>
            </w:r>
          </w:p>
        </w:tc>
        <w:tc>
          <w:tcPr>
            <w:tcW w:w="3058" w:type="dxa"/>
            <w:tcBorders>
              <w:tl2br w:val="nil"/>
              <w:tr2bl w:val="nil"/>
            </w:tcBorders>
            <w:tcMar>
              <w:top w:w="15" w:type="dxa"/>
              <w:left w:w="15" w:type="dxa"/>
              <w:bottom w:w="15" w:type="dxa"/>
              <w:right w:w="15" w:type="dxa"/>
            </w:tcMar>
            <w:vAlign w:val="center"/>
          </w:tcPr>
          <w:p w14:paraId="1B5026E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责令限期改正，处4万元以上7万元以下罚款；有违法所得的，没收违法所得。</w:t>
            </w:r>
          </w:p>
        </w:tc>
      </w:tr>
      <w:tr w14:paraId="0BF7EA6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247" w:hRule="atLeast"/>
          <w:jc w:val="center"/>
        </w:trPr>
        <w:tc>
          <w:tcPr>
            <w:tcW w:w="428" w:type="dxa"/>
            <w:vMerge w:val="continue"/>
            <w:tcBorders>
              <w:tl2br w:val="nil"/>
              <w:tr2bl w:val="nil"/>
            </w:tcBorders>
            <w:vAlign w:val="center"/>
          </w:tcPr>
          <w:p w14:paraId="7AC8D9DE">
            <w:pPr>
              <w:pStyle w:val="37"/>
              <w:keepNext w:val="0"/>
              <w:keepLines w:val="0"/>
              <w:pageBreakBefore w:val="0"/>
              <w:widowControl/>
              <w:numPr>
                <w:ilvl w:val="0"/>
                <w:numId w:val="12"/>
              </w:numPr>
              <w:kinsoku/>
              <w:overflowPunct/>
              <w:topLinePunct w:val="0"/>
              <w:autoSpaceDE/>
              <w:autoSpaceDN/>
              <w:bidi w:val="0"/>
              <w:adjustRightInd/>
              <w:snapToGrid/>
              <w:spacing w:beforeAutospacing="0" w:afterAutospacing="0" w:line="260" w:lineRule="exact"/>
              <w:ind w:left="638" w:leftChars="88" w:right="0" w:rightChars="0" w:hanging="453" w:hangingChars="349"/>
              <w:jc w:val="center"/>
              <w:textAlignment w:val="center"/>
              <w:rPr>
                <w:rFonts w:ascii="仿宋_GB2312" w:hAnsi="宋体" w:eastAsia="仿宋_GB2312" w:cs="宋体"/>
                <w:color w:val="auto"/>
                <w:kern w:val="0"/>
                <w:sz w:val="13"/>
                <w:szCs w:val="13"/>
                <w:highlight w:val="none"/>
              </w:rPr>
            </w:pPr>
          </w:p>
        </w:tc>
        <w:tc>
          <w:tcPr>
            <w:tcW w:w="1550" w:type="dxa"/>
            <w:vMerge w:val="continue"/>
            <w:tcBorders>
              <w:tl2br w:val="nil"/>
              <w:tr2bl w:val="nil"/>
            </w:tcBorders>
            <w:vAlign w:val="center"/>
          </w:tcPr>
          <w:p w14:paraId="3D6EC45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kern w:val="0"/>
                <w:sz w:val="13"/>
                <w:szCs w:val="13"/>
                <w:highlight w:val="none"/>
              </w:rPr>
            </w:pPr>
          </w:p>
        </w:tc>
        <w:tc>
          <w:tcPr>
            <w:tcW w:w="4820" w:type="dxa"/>
            <w:vMerge w:val="continue"/>
            <w:tcBorders>
              <w:tl2br w:val="nil"/>
              <w:tr2bl w:val="nil"/>
            </w:tcBorders>
            <w:vAlign w:val="center"/>
          </w:tcPr>
          <w:p w14:paraId="485EB20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kern w:val="0"/>
                <w:sz w:val="13"/>
                <w:szCs w:val="13"/>
                <w:highlight w:val="none"/>
              </w:rPr>
            </w:pPr>
          </w:p>
        </w:tc>
        <w:tc>
          <w:tcPr>
            <w:tcW w:w="823" w:type="dxa"/>
            <w:tcBorders>
              <w:tl2br w:val="nil"/>
              <w:tr2bl w:val="nil"/>
            </w:tcBorders>
            <w:tcMar>
              <w:top w:w="15" w:type="dxa"/>
              <w:left w:w="15" w:type="dxa"/>
              <w:bottom w:w="15" w:type="dxa"/>
              <w:right w:w="15" w:type="dxa"/>
            </w:tcMar>
            <w:vAlign w:val="center"/>
          </w:tcPr>
          <w:p w14:paraId="264337F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从重情节</w:t>
            </w:r>
          </w:p>
        </w:tc>
        <w:tc>
          <w:tcPr>
            <w:tcW w:w="3437" w:type="dxa"/>
            <w:gridSpan w:val="2"/>
            <w:tcBorders>
              <w:tl2br w:val="nil"/>
              <w:tr2bl w:val="nil"/>
            </w:tcBorders>
            <w:tcMar>
              <w:top w:w="15" w:type="dxa"/>
              <w:left w:w="15" w:type="dxa"/>
              <w:bottom w:w="15" w:type="dxa"/>
              <w:right w:w="15" w:type="dxa"/>
            </w:tcMar>
            <w:vAlign w:val="center"/>
          </w:tcPr>
          <w:p w14:paraId="7ACBBC7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kern w:val="0"/>
                <w:sz w:val="13"/>
                <w:szCs w:val="13"/>
                <w:highlight w:val="none"/>
              </w:rPr>
            </w:pPr>
            <w:r>
              <w:rPr>
                <w:rFonts w:hint="eastAsia" w:ascii="仿宋_GB2312" w:hAnsi="宋体" w:eastAsia="仿宋_GB2312" w:cs="宋体"/>
                <w:color w:val="auto"/>
                <w:kern w:val="0"/>
                <w:sz w:val="13"/>
                <w:szCs w:val="13"/>
                <w:highlight w:val="none"/>
              </w:rPr>
              <w:t>未持续、稳定、安全供气5日以上的，或未对500户以上燃气用户的燃气设施定期进行安全检查的。</w:t>
            </w:r>
          </w:p>
        </w:tc>
        <w:tc>
          <w:tcPr>
            <w:tcW w:w="3058" w:type="dxa"/>
            <w:tcBorders>
              <w:tl2br w:val="nil"/>
              <w:tr2bl w:val="nil"/>
            </w:tcBorders>
            <w:tcMar>
              <w:top w:w="15" w:type="dxa"/>
              <w:left w:w="15" w:type="dxa"/>
              <w:bottom w:w="15" w:type="dxa"/>
              <w:right w:w="15" w:type="dxa"/>
            </w:tcMar>
            <w:vAlign w:val="center"/>
          </w:tcPr>
          <w:p w14:paraId="547F6A0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责令限期改正，处7万元以上10万元以下罚款；有违法所得的，没收违法所得；吊销燃气经营许可证。</w:t>
            </w:r>
          </w:p>
        </w:tc>
      </w:tr>
      <w:tr w14:paraId="3EE2175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239" w:hRule="atLeast"/>
          <w:jc w:val="center"/>
        </w:trPr>
        <w:tc>
          <w:tcPr>
            <w:tcW w:w="428" w:type="dxa"/>
            <w:vMerge w:val="restart"/>
            <w:tcBorders>
              <w:tl2br w:val="nil"/>
              <w:tr2bl w:val="nil"/>
            </w:tcBorders>
            <w:tcMar>
              <w:top w:w="15" w:type="dxa"/>
              <w:left w:w="15" w:type="dxa"/>
              <w:bottom w:w="15" w:type="dxa"/>
              <w:right w:w="15" w:type="dxa"/>
            </w:tcMar>
            <w:vAlign w:val="center"/>
          </w:tcPr>
          <w:p w14:paraId="13346A2C">
            <w:pPr>
              <w:keepNext w:val="0"/>
              <w:keepLines w:val="0"/>
              <w:pageBreakBefore w:val="0"/>
              <w:widowControl/>
              <w:numPr>
                <w:ilvl w:val="0"/>
                <w:numId w:val="11"/>
              </w:numPr>
              <w:suppressLineNumbers w:val="0"/>
              <w:tabs>
                <w:tab w:val="clear" w:pos="397"/>
              </w:tabs>
              <w:kinsoku/>
              <w:overflowPunct/>
              <w:topLinePunct w:val="0"/>
              <w:autoSpaceDE/>
              <w:autoSpaceDN/>
              <w:bidi w:val="0"/>
              <w:adjustRightInd/>
              <w:snapToGrid/>
              <w:spacing w:beforeAutospacing="0" w:afterAutospacing="0" w:line="260" w:lineRule="exact"/>
              <w:ind w:left="638" w:leftChars="88" w:right="0" w:rightChars="0" w:hanging="453" w:hangingChars="349"/>
              <w:jc w:val="center"/>
              <w:textAlignment w:val="center"/>
              <w:rPr>
                <w:rFonts w:hint="default" w:ascii="仿宋_GB2312" w:hAnsi="宋体" w:eastAsia="仿宋_GB2312" w:cs="宋体"/>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326</w:t>
            </w:r>
          </w:p>
        </w:tc>
        <w:tc>
          <w:tcPr>
            <w:tcW w:w="1550" w:type="dxa"/>
            <w:vMerge w:val="restart"/>
            <w:tcBorders>
              <w:tl2br w:val="nil"/>
              <w:tr2bl w:val="nil"/>
            </w:tcBorders>
            <w:tcMar>
              <w:top w:w="15" w:type="dxa"/>
              <w:left w:w="15" w:type="dxa"/>
              <w:bottom w:w="15" w:type="dxa"/>
              <w:right w:w="15" w:type="dxa"/>
            </w:tcMar>
            <w:vAlign w:val="center"/>
          </w:tcPr>
          <w:p w14:paraId="0F3F79A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燃气经营者未按照国家有关工程建设标准和安全生产管理的规定，设置燃气设施防腐、绝缘、防雷、降压、隔离等保护装置和安全警示标志的，或者未定期进行巡查、检测、维修和维护的，或者未采取措施及时消除燃气安全事故隐患的</w:t>
            </w:r>
          </w:p>
        </w:tc>
        <w:tc>
          <w:tcPr>
            <w:tcW w:w="4820" w:type="dxa"/>
            <w:vMerge w:val="restart"/>
            <w:tcBorders>
              <w:tl2br w:val="nil"/>
              <w:tr2bl w:val="nil"/>
            </w:tcBorders>
            <w:tcMar>
              <w:top w:w="15" w:type="dxa"/>
              <w:left w:w="15" w:type="dxa"/>
              <w:bottom w:w="15" w:type="dxa"/>
              <w:right w:w="15" w:type="dxa"/>
            </w:tcMar>
            <w:vAlign w:val="center"/>
          </w:tcPr>
          <w:p w14:paraId="0912650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sz w:val="13"/>
                <w:szCs w:val="13"/>
                <w:highlight w:val="none"/>
              </w:rPr>
            </w:pPr>
            <w:bookmarkStart w:id="32" w:name="48"/>
            <w:r>
              <w:rPr>
                <w:rFonts w:hint="eastAsia" w:ascii="仿宋_GB2312" w:hAnsi="宋体" w:eastAsia="仿宋_GB2312" w:cs="宋体"/>
                <w:color w:val="auto"/>
                <w:kern w:val="0"/>
                <w:sz w:val="13"/>
                <w:szCs w:val="13"/>
                <w:highlight w:val="none"/>
              </w:rPr>
              <w:t>《城镇燃气管理条例》</w:t>
            </w:r>
            <w:r>
              <w:rPr>
                <w:rFonts w:hint="eastAsia" w:ascii="仿宋_GB2312" w:hAnsi="宋体" w:eastAsia="仿宋_GB2312" w:cs="宋体"/>
                <w:b/>
                <w:bCs/>
                <w:color w:val="auto"/>
                <w:kern w:val="0"/>
                <w:sz w:val="13"/>
                <w:szCs w:val="13"/>
                <w:highlight w:val="none"/>
              </w:rPr>
              <w:t>第四十八条</w:t>
            </w:r>
            <w:bookmarkEnd w:id="32"/>
            <w:r>
              <w:rPr>
                <w:rFonts w:hint="eastAsia" w:ascii="仿宋_GB2312" w:hAnsi="宋体" w:eastAsia="仿宋_GB2312" w:cs="宋体"/>
                <w:b/>
                <w:bCs/>
                <w:color w:val="auto"/>
                <w:kern w:val="0"/>
                <w:sz w:val="13"/>
                <w:szCs w:val="13"/>
                <w:highlight w:val="none"/>
                <w:lang w:eastAsia="zh-CN"/>
              </w:rPr>
              <w:t>：</w:t>
            </w:r>
            <w:r>
              <w:rPr>
                <w:rFonts w:hint="eastAsia" w:ascii="仿宋_GB2312" w:hAnsi="宋体" w:eastAsia="仿宋_GB2312" w:cs="宋体"/>
                <w:color w:val="auto"/>
                <w:kern w:val="0"/>
                <w:sz w:val="13"/>
                <w:szCs w:val="13"/>
                <w:highlight w:val="none"/>
              </w:rPr>
              <w:t>违反本条例规定，燃气经营者未按照国家有关工程建设标准和安全生产管理的规定，设置燃气设施防腐、绝缘、防雷、降压、隔离等保护装置和安全警示标志的，或者未定期进行巡查、检测、维修和维护的，或者未采取措施及时消除燃气安全事故隐患的，由燃气管理部门责令限期改正，处1万元以上10万元以下罚款。</w:t>
            </w:r>
          </w:p>
        </w:tc>
        <w:tc>
          <w:tcPr>
            <w:tcW w:w="823" w:type="dxa"/>
            <w:tcBorders>
              <w:tl2br w:val="nil"/>
              <w:tr2bl w:val="nil"/>
            </w:tcBorders>
            <w:tcMar>
              <w:top w:w="15" w:type="dxa"/>
              <w:left w:w="15" w:type="dxa"/>
              <w:bottom w:w="15" w:type="dxa"/>
              <w:right w:w="15" w:type="dxa"/>
            </w:tcMar>
            <w:vAlign w:val="center"/>
          </w:tcPr>
          <w:p w14:paraId="2554E44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从轻情节</w:t>
            </w:r>
          </w:p>
        </w:tc>
        <w:tc>
          <w:tcPr>
            <w:tcW w:w="3437" w:type="dxa"/>
            <w:gridSpan w:val="2"/>
            <w:tcBorders>
              <w:tl2br w:val="nil"/>
              <w:tr2bl w:val="nil"/>
            </w:tcBorders>
            <w:tcMar>
              <w:top w:w="15" w:type="dxa"/>
              <w:left w:w="15" w:type="dxa"/>
              <w:bottom w:w="15" w:type="dxa"/>
              <w:right w:w="15" w:type="dxa"/>
            </w:tcMar>
            <w:vAlign w:val="center"/>
          </w:tcPr>
          <w:p w14:paraId="197A94E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初次违法，危害后果轻微，积极采取改正措施整改的。</w:t>
            </w:r>
          </w:p>
        </w:tc>
        <w:tc>
          <w:tcPr>
            <w:tcW w:w="3058" w:type="dxa"/>
            <w:tcBorders>
              <w:tl2br w:val="nil"/>
              <w:tr2bl w:val="nil"/>
            </w:tcBorders>
            <w:tcMar>
              <w:top w:w="15" w:type="dxa"/>
              <w:left w:w="15" w:type="dxa"/>
              <w:bottom w:w="15" w:type="dxa"/>
              <w:right w:w="15" w:type="dxa"/>
            </w:tcMar>
            <w:vAlign w:val="center"/>
          </w:tcPr>
          <w:p w14:paraId="16B94AA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责令限期改正，处1万元以上3万元以下罚款。</w:t>
            </w:r>
          </w:p>
        </w:tc>
      </w:tr>
      <w:tr w14:paraId="41DABB1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261" w:hRule="atLeast"/>
          <w:jc w:val="center"/>
        </w:trPr>
        <w:tc>
          <w:tcPr>
            <w:tcW w:w="428" w:type="dxa"/>
            <w:vMerge w:val="continue"/>
            <w:tcBorders>
              <w:tl2br w:val="nil"/>
              <w:tr2bl w:val="nil"/>
            </w:tcBorders>
            <w:vAlign w:val="center"/>
          </w:tcPr>
          <w:p w14:paraId="32F73240">
            <w:pPr>
              <w:pStyle w:val="37"/>
              <w:keepNext w:val="0"/>
              <w:keepLines w:val="0"/>
              <w:pageBreakBefore w:val="0"/>
              <w:widowControl/>
              <w:numPr>
                <w:ilvl w:val="0"/>
                <w:numId w:val="12"/>
              </w:numPr>
              <w:kinsoku/>
              <w:overflowPunct/>
              <w:topLinePunct w:val="0"/>
              <w:autoSpaceDE/>
              <w:autoSpaceDN/>
              <w:bidi w:val="0"/>
              <w:adjustRightInd/>
              <w:snapToGrid/>
              <w:spacing w:beforeAutospacing="0" w:afterAutospacing="0" w:line="260" w:lineRule="exact"/>
              <w:ind w:left="638" w:leftChars="88" w:right="0" w:rightChars="0" w:hanging="453" w:hangingChars="349"/>
              <w:jc w:val="center"/>
              <w:rPr>
                <w:rFonts w:ascii="仿宋_GB2312" w:hAnsi="宋体" w:eastAsia="仿宋_GB2312" w:cs="宋体"/>
                <w:color w:val="auto"/>
                <w:sz w:val="13"/>
                <w:szCs w:val="13"/>
                <w:highlight w:val="none"/>
              </w:rPr>
            </w:pPr>
          </w:p>
        </w:tc>
        <w:tc>
          <w:tcPr>
            <w:tcW w:w="1550" w:type="dxa"/>
            <w:vMerge w:val="continue"/>
            <w:tcBorders>
              <w:tl2br w:val="nil"/>
              <w:tr2bl w:val="nil"/>
            </w:tcBorders>
            <w:vAlign w:val="center"/>
          </w:tcPr>
          <w:p w14:paraId="7ABB76F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sz w:val="13"/>
                <w:szCs w:val="13"/>
                <w:highlight w:val="none"/>
              </w:rPr>
            </w:pPr>
          </w:p>
        </w:tc>
        <w:tc>
          <w:tcPr>
            <w:tcW w:w="4820" w:type="dxa"/>
            <w:vMerge w:val="continue"/>
            <w:tcBorders>
              <w:tl2br w:val="nil"/>
              <w:tr2bl w:val="nil"/>
            </w:tcBorders>
            <w:vAlign w:val="center"/>
          </w:tcPr>
          <w:p w14:paraId="0DF68DA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57BCD94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一般情节</w:t>
            </w:r>
          </w:p>
        </w:tc>
        <w:tc>
          <w:tcPr>
            <w:tcW w:w="3437" w:type="dxa"/>
            <w:gridSpan w:val="2"/>
            <w:tcBorders>
              <w:tl2br w:val="nil"/>
              <w:tr2bl w:val="nil"/>
            </w:tcBorders>
            <w:tcMar>
              <w:top w:w="15" w:type="dxa"/>
              <w:left w:w="15" w:type="dxa"/>
              <w:bottom w:w="15" w:type="dxa"/>
              <w:right w:w="15" w:type="dxa"/>
            </w:tcMar>
            <w:vAlign w:val="center"/>
          </w:tcPr>
          <w:p w14:paraId="28A87DE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不具有从轻、</w:t>
            </w:r>
            <w:r>
              <w:rPr>
                <w:rFonts w:hint="eastAsia" w:ascii="仿宋_GB2312" w:hAnsi="宋体" w:eastAsia="仿宋_GB2312" w:cs="宋体"/>
                <w:color w:val="auto"/>
                <w:kern w:val="0"/>
                <w:sz w:val="13"/>
                <w:szCs w:val="13"/>
                <w:highlight w:val="none"/>
                <w:lang w:eastAsia="zh-CN"/>
              </w:rPr>
              <w:t>从重情节</w:t>
            </w:r>
            <w:r>
              <w:rPr>
                <w:rFonts w:hint="eastAsia" w:ascii="仿宋_GB2312" w:hAnsi="宋体" w:eastAsia="仿宋_GB2312" w:cs="宋体"/>
                <w:color w:val="auto"/>
                <w:kern w:val="0"/>
                <w:sz w:val="13"/>
                <w:szCs w:val="13"/>
                <w:highlight w:val="none"/>
              </w:rPr>
              <w:t>的。</w:t>
            </w:r>
          </w:p>
        </w:tc>
        <w:tc>
          <w:tcPr>
            <w:tcW w:w="3058" w:type="dxa"/>
            <w:tcBorders>
              <w:tl2br w:val="nil"/>
              <w:tr2bl w:val="nil"/>
            </w:tcBorders>
            <w:tcMar>
              <w:top w:w="15" w:type="dxa"/>
              <w:left w:w="15" w:type="dxa"/>
              <w:bottom w:w="15" w:type="dxa"/>
              <w:right w:w="15" w:type="dxa"/>
            </w:tcMar>
            <w:vAlign w:val="center"/>
          </w:tcPr>
          <w:p w14:paraId="2B16C87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责令限期改正，处3万元以上5万元以下罚款。</w:t>
            </w:r>
          </w:p>
        </w:tc>
      </w:tr>
      <w:tr w14:paraId="2E4EC52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476" w:hRule="atLeast"/>
          <w:jc w:val="center"/>
        </w:trPr>
        <w:tc>
          <w:tcPr>
            <w:tcW w:w="428" w:type="dxa"/>
            <w:vMerge w:val="continue"/>
            <w:tcBorders>
              <w:tl2br w:val="nil"/>
              <w:tr2bl w:val="nil"/>
            </w:tcBorders>
            <w:vAlign w:val="center"/>
          </w:tcPr>
          <w:p w14:paraId="0E6837C8">
            <w:pPr>
              <w:pStyle w:val="37"/>
              <w:keepNext w:val="0"/>
              <w:keepLines w:val="0"/>
              <w:pageBreakBefore w:val="0"/>
              <w:widowControl/>
              <w:numPr>
                <w:ilvl w:val="0"/>
                <w:numId w:val="12"/>
              </w:numPr>
              <w:kinsoku/>
              <w:overflowPunct/>
              <w:topLinePunct w:val="0"/>
              <w:autoSpaceDE/>
              <w:autoSpaceDN/>
              <w:bidi w:val="0"/>
              <w:adjustRightInd/>
              <w:snapToGrid/>
              <w:spacing w:beforeAutospacing="0" w:afterAutospacing="0" w:line="260" w:lineRule="exact"/>
              <w:ind w:left="638" w:leftChars="88" w:right="0" w:rightChars="0" w:hanging="453" w:hangingChars="349"/>
              <w:jc w:val="center"/>
              <w:rPr>
                <w:rFonts w:ascii="仿宋_GB2312" w:hAnsi="宋体" w:eastAsia="仿宋_GB2312" w:cs="宋体"/>
                <w:color w:val="auto"/>
                <w:sz w:val="13"/>
                <w:szCs w:val="13"/>
                <w:highlight w:val="none"/>
              </w:rPr>
            </w:pPr>
          </w:p>
        </w:tc>
        <w:tc>
          <w:tcPr>
            <w:tcW w:w="1550" w:type="dxa"/>
            <w:vMerge w:val="continue"/>
            <w:tcBorders>
              <w:tl2br w:val="nil"/>
              <w:tr2bl w:val="nil"/>
            </w:tcBorders>
            <w:vAlign w:val="center"/>
          </w:tcPr>
          <w:p w14:paraId="5861F99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sz w:val="13"/>
                <w:szCs w:val="13"/>
                <w:highlight w:val="none"/>
              </w:rPr>
            </w:pPr>
          </w:p>
        </w:tc>
        <w:tc>
          <w:tcPr>
            <w:tcW w:w="4820" w:type="dxa"/>
            <w:vMerge w:val="continue"/>
            <w:tcBorders>
              <w:tl2br w:val="nil"/>
              <w:tr2bl w:val="nil"/>
            </w:tcBorders>
            <w:vAlign w:val="center"/>
          </w:tcPr>
          <w:p w14:paraId="17416AD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25695E1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从重情节</w:t>
            </w:r>
          </w:p>
        </w:tc>
        <w:tc>
          <w:tcPr>
            <w:tcW w:w="3437" w:type="dxa"/>
            <w:gridSpan w:val="2"/>
            <w:tcBorders>
              <w:tl2br w:val="nil"/>
              <w:tr2bl w:val="nil"/>
            </w:tcBorders>
            <w:tcMar>
              <w:top w:w="15" w:type="dxa"/>
              <w:left w:w="15" w:type="dxa"/>
              <w:bottom w:w="15" w:type="dxa"/>
              <w:right w:w="15" w:type="dxa"/>
            </w:tcMar>
            <w:vAlign w:val="center"/>
          </w:tcPr>
          <w:p w14:paraId="298DC3C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经责令停止违法行为后，继续实施该违法行为的</w:t>
            </w:r>
            <w:r>
              <w:rPr>
                <w:rFonts w:hint="eastAsia" w:ascii="仿宋_GB2312" w:hAnsi="宋体" w:eastAsia="仿宋_GB2312" w:cs="宋体"/>
                <w:color w:val="auto"/>
                <w:kern w:val="0"/>
                <w:sz w:val="13"/>
                <w:szCs w:val="13"/>
                <w:highlight w:val="none"/>
                <w:lang w:eastAsia="zh-CN"/>
              </w:rPr>
              <w:t>，</w:t>
            </w:r>
            <w:r>
              <w:rPr>
                <w:rFonts w:hint="eastAsia" w:ascii="仿宋_GB2312" w:hAnsi="宋体" w:eastAsia="仿宋_GB2312" w:cs="宋体"/>
                <w:color w:val="auto"/>
                <w:kern w:val="0"/>
                <w:sz w:val="13"/>
                <w:szCs w:val="13"/>
                <w:highlight w:val="none"/>
                <w:lang w:val="en-US" w:eastAsia="zh-CN"/>
              </w:rPr>
              <w:t>或</w:t>
            </w:r>
            <w:r>
              <w:rPr>
                <w:rFonts w:hint="eastAsia" w:ascii="仿宋_GB2312" w:hAnsi="宋体" w:eastAsia="仿宋_GB2312" w:cs="宋体"/>
                <w:color w:val="auto"/>
                <w:kern w:val="0"/>
                <w:sz w:val="13"/>
                <w:szCs w:val="13"/>
                <w:highlight w:val="none"/>
              </w:rPr>
              <w:t>曾因实施该违法行为被查处，再次实施该违法行为的</w:t>
            </w:r>
            <w:r>
              <w:rPr>
                <w:rFonts w:hint="eastAsia" w:ascii="仿宋_GB2312" w:hAnsi="宋体" w:eastAsia="仿宋_GB2312" w:cs="宋体"/>
                <w:color w:val="auto"/>
                <w:kern w:val="0"/>
                <w:sz w:val="13"/>
                <w:szCs w:val="13"/>
                <w:highlight w:val="none"/>
                <w:lang w:eastAsia="zh-CN"/>
              </w:rPr>
              <w:t>，</w:t>
            </w:r>
            <w:r>
              <w:rPr>
                <w:rFonts w:hint="eastAsia" w:ascii="仿宋_GB2312" w:hAnsi="宋体" w:eastAsia="仿宋_GB2312" w:cs="宋体"/>
                <w:color w:val="auto"/>
                <w:kern w:val="0"/>
                <w:sz w:val="13"/>
                <w:szCs w:val="13"/>
                <w:highlight w:val="none"/>
                <w:lang w:val="en-US" w:eastAsia="zh-CN"/>
              </w:rPr>
              <w:t>或</w:t>
            </w:r>
            <w:r>
              <w:rPr>
                <w:rFonts w:hint="eastAsia" w:ascii="仿宋_GB2312" w:hAnsi="宋体" w:eastAsia="仿宋_GB2312" w:cs="宋体"/>
                <w:color w:val="auto"/>
                <w:kern w:val="0"/>
                <w:sz w:val="13"/>
                <w:szCs w:val="13"/>
                <w:highlight w:val="none"/>
              </w:rPr>
              <w:t>造成严重危害后果的。</w:t>
            </w:r>
          </w:p>
        </w:tc>
        <w:tc>
          <w:tcPr>
            <w:tcW w:w="3058" w:type="dxa"/>
            <w:tcBorders>
              <w:tl2br w:val="nil"/>
              <w:tr2bl w:val="nil"/>
            </w:tcBorders>
            <w:tcMar>
              <w:top w:w="15" w:type="dxa"/>
              <w:left w:w="15" w:type="dxa"/>
              <w:bottom w:w="15" w:type="dxa"/>
              <w:right w:w="15" w:type="dxa"/>
            </w:tcMar>
            <w:vAlign w:val="center"/>
          </w:tcPr>
          <w:p w14:paraId="2FBFCA5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责令限期改正，处5万元以上10万元以下罚款。</w:t>
            </w:r>
          </w:p>
        </w:tc>
      </w:tr>
      <w:tr w14:paraId="3D7FB4B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595" w:hRule="atLeast"/>
          <w:jc w:val="center"/>
        </w:trPr>
        <w:tc>
          <w:tcPr>
            <w:tcW w:w="428" w:type="dxa"/>
            <w:vMerge w:val="restart"/>
            <w:tcBorders>
              <w:tl2br w:val="nil"/>
              <w:tr2bl w:val="nil"/>
            </w:tcBorders>
            <w:tcMar>
              <w:top w:w="15" w:type="dxa"/>
              <w:left w:w="15" w:type="dxa"/>
              <w:bottom w:w="15" w:type="dxa"/>
              <w:right w:w="15" w:type="dxa"/>
            </w:tcMar>
            <w:vAlign w:val="center"/>
          </w:tcPr>
          <w:p w14:paraId="608D30FE">
            <w:pPr>
              <w:keepNext w:val="0"/>
              <w:keepLines w:val="0"/>
              <w:pageBreakBefore w:val="0"/>
              <w:widowControl/>
              <w:numPr>
                <w:ilvl w:val="0"/>
                <w:numId w:val="11"/>
              </w:numPr>
              <w:suppressLineNumbers w:val="0"/>
              <w:tabs>
                <w:tab w:val="clear" w:pos="397"/>
              </w:tabs>
              <w:kinsoku/>
              <w:overflowPunct/>
              <w:topLinePunct w:val="0"/>
              <w:autoSpaceDE/>
              <w:autoSpaceDN/>
              <w:bidi w:val="0"/>
              <w:adjustRightInd/>
              <w:snapToGrid/>
              <w:spacing w:beforeAutospacing="0" w:afterAutospacing="0" w:line="260" w:lineRule="exact"/>
              <w:ind w:left="638" w:leftChars="88" w:right="0" w:rightChars="0" w:hanging="453" w:hangingChars="349"/>
              <w:jc w:val="center"/>
              <w:textAlignment w:val="center"/>
              <w:rPr>
                <w:rFonts w:hint="default" w:ascii="仿宋_GB2312" w:hAnsi="宋体" w:eastAsia="仿宋_GB2312" w:cs="宋体"/>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327</w:t>
            </w:r>
          </w:p>
        </w:tc>
        <w:tc>
          <w:tcPr>
            <w:tcW w:w="1550" w:type="dxa"/>
            <w:vMerge w:val="restart"/>
            <w:tcBorders>
              <w:tl2br w:val="nil"/>
              <w:tr2bl w:val="nil"/>
            </w:tcBorders>
            <w:tcMar>
              <w:top w:w="15" w:type="dxa"/>
              <w:left w:w="15" w:type="dxa"/>
              <w:bottom w:w="15" w:type="dxa"/>
              <w:right w:w="15" w:type="dxa"/>
            </w:tcMar>
            <w:vAlign w:val="center"/>
          </w:tcPr>
          <w:p w14:paraId="70300DD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燃气用户及相关单位和个人有下列行为之一的：（1）擅自操作公用燃气阀门的；（2）将燃气管道作为负重支架或者接地引线的；（3）安装、使用不符合气源要求的燃气燃烧器具的；（4）擅自安装、改装、拆除户内燃气设施和燃气计量装置的；（5）在不具备安全条件的场所使用、储存燃气的；（6）改变燃气用途或者转供燃气的；（7）未设立售后服务站点或者未配备经考核合格的燃气燃烧器具安装、维修人员的；（8）燃气燃烧器具的安装、维修不符合国家有关标准的</w:t>
            </w:r>
          </w:p>
        </w:tc>
        <w:tc>
          <w:tcPr>
            <w:tcW w:w="4820" w:type="dxa"/>
            <w:vMerge w:val="restart"/>
            <w:tcBorders>
              <w:tl2br w:val="nil"/>
              <w:tr2bl w:val="nil"/>
            </w:tcBorders>
            <w:tcMar>
              <w:top w:w="15" w:type="dxa"/>
              <w:left w:w="15" w:type="dxa"/>
              <w:bottom w:w="15" w:type="dxa"/>
              <w:right w:w="15" w:type="dxa"/>
            </w:tcMar>
            <w:vAlign w:val="center"/>
          </w:tcPr>
          <w:p w14:paraId="495583A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hint="eastAsia" w:ascii="仿宋_GB2312" w:hAnsi="宋体" w:eastAsia="仿宋_GB2312" w:cs="宋体"/>
                <w:color w:val="auto"/>
                <w:kern w:val="0"/>
                <w:sz w:val="13"/>
                <w:szCs w:val="13"/>
                <w:highlight w:val="none"/>
                <w:lang w:eastAsia="zh-CN"/>
              </w:rPr>
            </w:pPr>
            <w:r>
              <w:rPr>
                <w:rFonts w:hint="eastAsia" w:ascii="仿宋_GB2312" w:hAnsi="宋体" w:eastAsia="仿宋_GB2312" w:cs="宋体"/>
                <w:color w:val="auto"/>
                <w:kern w:val="0"/>
                <w:sz w:val="13"/>
                <w:szCs w:val="13"/>
                <w:highlight w:val="none"/>
              </w:rPr>
              <w:t>《城镇燃气管理条例》</w:t>
            </w:r>
            <w:r>
              <w:rPr>
                <w:rFonts w:hint="eastAsia" w:ascii="仿宋_GB2312" w:hAnsi="宋体" w:eastAsia="仿宋_GB2312" w:cs="宋体"/>
                <w:b/>
                <w:bCs/>
                <w:color w:val="auto"/>
                <w:kern w:val="0"/>
                <w:sz w:val="13"/>
                <w:szCs w:val="13"/>
                <w:highlight w:val="none"/>
              </w:rPr>
              <w:t>第四十九条</w:t>
            </w:r>
            <w:r>
              <w:rPr>
                <w:rFonts w:hint="eastAsia" w:ascii="仿宋_GB2312" w:hAnsi="宋体" w:eastAsia="仿宋_GB2312" w:cs="宋体"/>
                <w:b/>
                <w:bCs/>
                <w:color w:val="auto"/>
                <w:kern w:val="0"/>
                <w:sz w:val="13"/>
                <w:szCs w:val="13"/>
                <w:highlight w:val="none"/>
                <w:lang w:eastAsia="zh-CN"/>
              </w:rPr>
              <w:t>：</w:t>
            </w:r>
            <w:r>
              <w:rPr>
                <w:rFonts w:hint="eastAsia" w:ascii="仿宋_GB2312" w:hAnsi="宋体" w:eastAsia="仿宋_GB2312" w:cs="宋体"/>
                <w:color w:val="auto"/>
                <w:kern w:val="0"/>
                <w:sz w:val="13"/>
                <w:szCs w:val="13"/>
                <w:highlight w:val="none"/>
              </w:rPr>
              <w:t>违反本条例规定，燃气用户及相关单位和个人有下列行为之一的，由燃气管理部门责令限期改正；逾期不改正的，对单位可以处10万元以下罚款，对个人可以处1000元以下罚款；造成损失的，依法承担赔偿责任；构成犯罪的，依法追究刑事责任：（一）擅自操作公用燃气阀门的；（二）将燃气管道作为负重支架或者接地引线的；（三）安装、使用不符合气源要求的燃气燃烧器具的；（四）擅自安装、改装、拆除户内燃气设施和燃气计量装置的；（五）在不具备安全条件的场所使用、储存燃气的；（六）改变燃气用途或者转供燃气的；（七）未设立售后服务站点或者未配备经考核合格的燃气燃烧器具安装、维修人员的；（八）燃气燃烧器具的安装、维修不符合国家有关标准的。</w:t>
            </w:r>
          </w:p>
          <w:p w14:paraId="42E3DD1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0" w:firstLineChars="2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盗用燃气的，依照有关治安管理处罚的法律规定进行处罚。</w:t>
            </w:r>
          </w:p>
        </w:tc>
        <w:tc>
          <w:tcPr>
            <w:tcW w:w="823" w:type="dxa"/>
            <w:tcBorders>
              <w:tl2br w:val="nil"/>
              <w:tr2bl w:val="nil"/>
            </w:tcBorders>
            <w:tcMar>
              <w:top w:w="15" w:type="dxa"/>
              <w:left w:w="15" w:type="dxa"/>
              <w:bottom w:w="15" w:type="dxa"/>
              <w:right w:w="15" w:type="dxa"/>
            </w:tcMar>
            <w:vAlign w:val="center"/>
          </w:tcPr>
          <w:p w14:paraId="4F58F57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从轻情节</w:t>
            </w:r>
          </w:p>
        </w:tc>
        <w:tc>
          <w:tcPr>
            <w:tcW w:w="3437" w:type="dxa"/>
            <w:gridSpan w:val="2"/>
            <w:tcBorders>
              <w:tl2br w:val="nil"/>
              <w:tr2bl w:val="nil"/>
            </w:tcBorders>
            <w:tcMar>
              <w:top w:w="15" w:type="dxa"/>
              <w:left w:w="15" w:type="dxa"/>
              <w:bottom w:w="15" w:type="dxa"/>
              <w:right w:w="15" w:type="dxa"/>
            </w:tcMar>
            <w:vAlign w:val="center"/>
          </w:tcPr>
          <w:p w14:paraId="12C1E17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初次违法，危害后果轻微的。</w:t>
            </w:r>
          </w:p>
        </w:tc>
        <w:tc>
          <w:tcPr>
            <w:tcW w:w="3058" w:type="dxa"/>
            <w:tcBorders>
              <w:tl2br w:val="nil"/>
              <w:tr2bl w:val="nil"/>
            </w:tcBorders>
            <w:tcMar>
              <w:top w:w="15" w:type="dxa"/>
              <w:left w:w="15" w:type="dxa"/>
              <w:bottom w:w="15" w:type="dxa"/>
              <w:right w:w="15" w:type="dxa"/>
            </w:tcMar>
            <w:vAlign w:val="center"/>
          </w:tcPr>
          <w:p w14:paraId="4AB23F9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责令限期改正；逾期不改正的，对单位可以处1万元以上3万元以下罚款，对个人可以处100元以上300元以下罚款。</w:t>
            </w:r>
          </w:p>
        </w:tc>
      </w:tr>
      <w:tr w14:paraId="08E42CA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614" w:hRule="atLeast"/>
          <w:jc w:val="center"/>
        </w:trPr>
        <w:tc>
          <w:tcPr>
            <w:tcW w:w="428" w:type="dxa"/>
            <w:vMerge w:val="continue"/>
            <w:tcBorders>
              <w:tl2br w:val="nil"/>
              <w:tr2bl w:val="nil"/>
            </w:tcBorders>
            <w:vAlign w:val="center"/>
          </w:tcPr>
          <w:p w14:paraId="421F1789">
            <w:pPr>
              <w:pStyle w:val="37"/>
              <w:keepNext w:val="0"/>
              <w:keepLines w:val="0"/>
              <w:pageBreakBefore w:val="0"/>
              <w:widowControl/>
              <w:numPr>
                <w:ilvl w:val="0"/>
                <w:numId w:val="12"/>
              </w:numPr>
              <w:kinsoku/>
              <w:overflowPunct/>
              <w:topLinePunct w:val="0"/>
              <w:autoSpaceDE/>
              <w:autoSpaceDN/>
              <w:bidi w:val="0"/>
              <w:adjustRightInd/>
              <w:snapToGrid/>
              <w:spacing w:beforeAutospacing="0" w:afterAutospacing="0" w:line="260" w:lineRule="exact"/>
              <w:ind w:left="638" w:leftChars="88" w:right="0" w:rightChars="0" w:hanging="453" w:hangingChars="349"/>
              <w:jc w:val="center"/>
              <w:rPr>
                <w:rFonts w:ascii="仿宋_GB2312" w:hAnsi="宋体" w:eastAsia="仿宋_GB2312" w:cs="宋体"/>
                <w:color w:val="auto"/>
                <w:sz w:val="13"/>
                <w:szCs w:val="13"/>
                <w:highlight w:val="none"/>
              </w:rPr>
            </w:pPr>
          </w:p>
        </w:tc>
        <w:tc>
          <w:tcPr>
            <w:tcW w:w="1550" w:type="dxa"/>
            <w:vMerge w:val="continue"/>
            <w:tcBorders>
              <w:tl2br w:val="nil"/>
              <w:tr2bl w:val="nil"/>
            </w:tcBorders>
            <w:vAlign w:val="center"/>
          </w:tcPr>
          <w:p w14:paraId="1A64859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sz w:val="13"/>
                <w:szCs w:val="13"/>
                <w:highlight w:val="none"/>
              </w:rPr>
            </w:pPr>
          </w:p>
        </w:tc>
        <w:tc>
          <w:tcPr>
            <w:tcW w:w="4820" w:type="dxa"/>
            <w:vMerge w:val="continue"/>
            <w:tcBorders>
              <w:tl2br w:val="nil"/>
              <w:tr2bl w:val="nil"/>
            </w:tcBorders>
            <w:vAlign w:val="center"/>
          </w:tcPr>
          <w:p w14:paraId="5E57BF4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378C529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一般情节</w:t>
            </w:r>
          </w:p>
        </w:tc>
        <w:tc>
          <w:tcPr>
            <w:tcW w:w="3437" w:type="dxa"/>
            <w:gridSpan w:val="2"/>
            <w:tcBorders>
              <w:tl2br w:val="nil"/>
              <w:tr2bl w:val="nil"/>
            </w:tcBorders>
            <w:tcMar>
              <w:top w:w="15" w:type="dxa"/>
              <w:left w:w="15" w:type="dxa"/>
              <w:bottom w:w="15" w:type="dxa"/>
              <w:right w:w="15" w:type="dxa"/>
            </w:tcMar>
            <w:vAlign w:val="center"/>
          </w:tcPr>
          <w:p w14:paraId="108E60B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不具有从轻、</w:t>
            </w:r>
            <w:r>
              <w:rPr>
                <w:rFonts w:hint="eastAsia" w:ascii="仿宋_GB2312" w:hAnsi="宋体" w:eastAsia="仿宋_GB2312" w:cs="宋体"/>
                <w:color w:val="auto"/>
                <w:kern w:val="0"/>
                <w:sz w:val="13"/>
                <w:szCs w:val="13"/>
                <w:highlight w:val="none"/>
                <w:lang w:eastAsia="zh-CN"/>
              </w:rPr>
              <w:t>从重情节</w:t>
            </w:r>
            <w:r>
              <w:rPr>
                <w:rFonts w:hint="eastAsia" w:ascii="仿宋_GB2312" w:hAnsi="宋体" w:eastAsia="仿宋_GB2312" w:cs="宋体"/>
                <w:color w:val="auto"/>
                <w:kern w:val="0"/>
                <w:sz w:val="13"/>
                <w:szCs w:val="13"/>
                <w:highlight w:val="none"/>
              </w:rPr>
              <w:t>的。</w:t>
            </w:r>
          </w:p>
        </w:tc>
        <w:tc>
          <w:tcPr>
            <w:tcW w:w="3058" w:type="dxa"/>
            <w:tcBorders>
              <w:tl2br w:val="nil"/>
              <w:tr2bl w:val="nil"/>
            </w:tcBorders>
            <w:tcMar>
              <w:top w:w="15" w:type="dxa"/>
              <w:left w:w="15" w:type="dxa"/>
              <w:bottom w:w="15" w:type="dxa"/>
              <w:right w:w="15" w:type="dxa"/>
            </w:tcMar>
            <w:vAlign w:val="center"/>
          </w:tcPr>
          <w:p w14:paraId="0E73502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责令限期改正；逾期不改正的，对单位可以处3万元以上5万元以下罚款，对个人可以处300元以上500元以下罚款。</w:t>
            </w:r>
          </w:p>
        </w:tc>
      </w:tr>
      <w:tr w14:paraId="744D252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289" w:hRule="atLeast"/>
          <w:jc w:val="center"/>
        </w:trPr>
        <w:tc>
          <w:tcPr>
            <w:tcW w:w="428" w:type="dxa"/>
            <w:vMerge w:val="continue"/>
            <w:tcBorders>
              <w:tl2br w:val="nil"/>
              <w:tr2bl w:val="nil"/>
            </w:tcBorders>
            <w:vAlign w:val="center"/>
          </w:tcPr>
          <w:p w14:paraId="6D8CAF91">
            <w:pPr>
              <w:pStyle w:val="37"/>
              <w:keepNext w:val="0"/>
              <w:keepLines w:val="0"/>
              <w:pageBreakBefore w:val="0"/>
              <w:widowControl/>
              <w:numPr>
                <w:ilvl w:val="0"/>
                <w:numId w:val="12"/>
              </w:numPr>
              <w:kinsoku/>
              <w:overflowPunct/>
              <w:topLinePunct w:val="0"/>
              <w:autoSpaceDE/>
              <w:autoSpaceDN/>
              <w:bidi w:val="0"/>
              <w:adjustRightInd/>
              <w:snapToGrid/>
              <w:spacing w:beforeAutospacing="0" w:afterAutospacing="0" w:line="260" w:lineRule="exact"/>
              <w:ind w:left="638" w:leftChars="88" w:right="0" w:rightChars="0" w:hanging="453" w:hangingChars="349"/>
              <w:jc w:val="center"/>
              <w:rPr>
                <w:rFonts w:ascii="仿宋_GB2312" w:hAnsi="宋体" w:eastAsia="仿宋_GB2312" w:cs="宋体"/>
                <w:color w:val="auto"/>
                <w:sz w:val="13"/>
                <w:szCs w:val="13"/>
                <w:highlight w:val="none"/>
              </w:rPr>
            </w:pPr>
          </w:p>
        </w:tc>
        <w:tc>
          <w:tcPr>
            <w:tcW w:w="1550" w:type="dxa"/>
            <w:vMerge w:val="continue"/>
            <w:tcBorders>
              <w:tl2br w:val="nil"/>
              <w:tr2bl w:val="nil"/>
            </w:tcBorders>
            <w:vAlign w:val="center"/>
          </w:tcPr>
          <w:p w14:paraId="042B7A5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sz w:val="13"/>
                <w:szCs w:val="13"/>
                <w:highlight w:val="none"/>
              </w:rPr>
            </w:pPr>
          </w:p>
        </w:tc>
        <w:tc>
          <w:tcPr>
            <w:tcW w:w="4820" w:type="dxa"/>
            <w:vMerge w:val="continue"/>
            <w:tcBorders>
              <w:tl2br w:val="nil"/>
              <w:tr2bl w:val="nil"/>
            </w:tcBorders>
            <w:vAlign w:val="center"/>
          </w:tcPr>
          <w:p w14:paraId="3256D75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35027F6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从重情节</w:t>
            </w:r>
          </w:p>
        </w:tc>
        <w:tc>
          <w:tcPr>
            <w:tcW w:w="3437" w:type="dxa"/>
            <w:gridSpan w:val="2"/>
            <w:tcBorders>
              <w:tl2br w:val="nil"/>
              <w:tr2bl w:val="nil"/>
            </w:tcBorders>
            <w:tcMar>
              <w:top w:w="15" w:type="dxa"/>
              <w:left w:w="15" w:type="dxa"/>
              <w:bottom w:w="15" w:type="dxa"/>
              <w:right w:w="15" w:type="dxa"/>
            </w:tcMar>
            <w:vAlign w:val="center"/>
          </w:tcPr>
          <w:p w14:paraId="070D711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曾因实施该违法行为被查处，再次实施该违法行为的</w:t>
            </w:r>
            <w:r>
              <w:rPr>
                <w:rFonts w:hint="eastAsia" w:ascii="仿宋_GB2312" w:hAnsi="宋体" w:eastAsia="仿宋_GB2312" w:cs="宋体"/>
                <w:color w:val="auto"/>
                <w:kern w:val="0"/>
                <w:sz w:val="13"/>
                <w:szCs w:val="13"/>
                <w:highlight w:val="none"/>
                <w:lang w:eastAsia="zh-CN"/>
              </w:rPr>
              <w:t>，</w:t>
            </w:r>
            <w:r>
              <w:rPr>
                <w:rFonts w:hint="eastAsia" w:ascii="仿宋_GB2312" w:hAnsi="宋体" w:eastAsia="仿宋_GB2312" w:cs="宋体"/>
                <w:color w:val="auto"/>
                <w:kern w:val="0"/>
                <w:sz w:val="13"/>
                <w:szCs w:val="13"/>
                <w:highlight w:val="none"/>
                <w:lang w:val="en-US" w:eastAsia="zh-CN"/>
              </w:rPr>
              <w:t>或</w:t>
            </w:r>
            <w:r>
              <w:rPr>
                <w:rFonts w:hint="eastAsia" w:ascii="仿宋_GB2312" w:hAnsi="宋体" w:eastAsia="仿宋_GB2312" w:cs="宋体"/>
                <w:color w:val="auto"/>
                <w:kern w:val="0"/>
                <w:sz w:val="13"/>
                <w:szCs w:val="13"/>
                <w:highlight w:val="none"/>
              </w:rPr>
              <w:t>造成严重危害后果的。</w:t>
            </w:r>
          </w:p>
        </w:tc>
        <w:tc>
          <w:tcPr>
            <w:tcW w:w="3058" w:type="dxa"/>
            <w:tcBorders>
              <w:tl2br w:val="nil"/>
              <w:tr2bl w:val="nil"/>
            </w:tcBorders>
            <w:tcMar>
              <w:top w:w="15" w:type="dxa"/>
              <w:left w:w="15" w:type="dxa"/>
              <w:bottom w:w="15" w:type="dxa"/>
              <w:right w:w="15" w:type="dxa"/>
            </w:tcMar>
            <w:vAlign w:val="center"/>
          </w:tcPr>
          <w:p w14:paraId="29BD6E0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责令限期改正；逾期不改正的，对单位可以处5万元以上10万元以下罚款，对个人可以处500元以上1千元以下罚款。</w:t>
            </w:r>
          </w:p>
        </w:tc>
      </w:tr>
      <w:tr w14:paraId="3BB5A69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432" w:hRule="atLeast"/>
          <w:jc w:val="center"/>
        </w:trPr>
        <w:tc>
          <w:tcPr>
            <w:tcW w:w="428" w:type="dxa"/>
            <w:vMerge w:val="restart"/>
            <w:tcBorders>
              <w:tl2br w:val="nil"/>
              <w:tr2bl w:val="nil"/>
            </w:tcBorders>
            <w:tcMar>
              <w:top w:w="15" w:type="dxa"/>
              <w:left w:w="15" w:type="dxa"/>
              <w:bottom w:w="15" w:type="dxa"/>
              <w:right w:w="15" w:type="dxa"/>
            </w:tcMar>
            <w:vAlign w:val="center"/>
          </w:tcPr>
          <w:p w14:paraId="6E4B7F6E">
            <w:pPr>
              <w:keepNext w:val="0"/>
              <w:keepLines w:val="0"/>
              <w:pageBreakBefore w:val="0"/>
              <w:widowControl/>
              <w:numPr>
                <w:ilvl w:val="0"/>
                <w:numId w:val="11"/>
              </w:numPr>
              <w:suppressLineNumbers w:val="0"/>
              <w:tabs>
                <w:tab w:val="clear" w:pos="397"/>
              </w:tabs>
              <w:kinsoku/>
              <w:overflowPunct/>
              <w:topLinePunct w:val="0"/>
              <w:autoSpaceDE/>
              <w:autoSpaceDN/>
              <w:bidi w:val="0"/>
              <w:adjustRightInd/>
              <w:snapToGrid/>
              <w:spacing w:beforeAutospacing="0" w:afterAutospacing="0" w:line="260" w:lineRule="exact"/>
              <w:ind w:left="638" w:leftChars="88" w:right="0" w:rightChars="0" w:hanging="453" w:hangingChars="349"/>
              <w:jc w:val="center"/>
              <w:textAlignment w:val="center"/>
              <w:rPr>
                <w:rFonts w:hint="default" w:ascii="仿宋_GB2312" w:hAnsi="宋体" w:eastAsia="仿宋_GB2312" w:cs="宋体"/>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328</w:t>
            </w:r>
          </w:p>
        </w:tc>
        <w:tc>
          <w:tcPr>
            <w:tcW w:w="1550" w:type="dxa"/>
            <w:vMerge w:val="restart"/>
            <w:tcBorders>
              <w:tl2br w:val="nil"/>
              <w:tr2bl w:val="nil"/>
            </w:tcBorders>
            <w:tcMar>
              <w:top w:w="15" w:type="dxa"/>
              <w:left w:w="15" w:type="dxa"/>
              <w:bottom w:w="15" w:type="dxa"/>
              <w:right w:w="15" w:type="dxa"/>
            </w:tcMar>
            <w:vAlign w:val="center"/>
          </w:tcPr>
          <w:p w14:paraId="71BF7BB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kern w:val="0"/>
                <w:sz w:val="13"/>
                <w:szCs w:val="13"/>
                <w:highlight w:val="none"/>
              </w:rPr>
            </w:pPr>
            <w:r>
              <w:rPr>
                <w:rFonts w:hint="eastAsia" w:ascii="仿宋_GB2312" w:hAnsi="宋体" w:eastAsia="仿宋_GB2312" w:cs="宋体"/>
                <w:color w:val="auto"/>
                <w:kern w:val="0"/>
                <w:sz w:val="13"/>
                <w:szCs w:val="13"/>
                <w:highlight w:val="none"/>
              </w:rPr>
              <w:t>在燃气设施保护范围内从事下列活动之一的：（1）进行爆破、取土等作业或者动用明火的；（2）倾倒、排放腐蚀性物质的；（3）放置易燃易爆物品或者种植深根植物的；（4）未与燃气经营者共同制定燃气设施保护方案，采取相应的安全保护措施，从事敷设管道、打桩、顶进、挖掘、钻探等可能影响燃气设施安全活动的</w:t>
            </w:r>
          </w:p>
        </w:tc>
        <w:tc>
          <w:tcPr>
            <w:tcW w:w="4820" w:type="dxa"/>
            <w:vMerge w:val="restart"/>
            <w:tcBorders>
              <w:tl2br w:val="nil"/>
              <w:tr2bl w:val="nil"/>
            </w:tcBorders>
            <w:tcMar>
              <w:top w:w="15" w:type="dxa"/>
              <w:left w:w="15" w:type="dxa"/>
              <w:bottom w:w="15" w:type="dxa"/>
              <w:right w:w="15" w:type="dxa"/>
            </w:tcMar>
            <w:vAlign w:val="center"/>
          </w:tcPr>
          <w:p w14:paraId="7030E9A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hint="eastAsia" w:ascii="仿宋_GB2312" w:hAnsi="宋体" w:eastAsia="仿宋_GB2312" w:cs="宋体"/>
                <w:color w:val="auto"/>
                <w:kern w:val="0"/>
                <w:sz w:val="13"/>
                <w:szCs w:val="13"/>
                <w:highlight w:val="none"/>
                <w:lang w:eastAsia="zh-CN"/>
              </w:rPr>
            </w:pPr>
            <w:bookmarkStart w:id="33" w:name="50"/>
            <w:r>
              <w:rPr>
                <w:rFonts w:hint="eastAsia" w:ascii="仿宋_GB2312" w:hAnsi="宋体" w:eastAsia="仿宋_GB2312" w:cs="宋体"/>
                <w:color w:val="auto"/>
                <w:kern w:val="0"/>
                <w:sz w:val="13"/>
                <w:szCs w:val="13"/>
                <w:highlight w:val="none"/>
              </w:rPr>
              <w:t>《城镇燃气管理条例》</w:t>
            </w:r>
            <w:r>
              <w:rPr>
                <w:rFonts w:hint="eastAsia" w:ascii="仿宋_GB2312" w:hAnsi="宋体" w:eastAsia="仿宋_GB2312" w:cs="宋体"/>
                <w:b/>
                <w:bCs/>
                <w:color w:val="auto"/>
                <w:kern w:val="0"/>
                <w:sz w:val="13"/>
                <w:szCs w:val="13"/>
                <w:highlight w:val="none"/>
              </w:rPr>
              <w:t>第五十条</w:t>
            </w:r>
            <w:bookmarkEnd w:id="33"/>
            <w:r>
              <w:rPr>
                <w:rFonts w:hint="eastAsia" w:ascii="仿宋_GB2312" w:hAnsi="宋体" w:eastAsia="仿宋_GB2312" w:cs="宋体"/>
                <w:b/>
                <w:bCs/>
                <w:color w:val="auto"/>
                <w:kern w:val="0"/>
                <w:sz w:val="13"/>
                <w:szCs w:val="13"/>
                <w:highlight w:val="none"/>
                <w:lang w:eastAsia="zh-CN"/>
              </w:rPr>
              <w:t>：</w:t>
            </w:r>
            <w:r>
              <w:rPr>
                <w:rFonts w:hint="eastAsia" w:ascii="仿宋_GB2312" w:hAnsi="宋体" w:eastAsia="仿宋_GB2312" w:cs="宋体"/>
                <w:color w:val="auto"/>
                <w:kern w:val="0"/>
                <w:sz w:val="13"/>
                <w:szCs w:val="13"/>
                <w:highlight w:val="none"/>
              </w:rPr>
              <w:t>违反本条例规定，在燃气设施保护范围内从事下列活动之一的，由燃气管理部门责令停止违法行为，限期恢复原状或者采取其他补救措施，对单位处5万元以上10万元以下罚款，对个人处5000元以上5万元以下罚款；造成损失的，依法承担赔偿责任；构成犯罪的，依法追究刑事责任：（一）进行爆破、取土等作业或者动用明火的；（二）倾倒、排放腐蚀性物质的；（三）放置易燃易爆物品或者种植深根植物的；（四）未与燃气经营者共同制定燃气设施保护方案，采取相应的安全保护措施，从事敷设管道、打桩、顶进、挖掘、钻探等可能影响燃气设施安全活动的。</w:t>
            </w:r>
          </w:p>
          <w:p w14:paraId="291F924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kern w:val="0"/>
                <w:sz w:val="13"/>
                <w:szCs w:val="13"/>
                <w:highlight w:val="none"/>
              </w:rPr>
            </w:pPr>
            <w:r>
              <w:rPr>
                <w:rFonts w:hint="eastAsia" w:ascii="仿宋_GB2312" w:hAnsi="宋体" w:eastAsia="仿宋_GB2312" w:cs="宋体"/>
                <w:color w:val="auto"/>
                <w:kern w:val="0"/>
                <w:sz w:val="13"/>
                <w:szCs w:val="13"/>
                <w:highlight w:val="none"/>
              </w:rPr>
              <w:t>违反本条例规定，在燃气设施保护范围内建设占压地下燃气管线的建筑物、构筑物或者其他设施的，依照有关城乡规划的法律、行政法规的规定进行处罚。</w:t>
            </w:r>
          </w:p>
        </w:tc>
        <w:tc>
          <w:tcPr>
            <w:tcW w:w="823" w:type="dxa"/>
            <w:tcBorders>
              <w:tl2br w:val="nil"/>
              <w:tr2bl w:val="nil"/>
            </w:tcBorders>
            <w:tcMar>
              <w:top w:w="15" w:type="dxa"/>
              <w:left w:w="15" w:type="dxa"/>
              <w:bottom w:w="15" w:type="dxa"/>
              <w:right w:w="15" w:type="dxa"/>
            </w:tcMar>
            <w:vAlign w:val="center"/>
          </w:tcPr>
          <w:p w14:paraId="417E070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从轻情节</w:t>
            </w:r>
          </w:p>
        </w:tc>
        <w:tc>
          <w:tcPr>
            <w:tcW w:w="3437" w:type="dxa"/>
            <w:gridSpan w:val="2"/>
            <w:tcBorders>
              <w:tl2br w:val="nil"/>
              <w:tr2bl w:val="nil"/>
            </w:tcBorders>
            <w:tcMar>
              <w:top w:w="15" w:type="dxa"/>
              <w:left w:w="15" w:type="dxa"/>
              <w:bottom w:w="15" w:type="dxa"/>
              <w:right w:w="15" w:type="dxa"/>
            </w:tcMar>
            <w:vAlign w:val="center"/>
          </w:tcPr>
          <w:p w14:paraId="28CABEB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初次违法，危害后果轻微，积极采取改正措施消除影响的。</w:t>
            </w:r>
          </w:p>
        </w:tc>
        <w:tc>
          <w:tcPr>
            <w:tcW w:w="3058" w:type="dxa"/>
            <w:tcBorders>
              <w:tl2br w:val="nil"/>
              <w:tr2bl w:val="nil"/>
            </w:tcBorders>
            <w:tcMar>
              <w:top w:w="15" w:type="dxa"/>
              <w:left w:w="15" w:type="dxa"/>
              <w:bottom w:w="15" w:type="dxa"/>
              <w:right w:w="15" w:type="dxa"/>
            </w:tcMar>
            <w:vAlign w:val="center"/>
          </w:tcPr>
          <w:p w14:paraId="32A0FB7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责令停止违法行为，限期恢复原状或者采取其他补救措施，对单位处5万元罚款，对个人处5千元罚款。</w:t>
            </w:r>
          </w:p>
        </w:tc>
      </w:tr>
      <w:tr w14:paraId="373B5E9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654" w:hRule="atLeast"/>
          <w:jc w:val="center"/>
        </w:trPr>
        <w:tc>
          <w:tcPr>
            <w:tcW w:w="428" w:type="dxa"/>
            <w:vMerge w:val="continue"/>
            <w:tcBorders>
              <w:tl2br w:val="nil"/>
              <w:tr2bl w:val="nil"/>
            </w:tcBorders>
            <w:vAlign w:val="center"/>
          </w:tcPr>
          <w:p w14:paraId="62F412A4">
            <w:pPr>
              <w:pStyle w:val="37"/>
              <w:keepNext w:val="0"/>
              <w:keepLines w:val="0"/>
              <w:pageBreakBefore w:val="0"/>
              <w:widowControl/>
              <w:numPr>
                <w:ilvl w:val="0"/>
                <w:numId w:val="12"/>
              </w:numPr>
              <w:kinsoku/>
              <w:overflowPunct/>
              <w:topLinePunct w:val="0"/>
              <w:autoSpaceDE/>
              <w:autoSpaceDN/>
              <w:bidi w:val="0"/>
              <w:adjustRightInd/>
              <w:snapToGrid/>
              <w:spacing w:beforeAutospacing="0" w:afterAutospacing="0" w:line="260" w:lineRule="exact"/>
              <w:ind w:left="638" w:leftChars="88" w:right="0" w:rightChars="0" w:hanging="453" w:hangingChars="349"/>
              <w:jc w:val="center"/>
              <w:rPr>
                <w:rFonts w:ascii="仿宋_GB2312" w:hAnsi="宋体" w:eastAsia="仿宋_GB2312" w:cs="宋体"/>
                <w:color w:val="auto"/>
                <w:sz w:val="13"/>
                <w:szCs w:val="13"/>
                <w:highlight w:val="none"/>
              </w:rPr>
            </w:pPr>
          </w:p>
        </w:tc>
        <w:tc>
          <w:tcPr>
            <w:tcW w:w="1550" w:type="dxa"/>
            <w:vMerge w:val="continue"/>
            <w:tcBorders>
              <w:tl2br w:val="nil"/>
              <w:tr2bl w:val="nil"/>
            </w:tcBorders>
            <w:vAlign w:val="center"/>
          </w:tcPr>
          <w:p w14:paraId="5AA1A37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sz w:val="13"/>
                <w:szCs w:val="13"/>
                <w:highlight w:val="none"/>
              </w:rPr>
            </w:pPr>
          </w:p>
        </w:tc>
        <w:tc>
          <w:tcPr>
            <w:tcW w:w="4820" w:type="dxa"/>
            <w:vMerge w:val="continue"/>
            <w:tcBorders>
              <w:tl2br w:val="nil"/>
              <w:tr2bl w:val="nil"/>
            </w:tcBorders>
            <w:vAlign w:val="center"/>
          </w:tcPr>
          <w:p w14:paraId="33F3CF0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kern w:val="0"/>
                <w:sz w:val="13"/>
                <w:szCs w:val="13"/>
                <w:highlight w:val="none"/>
              </w:rPr>
            </w:pPr>
          </w:p>
        </w:tc>
        <w:tc>
          <w:tcPr>
            <w:tcW w:w="823" w:type="dxa"/>
            <w:tcBorders>
              <w:tl2br w:val="nil"/>
              <w:tr2bl w:val="nil"/>
            </w:tcBorders>
            <w:tcMar>
              <w:top w:w="15" w:type="dxa"/>
              <w:left w:w="15" w:type="dxa"/>
              <w:bottom w:w="15" w:type="dxa"/>
              <w:right w:w="15" w:type="dxa"/>
            </w:tcMar>
            <w:vAlign w:val="center"/>
          </w:tcPr>
          <w:p w14:paraId="368C205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一般情节</w:t>
            </w:r>
          </w:p>
        </w:tc>
        <w:tc>
          <w:tcPr>
            <w:tcW w:w="3437" w:type="dxa"/>
            <w:gridSpan w:val="2"/>
            <w:tcBorders>
              <w:tl2br w:val="nil"/>
              <w:tr2bl w:val="nil"/>
            </w:tcBorders>
            <w:tcMar>
              <w:top w:w="15" w:type="dxa"/>
              <w:left w:w="15" w:type="dxa"/>
              <w:bottom w:w="15" w:type="dxa"/>
              <w:right w:w="15" w:type="dxa"/>
            </w:tcMar>
            <w:vAlign w:val="center"/>
          </w:tcPr>
          <w:p w14:paraId="7A0F12A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不具有从轻、</w:t>
            </w:r>
            <w:r>
              <w:rPr>
                <w:rFonts w:hint="eastAsia" w:ascii="仿宋_GB2312" w:hAnsi="宋体" w:eastAsia="仿宋_GB2312" w:cs="宋体"/>
                <w:color w:val="auto"/>
                <w:kern w:val="0"/>
                <w:sz w:val="13"/>
                <w:szCs w:val="13"/>
                <w:highlight w:val="none"/>
                <w:lang w:eastAsia="zh-CN"/>
              </w:rPr>
              <w:t>从重情节</w:t>
            </w:r>
            <w:r>
              <w:rPr>
                <w:rFonts w:hint="eastAsia" w:ascii="仿宋_GB2312" w:hAnsi="宋体" w:eastAsia="仿宋_GB2312" w:cs="宋体"/>
                <w:color w:val="auto"/>
                <w:kern w:val="0"/>
                <w:sz w:val="13"/>
                <w:szCs w:val="13"/>
                <w:highlight w:val="none"/>
              </w:rPr>
              <w:t>的。</w:t>
            </w:r>
          </w:p>
        </w:tc>
        <w:tc>
          <w:tcPr>
            <w:tcW w:w="3058" w:type="dxa"/>
            <w:tcBorders>
              <w:tl2br w:val="nil"/>
              <w:tr2bl w:val="nil"/>
            </w:tcBorders>
            <w:tcMar>
              <w:top w:w="15" w:type="dxa"/>
              <w:left w:w="15" w:type="dxa"/>
              <w:bottom w:w="15" w:type="dxa"/>
              <w:right w:w="15" w:type="dxa"/>
            </w:tcMar>
            <w:vAlign w:val="center"/>
          </w:tcPr>
          <w:p w14:paraId="427D8B5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责令停止违法行为，限期恢复原状或者采取其他补救措施，对单位处5万元以上8万元以下罚款，对个人处5千元以上3万元以下罚款。</w:t>
            </w:r>
          </w:p>
        </w:tc>
      </w:tr>
      <w:tr w14:paraId="328E8CC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325" w:hRule="atLeast"/>
          <w:jc w:val="center"/>
        </w:trPr>
        <w:tc>
          <w:tcPr>
            <w:tcW w:w="428" w:type="dxa"/>
            <w:vMerge w:val="continue"/>
            <w:tcBorders>
              <w:tl2br w:val="nil"/>
              <w:tr2bl w:val="nil"/>
            </w:tcBorders>
            <w:vAlign w:val="center"/>
          </w:tcPr>
          <w:p w14:paraId="1DFF0734">
            <w:pPr>
              <w:pStyle w:val="37"/>
              <w:keepNext w:val="0"/>
              <w:keepLines w:val="0"/>
              <w:pageBreakBefore w:val="0"/>
              <w:widowControl/>
              <w:numPr>
                <w:ilvl w:val="0"/>
                <w:numId w:val="12"/>
              </w:numPr>
              <w:kinsoku/>
              <w:overflowPunct/>
              <w:topLinePunct w:val="0"/>
              <w:autoSpaceDE/>
              <w:autoSpaceDN/>
              <w:bidi w:val="0"/>
              <w:adjustRightInd/>
              <w:snapToGrid/>
              <w:spacing w:beforeAutospacing="0" w:afterAutospacing="0" w:line="260" w:lineRule="exact"/>
              <w:ind w:left="638" w:leftChars="88" w:right="0" w:rightChars="0" w:hanging="453" w:hangingChars="349"/>
              <w:jc w:val="center"/>
              <w:rPr>
                <w:rFonts w:ascii="仿宋_GB2312" w:hAnsi="宋体" w:eastAsia="仿宋_GB2312" w:cs="宋体"/>
                <w:color w:val="auto"/>
                <w:sz w:val="13"/>
                <w:szCs w:val="13"/>
                <w:highlight w:val="none"/>
              </w:rPr>
            </w:pPr>
          </w:p>
        </w:tc>
        <w:tc>
          <w:tcPr>
            <w:tcW w:w="1550" w:type="dxa"/>
            <w:vMerge w:val="continue"/>
            <w:tcBorders>
              <w:tl2br w:val="nil"/>
              <w:tr2bl w:val="nil"/>
            </w:tcBorders>
            <w:vAlign w:val="center"/>
          </w:tcPr>
          <w:p w14:paraId="2B21110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sz w:val="13"/>
                <w:szCs w:val="13"/>
                <w:highlight w:val="none"/>
              </w:rPr>
            </w:pPr>
          </w:p>
        </w:tc>
        <w:tc>
          <w:tcPr>
            <w:tcW w:w="4820" w:type="dxa"/>
            <w:vMerge w:val="continue"/>
            <w:tcBorders>
              <w:tl2br w:val="nil"/>
              <w:tr2bl w:val="nil"/>
            </w:tcBorders>
            <w:vAlign w:val="center"/>
          </w:tcPr>
          <w:p w14:paraId="611C445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kern w:val="0"/>
                <w:sz w:val="13"/>
                <w:szCs w:val="13"/>
                <w:highlight w:val="none"/>
              </w:rPr>
            </w:pPr>
          </w:p>
        </w:tc>
        <w:tc>
          <w:tcPr>
            <w:tcW w:w="823" w:type="dxa"/>
            <w:tcBorders>
              <w:tl2br w:val="nil"/>
              <w:tr2bl w:val="nil"/>
            </w:tcBorders>
            <w:tcMar>
              <w:top w:w="15" w:type="dxa"/>
              <w:left w:w="15" w:type="dxa"/>
              <w:bottom w:w="15" w:type="dxa"/>
              <w:right w:w="15" w:type="dxa"/>
            </w:tcMar>
            <w:vAlign w:val="center"/>
          </w:tcPr>
          <w:p w14:paraId="4A7A522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从重情节</w:t>
            </w:r>
          </w:p>
        </w:tc>
        <w:tc>
          <w:tcPr>
            <w:tcW w:w="3437" w:type="dxa"/>
            <w:gridSpan w:val="2"/>
            <w:tcBorders>
              <w:tl2br w:val="nil"/>
              <w:tr2bl w:val="nil"/>
            </w:tcBorders>
            <w:tcMar>
              <w:top w:w="15" w:type="dxa"/>
              <w:left w:w="15" w:type="dxa"/>
              <w:bottom w:w="15" w:type="dxa"/>
              <w:right w:w="15" w:type="dxa"/>
            </w:tcMar>
            <w:vAlign w:val="center"/>
          </w:tcPr>
          <w:p w14:paraId="3891A1E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经责令停止违法行为后，继续实施该违法行为的</w:t>
            </w:r>
            <w:r>
              <w:rPr>
                <w:rFonts w:hint="eastAsia" w:ascii="仿宋_GB2312" w:hAnsi="宋体" w:eastAsia="仿宋_GB2312" w:cs="宋体"/>
                <w:color w:val="auto"/>
                <w:kern w:val="0"/>
                <w:sz w:val="13"/>
                <w:szCs w:val="13"/>
                <w:highlight w:val="none"/>
                <w:lang w:eastAsia="zh-CN"/>
              </w:rPr>
              <w:t>，</w:t>
            </w:r>
            <w:r>
              <w:rPr>
                <w:rFonts w:hint="eastAsia" w:ascii="仿宋_GB2312" w:hAnsi="宋体" w:eastAsia="仿宋_GB2312" w:cs="宋体"/>
                <w:color w:val="auto"/>
                <w:kern w:val="0"/>
                <w:sz w:val="13"/>
                <w:szCs w:val="13"/>
                <w:highlight w:val="none"/>
                <w:lang w:val="en-US" w:eastAsia="zh-CN"/>
              </w:rPr>
              <w:t>或</w:t>
            </w:r>
            <w:r>
              <w:rPr>
                <w:rFonts w:hint="eastAsia" w:ascii="仿宋_GB2312" w:hAnsi="宋体" w:eastAsia="仿宋_GB2312" w:cs="宋体"/>
                <w:color w:val="auto"/>
                <w:kern w:val="0"/>
                <w:sz w:val="13"/>
                <w:szCs w:val="13"/>
                <w:highlight w:val="none"/>
              </w:rPr>
              <w:t>曾因实施该违法行为被查处，再次实施该违法行为的</w:t>
            </w:r>
            <w:r>
              <w:rPr>
                <w:rFonts w:hint="eastAsia" w:ascii="仿宋_GB2312" w:hAnsi="宋体" w:eastAsia="仿宋_GB2312" w:cs="宋体"/>
                <w:color w:val="auto"/>
                <w:kern w:val="0"/>
                <w:sz w:val="13"/>
                <w:szCs w:val="13"/>
                <w:highlight w:val="none"/>
                <w:lang w:eastAsia="zh-CN"/>
              </w:rPr>
              <w:t>，</w:t>
            </w:r>
            <w:r>
              <w:rPr>
                <w:rFonts w:hint="eastAsia" w:ascii="仿宋_GB2312" w:hAnsi="宋体" w:eastAsia="仿宋_GB2312" w:cs="宋体"/>
                <w:color w:val="auto"/>
                <w:kern w:val="0"/>
                <w:sz w:val="13"/>
                <w:szCs w:val="13"/>
                <w:highlight w:val="none"/>
                <w:lang w:val="en-US" w:eastAsia="zh-CN"/>
              </w:rPr>
              <w:t>或</w:t>
            </w:r>
            <w:r>
              <w:rPr>
                <w:rFonts w:hint="eastAsia" w:ascii="仿宋_GB2312" w:hAnsi="宋体" w:eastAsia="仿宋_GB2312" w:cs="宋体"/>
                <w:color w:val="auto"/>
                <w:kern w:val="0"/>
                <w:sz w:val="13"/>
                <w:szCs w:val="13"/>
                <w:highlight w:val="none"/>
              </w:rPr>
              <w:t>造成严重危害后果的。</w:t>
            </w:r>
          </w:p>
        </w:tc>
        <w:tc>
          <w:tcPr>
            <w:tcW w:w="3058" w:type="dxa"/>
            <w:tcBorders>
              <w:tl2br w:val="nil"/>
              <w:tr2bl w:val="nil"/>
            </w:tcBorders>
            <w:tcMar>
              <w:top w:w="15" w:type="dxa"/>
              <w:left w:w="15" w:type="dxa"/>
              <w:bottom w:w="15" w:type="dxa"/>
              <w:right w:w="15" w:type="dxa"/>
            </w:tcMar>
            <w:vAlign w:val="center"/>
          </w:tcPr>
          <w:p w14:paraId="5D2C6A5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责令停止违法行为，限期恢复原状或者采取其他补救措施，对单位处8万元以上10万元以下罚款，对个人处3万元以上5万元以下罚款。</w:t>
            </w:r>
          </w:p>
        </w:tc>
      </w:tr>
      <w:tr w14:paraId="58B607F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169" w:hRule="atLeast"/>
          <w:jc w:val="center"/>
        </w:trPr>
        <w:tc>
          <w:tcPr>
            <w:tcW w:w="428" w:type="dxa"/>
            <w:vMerge w:val="restart"/>
            <w:tcBorders>
              <w:tl2br w:val="nil"/>
              <w:tr2bl w:val="nil"/>
            </w:tcBorders>
            <w:tcMar>
              <w:top w:w="15" w:type="dxa"/>
              <w:left w:w="15" w:type="dxa"/>
              <w:bottom w:w="15" w:type="dxa"/>
              <w:right w:w="15" w:type="dxa"/>
            </w:tcMar>
            <w:vAlign w:val="center"/>
          </w:tcPr>
          <w:p w14:paraId="282979E9">
            <w:pPr>
              <w:keepNext w:val="0"/>
              <w:keepLines w:val="0"/>
              <w:pageBreakBefore w:val="0"/>
              <w:widowControl/>
              <w:numPr>
                <w:ilvl w:val="0"/>
                <w:numId w:val="11"/>
              </w:numPr>
              <w:suppressLineNumbers w:val="0"/>
              <w:tabs>
                <w:tab w:val="clear" w:pos="397"/>
              </w:tabs>
              <w:kinsoku/>
              <w:overflowPunct/>
              <w:topLinePunct w:val="0"/>
              <w:autoSpaceDE/>
              <w:autoSpaceDN/>
              <w:bidi w:val="0"/>
              <w:adjustRightInd/>
              <w:snapToGrid/>
              <w:spacing w:beforeAutospacing="0" w:afterAutospacing="0" w:line="260" w:lineRule="exact"/>
              <w:ind w:left="638" w:leftChars="88" w:right="0" w:rightChars="0" w:hanging="453" w:hangingChars="349"/>
              <w:jc w:val="center"/>
              <w:textAlignment w:val="center"/>
              <w:rPr>
                <w:rFonts w:hint="default" w:ascii="仿宋_GB2312" w:hAnsi="宋体" w:eastAsia="仿宋_GB2312" w:cs="宋体"/>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329</w:t>
            </w:r>
          </w:p>
        </w:tc>
        <w:tc>
          <w:tcPr>
            <w:tcW w:w="1550" w:type="dxa"/>
            <w:vMerge w:val="restart"/>
            <w:tcBorders>
              <w:tl2br w:val="nil"/>
              <w:tr2bl w:val="nil"/>
            </w:tcBorders>
            <w:tcMar>
              <w:top w:w="15" w:type="dxa"/>
              <w:left w:w="15" w:type="dxa"/>
              <w:bottom w:w="15" w:type="dxa"/>
              <w:right w:w="15" w:type="dxa"/>
            </w:tcMar>
            <w:vAlign w:val="center"/>
          </w:tcPr>
          <w:p w14:paraId="280D5C6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kern w:val="0"/>
                <w:sz w:val="13"/>
                <w:szCs w:val="13"/>
                <w:highlight w:val="none"/>
              </w:rPr>
            </w:pPr>
            <w:r>
              <w:rPr>
                <w:rFonts w:hint="eastAsia" w:ascii="仿宋_GB2312" w:hAnsi="宋体" w:eastAsia="仿宋_GB2312" w:cs="宋体"/>
                <w:color w:val="auto"/>
                <w:kern w:val="0"/>
                <w:sz w:val="13"/>
                <w:szCs w:val="13"/>
                <w:highlight w:val="none"/>
              </w:rPr>
              <w:t>侵占、毁损、擅自拆除、移动燃气设施或者擅自改动市政燃气设施</w:t>
            </w:r>
          </w:p>
        </w:tc>
        <w:tc>
          <w:tcPr>
            <w:tcW w:w="4820" w:type="dxa"/>
            <w:vMerge w:val="restart"/>
            <w:tcBorders>
              <w:tl2br w:val="nil"/>
              <w:tr2bl w:val="nil"/>
            </w:tcBorders>
            <w:tcMar>
              <w:top w:w="15" w:type="dxa"/>
              <w:left w:w="15" w:type="dxa"/>
              <w:bottom w:w="15" w:type="dxa"/>
              <w:right w:w="15" w:type="dxa"/>
            </w:tcMar>
            <w:vAlign w:val="center"/>
          </w:tcPr>
          <w:p w14:paraId="3DC642C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kern w:val="0"/>
                <w:sz w:val="13"/>
                <w:szCs w:val="13"/>
                <w:highlight w:val="none"/>
              </w:rPr>
            </w:pPr>
            <w:bookmarkStart w:id="34" w:name="51"/>
            <w:r>
              <w:rPr>
                <w:rFonts w:hint="eastAsia" w:ascii="仿宋_GB2312" w:hAnsi="宋体" w:eastAsia="仿宋_GB2312" w:cs="宋体"/>
                <w:color w:val="auto"/>
                <w:kern w:val="0"/>
                <w:sz w:val="13"/>
                <w:szCs w:val="13"/>
                <w:highlight w:val="none"/>
              </w:rPr>
              <w:t>《城镇燃气管理条例》</w:t>
            </w:r>
            <w:r>
              <w:rPr>
                <w:rFonts w:hint="eastAsia" w:ascii="仿宋_GB2312" w:hAnsi="宋体" w:eastAsia="仿宋_GB2312" w:cs="宋体"/>
                <w:b/>
                <w:bCs/>
                <w:color w:val="auto"/>
                <w:kern w:val="0"/>
                <w:sz w:val="13"/>
                <w:szCs w:val="13"/>
                <w:highlight w:val="none"/>
              </w:rPr>
              <w:t>第五十一条第一款</w:t>
            </w:r>
            <w:bookmarkEnd w:id="34"/>
            <w:r>
              <w:rPr>
                <w:rFonts w:hint="eastAsia" w:ascii="仿宋_GB2312" w:hAnsi="宋体" w:eastAsia="仿宋_GB2312" w:cs="宋体"/>
                <w:b/>
                <w:bCs/>
                <w:color w:val="auto"/>
                <w:kern w:val="0"/>
                <w:sz w:val="13"/>
                <w:szCs w:val="13"/>
                <w:highlight w:val="none"/>
                <w:lang w:eastAsia="zh-CN"/>
              </w:rPr>
              <w:t>：</w:t>
            </w:r>
            <w:r>
              <w:rPr>
                <w:rFonts w:hint="eastAsia" w:ascii="仿宋_GB2312" w:hAnsi="宋体" w:eastAsia="仿宋_GB2312" w:cs="宋体"/>
                <w:color w:val="auto"/>
                <w:kern w:val="0"/>
                <w:sz w:val="13"/>
                <w:szCs w:val="13"/>
                <w:highlight w:val="none"/>
              </w:rPr>
              <w:t>违反本条例规定，侵占、毁损、擅自拆除、移动燃气设施或者擅自改动市政燃气设施的，由燃气管理部门责令限期改正，恢复原状或者采取其他补救措施，对单位处5万元以上10万元以下罚款，对个人处5000元以上5万元以下罚款；造成损失的，依法承担赔偿责任；构成犯罪的，依法追究刑事责任。</w:t>
            </w:r>
          </w:p>
        </w:tc>
        <w:tc>
          <w:tcPr>
            <w:tcW w:w="823" w:type="dxa"/>
            <w:tcBorders>
              <w:tl2br w:val="nil"/>
              <w:tr2bl w:val="nil"/>
            </w:tcBorders>
            <w:tcMar>
              <w:top w:w="15" w:type="dxa"/>
              <w:left w:w="15" w:type="dxa"/>
              <w:bottom w:w="15" w:type="dxa"/>
              <w:right w:w="15" w:type="dxa"/>
            </w:tcMar>
            <w:vAlign w:val="center"/>
          </w:tcPr>
          <w:p w14:paraId="750A7CB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从轻情节</w:t>
            </w:r>
          </w:p>
        </w:tc>
        <w:tc>
          <w:tcPr>
            <w:tcW w:w="3437" w:type="dxa"/>
            <w:gridSpan w:val="2"/>
            <w:tcBorders>
              <w:tl2br w:val="nil"/>
              <w:tr2bl w:val="nil"/>
            </w:tcBorders>
            <w:tcMar>
              <w:top w:w="15" w:type="dxa"/>
              <w:left w:w="15" w:type="dxa"/>
              <w:bottom w:w="15" w:type="dxa"/>
              <w:right w:w="15" w:type="dxa"/>
            </w:tcMar>
            <w:vAlign w:val="center"/>
          </w:tcPr>
          <w:p w14:paraId="53E1416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初次违法，危害后果轻微，积极采取改正措施消除影响的。</w:t>
            </w:r>
          </w:p>
        </w:tc>
        <w:tc>
          <w:tcPr>
            <w:tcW w:w="3058" w:type="dxa"/>
            <w:tcBorders>
              <w:tl2br w:val="nil"/>
              <w:tr2bl w:val="nil"/>
            </w:tcBorders>
            <w:tcMar>
              <w:top w:w="15" w:type="dxa"/>
              <w:left w:w="15" w:type="dxa"/>
              <w:bottom w:w="15" w:type="dxa"/>
              <w:right w:w="15" w:type="dxa"/>
            </w:tcMar>
            <w:vAlign w:val="center"/>
          </w:tcPr>
          <w:p w14:paraId="036B445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责令限期改正，恢复原状或者采取其他补救措施，对单位处5万元罚款，对个人处5千元罚款。</w:t>
            </w:r>
          </w:p>
        </w:tc>
      </w:tr>
      <w:tr w14:paraId="6FCD2B5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247" w:hRule="atLeast"/>
          <w:jc w:val="center"/>
        </w:trPr>
        <w:tc>
          <w:tcPr>
            <w:tcW w:w="428" w:type="dxa"/>
            <w:vMerge w:val="continue"/>
            <w:tcBorders>
              <w:tl2br w:val="nil"/>
              <w:tr2bl w:val="nil"/>
            </w:tcBorders>
            <w:vAlign w:val="center"/>
          </w:tcPr>
          <w:p w14:paraId="188F433C">
            <w:pPr>
              <w:pStyle w:val="37"/>
              <w:keepNext w:val="0"/>
              <w:keepLines w:val="0"/>
              <w:pageBreakBefore w:val="0"/>
              <w:widowControl/>
              <w:numPr>
                <w:ilvl w:val="0"/>
                <w:numId w:val="12"/>
              </w:numPr>
              <w:kinsoku/>
              <w:overflowPunct/>
              <w:topLinePunct w:val="0"/>
              <w:autoSpaceDE/>
              <w:autoSpaceDN/>
              <w:bidi w:val="0"/>
              <w:adjustRightInd/>
              <w:snapToGrid/>
              <w:spacing w:beforeAutospacing="0" w:afterAutospacing="0" w:line="260" w:lineRule="exact"/>
              <w:ind w:left="638" w:leftChars="88" w:right="0" w:rightChars="0" w:hanging="453" w:hangingChars="349"/>
              <w:jc w:val="center"/>
              <w:rPr>
                <w:rFonts w:ascii="仿宋_GB2312" w:hAnsi="宋体" w:eastAsia="仿宋_GB2312" w:cs="宋体"/>
                <w:color w:val="auto"/>
                <w:sz w:val="13"/>
                <w:szCs w:val="13"/>
                <w:highlight w:val="none"/>
              </w:rPr>
            </w:pPr>
          </w:p>
        </w:tc>
        <w:tc>
          <w:tcPr>
            <w:tcW w:w="1550" w:type="dxa"/>
            <w:vMerge w:val="continue"/>
            <w:tcBorders>
              <w:tl2br w:val="nil"/>
              <w:tr2bl w:val="nil"/>
            </w:tcBorders>
            <w:vAlign w:val="center"/>
          </w:tcPr>
          <w:p w14:paraId="19ABA7C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sz w:val="13"/>
                <w:szCs w:val="13"/>
                <w:highlight w:val="none"/>
              </w:rPr>
            </w:pPr>
          </w:p>
        </w:tc>
        <w:tc>
          <w:tcPr>
            <w:tcW w:w="4820" w:type="dxa"/>
            <w:vMerge w:val="continue"/>
            <w:tcBorders>
              <w:tl2br w:val="nil"/>
              <w:tr2bl w:val="nil"/>
            </w:tcBorders>
            <w:vAlign w:val="center"/>
          </w:tcPr>
          <w:p w14:paraId="21048A9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1FEDACC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一般情节</w:t>
            </w:r>
          </w:p>
        </w:tc>
        <w:tc>
          <w:tcPr>
            <w:tcW w:w="3437" w:type="dxa"/>
            <w:gridSpan w:val="2"/>
            <w:tcBorders>
              <w:tl2br w:val="nil"/>
              <w:tr2bl w:val="nil"/>
            </w:tcBorders>
            <w:tcMar>
              <w:top w:w="15" w:type="dxa"/>
              <w:left w:w="15" w:type="dxa"/>
              <w:bottom w:w="15" w:type="dxa"/>
              <w:right w:w="15" w:type="dxa"/>
            </w:tcMar>
            <w:vAlign w:val="center"/>
          </w:tcPr>
          <w:p w14:paraId="7BE59DF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不具有从轻、</w:t>
            </w:r>
            <w:r>
              <w:rPr>
                <w:rFonts w:hint="eastAsia" w:ascii="仿宋_GB2312" w:hAnsi="宋体" w:eastAsia="仿宋_GB2312" w:cs="宋体"/>
                <w:color w:val="auto"/>
                <w:kern w:val="0"/>
                <w:sz w:val="13"/>
                <w:szCs w:val="13"/>
                <w:highlight w:val="none"/>
                <w:lang w:eastAsia="zh-CN"/>
              </w:rPr>
              <w:t>从重情节</w:t>
            </w:r>
            <w:r>
              <w:rPr>
                <w:rFonts w:hint="eastAsia" w:ascii="仿宋_GB2312" w:hAnsi="宋体" w:eastAsia="仿宋_GB2312" w:cs="宋体"/>
                <w:color w:val="auto"/>
                <w:kern w:val="0"/>
                <w:sz w:val="13"/>
                <w:szCs w:val="13"/>
                <w:highlight w:val="none"/>
              </w:rPr>
              <w:t>的。</w:t>
            </w:r>
          </w:p>
        </w:tc>
        <w:tc>
          <w:tcPr>
            <w:tcW w:w="3058" w:type="dxa"/>
            <w:tcBorders>
              <w:tl2br w:val="nil"/>
              <w:tr2bl w:val="nil"/>
            </w:tcBorders>
            <w:tcMar>
              <w:top w:w="15" w:type="dxa"/>
              <w:left w:w="15" w:type="dxa"/>
              <w:bottom w:w="15" w:type="dxa"/>
              <w:right w:w="15" w:type="dxa"/>
            </w:tcMar>
            <w:vAlign w:val="center"/>
          </w:tcPr>
          <w:p w14:paraId="19865CD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责令限期改正，恢复原状或者采取其他补救措施，对单位处5万元以上8万元以下罚款，对个人处5千元以上3万元以下罚款。</w:t>
            </w:r>
          </w:p>
        </w:tc>
      </w:tr>
      <w:tr w14:paraId="26EA650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325" w:hRule="atLeast"/>
          <w:jc w:val="center"/>
        </w:trPr>
        <w:tc>
          <w:tcPr>
            <w:tcW w:w="428" w:type="dxa"/>
            <w:vMerge w:val="continue"/>
            <w:tcBorders>
              <w:tl2br w:val="nil"/>
              <w:tr2bl w:val="nil"/>
            </w:tcBorders>
            <w:vAlign w:val="center"/>
          </w:tcPr>
          <w:p w14:paraId="0E4789A2">
            <w:pPr>
              <w:pStyle w:val="37"/>
              <w:keepNext w:val="0"/>
              <w:keepLines w:val="0"/>
              <w:pageBreakBefore w:val="0"/>
              <w:widowControl/>
              <w:numPr>
                <w:ilvl w:val="0"/>
                <w:numId w:val="12"/>
              </w:numPr>
              <w:kinsoku/>
              <w:overflowPunct/>
              <w:topLinePunct w:val="0"/>
              <w:autoSpaceDE/>
              <w:autoSpaceDN/>
              <w:bidi w:val="0"/>
              <w:adjustRightInd/>
              <w:snapToGrid/>
              <w:spacing w:beforeAutospacing="0" w:afterAutospacing="0" w:line="260" w:lineRule="exact"/>
              <w:ind w:left="638" w:leftChars="88" w:right="0" w:rightChars="0" w:hanging="453" w:hangingChars="349"/>
              <w:jc w:val="center"/>
              <w:rPr>
                <w:rFonts w:ascii="仿宋_GB2312" w:hAnsi="宋体" w:eastAsia="仿宋_GB2312" w:cs="宋体"/>
                <w:color w:val="auto"/>
                <w:sz w:val="13"/>
                <w:szCs w:val="13"/>
                <w:highlight w:val="none"/>
              </w:rPr>
            </w:pPr>
          </w:p>
        </w:tc>
        <w:tc>
          <w:tcPr>
            <w:tcW w:w="1550" w:type="dxa"/>
            <w:vMerge w:val="continue"/>
            <w:tcBorders>
              <w:tl2br w:val="nil"/>
              <w:tr2bl w:val="nil"/>
            </w:tcBorders>
            <w:vAlign w:val="center"/>
          </w:tcPr>
          <w:p w14:paraId="75B64C0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sz w:val="13"/>
                <w:szCs w:val="13"/>
                <w:highlight w:val="none"/>
              </w:rPr>
            </w:pPr>
          </w:p>
        </w:tc>
        <w:tc>
          <w:tcPr>
            <w:tcW w:w="4820" w:type="dxa"/>
            <w:vMerge w:val="continue"/>
            <w:tcBorders>
              <w:tl2br w:val="nil"/>
              <w:tr2bl w:val="nil"/>
            </w:tcBorders>
            <w:vAlign w:val="center"/>
          </w:tcPr>
          <w:p w14:paraId="3EC4624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7E2DDF2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从重情节</w:t>
            </w:r>
          </w:p>
        </w:tc>
        <w:tc>
          <w:tcPr>
            <w:tcW w:w="3437" w:type="dxa"/>
            <w:gridSpan w:val="2"/>
            <w:tcBorders>
              <w:tl2br w:val="nil"/>
              <w:tr2bl w:val="nil"/>
            </w:tcBorders>
            <w:tcMar>
              <w:top w:w="15" w:type="dxa"/>
              <w:left w:w="15" w:type="dxa"/>
              <w:bottom w:w="15" w:type="dxa"/>
              <w:right w:w="15" w:type="dxa"/>
            </w:tcMar>
            <w:vAlign w:val="center"/>
          </w:tcPr>
          <w:p w14:paraId="5C8F873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经责令停止违法行为后，继续实施违法行为的</w:t>
            </w:r>
            <w:r>
              <w:rPr>
                <w:rFonts w:hint="eastAsia" w:ascii="仿宋_GB2312" w:hAnsi="宋体" w:eastAsia="仿宋_GB2312" w:cs="宋体"/>
                <w:color w:val="auto"/>
                <w:kern w:val="0"/>
                <w:sz w:val="13"/>
                <w:szCs w:val="13"/>
                <w:highlight w:val="none"/>
                <w:lang w:eastAsia="zh-CN"/>
              </w:rPr>
              <w:t>，</w:t>
            </w:r>
            <w:r>
              <w:rPr>
                <w:rFonts w:hint="eastAsia" w:ascii="仿宋_GB2312" w:hAnsi="宋体" w:eastAsia="仿宋_GB2312" w:cs="宋体"/>
                <w:color w:val="auto"/>
                <w:kern w:val="0"/>
                <w:sz w:val="13"/>
                <w:szCs w:val="13"/>
                <w:highlight w:val="none"/>
                <w:lang w:val="en-US" w:eastAsia="zh-CN"/>
              </w:rPr>
              <w:t>或</w:t>
            </w:r>
            <w:r>
              <w:rPr>
                <w:rFonts w:hint="eastAsia" w:ascii="仿宋_GB2312" w:hAnsi="宋体" w:eastAsia="仿宋_GB2312" w:cs="宋体"/>
                <w:color w:val="auto"/>
                <w:kern w:val="0"/>
                <w:sz w:val="13"/>
                <w:szCs w:val="13"/>
                <w:highlight w:val="none"/>
              </w:rPr>
              <w:t>曾因实施该违法行为被查处，再次实施该违法行为的</w:t>
            </w:r>
            <w:r>
              <w:rPr>
                <w:rFonts w:hint="eastAsia" w:ascii="仿宋_GB2312" w:hAnsi="宋体" w:eastAsia="仿宋_GB2312" w:cs="宋体"/>
                <w:color w:val="auto"/>
                <w:kern w:val="0"/>
                <w:sz w:val="13"/>
                <w:szCs w:val="13"/>
                <w:highlight w:val="none"/>
                <w:lang w:eastAsia="zh-CN"/>
              </w:rPr>
              <w:t>，</w:t>
            </w:r>
            <w:r>
              <w:rPr>
                <w:rFonts w:hint="eastAsia" w:ascii="仿宋_GB2312" w:hAnsi="宋体" w:eastAsia="仿宋_GB2312" w:cs="宋体"/>
                <w:color w:val="auto"/>
                <w:kern w:val="0"/>
                <w:sz w:val="13"/>
                <w:szCs w:val="13"/>
                <w:highlight w:val="none"/>
                <w:lang w:val="en-US" w:eastAsia="zh-CN"/>
              </w:rPr>
              <w:t>或</w:t>
            </w:r>
            <w:r>
              <w:rPr>
                <w:rFonts w:hint="eastAsia" w:ascii="仿宋_GB2312" w:hAnsi="宋体" w:eastAsia="仿宋_GB2312" w:cs="宋体"/>
                <w:color w:val="auto"/>
                <w:kern w:val="0"/>
                <w:sz w:val="13"/>
                <w:szCs w:val="13"/>
                <w:highlight w:val="none"/>
              </w:rPr>
              <w:t>造成安全事故的</w:t>
            </w:r>
            <w:r>
              <w:rPr>
                <w:rFonts w:hint="eastAsia" w:ascii="仿宋_GB2312" w:hAnsi="宋体" w:eastAsia="仿宋_GB2312" w:cs="宋体"/>
                <w:color w:val="auto"/>
                <w:kern w:val="0"/>
                <w:sz w:val="13"/>
                <w:szCs w:val="13"/>
                <w:highlight w:val="none"/>
                <w:lang w:eastAsia="zh-CN"/>
              </w:rPr>
              <w:t>，</w:t>
            </w:r>
            <w:r>
              <w:rPr>
                <w:rFonts w:hint="eastAsia" w:ascii="仿宋_GB2312" w:hAnsi="宋体" w:eastAsia="仿宋_GB2312" w:cs="宋体"/>
                <w:color w:val="auto"/>
                <w:kern w:val="0"/>
                <w:sz w:val="13"/>
                <w:szCs w:val="13"/>
                <w:highlight w:val="none"/>
                <w:lang w:val="en-US" w:eastAsia="zh-CN"/>
              </w:rPr>
              <w:t>或</w:t>
            </w:r>
            <w:r>
              <w:rPr>
                <w:rFonts w:hint="eastAsia" w:ascii="仿宋_GB2312" w:hAnsi="宋体" w:eastAsia="仿宋_GB2312" w:cs="宋体"/>
                <w:color w:val="auto"/>
                <w:kern w:val="0"/>
                <w:sz w:val="13"/>
                <w:szCs w:val="13"/>
                <w:highlight w:val="none"/>
              </w:rPr>
              <w:t>造成严重危害后果的。</w:t>
            </w:r>
          </w:p>
        </w:tc>
        <w:tc>
          <w:tcPr>
            <w:tcW w:w="3058" w:type="dxa"/>
            <w:tcBorders>
              <w:tl2br w:val="nil"/>
              <w:tr2bl w:val="nil"/>
            </w:tcBorders>
            <w:tcMar>
              <w:top w:w="15" w:type="dxa"/>
              <w:left w:w="15" w:type="dxa"/>
              <w:bottom w:w="15" w:type="dxa"/>
              <w:right w:w="15" w:type="dxa"/>
            </w:tcMar>
            <w:vAlign w:val="center"/>
          </w:tcPr>
          <w:p w14:paraId="5AF38EA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责令限期改正，恢复原状或者采取其他补救措施，对单位处8万元以上10万元以下罚款，对个人处3万元以上5万元以下罚款。</w:t>
            </w:r>
          </w:p>
        </w:tc>
      </w:tr>
      <w:tr w14:paraId="3606434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169" w:hRule="atLeast"/>
          <w:jc w:val="center"/>
        </w:trPr>
        <w:tc>
          <w:tcPr>
            <w:tcW w:w="428" w:type="dxa"/>
            <w:vMerge w:val="restart"/>
            <w:tcBorders>
              <w:tl2br w:val="nil"/>
              <w:tr2bl w:val="nil"/>
            </w:tcBorders>
            <w:tcMar>
              <w:top w:w="15" w:type="dxa"/>
              <w:left w:w="15" w:type="dxa"/>
              <w:bottom w:w="15" w:type="dxa"/>
              <w:right w:w="15" w:type="dxa"/>
            </w:tcMar>
            <w:vAlign w:val="center"/>
          </w:tcPr>
          <w:p w14:paraId="5DA7DF30">
            <w:pPr>
              <w:keepNext w:val="0"/>
              <w:keepLines w:val="0"/>
              <w:pageBreakBefore w:val="0"/>
              <w:widowControl/>
              <w:numPr>
                <w:ilvl w:val="0"/>
                <w:numId w:val="11"/>
              </w:numPr>
              <w:suppressLineNumbers w:val="0"/>
              <w:tabs>
                <w:tab w:val="clear" w:pos="397"/>
              </w:tabs>
              <w:kinsoku/>
              <w:overflowPunct/>
              <w:topLinePunct w:val="0"/>
              <w:autoSpaceDE/>
              <w:autoSpaceDN/>
              <w:bidi w:val="0"/>
              <w:adjustRightInd/>
              <w:snapToGrid/>
              <w:spacing w:beforeAutospacing="0" w:afterAutospacing="0" w:line="260" w:lineRule="exact"/>
              <w:ind w:left="638" w:leftChars="88" w:right="0" w:rightChars="0" w:hanging="453" w:hangingChars="349"/>
              <w:jc w:val="center"/>
              <w:textAlignment w:val="center"/>
              <w:rPr>
                <w:rFonts w:hint="default" w:ascii="仿宋_GB2312" w:hAnsi="宋体" w:eastAsia="仿宋_GB2312" w:cs="宋体"/>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330</w:t>
            </w:r>
          </w:p>
        </w:tc>
        <w:tc>
          <w:tcPr>
            <w:tcW w:w="1550" w:type="dxa"/>
            <w:vMerge w:val="restart"/>
            <w:tcBorders>
              <w:tl2br w:val="nil"/>
              <w:tr2bl w:val="nil"/>
            </w:tcBorders>
            <w:tcMar>
              <w:top w:w="15" w:type="dxa"/>
              <w:left w:w="15" w:type="dxa"/>
              <w:bottom w:w="15" w:type="dxa"/>
              <w:right w:w="15" w:type="dxa"/>
            </w:tcMar>
            <w:vAlign w:val="center"/>
          </w:tcPr>
          <w:p w14:paraId="45A5484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毁损、覆盖、涂改、擅自拆除或者移动燃气设施安全警示标志的</w:t>
            </w:r>
          </w:p>
        </w:tc>
        <w:tc>
          <w:tcPr>
            <w:tcW w:w="4820" w:type="dxa"/>
            <w:vMerge w:val="restart"/>
            <w:tcBorders>
              <w:tl2br w:val="nil"/>
              <w:tr2bl w:val="nil"/>
            </w:tcBorders>
            <w:tcMar>
              <w:top w:w="15" w:type="dxa"/>
              <w:left w:w="15" w:type="dxa"/>
              <w:bottom w:w="15" w:type="dxa"/>
              <w:right w:w="15" w:type="dxa"/>
            </w:tcMar>
            <w:vAlign w:val="center"/>
          </w:tcPr>
          <w:p w14:paraId="7897CAF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both"/>
              <w:textAlignment w:val="center"/>
              <w:rPr>
                <w:rFonts w:ascii="仿宋_GB2312" w:hAnsi="宋体" w:eastAsia="仿宋_GB2312" w:cs="宋体"/>
                <w:color w:val="auto"/>
                <w:kern w:val="0"/>
                <w:sz w:val="13"/>
                <w:szCs w:val="13"/>
                <w:highlight w:val="none"/>
              </w:rPr>
            </w:pPr>
            <w:r>
              <w:rPr>
                <w:rFonts w:hint="eastAsia" w:ascii="仿宋_GB2312" w:hAnsi="宋体" w:eastAsia="仿宋_GB2312" w:cs="宋体"/>
                <w:color w:val="auto"/>
                <w:kern w:val="0"/>
                <w:sz w:val="13"/>
                <w:szCs w:val="13"/>
                <w:highlight w:val="none"/>
              </w:rPr>
              <w:t>《城镇燃气管理条例》</w:t>
            </w:r>
            <w:r>
              <w:rPr>
                <w:rFonts w:hint="eastAsia" w:ascii="仿宋_GB2312" w:hAnsi="宋体" w:eastAsia="仿宋_GB2312" w:cs="宋体"/>
                <w:b/>
                <w:bCs/>
                <w:color w:val="auto"/>
                <w:kern w:val="0"/>
                <w:sz w:val="13"/>
                <w:szCs w:val="13"/>
                <w:highlight w:val="none"/>
              </w:rPr>
              <w:t>第五十一条第二款</w:t>
            </w:r>
            <w:r>
              <w:rPr>
                <w:rFonts w:hint="eastAsia" w:ascii="仿宋_GB2312" w:hAnsi="宋体" w:eastAsia="仿宋_GB2312" w:cs="宋体"/>
                <w:b/>
                <w:bCs/>
                <w:color w:val="auto"/>
                <w:kern w:val="0"/>
                <w:sz w:val="13"/>
                <w:szCs w:val="13"/>
                <w:highlight w:val="none"/>
                <w:lang w:eastAsia="zh-CN"/>
              </w:rPr>
              <w:t>：</w:t>
            </w:r>
            <w:r>
              <w:rPr>
                <w:rFonts w:hint="eastAsia" w:ascii="仿宋_GB2312" w:hAnsi="宋体" w:eastAsia="仿宋_GB2312" w:cs="宋体"/>
                <w:color w:val="auto"/>
                <w:kern w:val="0"/>
                <w:sz w:val="13"/>
                <w:szCs w:val="13"/>
                <w:highlight w:val="none"/>
              </w:rPr>
              <w:t>违反本条例规定，毁损、覆盖、涂改、擅自拆除或者移动燃气设施安全警示标志的，由燃气管理部门责令限期改正，恢复原状，可以处5000元以下罚款。</w:t>
            </w:r>
          </w:p>
        </w:tc>
        <w:tc>
          <w:tcPr>
            <w:tcW w:w="823" w:type="dxa"/>
            <w:tcBorders>
              <w:tl2br w:val="nil"/>
              <w:tr2bl w:val="nil"/>
            </w:tcBorders>
            <w:tcMar>
              <w:top w:w="15" w:type="dxa"/>
              <w:left w:w="15" w:type="dxa"/>
              <w:bottom w:w="15" w:type="dxa"/>
              <w:right w:w="15" w:type="dxa"/>
            </w:tcMar>
            <w:vAlign w:val="center"/>
          </w:tcPr>
          <w:p w14:paraId="4F3EFFB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从轻情节</w:t>
            </w:r>
          </w:p>
        </w:tc>
        <w:tc>
          <w:tcPr>
            <w:tcW w:w="3437" w:type="dxa"/>
            <w:gridSpan w:val="2"/>
            <w:tcBorders>
              <w:tl2br w:val="nil"/>
              <w:tr2bl w:val="nil"/>
            </w:tcBorders>
            <w:tcMar>
              <w:top w:w="15" w:type="dxa"/>
              <w:left w:w="15" w:type="dxa"/>
              <w:bottom w:w="15" w:type="dxa"/>
              <w:right w:w="15" w:type="dxa"/>
            </w:tcMar>
            <w:vAlign w:val="center"/>
          </w:tcPr>
          <w:p w14:paraId="0C2A4D7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初次违法，危害后果轻微，积极采取改正措施消除影响的。</w:t>
            </w:r>
          </w:p>
        </w:tc>
        <w:tc>
          <w:tcPr>
            <w:tcW w:w="3058" w:type="dxa"/>
            <w:tcBorders>
              <w:tl2br w:val="nil"/>
              <w:tr2bl w:val="nil"/>
            </w:tcBorders>
            <w:tcMar>
              <w:top w:w="15" w:type="dxa"/>
              <w:left w:w="15" w:type="dxa"/>
              <w:bottom w:w="15" w:type="dxa"/>
              <w:right w:w="15" w:type="dxa"/>
            </w:tcMar>
            <w:vAlign w:val="center"/>
          </w:tcPr>
          <w:p w14:paraId="347F0E9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责令限期改正，恢复原状，可以处1千元以下罚款。</w:t>
            </w:r>
          </w:p>
        </w:tc>
      </w:tr>
      <w:tr w14:paraId="46BA830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169" w:hRule="atLeast"/>
          <w:jc w:val="center"/>
        </w:trPr>
        <w:tc>
          <w:tcPr>
            <w:tcW w:w="428" w:type="dxa"/>
            <w:vMerge w:val="continue"/>
            <w:tcBorders>
              <w:tl2br w:val="nil"/>
              <w:tr2bl w:val="nil"/>
            </w:tcBorders>
            <w:vAlign w:val="center"/>
          </w:tcPr>
          <w:p w14:paraId="54E236FF">
            <w:pPr>
              <w:pStyle w:val="37"/>
              <w:keepNext w:val="0"/>
              <w:keepLines w:val="0"/>
              <w:pageBreakBefore w:val="0"/>
              <w:widowControl/>
              <w:numPr>
                <w:ilvl w:val="0"/>
                <w:numId w:val="12"/>
              </w:numPr>
              <w:kinsoku/>
              <w:overflowPunct/>
              <w:topLinePunct w:val="0"/>
              <w:autoSpaceDE/>
              <w:autoSpaceDN/>
              <w:bidi w:val="0"/>
              <w:adjustRightInd/>
              <w:snapToGrid/>
              <w:spacing w:beforeAutospacing="0" w:afterAutospacing="0" w:line="260" w:lineRule="exact"/>
              <w:ind w:left="638" w:leftChars="88" w:right="0" w:rightChars="0" w:hanging="453" w:hangingChars="349"/>
              <w:jc w:val="center"/>
              <w:rPr>
                <w:rFonts w:ascii="仿宋_GB2312" w:hAnsi="宋体" w:eastAsia="仿宋_GB2312" w:cs="宋体"/>
                <w:color w:val="auto"/>
                <w:sz w:val="13"/>
                <w:szCs w:val="13"/>
                <w:highlight w:val="none"/>
              </w:rPr>
            </w:pPr>
          </w:p>
        </w:tc>
        <w:tc>
          <w:tcPr>
            <w:tcW w:w="1550" w:type="dxa"/>
            <w:vMerge w:val="continue"/>
            <w:tcBorders>
              <w:tl2br w:val="nil"/>
              <w:tr2bl w:val="nil"/>
            </w:tcBorders>
            <w:vAlign w:val="center"/>
          </w:tcPr>
          <w:p w14:paraId="35E0F5B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sz w:val="13"/>
                <w:szCs w:val="13"/>
                <w:highlight w:val="none"/>
              </w:rPr>
            </w:pPr>
          </w:p>
        </w:tc>
        <w:tc>
          <w:tcPr>
            <w:tcW w:w="4820" w:type="dxa"/>
            <w:vMerge w:val="continue"/>
            <w:tcBorders>
              <w:tl2br w:val="nil"/>
              <w:tr2bl w:val="nil"/>
            </w:tcBorders>
            <w:vAlign w:val="center"/>
          </w:tcPr>
          <w:p w14:paraId="7723E88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2C9717B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一般情节</w:t>
            </w:r>
          </w:p>
        </w:tc>
        <w:tc>
          <w:tcPr>
            <w:tcW w:w="3437" w:type="dxa"/>
            <w:gridSpan w:val="2"/>
            <w:tcBorders>
              <w:tl2br w:val="nil"/>
              <w:tr2bl w:val="nil"/>
            </w:tcBorders>
            <w:tcMar>
              <w:top w:w="15" w:type="dxa"/>
              <w:left w:w="15" w:type="dxa"/>
              <w:bottom w:w="15" w:type="dxa"/>
              <w:right w:w="15" w:type="dxa"/>
            </w:tcMar>
            <w:vAlign w:val="center"/>
          </w:tcPr>
          <w:p w14:paraId="5A7AE3C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不具有从轻、</w:t>
            </w:r>
            <w:r>
              <w:rPr>
                <w:rFonts w:hint="eastAsia" w:ascii="仿宋_GB2312" w:hAnsi="宋体" w:eastAsia="仿宋_GB2312" w:cs="宋体"/>
                <w:color w:val="auto"/>
                <w:kern w:val="0"/>
                <w:sz w:val="13"/>
                <w:szCs w:val="13"/>
                <w:highlight w:val="none"/>
                <w:lang w:eastAsia="zh-CN"/>
              </w:rPr>
              <w:t>从重情节</w:t>
            </w:r>
            <w:r>
              <w:rPr>
                <w:rFonts w:hint="eastAsia" w:ascii="仿宋_GB2312" w:hAnsi="宋体" w:eastAsia="仿宋_GB2312" w:cs="宋体"/>
                <w:color w:val="auto"/>
                <w:kern w:val="0"/>
                <w:sz w:val="13"/>
                <w:szCs w:val="13"/>
                <w:highlight w:val="none"/>
              </w:rPr>
              <w:t>的。</w:t>
            </w:r>
          </w:p>
        </w:tc>
        <w:tc>
          <w:tcPr>
            <w:tcW w:w="3058" w:type="dxa"/>
            <w:tcBorders>
              <w:tl2br w:val="nil"/>
              <w:tr2bl w:val="nil"/>
            </w:tcBorders>
            <w:tcMar>
              <w:top w:w="15" w:type="dxa"/>
              <w:left w:w="15" w:type="dxa"/>
              <w:bottom w:w="15" w:type="dxa"/>
              <w:right w:w="15" w:type="dxa"/>
            </w:tcMar>
            <w:vAlign w:val="center"/>
          </w:tcPr>
          <w:p w14:paraId="0EB411F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责令限期改正，恢复原状，可以处1千元以上3千元以下罚款。</w:t>
            </w:r>
          </w:p>
        </w:tc>
      </w:tr>
      <w:tr w14:paraId="6CB70E2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530" w:hRule="atLeast"/>
          <w:jc w:val="center"/>
        </w:trPr>
        <w:tc>
          <w:tcPr>
            <w:tcW w:w="428" w:type="dxa"/>
            <w:vMerge w:val="continue"/>
            <w:tcBorders>
              <w:tl2br w:val="nil"/>
              <w:tr2bl w:val="nil"/>
            </w:tcBorders>
            <w:vAlign w:val="center"/>
          </w:tcPr>
          <w:p w14:paraId="44C88177">
            <w:pPr>
              <w:pStyle w:val="37"/>
              <w:keepNext w:val="0"/>
              <w:keepLines w:val="0"/>
              <w:pageBreakBefore w:val="0"/>
              <w:widowControl/>
              <w:numPr>
                <w:ilvl w:val="0"/>
                <w:numId w:val="12"/>
              </w:numPr>
              <w:kinsoku/>
              <w:overflowPunct/>
              <w:topLinePunct w:val="0"/>
              <w:autoSpaceDE/>
              <w:autoSpaceDN/>
              <w:bidi w:val="0"/>
              <w:adjustRightInd/>
              <w:snapToGrid/>
              <w:spacing w:beforeAutospacing="0" w:afterAutospacing="0" w:line="260" w:lineRule="exact"/>
              <w:ind w:left="638" w:leftChars="88" w:right="0" w:rightChars="0" w:hanging="453" w:hangingChars="349"/>
              <w:jc w:val="center"/>
              <w:rPr>
                <w:rFonts w:ascii="仿宋_GB2312" w:hAnsi="宋体" w:eastAsia="仿宋_GB2312" w:cs="宋体"/>
                <w:color w:val="auto"/>
                <w:sz w:val="13"/>
                <w:szCs w:val="13"/>
                <w:highlight w:val="none"/>
              </w:rPr>
            </w:pPr>
          </w:p>
        </w:tc>
        <w:tc>
          <w:tcPr>
            <w:tcW w:w="1550" w:type="dxa"/>
            <w:vMerge w:val="continue"/>
            <w:tcBorders>
              <w:tl2br w:val="nil"/>
              <w:tr2bl w:val="nil"/>
            </w:tcBorders>
            <w:vAlign w:val="center"/>
          </w:tcPr>
          <w:p w14:paraId="5FBCEC0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sz w:val="13"/>
                <w:szCs w:val="13"/>
                <w:highlight w:val="none"/>
              </w:rPr>
            </w:pPr>
          </w:p>
        </w:tc>
        <w:tc>
          <w:tcPr>
            <w:tcW w:w="4820" w:type="dxa"/>
            <w:vMerge w:val="continue"/>
            <w:tcBorders>
              <w:tl2br w:val="nil"/>
              <w:tr2bl w:val="nil"/>
            </w:tcBorders>
            <w:vAlign w:val="center"/>
          </w:tcPr>
          <w:p w14:paraId="46F2C4B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66CEDAF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从重情节</w:t>
            </w:r>
          </w:p>
        </w:tc>
        <w:tc>
          <w:tcPr>
            <w:tcW w:w="3437" w:type="dxa"/>
            <w:gridSpan w:val="2"/>
            <w:tcBorders>
              <w:tl2br w:val="nil"/>
              <w:tr2bl w:val="nil"/>
            </w:tcBorders>
            <w:tcMar>
              <w:top w:w="15" w:type="dxa"/>
              <w:left w:w="15" w:type="dxa"/>
              <w:bottom w:w="15" w:type="dxa"/>
              <w:right w:w="15" w:type="dxa"/>
            </w:tcMar>
            <w:vAlign w:val="center"/>
          </w:tcPr>
          <w:p w14:paraId="32E10DC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Times New Roman"/>
                <w:color w:val="auto"/>
                <w:kern w:val="0"/>
                <w:sz w:val="13"/>
                <w:szCs w:val="13"/>
                <w:highlight w:val="none"/>
                <w:lang w:val="en-US" w:eastAsia="zh-CN"/>
              </w:rPr>
              <w:t>有下列情形之一的：</w:t>
            </w:r>
            <w:r>
              <w:rPr>
                <w:rFonts w:hint="eastAsia" w:ascii="仿宋_GB2312" w:hAnsi="宋体" w:eastAsia="仿宋_GB2312" w:cs="宋体"/>
                <w:color w:val="auto"/>
                <w:kern w:val="0"/>
                <w:sz w:val="13"/>
                <w:szCs w:val="13"/>
                <w:highlight w:val="none"/>
              </w:rPr>
              <w:t>（1）经责令停止违法行为后，继续实施该违法行为的；（2）曾因实施该违法行为被查处，再次实施该违法行为的；（3）造成安全事故的；（4）造成严重危害后果的。</w:t>
            </w:r>
          </w:p>
        </w:tc>
        <w:tc>
          <w:tcPr>
            <w:tcW w:w="3058" w:type="dxa"/>
            <w:tcBorders>
              <w:tl2br w:val="nil"/>
              <w:tr2bl w:val="nil"/>
            </w:tcBorders>
            <w:tcMar>
              <w:top w:w="15" w:type="dxa"/>
              <w:left w:w="15" w:type="dxa"/>
              <w:bottom w:w="15" w:type="dxa"/>
              <w:right w:w="15" w:type="dxa"/>
            </w:tcMar>
            <w:vAlign w:val="center"/>
          </w:tcPr>
          <w:p w14:paraId="58C7825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责令限期改正，恢复原状，可以处3千元以上5千元以下罚款。</w:t>
            </w:r>
          </w:p>
        </w:tc>
      </w:tr>
      <w:tr w14:paraId="3849EA8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169" w:hRule="atLeast"/>
          <w:jc w:val="center"/>
        </w:trPr>
        <w:tc>
          <w:tcPr>
            <w:tcW w:w="428" w:type="dxa"/>
            <w:vMerge w:val="restart"/>
            <w:tcBorders>
              <w:tl2br w:val="nil"/>
              <w:tr2bl w:val="nil"/>
            </w:tcBorders>
            <w:tcMar>
              <w:top w:w="15" w:type="dxa"/>
              <w:left w:w="15" w:type="dxa"/>
              <w:bottom w:w="15" w:type="dxa"/>
              <w:right w:w="15" w:type="dxa"/>
            </w:tcMar>
            <w:vAlign w:val="center"/>
          </w:tcPr>
          <w:p w14:paraId="076966E3">
            <w:pPr>
              <w:keepNext w:val="0"/>
              <w:keepLines w:val="0"/>
              <w:pageBreakBefore w:val="0"/>
              <w:widowControl/>
              <w:numPr>
                <w:ilvl w:val="0"/>
                <w:numId w:val="11"/>
              </w:numPr>
              <w:suppressLineNumbers w:val="0"/>
              <w:tabs>
                <w:tab w:val="clear" w:pos="397"/>
              </w:tabs>
              <w:kinsoku/>
              <w:overflowPunct/>
              <w:topLinePunct w:val="0"/>
              <w:autoSpaceDE/>
              <w:autoSpaceDN/>
              <w:bidi w:val="0"/>
              <w:adjustRightInd/>
              <w:snapToGrid/>
              <w:spacing w:beforeAutospacing="0" w:afterAutospacing="0" w:line="260" w:lineRule="exact"/>
              <w:ind w:left="638" w:leftChars="88" w:right="0" w:rightChars="0" w:hanging="453" w:hangingChars="349"/>
              <w:jc w:val="center"/>
              <w:textAlignment w:val="center"/>
              <w:rPr>
                <w:rFonts w:hint="default" w:ascii="仿宋_GB2312" w:hAnsi="宋体" w:eastAsia="仿宋_GB2312" w:cs="宋体"/>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331</w:t>
            </w:r>
          </w:p>
        </w:tc>
        <w:tc>
          <w:tcPr>
            <w:tcW w:w="1550" w:type="dxa"/>
            <w:vMerge w:val="restart"/>
            <w:tcBorders>
              <w:tl2br w:val="nil"/>
              <w:tr2bl w:val="nil"/>
            </w:tcBorders>
            <w:tcMar>
              <w:top w:w="15" w:type="dxa"/>
              <w:left w:w="15" w:type="dxa"/>
              <w:bottom w:w="15" w:type="dxa"/>
              <w:right w:w="15" w:type="dxa"/>
            </w:tcMar>
            <w:vAlign w:val="center"/>
          </w:tcPr>
          <w:p w14:paraId="1F69998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建设工程施工范围内有地下燃气管线等重要燃气设施，建设单位未会同施工单位与管道燃气经营者共同制定燃气设施保护方案，或者建设单位、施工单位未采取相应的安全保护措施的</w:t>
            </w:r>
          </w:p>
        </w:tc>
        <w:tc>
          <w:tcPr>
            <w:tcW w:w="4820" w:type="dxa"/>
            <w:vMerge w:val="restart"/>
            <w:tcBorders>
              <w:tl2br w:val="nil"/>
              <w:tr2bl w:val="nil"/>
            </w:tcBorders>
            <w:tcMar>
              <w:top w:w="15" w:type="dxa"/>
              <w:left w:w="15" w:type="dxa"/>
              <w:bottom w:w="15" w:type="dxa"/>
              <w:right w:w="15" w:type="dxa"/>
            </w:tcMar>
            <w:vAlign w:val="center"/>
          </w:tcPr>
          <w:p w14:paraId="23FBF2E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sz w:val="13"/>
                <w:szCs w:val="13"/>
                <w:highlight w:val="none"/>
              </w:rPr>
            </w:pPr>
            <w:bookmarkStart w:id="35" w:name="52"/>
            <w:r>
              <w:rPr>
                <w:rFonts w:hint="eastAsia" w:ascii="仿宋_GB2312" w:hAnsi="宋体" w:eastAsia="仿宋_GB2312" w:cs="宋体"/>
                <w:color w:val="auto"/>
                <w:kern w:val="0"/>
                <w:sz w:val="13"/>
                <w:szCs w:val="13"/>
                <w:highlight w:val="none"/>
              </w:rPr>
              <w:t>《城镇燃气管理条例》</w:t>
            </w:r>
            <w:r>
              <w:rPr>
                <w:rFonts w:hint="eastAsia" w:ascii="仿宋_GB2312" w:hAnsi="宋体" w:eastAsia="仿宋_GB2312" w:cs="宋体"/>
                <w:b/>
                <w:bCs/>
                <w:color w:val="auto"/>
                <w:kern w:val="0"/>
                <w:sz w:val="13"/>
                <w:szCs w:val="13"/>
                <w:highlight w:val="none"/>
              </w:rPr>
              <w:t>第五十二条</w:t>
            </w:r>
            <w:bookmarkEnd w:id="35"/>
            <w:r>
              <w:rPr>
                <w:rFonts w:hint="eastAsia" w:ascii="仿宋_GB2312" w:hAnsi="宋体" w:eastAsia="仿宋_GB2312" w:cs="宋体"/>
                <w:b/>
                <w:bCs/>
                <w:color w:val="auto"/>
                <w:kern w:val="0"/>
                <w:sz w:val="13"/>
                <w:szCs w:val="13"/>
                <w:highlight w:val="none"/>
                <w:lang w:eastAsia="zh-CN"/>
              </w:rPr>
              <w:t>：</w:t>
            </w:r>
            <w:r>
              <w:rPr>
                <w:rFonts w:hint="eastAsia" w:ascii="仿宋_GB2312" w:hAnsi="宋体" w:eastAsia="仿宋_GB2312" w:cs="宋体"/>
                <w:color w:val="auto"/>
                <w:kern w:val="0"/>
                <w:sz w:val="13"/>
                <w:szCs w:val="13"/>
                <w:highlight w:val="none"/>
              </w:rPr>
              <w:t>违反本条例规定，建设工程施工范围内有地下燃气管线等重要燃气设施，建设单位未会同施工单位与管道燃气经营者共同制定燃气设施保护方案，或者建设单位、施工单位未采取相应的安全保护措施的，由燃气管理部门责令改正，处1万元以上10万元以下罚款；造成损失的，依法承担赔偿责任；构成犯罪的，依法追究刑事责任。</w:t>
            </w:r>
          </w:p>
        </w:tc>
        <w:tc>
          <w:tcPr>
            <w:tcW w:w="823" w:type="dxa"/>
            <w:tcBorders>
              <w:tl2br w:val="nil"/>
              <w:tr2bl w:val="nil"/>
            </w:tcBorders>
            <w:tcMar>
              <w:top w:w="15" w:type="dxa"/>
              <w:left w:w="15" w:type="dxa"/>
              <w:bottom w:w="15" w:type="dxa"/>
              <w:right w:w="15" w:type="dxa"/>
            </w:tcMar>
            <w:vAlign w:val="center"/>
          </w:tcPr>
          <w:p w14:paraId="0E19712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从轻情节</w:t>
            </w:r>
          </w:p>
        </w:tc>
        <w:tc>
          <w:tcPr>
            <w:tcW w:w="3437" w:type="dxa"/>
            <w:gridSpan w:val="2"/>
            <w:tcBorders>
              <w:tl2br w:val="nil"/>
              <w:tr2bl w:val="nil"/>
            </w:tcBorders>
            <w:tcMar>
              <w:top w:w="15" w:type="dxa"/>
              <w:left w:w="15" w:type="dxa"/>
              <w:bottom w:w="15" w:type="dxa"/>
              <w:right w:w="15" w:type="dxa"/>
            </w:tcMar>
            <w:vAlign w:val="center"/>
          </w:tcPr>
          <w:p w14:paraId="2EDFC63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初次违法，危害后果轻微，积极采取改正措施消除影响的。</w:t>
            </w:r>
          </w:p>
        </w:tc>
        <w:tc>
          <w:tcPr>
            <w:tcW w:w="3058" w:type="dxa"/>
            <w:tcBorders>
              <w:tl2br w:val="nil"/>
              <w:tr2bl w:val="nil"/>
            </w:tcBorders>
            <w:tcMar>
              <w:top w:w="15" w:type="dxa"/>
              <w:left w:w="15" w:type="dxa"/>
              <w:bottom w:w="15" w:type="dxa"/>
              <w:right w:w="15" w:type="dxa"/>
            </w:tcMar>
            <w:vAlign w:val="center"/>
          </w:tcPr>
          <w:p w14:paraId="7170E95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责令改正，处1万元以上3万元以下罚款。</w:t>
            </w:r>
          </w:p>
        </w:tc>
      </w:tr>
      <w:tr w14:paraId="03638B2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91" w:hRule="atLeast"/>
          <w:jc w:val="center"/>
        </w:trPr>
        <w:tc>
          <w:tcPr>
            <w:tcW w:w="428" w:type="dxa"/>
            <w:vMerge w:val="continue"/>
            <w:tcBorders>
              <w:tl2br w:val="nil"/>
              <w:tr2bl w:val="nil"/>
            </w:tcBorders>
            <w:vAlign w:val="center"/>
          </w:tcPr>
          <w:p w14:paraId="47C34039">
            <w:pPr>
              <w:pStyle w:val="37"/>
              <w:keepNext w:val="0"/>
              <w:keepLines w:val="0"/>
              <w:pageBreakBefore w:val="0"/>
              <w:widowControl/>
              <w:numPr>
                <w:ilvl w:val="0"/>
                <w:numId w:val="12"/>
              </w:numPr>
              <w:kinsoku/>
              <w:overflowPunct/>
              <w:topLinePunct w:val="0"/>
              <w:autoSpaceDE/>
              <w:autoSpaceDN/>
              <w:bidi w:val="0"/>
              <w:adjustRightInd/>
              <w:snapToGrid/>
              <w:spacing w:beforeAutospacing="0" w:afterAutospacing="0" w:line="260" w:lineRule="exact"/>
              <w:ind w:left="638" w:leftChars="88" w:right="0" w:rightChars="0" w:hanging="453" w:hangingChars="349"/>
              <w:jc w:val="center"/>
              <w:rPr>
                <w:rFonts w:ascii="仿宋_GB2312" w:hAnsi="宋体" w:eastAsia="仿宋_GB2312" w:cs="宋体"/>
                <w:color w:val="auto"/>
                <w:sz w:val="13"/>
                <w:szCs w:val="13"/>
                <w:highlight w:val="none"/>
              </w:rPr>
            </w:pPr>
          </w:p>
        </w:tc>
        <w:tc>
          <w:tcPr>
            <w:tcW w:w="1550" w:type="dxa"/>
            <w:vMerge w:val="continue"/>
            <w:tcBorders>
              <w:tl2br w:val="nil"/>
              <w:tr2bl w:val="nil"/>
            </w:tcBorders>
            <w:vAlign w:val="center"/>
          </w:tcPr>
          <w:p w14:paraId="41B43FC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sz w:val="13"/>
                <w:szCs w:val="13"/>
                <w:highlight w:val="none"/>
              </w:rPr>
            </w:pPr>
          </w:p>
        </w:tc>
        <w:tc>
          <w:tcPr>
            <w:tcW w:w="4820" w:type="dxa"/>
            <w:vMerge w:val="continue"/>
            <w:tcBorders>
              <w:tl2br w:val="nil"/>
              <w:tr2bl w:val="nil"/>
            </w:tcBorders>
            <w:vAlign w:val="center"/>
          </w:tcPr>
          <w:p w14:paraId="165BFF7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3CA831E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一般情节</w:t>
            </w:r>
          </w:p>
        </w:tc>
        <w:tc>
          <w:tcPr>
            <w:tcW w:w="3437" w:type="dxa"/>
            <w:gridSpan w:val="2"/>
            <w:tcBorders>
              <w:tl2br w:val="nil"/>
              <w:tr2bl w:val="nil"/>
            </w:tcBorders>
            <w:tcMar>
              <w:top w:w="15" w:type="dxa"/>
              <w:left w:w="15" w:type="dxa"/>
              <w:bottom w:w="15" w:type="dxa"/>
              <w:right w:w="15" w:type="dxa"/>
            </w:tcMar>
            <w:vAlign w:val="center"/>
          </w:tcPr>
          <w:p w14:paraId="3CAC376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不具有从轻、</w:t>
            </w:r>
            <w:r>
              <w:rPr>
                <w:rFonts w:hint="eastAsia" w:ascii="仿宋_GB2312" w:hAnsi="宋体" w:eastAsia="仿宋_GB2312" w:cs="宋体"/>
                <w:color w:val="auto"/>
                <w:kern w:val="0"/>
                <w:sz w:val="13"/>
                <w:szCs w:val="13"/>
                <w:highlight w:val="none"/>
                <w:lang w:eastAsia="zh-CN"/>
              </w:rPr>
              <w:t>从重情节</w:t>
            </w:r>
            <w:r>
              <w:rPr>
                <w:rFonts w:hint="eastAsia" w:ascii="仿宋_GB2312" w:hAnsi="宋体" w:eastAsia="仿宋_GB2312" w:cs="宋体"/>
                <w:color w:val="auto"/>
                <w:kern w:val="0"/>
                <w:sz w:val="13"/>
                <w:szCs w:val="13"/>
                <w:highlight w:val="none"/>
              </w:rPr>
              <w:t>的。</w:t>
            </w:r>
          </w:p>
        </w:tc>
        <w:tc>
          <w:tcPr>
            <w:tcW w:w="3058" w:type="dxa"/>
            <w:tcBorders>
              <w:tl2br w:val="nil"/>
              <w:tr2bl w:val="nil"/>
            </w:tcBorders>
            <w:tcMar>
              <w:top w:w="15" w:type="dxa"/>
              <w:left w:w="15" w:type="dxa"/>
              <w:bottom w:w="15" w:type="dxa"/>
              <w:right w:w="15" w:type="dxa"/>
            </w:tcMar>
            <w:vAlign w:val="center"/>
          </w:tcPr>
          <w:p w14:paraId="0A8E2D1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责令改正，处3万元以上5万元以下罚款。</w:t>
            </w:r>
          </w:p>
        </w:tc>
      </w:tr>
      <w:tr w14:paraId="1CA7E93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379" w:hRule="atLeast"/>
          <w:jc w:val="center"/>
        </w:trPr>
        <w:tc>
          <w:tcPr>
            <w:tcW w:w="428" w:type="dxa"/>
            <w:vMerge w:val="continue"/>
            <w:tcBorders>
              <w:tl2br w:val="nil"/>
              <w:tr2bl w:val="nil"/>
            </w:tcBorders>
            <w:vAlign w:val="center"/>
          </w:tcPr>
          <w:p w14:paraId="07A90A30">
            <w:pPr>
              <w:pStyle w:val="37"/>
              <w:keepNext w:val="0"/>
              <w:keepLines w:val="0"/>
              <w:pageBreakBefore w:val="0"/>
              <w:widowControl/>
              <w:numPr>
                <w:ilvl w:val="0"/>
                <w:numId w:val="12"/>
              </w:numPr>
              <w:kinsoku/>
              <w:overflowPunct/>
              <w:topLinePunct w:val="0"/>
              <w:autoSpaceDE/>
              <w:autoSpaceDN/>
              <w:bidi w:val="0"/>
              <w:adjustRightInd/>
              <w:snapToGrid/>
              <w:spacing w:beforeAutospacing="0" w:afterAutospacing="0" w:line="260" w:lineRule="exact"/>
              <w:ind w:left="638" w:leftChars="88" w:right="0" w:rightChars="0" w:hanging="453" w:hangingChars="349"/>
              <w:jc w:val="center"/>
              <w:rPr>
                <w:rFonts w:ascii="仿宋_GB2312" w:hAnsi="宋体" w:eastAsia="仿宋_GB2312" w:cs="宋体"/>
                <w:color w:val="auto"/>
                <w:sz w:val="13"/>
                <w:szCs w:val="13"/>
                <w:highlight w:val="none"/>
              </w:rPr>
            </w:pPr>
          </w:p>
        </w:tc>
        <w:tc>
          <w:tcPr>
            <w:tcW w:w="1550" w:type="dxa"/>
            <w:vMerge w:val="continue"/>
            <w:tcBorders>
              <w:tl2br w:val="nil"/>
              <w:tr2bl w:val="nil"/>
            </w:tcBorders>
            <w:vAlign w:val="center"/>
          </w:tcPr>
          <w:p w14:paraId="5D8E0D5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sz w:val="13"/>
                <w:szCs w:val="13"/>
                <w:highlight w:val="none"/>
              </w:rPr>
            </w:pPr>
          </w:p>
        </w:tc>
        <w:tc>
          <w:tcPr>
            <w:tcW w:w="4820" w:type="dxa"/>
            <w:vMerge w:val="continue"/>
            <w:tcBorders>
              <w:tl2br w:val="nil"/>
              <w:tr2bl w:val="nil"/>
            </w:tcBorders>
            <w:vAlign w:val="center"/>
          </w:tcPr>
          <w:p w14:paraId="1DCC206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194A4CD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从重情节</w:t>
            </w:r>
          </w:p>
        </w:tc>
        <w:tc>
          <w:tcPr>
            <w:tcW w:w="3437" w:type="dxa"/>
            <w:gridSpan w:val="2"/>
            <w:tcBorders>
              <w:tl2br w:val="nil"/>
              <w:tr2bl w:val="nil"/>
            </w:tcBorders>
            <w:tcMar>
              <w:top w:w="15" w:type="dxa"/>
              <w:left w:w="15" w:type="dxa"/>
              <w:bottom w:w="15" w:type="dxa"/>
              <w:right w:w="15" w:type="dxa"/>
            </w:tcMar>
            <w:vAlign w:val="center"/>
          </w:tcPr>
          <w:p w14:paraId="45A5B28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经责令停止违法行为后，继续实施违法行为的</w:t>
            </w:r>
            <w:r>
              <w:rPr>
                <w:rFonts w:hint="eastAsia" w:ascii="仿宋_GB2312" w:hAnsi="宋体" w:eastAsia="仿宋_GB2312" w:cs="宋体"/>
                <w:color w:val="auto"/>
                <w:kern w:val="0"/>
                <w:sz w:val="13"/>
                <w:szCs w:val="13"/>
                <w:highlight w:val="none"/>
                <w:lang w:eastAsia="zh-CN"/>
              </w:rPr>
              <w:t>，</w:t>
            </w:r>
            <w:r>
              <w:rPr>
                <w:rFonts w:hint="eastAsia" w:ascii="仿宋_GB2312" w:hAnsi="宋体" w:eastAsia="仿宋_GB2312" w:cs="宋体"/>
                <w:color w:val="auto"/>
                <w:kern w:val="0"/>
                <w:sz w:val="13"/>
                <w:szCs w:val="13"/>
                <w:highlight w:val="none"/>
                <w:lang w:val="en-US" w:eastAsia="zh-CN"/>
              </w:rPr>
              <w:t>或</w:t>
            </w:r>
            <w:r>
              <w:rPr>
                <w:rFonts w:hint="eastAsia" w:ascii="仿宋_GB2312" w:hAnsi="宋体" w:eastAsia="仿宋_GB2312" w:cs="宋体"/>
                <w:color w:val="auto"/>
                <w:kern w:val="0"/>
                <w:sz w:val="13"/>
                <w:szCs w:val="13"/>
                <w:highlight w:val="none"/>
              </w:rPr>
              <w:t>曾因实施该违法行为被查处，再次实施该违法行为的</w:t>
            </w:r>
            <w:r>
              <w:rPr>
                <w:rFonts w:hint="eastAsia" w:ascii="仿宋_GB2312" w:hAnsi="宋体" w:eastAsia="仿宋_GB2312" w:cs="宋体"/>
                <w:color w:val="auto"/>
                <w:kern w:val="0"/>
                <w:sz w:val="13"/>
                <w:szCs w:val="13"/>
                <w:highlight w:val="none"/>
                <w:lang w:eastAsia="zh-CN"/>
              </w:rPr>
              <w:t>，</w:t>
            </w:r>
            <w:r>
              <w:rPr>
                <w:rFonts w:hint="eastAsia" w:ascii="仿宋_GB2312" w:hAnsi="宋体" w:eastAsia="仿宋_GB2312" w:cs="宋体"/>
                <w:color w:val="auto"/>
                <w:kern w:val="0"/>
                <w:sz w:val="13"/>
                <w:szCs w:val="13"/>
                <w:highlight w:val="none"/>
                <w:lang w:val="en-US" w:eastAsia="zh-CN"/>
              </w:rPr>
              <w:t>或</w:t>
            </w:r>
            <w:r>
              <w:rPr>
                <w:rFonts w:hint="eastAsia" w:ascii="仿宋_GB2312" w:hAnsi="宋体" w:eastAsia="仿宋_GB2312" w:cs="宋体"/>
                <w:color w:val="auto"/>
                <w:kern w:val="0"/>
                <w:sz w:val="13"/>
                <w:szCs w:val="13"/>
                <w:highlight w:val="none"/>
              </w:rPr>
              <w:t>造成严重危害后果的。</w:t>
            </w:r>
          </w:p>
        </w:tc>
        <w:tc>
          <w:tcPr>
            <w:tcW w:w="3058" w:type="dxa"/>
            <w:tcBorders>
              <w:tl2br w:val="nil"/>
              <w:tr2bl w:val="nil"/>
            </w:tcBorders>
            <w:tcMar>
              <w:top w:w="15" w:type="dxa"/>
              <w:left w:w="15" w:type="dxa"/>
              <w:bottom w:w="15" w:type="dxa"/>
              <w:right w:w="15" w:type="dxa"/>
            </w:tcMar>
            <w:vAlign w:val="center"/>
          </w:tcPr>
          <w:p w14:paraId="4B3331A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责令改正，处5万元以上10万元以下罚款。</w:t>
            </w:r>
          </w:p>
        </w:tc>
      </w:tr>
      <w:tr w14:paraId="51FDE31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389" w:hRule="atLeast"/>
          <w:jc w:val="center"/>
        </w:trPr>
        <w:tc>
          <w:tcPr>
            <w:tcW w:w="428" w:type="dxa"/>
            <w:vMerge w:val="restart"/>
            <w:tcBorders>
              <w:tl2br w:val="nil"/>
              <w:tr2bl w:val="nil"/>
            </w:tcBorders>
            <w:vAlign w:val="center"/>
          </w:tcPr>
          <w:p w14:paraId="6B764688">
            <w:pPr>
              <w:keepNext w:val="0"/>
              <w:keepLines w:val="0"/>
              <w:pageBreakBefore w:val="0"/>
              <w:widowControl/>
              <w:numPr>
                <w:ilvl w:val="0"/>
                <w:numId w:val="11"/>
              </w:numPr>
              <w:suppressLineNumbers w:val="0"/>
              <w:tabs>
                <w:tab w:val="clear" w:pos="397"/>
              </w:tabs>
              <w:kinsoku/>
              <w:overflowPunct/>
              <w:topLinePunct w:val="0"/>
              <w:autoSpaceDE/>
              <w:autoSpaceDN/>
              <w:bidi w:val="0"/>
              <w:adjustRightInd/>
              <w:snapToGrid/>
              <w:spacing w:beforeAutospacing="0" w:afterAutospacing="0" w:line="260" w:lineRule="exact"/>
              <w:ind w:left="638" w:leftChars="88" w:right="0" w:rightChars="0" w:hanging="453" w:hangingChars="349"/>
              <w:jc w:val="center"/>
              <w:textAlignment w:val="center"/>
              <w:rPr>
                <w:rFonts w:hint="default" w:ascii="仿宋_GB2312" w:hAnsi="宋体" w:eastAsia="仿宋_GB2312" w:cs="宋体"/>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332</w:t>
            </w:r>
          </w:p>
        </w:tc>
        <w:tc>
          <w:tcPr>
            <w:tcW w:w="1550" w:type="dxa"/>
            <w:vMerge w:val="restart"/>
            <w:tcBorders>
              <w:tl2br w:val="nil"/>
              <w:tr2bl w:val="nil"/>
            </w:tcBorders>
            <w:vAlign w:val="center"/>
          </w:tcPr>
          <w:p w14:paraId="5C7FEAF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rPr>
                <w:rFonts w:ascii="仿宋_GB2312" w:hAnsi="宋体" w:eastAsia="仿宋_GB2312" w:cs="宋体"/>
                <w:color w:val="auto"/>
                <w:sz w:val="13"/>
                <w:szCs w:val="13"/>
                <w:highlight w:val="none"/>
              </w:rPr>
            </w:pPr>
            <w:r>
              <w:rPr>
                <w:rFonts w:hint="eastAsia" w:ascii="仿宋_GB2312" w:hAnsi="宋体" w:eastAsia="仿宋_GB2312" w:cs="宋体"/>
                <w:color w:val="auto"/>
                <w:sz w:val="13"/>
                <w:szCs w:val="13"/>
                <w:highlight w:val="none"/>
              </w:rPr>
              <w:t>销售充装单位擅自为非自有气瓶充装的瓶装燃气的</w:t>
            </w:r>
          </w:p>
        </w:tc>
        <w:tc>
          <w:tcPr>
            <w:tcW w:w="4820" w:type="dxa"/>
            <w:vMerge w:val="restart"/>
            <w:tcBorders>
              <w:tl2br w:val="nil"/>
              <w:tr2bl w:val="nil"/>
            </w:tcBorders>
            <w:vAlign w:val="center"/>
          </w:tcPr>
          <w:p w14:paraId="1CCCDC05">
            <w:pPr>
              <w:pStyle w:val="19"/>
              <w:keepNext w:val="0"/>
              <w:keepLines w:val="0"/>
              <w:pageBreakBefore w:val="0"/>
              <w:shd w:val="clear" w:color="auto" w:fill="FFFFFF"/>
              <w:kinsoku/>
              <w:overflowPunct/>
              <w:topLinePunct w:val="0"/>
              <w:autoSpaceDE/>
              <w:autoSpaceDN/>
              <w:bidi w:val="0"/>
              <w:adjustRightInd/>
              <w:snapToGrid/>
              <w:spacing w:before="0" w:beforeAutospacing="0" w:after="0" w:afterAutospacing="0" w:line="260" w:lineRule="exact"/>
              <w:ind w:left="0" w:leftChars="0" w:right="0" w:rightChars="0"/>
              <w:jc w:val="both"/>
              <w:rPr>
                <w:rFonts w:ascii="仿宋_GB2312" w:eastAsia="仿宋_GB2312"/>
                <w:color w:val="auto"/>
                <w:sz w:val="13"/>
                <w:szCs w:val="13"/>
                <w:highlight w:val="none"/>
              </w:rPr>
            </w:pPr>
            <w:r>
              <w:rPr>
                <w:rFonts w:hint="eastAsia" w:ascii="仿宋_GB2312" w:eastAsia="仿宋_GB2312"/>
                <w:color w:val="auto"/>
                <w:sz w:val="13"/>
                <w:szCs w:val="13"/>
                <w:highlight w:val="none"/>
              </w:rPr>
              <w:t>《城镇燃气管理条例》</w:t>
            </w:r>
            <w:r>
              <w:rPr>
                <w:rFonts w:hint="eastAsia" w:ascii="仿宋_GB2312" w:eastAsia="仿宋_GB2312"/>
                <w:b/>
                <w:bCs/>
                <w:color w:val="auto"/>
                <w:sz w:val="13"/>
                <w:szCs w:val="13"/>
                <w:highlight w:val="none"/>
              </w:rPr>
              <w:t>第四十七条</w:t>
            </w:r>
            <w:r>
              <w:rPr>
                <w:rFonts w:hint="eastAsia" w:ascii="仿宋_GB2312" w:eastAsia="仿宋_GB2312"/>
                <w:b/>
                <w:bCs/>
                <w:color w:val="auto"/>
                <w:sz w:val="13"/>
                <w:szCs w:val="13"/>
                <w:highlight w:val="none"/>
                <w:lang w:eastAsia="zh-CN"/>
              </w:rPr>
              <w:t>：</w:t>
            </w:r>
            <w:r>
              <w:rPr>
                <w:rFonts w:hint="eastAsia" w:ascii="仿宋_GB2312" w:eastAsia="仿宋_GB2312"/>
                <w:color w:val="auto"/>
                <w:sz w:val="13"/>
                <w:szCs w:val="13"/>
                <w:highlight w:val="none"/>
              </w:rPr>
              <w:t>违反本条例规定，擅自为非自有气瓶充装燃气或者销售未经许可的充装单位充装的瓶装燃气的，依照国家有关气瓶安全监察的规定进行处罚。</w:t>
            </w:r>
          </w:p>
          <w:p w14:paraId="77A8A379">
            <w:pPr>
              <w:pStyle w:val="19"/>
              <w:keepNext w:val="0"/>
              <w:keepLines w:val="0"/>
              <w:pageBreakBefore w:val="0"/>
              <w:shd w:val="clear" w:color="auto" w:fill="FFFFFF"/>
              <w:kinsoku/>
              <w:overflowPunct/>
              <w:topLinePunct w:val="0"/>
              <w:autoSpaceDE/>
              <w:autoSpaceDN/>
              <w:bidi w:val="0"/>
              <w:adjustRightInd/>
              <w:snapToGrid/>
              <w:spacing w:before="0" w:beforeAutospacing="0" w:after="0" w:afterAutospacing="0" w:line="260" w:lineRule="exact"/>
              <w:ind w:left="0" w:leftChars="0" w:right="0" w:rightChars="0" w:firstLine="260" w:firstLineChars="200"/>
              <w:jc w:val="both"/>
              <w:rPr>
                <w:rFonts w:hint="eastAsia" w:ascii="仿宋_GB2312" w:eastAsia="仿宋_GB2312"/>
                <w:color w:val="auto"/>
                <w:sz w:val="13"/>
                <w:szCs w:val="13"/>
                <w:highlight w:val="none"/>
              </w:rPr>
            </w:pPr>
            <w:r>
              <w:rPr>
                <w:rFonts w:hint="eastAsia" w:ascii="仿宋_GB2312" w:eastAsia="仿宋_GB2312"/>
                <w:color w:val="auto"/>
                <w:sz w:val="13"/>
                <w:szCs w:val="13"/>
                <w:highlight w:val="none"/>
              </w:rPr>
              <w:t>违反本条例规定，销售充装单位擅自为非自有气瓶充装的瓶装燃气的，由燃气管理部门责令改正，可以处1万元以下罚款。</w:t>
            </w:r>
          </w:p>
          <w:p w14:paraId="0FF258F3">
            <w:pPr>
              <w:pStyle w:val="19"/>
              <w:keepNext w:val="0"/>
              <w:keepLines w:val="0"/>
              <w:pageBreakBefore w:val="0"/>
              <w:shd w:val="clear" w:color="auto" w:fill="FFFFFF"/>
              <w:kinsoku/>
              <w:overflowPunct/>
              <w:topLinePunct w:val="0"/>
              <w:autoSpaceDE/>
              <w:autoSpaceDN/>
              <w:bidi w:val="0"/>
              <w:adjustRightInd/>
              <w:snapToGrid/>
              <w:spacing w:before="0" w:beforeAutospacing="0" w:after="0" w:afterAutospacing="0" w:line="260" w:lineRule="exact"/>
              <w:ind w:left="0" w:leftChars="0" w:right="0" w:rightChars="0" w:firstLine="260" w:firstLineChars="200"/>
              <w:jc w:val="both"/>
              <w:rPr>
                <w:rFonts w:ascii="仿宋_GB2312" w:eastAsia="仿宋_GB2312"/>
                <w:color w:val="auto"/>
                <w:sz w:val="13"/>
                <w:szCs w:val="13"/>
                <w:highlight w:val="none"/>
              </w:rPr>
            </w:pPr>
            <w:r>
              <w:rPr>
                <w:rFonts w:hint="eastAsia" w:ascii="仿宋_GB2312" w:eastAsia="仿宋_GB2312"/>
                <w:color w:val="auto"/>
                <w:sz w:val="13"/>
                <w:szCs w:val="13"/>
                <w:highlight w:val="none"/>
              </w:rPr>
              <w:t>违反本条例规定，冒用其他企业名称或者标识从事燃气经营、服务活动，依照有关反不正当竞争的法律规定进行处罚。</w:t>
            </w:r>
          </w:p>
        </w:tc>
        <w:tc>
          <w:tcPr>
            <w:tcW w:w="823" w:type="dxa"/>
            <w:tcBorders>
              <w:tl2br w:val="nil"/>
              <w:tr2bl w:val="nil"/>
            </w:tcBorders>
            <w:tcMar>
              <w:top w:w="15" w:type="dxa"/>
              <w:left w:w="15" w:type="dxa"/>
              <w:bottom w:w="15" w:type="dxa"/>
              <w:right w:w="15" w:type="dxa"/>
            </w:tcMar>
            <w:vAlign w:val="center"/>
          </w:tcPr>
          <w:p w14:paraId="69D5C77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从轻情节</w:t>
            </w:r>
          </w:p>
        </w:tc>
        <w:tc>
          <w:tcPr>
            <w:tcW w:w="3437" w:type="dxa"/>
            <w:gridSpan w:val="2"/>
            <w:tcBorders>
              <w:tl2br w:val="nil"/>
              <w:tr2bl w:val="nil"/>
            </w:tcBorders>
            <w:tcMar>
              <w:top w:w="15" w:type="dxa"/>
              <w:left w:w="15" w:type="dxa"/>
              <w:bottom w:w="15" w:type="dxa"/>
              <w:right w:w="15" w:type="dxa"/>
            </w:tcMar>
            <w:vAlign w:val="center"/>
          </w:tcPr>
          <w:p w14:paraId="24D54E6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初次违法，危害后果轻微，积极整改的。</w:t>
            </w:r>
          </w:p>
        </w:tc>
        <w:tc>
          <w:tcPr>
            <w:tcW w:w="3058" w:type="dxa"/>
            <w:tcBorders>
              <w:tl2br w:val="nil"/>
              <w:tr2bl w:val="nil"/>
            </w:tcBorders>
            <w:tcMar>
              <w:top w:w="15" w:type="dxa"/>
              <w:left w:w="15" w:type="dxa"/>
              <w:bottom w:w="15" w:type="dxa"/>
              <w:right w:w="15" w:type="dxa"/>
            </w:tcMar>
            <w:vAlign w:val="center"/>
          </w:tcPr>
          <w:p w14:paraId="5BC0CBAC">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kern w:val="0"/>
                <w:sz w:val="13"/>
                <w:szCs w:val="13"/>
                <w:highlight w:val="none"/>
              </w:rPr>
            </w:pPr>
            <w:r>
              <w:rPr>
                <w:rFonts w:hint="eastAsia" w:ascii="仿宋_GB2312" w:hAnsi="宋体" w:eastAsia="仿宋_GB2312" w:cs="宋体"/>
                <w:color w:val="auto"/>
                <w:sz w:val="13"/>
                <w:szCs w:val="13"/>
                <w:highlight w:val="none"/>
              </w:rPr>
              <w:t>责令改正，可处以2千元罚款。</w:t>
            </w:r>
          </w:p>
        </w:tc>
      </w:tr>
      <w:tr w14:paraId="410EB52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534" w:hRule="atLeast"/>
          <w:jc w:val="center"/>
        </w:trPr>
        <w:tc>
          <w:tcPr>
            <w:tcW w:w="428" w:type="dxa"/>
            <w:vMerge w:val="continue"/>
            <w:tcBorders>
              <w:tl2br w:val="nil"/>
              <w:tr2bl w:val="nil"/>
            </w:tcBorders>
            <w:vAlign w:val="center"/>
          </w:tcPr>
          <w:p w14:paraId="0E536437">
            <w:pPr>
              <w:pStyle w:val="37"/>
              <w:keepNext w:val="0"/>
              <w:keepLines w:val="0"/>
              <w:pageBreakBefore w:val="0"/>
              <w:widowControl/>
              <w:numPr>
                <w:ilvl w:val="0"/>
                <w:numId w:val="12"/>
              </w:numPr>
              <w:kinsoku/>
              <w:overflowPunct/>
              <w:topLinePunct w:val="0"/>
              <w:autoSpaceDE/>
              <w:autoSpaceDN/>
              <w:bidi w:val="0"/>
              <w:adjustRightInd/>
              <w:snapToGrid/>
              <w:spacing w:beforeAutospacing="0" w:afterAutospacing="0" w:line="260" w:lineRule="exact"/>
              <w:ind w:left="638" w:leftChars="88" w:right="0" w:rightChars="0" w:hanging="453" w:hangingChars="349"/>
              <w:jc w:val="center"/>
              <w:rPr>
                <w:rFonts w:ascii="仿宋_GB2312" w:hAnsi="宋体" w:eastAsia="仿宋_GB2312" w:cs="宋体"/>
                <w:color w:val="auto"/>
                <w:sz w:val="13"/>
                <w:szCs w:val="13"/>
                <w:highlight w:val="none"/>
              </w:rPr>
            </w:pPr>
          </w:p>
        </w:tc>
        <w:tc>
          <w:tcPr>
            <w:tcW w:w="1550" w:type="dxa"/>
            <w:vMerge w:val="continue"/>
            <w:tcBorders>
              <w:tl2br w:val="nil"/>
              <w:tr2bl w:val="nil"/>
            </w:tcBorders>
            <w:vAlign w:val="center"/>
          </w:tcPr>
          <w:p w14:paraId="52C55BE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sz w:val="13"/>
                <w:szCs w:val="13"/>
                <w:highlight w:val="none"/>
              </w:rPr>
            </w:pPr>
          </w:p>
        </w:tc>
        <w:tc>
          <w:tcPr>
            <w:tcW w:w="4820" w:type="dxa"/>
            <w:vMerge w:val="continue"/>
            <w:tcBorders>
              <w:tl2br w:val="nil"/>
              <w:tr2bl w:val="nil"/>
            </w:tcBorders>
            <w:vAlign w:val="center"/>
          </w:tcPr>
          <w:p w14:paraId="44EB7AF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kern w:val="0"/>
                <w:sz w:val="13"/>
                <w:szCs w:val="13"/>
                <w:highlight w:val="none"/>
              </w:rPr>
            </w:pPr>
          </w:p>
        </w:tc>
        <w:tc>
          <w:tcPr>
            <w:tcW w:w="823" w:type="dxa"/>
            <w:tcBorders>
              <w:tl2br w:val="nil"/>
              <w:tr2bl w:val="nil"/>
            </w:tcBorders>
            <w:tcMar>
              <w:top w:w="15" w:type="dxa"/>
              <w:left w:w="15" w:type="dxa"/>
              <w:bottom w:w="15" w:type="dxa"/>
              <w:right w:w="15" w:type="dxa"/>
            </w:tcMar>
            <w:vAlign w:val="center"/>
          </w:tcPr>
          <w:p w14:paraId="2D4D3A9A">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kern w:val="0"/>
                <w:sz w:val="13"/>
                <w:szCs w:val="13"/>
                <w:highlight w:val="none"/>
                <w:lang w:eastAsia="zh-CN"/>
              </w:rPr>
            </w:pPr>
            <w:r>
              <w:rPr>
                <w:rFonts w:hint="eastAsia" w:ascii="仿宋_GB2312" w:hAnsi="宋体" w:eastAsia="仿宋_GB2312" w:cs="宋体"/>
                <w:color w:val="auto"/>
                <w:kern w:val="0"/>
                <w:sz w:val="13"/>
                <w:szCs w:val="13"/>
                <w:highlight w:val="none"/>
                <w:lang w:eastAsia="zh-CN"/>
              </w:rPr>
              <w:t>一般情节</w:t>
            </w:r>
          </w:p>
        </w:tc>
        <w:tc>
          <w:tcPr>
            <w:tcW w:w="3437" w:type="dxa"/>
            <w:gridSpan w:val="2"/>
            <w:tcBorders>
              <w:tl2br w:val="nil"/>
              <w:tr2bl w:val="nil"/>
            </w:tcBorders>
            <w:tcMar>
              <w:top w:w="15" w:type="dxa"/>
              <w:left w:w="15" w:type="dxa"/>
              <w:bottom w:w="15" w:type="dxa"/>
              <w:right w:w="15" w:type="dxa"/>
            </w:tcMar>
            <w:vAlign w:val="center"/>
          </w:tcPr>
          <w:p w14:paraId="1DE48F8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kern w:val="0"/>
                <w:sz w:val="13"/>
                <w:szCs w:val="13"/>
                <w:highlight w:val="none"/>
              </w:rPr>
            </w:pPr>
            <w:r>
              <w:rPr>
                <w:rFonts w:hint="eastAsia" w:ascii="仿宋_GB2312" w:hAnsi="宋体" w:eastAsia="仿宋_GB2312" w:cs="宋体"/>
                <w:color w:val="auto"/>
                <w:kern w:val="0"/>
                <w:sz w:val="13"/>
                <w:szCs w:val="13"/>
                <w:highlight w:val="none"/>
              </w:rPr>
              <w:t>不具有从轻、</w:t>
            </w:r>
            <w:r>
              <w:rPr>
                <w:rFonts w:hint="eastAsia" w:ascii="仿宋_GB2312" w:hAnsi="宋体" w:eastAsia="仿宋_GB2312" w:cs="宋体"/>
                <w:color w:val="auto"/>
                <w:kern w:val="0"/>
                <w:sz w:val="13"/>
                <w:szCs w:val="13"/>
                <w:highlight w:val="none"/>
                <w:lang w:eastAsia="zh-CN"/>
              </w:rPr>
              <w:t>从重情节</w:t>
            </w:r>
            <w:r>
              <w:rPr>
                <w:rFonts w:hint="eastAsia" w:ascii="仿宋_GB2312" w:hAnsi="宋体" w:eastAsia="仿宋_GB2312" w:cs="宋体"/>
                <w:color w:val="auto"/>
                <w:kern w:val="0"/>
                <w:sz w:val="13"/>
                <w:szCs w:val="13"/>
                <w:highlight w:val="none"/>
              </w:rPr>
              <w:t>的。</w:t>
            </w:r>
          </w:p>
        </w:tc>
        <w:tc>
          <w:tcPr>
            <w:tcW w:w="3058" w:type="dxa"/>
            <w:tcBorders>
              <w:tl2br w:val="nil"/>
              <w:tr2bl w:val="nil"/>
            </w:tcBorders>
            <w:tcMar>
              <w:top w:w="15" w:type="dxa"/>
              <w:left w:w="15" w:type="dxa"/>
              <w:bottom w:w="15" w:type="dxa"/>
              <w:right w:w="15" w:type="dxa"/>
            </w:tcMar>
            <w:vAlign w:val="center"/>
          </w:tcPr>
          <w:p w14:paraId="5320858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kern w:val="0"/>
                <w:sz w:val="13"/>
                <w:szCs w:val="13"/>
                <w:highlight w:val="none"/>
              </w:rPr>
            </w:pPr>
            <w:r>
              <w:rPr>
                <w:rFonts w:hint="eastAsia" w:ascii="仿宋_GB2312" w:hAnsi="宋体" w:eastAsia="仿宋_GB2312" w:cs="宋体"/>
                <w:color w:val="auto"/>
                <w:sz w:val="13"/>
                <w:szCs w:val="13"/>
                <w:highlight w:val="none"/>
              </w:rPr>
              <w:t>责令改正，可处以2</w:t>
            </w:r>
            <w:r>
              <w:rPr>
                <w:rFonts w:hint="eastAsia" w:ascii="仿宋_GB2312" w:hAnsi="宋体" w:eastAsia="仿宋_GB2312" w:cs="宋体"/>
                <w:color w:val="auto"/>
                <w:kern w:val="0"/>
                <w:sz w:val="13"/>
                <w:szCs w:val="13"/>
                <w:highlight w:val="none"/>
              </w:rPr>
              <w:t>千元以上</w:t>
            </w:r>
            <w:r>
              <w:rPr>
                <w:rFonts w:hint="eastAsia" w:ascii="仿宋_GB2312" w:hAnsi="宋体" w:eastAsia="仿宋_GB2312" w:cs="宋体"/>
                <w:color w:val="auto"/>
                <w:sz w:val="13"/>
                <w:szCs w:val="13"/>
                <w:highlight w:val="none"/>
              </w:rPr>
              <w:t>5千元以下罚款。</w:t>
            </w:r>
          </w:p>
        </w:tc>
      </w:tr>
      <w:tr w14:paraId="78BEEEB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325" w:hRule="atLeast"/>
          <w:jc w:val="center"/>
        </w:trPr>
        <w:tc>
          <w:tcPr>
            <w:tcW w:w="428" w:type="dxa"/>
            <w:vMerge w:val="continue"/>
            <w:tcBorders>
              <w:tl2br w:val="nil"/>
              <w:tr2bl w:val="nil"/>
            </w:tcBorders>
            <w:vAlign w:val="center"/>
          </w:tcPr>
          <w:p w14:paraId="0951C3EB">
            <w:pPr>
              <w:pStyle w:val="37"/>
              <w:keepNext w:val="0"/>
              <w:keepLines w:val="0"/>
              <w:pageBreakBefore w:val="0"/>
              <w:widowControl/>
              <w:numPr>
                <w:ilvl w:val="0"/>
                <w:numId w:val="12"/>
              </w:numPr>
              <w:kinsoku/>
              <w:overflowPunct/>
              <w:topLinePunct w:val="0"/>
              <w:autoSpaceDE/>
              <w:autoSpaceDN/>
              <w:bidi w:val="0"/>
              <w:adjustRightInd/>
              <w:snapToGrid/>
              <w:spacing w:beforeAutospacing="0" w:afterAutospacing="0" w:line="260" w:lineRule="exact"/>
              <w:ind w:left="638" w:leftChars="88" w:right="0" w:rightChars="0" w:hanging="453" w:hangingChars="349"/>
              <w:jc w:val="center"/>
              <w:rPr>
                <w:rFonts w:ascii="仿宋_GB2312" w:hAnsi="宋体" w:eastAsia="仿宋_GB2312" w:cs="宋体"/>
                <w:color w:val="auto"/>
                <w:sz w:val="13"/>
                <w:szCs w:val="13"/>
                <w:highlight w:val="none"/>
              </w:rPr>
            </w:pPr>
          </w:p>
        </w:tc>
        <w:tc>
          <w:tcPr>
            <w:tcW w:w="1550" w:type="dxa"/>
            <w:vMerge w:val="continue"/>
            <w:tcBorders>
              <w:tl2br w:val="nil"/>
              <w:tr2bl w:val="nil"/>
            </w:tcBorders>
            <w:vAlign w:val="center"/>
          </w:tcPr>
          <w:p w14:paraId="328BC12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sz w:val="13"/>
                <w:szCs w:val="13"/>
                <w:highlight w:val="none"/>
              </w:rPr>
            </w:pPr>
          </w:p>
        </w:tc>
        <w:tc>
          <w:tcPr>
            <w:tcW w:w="4820" w:type="dxa"/>
            <w:vMerge w:val="continue"/>
            <w:tcBorders>
              <w:tl2br w:val="nil"/>
              <w:tr2bl w:val="nil"/>
            </w:tcBorders>
            <w:vAlign w:val="center"/>
          </w:tcPr>
          <w:p w14:paraId="46AA070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kern w:val="0"/>
                <w:sz w:val="13"/>
                <w:szCs w:val="13"/>
                <w:highlight w:val="none"/>
              </w:rPr>
            </w:pPr>
          </w:p>
        </w:tc>
        <w:tc>
          <w:tcPr>
            <w:tcW w:w="823" w:type="dxa"/>
            <w:tcBorders>
              <w:tl2br w:val="nil"/>
              <w:tr2bl w:val="nil"/>
            </w:tcBorders>
            <w:tcMar>
              <w:top w:w="15" w:type="dxa"/>
              <w:left w:w="15" w:type="dxa"/>
              <w:bottom w:w="15" w:type="dxa"/>
              <w:right w:w="15" w:type="dxa"/>
            </w:tcMar>
            <w:vAlign w:val="center"/>
          </w:tcPr>
          <w:p w14:paraId="044562BA">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sz w:val="13"/>
                <w:szCs w:val="13"/>
                <w:highlight w:val="none"/>
                <w:lang w:eastAsia="zh-CN"/>
              </w:rPr>
              <w:t>从重情节</w:t>
            </w:r>
          </w:p>
        </w:tc>
        <w:tc>
          <w:tcPr>
            <w:tcW w:w="3437" w:type="dxa"/>
            <w:gridSpan w:val="2"/>
            <w:tcBorders>
              <w:tl2br w:val="nil"/>
              <w:tr2bl w:val="nil"/>
            </w:tcBorders>
            <w:tcMar>
              <w:top w:w="15" w:type="dxa"/>
              <w:left w:w="15" w:type="dxa"/>
              <w:bottom w:w="15" w:type="dxa"/>
              <w:right w:w="15" w:type="dxa"/>
            </w:tcMar>
            <w:vAlign w:val="center"/>
          </w:tcPr>
          <w:p w14:paraId="620E38E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kern w:val="0"/>
                <w:sz w:val="13"/>
                <w:szCs w:val="13"/>
                <w:highlight w:val="none"/>
              </w:rPr>
            </w:pPr>
            <w:r>
              <w:rPr>
                <w:rFonts w:hint="eastAsia" w:ascii="仿宋_GB2312" w:hAnsi="宋体" w:eastAsia="仿宋_GB2312" w:cs="宋体"/>
                <w:color w:val="auto"/>
                <w:sz w:val="13"/>
                <w:szCs w:val="13"/>
                <w:highlight w:val="none"/>
              </w:rPr>
              <w:t>经责令停止违法行为后，继续实施该违法行为的</w:t>
            </w:r>
            <w:r>
              <w:rPr>
                <w:rFonts w:hint="eastAsia" w:ascii="仿宋_GB2312" w:hAnsi="宋体" w:eastAsia="仿宋_GB2312" w:cs="宋体"/>
                <w:color w:val="auto"/>
                <w:sz w:val="13"/>
                <w:szCs w:val="13"/>
                <w:highlight w:val="none"/>
                <w:lang w:eastAsia="zh-CN"/>
              </w:rPr>
              <w:t>，</w:t>
            </w:r>
            <w:r>
              <w:rPr>
                <w:rFonts w:hint="eastAsia" w:ascii="仿宋_GB2312" w:hAnsi="宋体" w:eastAsia="仿宋_GB2312" w:cs="宋体"/>
                <w:color w:val="auto"/>
                <w:sz w:val="13"/>
                <w:szCs w:val="13"/>
                <w:highlight w:val="none"/>
                <w:lang w:val="en-US" w:eastAsia="zh-CN"/>
              </w:rPr>
              <w:t>或</w:t>
            </w:r>
            <w:r>
              <w:rPr>
                <w:rFonts w:hint="eastAsia" w:ascii="仿宋_GB2312" w:hAnsi="宋体" w:eastAsia="仿宋_GB2312" w:cs="宋体"/>
                <w:color w:val="auto"/>
                <w:sz w:val="13"/>
                <w:szCs w:val="13"/>
                <w:highlight w:val="none"/>
              </w:rPr>
              <w:t>曾因实施该违法行为被查处，再次实施该违法行为的</w:t>
            </w:r>
            <w:r>
              <w:rPr>
                <w:rFonts w:hint="eastAsia" w:ascii="仿宋_GB2312" w:hAnsi="宋体" w:eastAsia="仿宋_GB2312" w:cs="宋体"/>
                <w:color w:val="auto"/>
                <w:sz w:val="13"/>
                <w:szCs w:val="13"/>
                <w:highlight w:val="none"/>
                <w:lang w:eastAsia="zh-CN"/>
              </w:rPr>
              <w:t>，</w:t>
            </w:r>
            <w:r>
              <w:rPr>
                <w:rFonts w:hint="eastAsia" w:ascii="仿宋_GB2312" w:hAnsi="宋体" w:eastAsia="仿宋_GB2312" w:cs="宋体"/>
                <w:color w:val="auto"/>
                <w:sz w:val="13"/>
                <w:szCs w:val="13"/>
                <w:highlight w:val="none"/>
                <w:lang w:val="en-US" w:eastAsia="zh-CN"/>
              </w:rPr>
              <w:t>或</w:t>
            </w:r>
            <w:r>
              <w:rPr>
                <w:rFonts w:hint="eastAsia" w:ascii="仿宋_GB2312" w:hAnsi="宋体" w:eastAsia="仿宋_GB2312" w:cs="宋体"/>
                <w:color w:val="auto"/>
                <w:sz w:val="13"/>
                <w:szCs w:val="13"/>
                <w:highlight w:val="none"/>
              </w:rPr>
              <w:t>造成严重危害后果的。</w:t>
            </w:r>
          </w:p>
        </w:tc>
        <w:tc>
          <w:tcPr>
            <w:tcW w:w="3058" w:type="dxa"/>
            <w:tcBorders>
              <w:tl2br w:val="nil"/>
              <w:tr2bl w:val="nil"/>
            </w:tcBorders>
            <w:tcMar>
              <w:top w:w="15" w:type="dxa"/>
              <w:left w:w="15" w:type="dxa"/>
              <w:bottom w:w="15" w:type="dxa"/>
              <w:right w:w="15" w:type="dxa"/>
            </w:tcMar>
            <w:vAlign w:val="center"/>
          </w:tcPr>
          <w:p w14:paraId="4A1100F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kern w:val="0"/>
                <w:sz w:val="13"/>
                <w:szCs w:val="13"/>
                <w:highlight w:val="none"/>
              </w:rPr>
            </w:pPr>
            <w:r>
              <w:rPr>
                <w:rFonts w:hint="eastAsia" w:ascii="仿宋_GB2312" w:hAnsi="宋体" w:eastAsia="仿宋_GB2312" w:cs="宋体"/>
                <w:color w:val="auto"/>
                <w:sz w:val="13"/>
                <w:szCs w:val="13"/>
                <w:highlight w:val="none"/>
              </w:rPr>
              <w:t>责令改正，可处以5千元以上1万元以下罚款。</w:t>
            </w:r>
          </w:p>
        </w:tc>
      </w:tr>
      <w:tr w14:paraId="1889798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438" w:hRule="atLeast"/>
          <w:jc w:val="center"/>
        </w:trPr>
        <w:tc>
          <w:tcPr>
            <w:tcW w:w="428" w:type="dxa"/>
            <w:vMerge w:val="restart"/>
            <w:tcBorders>
              <w:tl2br w:val="nil"/>
              <w:tr2bl w:val="nil"/>
            </w:tcBorders>
            <w:tcMar>
              <w:top w:w="15" w:type="dxa"/>
              <w:left w:w="15" w:type="dxa"/>
              <w:bottom w:w="15" w:type="dxa"/>
              <w:right w:w="15" w:type="dxa"/>
            </w:tcMar>
            <w:vAlign w:val="center"/>
          </w:tcPr>
          <w:p w14:paraId="4369EE7A">
            <w:pPr>
              <w:keepNext w:val="0"/>
              <w:keepLines w:val="0"/>
              <w:pageBreakBefore w:val="0"/>
              <w:widowControl/>
              <w:numPr>
                <w:ilvl w:val="0"/>
                <w:numId w:val="11"/>
              </w:numPr>
              <w:suppressLineNumbers w:val="0"/>
              <w:tabs>
                <w:tab w:val="clear" w:pos="397"/>
              </w:tabs>
              <w:kinsoku/>
              <w:overflowPunct/>
              <w:topLinePunct w:val="0"/>
              <w:autoSpaceDE/>
              <w:autoSpaceDN/>
              <w:bidi w:val="0"/>
              <w:adjustRightInd/>
              <w:snapToGrid/>
              <w:spacing w:beforeAutospacing="0" w:afterAutospacing="0" w:line="260" w:lineRule="exact"/>
              <w:ind w:left="638" w:leftChars="88" w:right="0" w:rightChars="0" w:hanging="453" w:hangingChars="349"/>
              <w:jc w:val="center"/>
              <w:textAlignment w:val="center"/>
              <w:rPr>
                <w:rFonts w:hint="default" w:ascii="仿宋_GB2312" w:hAnsi="宋体" w:eastAsia="仿宋_GB2312" w:cs="宋体"/>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333</w:t>
            </w:r>
          </w:p>
        </w:tc>
        <w:tc>
          <w:tcPr>
            <w:tcW w:w="1550" w:type="dxa"/>
            <w:vMerge w:val="restart"/>
            <w:tcBorders>
              <w:tl2br w:val="nil"/>
              <w:tr2bl w:val="nil"/>
            </w:tcBorders>
            <w:tcMar>
              <w:top w:w="15" w:type="dxa"/>
              <w:left w:w="15" w:type="dxa"/>
              <w:bottom w:w="15" w:type="dxa"/>
              <w:right w:w="15" w:type="dxa"/>
            </w:tcMar>
            <w:vAlign w:val="center"/>
          </w:tcPr>
          <w:p w14:paraId="46282F7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hint="eastAsia" w:ascii="仿宋_GB2312" w:hAnsi="宋体" w:eastAsia="仿宋_GB2312" w:cs="宋体"/>
                <w:color w:val="auto"/>
                <w:kern w:val="0"/>
                <w:sz w:val="13"/>
                <w:szCs w:val="13"/>
                <w:highlight w:val="none"/>
                <w:lang w:eastAsia="zh-CN"/>
              </w:rPr>
            </w:pPr>
            <w:r>
              <w:rPr>
                <w:rFonts w:hint="eastAsia" w:ascii="仿宋_GB2312" w:hAnsi="宋体" w:eastAsia="仿宋_GB2312" w:cs="宋体"/>
                <w:color w:val="auto"/>
                <w:kern w:val="0"/>
                <w:sz w:val="13"/>
                <w:szCs w:val="13"/>
                <w:highlight w:val="none"/>
              </w:rPr>
              <w:t>城市桥梁产权人或者委托管理人有下列行为之一的</w:t>
            </w:r>
            <w:r>
              <w:rPr>
                <w:rFonts w:hint="eastAsia" w:ascii="仿宋_GB2312" w:hAnsi="宋体" w:eastAsia="仿宋_GB2312" w:cs="宋体"/>
                <w:color w:val="auto"/>
                <w:kern w:val="0"/>
                <w:sz w:val="13"/>
                <w:szCs w:val="13"/>
                <w:highlight w:val="none"/>
                <w:lang w:eastAsia="zh-CN"/>
              </w:rPr>
              <w:t>：</w:t>
            </w:r>
          </w:p>
          <w:p w14:paraId="264A5FB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一）未按照规定编制城市桥梁养护维修的中长期规划和年度计划，或者未经批准即实施的；(二)未按照规定设置相应的标志，并保持其完好、清晰的；(三)未按照规定委托具有相应资格的机构对城市桥梁进行检测评估的；(四)未按照规定制定城市桥梁的安全抢险预备方案的；(五)未按照规定对城市桥梁进行养护维修的。</w:t>
            </w:r>
          </w:p>
        </w:tc>
        <w:tc>
          <w:tcPr>
            <w:tcW w:w="4820" w:type="dxa"/>
            <w:vMerge w:val="restart"/>
            <w:tcBorders>
              <w:tl2br w:val="nil"/>
              <w:tr2bl w:val="nil"/>
            </w:tcBorders>
            <w:tcMar>
              <w:top w:w="15" w:type="dxa"/>
              <w:left w:w="15" w:type="dxa"/>
              <w:bottom w:w="15" w:type="dxa"/>
              <w:right w:w="15" w:type="dxa"/>
            </w:tcMar>
            <w:vAlign w:val="center"/>
          </w:tcPr>
          <w:p w14:paraId="0FF1B04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kern w:val="0"/>
                <w:sz w:val="13"/>
                <w:szCs w:val="13"/>
                <w:highlight w:val="none"/>
              </w:rPr>
            </w:pPr>
            <w:r>
              <w:rPr>
                <w:rFonts w:hint="eastAsia" w:ascii="仿宋_GB2312" w:hAnsi="宋体" w:eastAsia="仿宋_GB2312" w:cs="宋体"/>
                <w:color w:val="auto"/>
                <w:kern w:val="0"/>
                <w:sz w:val="13"/>
                <w:szCs w:val="13"/>
                <w:highlight w:val="none"/>
              </w:rPr>
              <w:t>《城市桥梁检测和养护维修管理办法》</w:t>
            </w:r>
            <w:r>
              <w:rPr>
                <w:rFonts w:hint="eastAsia" w:ascii="仿宋_GB2312" w:hAnsi="宋体" w:eastAsia="仿宋_GB2312" w:cs="宋体"/>
                <w:b/>
                <w:bCs/>
                <w:color w:val="auto"/>
                <w:kern w:val="0"/>
                <w:sz w:val="13"/>
                <w:szCs w:val="13"/>
                <w:highlight w:val="none"/>
              </w:rPr>
              <w:t>第二十五条</w:t>
            </w:r>
            <w:r>
              <w:rPr>
                <w:rFonts w:hint="eastAsia" w:ascii="仿宋_GB2312" w:hAnsi="宋体" w:eastAsia="仿宋_GB2312" w:cs="宋体"/>
                <w:b/>
                <w:bCs/>
                <w:color w:val="auto"/>
                <w:kern w:val="0"/>
                <w:sz w:val="13"/>
                <w:szCs w:val="13"/>
                <w:highlight w:val="none"/>
                <w:lang w:eastAsia="zh-CN"/>
              </w:rPr>
              <w:t>：</w:t>
            </w:r>
            <w:r>
              <w:rPr>
                <w:rFonts w:hint="eastAsia" w:ascii="仿宋_GB2312" w:hAnsi="宋体" w:eastAsia="仿宋_GB2312" w:cs="宋体"/>
                <w:color w:val="auto"/>
                <w:kern w:val="0"/>
                <w:sz w:val="13"/>
                <w:szCs w:val="13"/>
                <w:highlight w:val="none"/>
              </w:rPr>
              <w:t>城市桥梁产权人或者委托管理人有下列行为之一的，由城市人民政府市政工程设施行政主管部门责令限期改正，并可处1000元以上5000元以下的罚款：（一）未按照规定编制城市桥梁养护维修的中长期规划和年度计划，或者未经批准即实施的；(二)未按照规定设置相应的标志，并保持其完好、清晰的；(三)未按照规定委托具有相应资格的机构对城市桥梁进行检测评估的；(四)未按照规定制定城市桥梁的安全抢险预备方案的；(五)未按照规定对城市桥梁进行养护维修的。</w:t>
            </w:r>
          </w:p>
        </w:tc>
        <w:tc>
          <w:tcPr>
            <w:tcW w:w="823" w:type="dxa"/>
            <w:tcBorders>
              <w:tl2br w:val="nil"/>
              <w:tr2bl w:val="nil"/>
            </w:tcBorders>
            <w:tcMar>
              <w:top w:w="15" w:type="dxa"/>
              <w:left w:w="15" w:type="dxa"/>
              <w:bottom w:w="15" w:type="dxa"/>
              <w:right w:w="15" w:type="dxa"/>
            </w:tcMar>
            <w:vAlign w:val="center"/>
          </w:tcPr>
          <w:p w14:paraId="4F07E75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从轻情节</w:t>
            </w:r>
          </w:p>
        </w:tc>
        <w:tc>
          <w:tcPr>
            <w:tcW w:w="3437" w:type="dxa"/>
            <w:gridSpan w:val="2"/>
            <w:tcBorders>
              <w:tl2br w:val="nil"/>
              <w:tr2bl w:val="nil"/>
            </w:tcBorders>
            <w:tcMar>
              <w:top w:w="15" w:type="dxa"/>
              <w:left w:w="15" w:type="dxa"/>
              <w:bottom w:w="15" w:type="dxa"/>
              <w:right w:w="15" w:type="dxa"/>
            </w:tcMar>
            <w:vAlign w:val="center"/>
          </w:tcPr>
          <w:p w14:paraId="673ABFB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初次违法，危害后果轻微，积极采取改正措施消除影响的。</w:t>
            </w:r>
          </w:p>
        </w:tc>
        <w:tc>
          <w:tcPr>
            <w:tcW w:w="3058" w:type="dxa"/>
            <w:tcBorders>
              <w:tl2br w:val="nil"/>
              <w:tr2bl w:val="nil"/>
            </w:tcBorders>
            <w:tcMar>
              <w:top w:w="15" w:type="dxa"/>
              <w:left w:w="15" w:type="dxa"/>
              <w:bottom w:w="15" w:type="dxa"/>
              <w:right w:w="15" w:type="dxa"/>
            </w:tcMar>
            <w:vAlign w:val="center"/>
          </w:tcPr>
          <w:p w14:paraId="1D9EB3F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责令限期改正，并可处以1千元的罚款。</w:t>
            </w:r>
          </w:p>
        </w:tc>
      </w:tr>
      <w:tr w14:paraId="19F7844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411" w:hRule="atLeast"/>
          <w:jc w:val="center"/>
        </w:trPr>
        <w:tc>
          <w:tcPr>
            <w:tcW w:w="428" w:type="dxa"/>
            <w:vMerge w:val="continue"/>
            <w:tcBorders>
              <w:tl2br w:val="nil"/>
              <w:tr2bl w:val="nil"/>
            </w:tcBorders>
            <w:vAlign w:val="center"/>
          </w:tcPr>
          <w:p w14:paraId="0E5F91ED">
            <w:pPr>
              <w:pStyle w:val="37"/>
              <w:keepNext w:val="0"/>
              <w:keepLines w:val="0"/>
              <w:pageBreakBefore w:val="0"/>
              <w:widowControl/>
              <w:numPr>
                <w:ilvl w:val="0"/>
                <w:numId w:val="12"/>
              </w:numPr>
              <w:kinsoku/>
              <w:overflowPunct/>
              <w:topLinePunct w:val="0"/>
              <w:autoSpaceDE/>
              <w:autoSpaceDN/>
              <w:bidi w:val="0"/>
              <w:adjustRightInd/>
              <w:snapToGrid/>
              <w:spacing w:beforeAutospacing="0" w:afterAutospacing="0" w:line="260" w:lineRule="exact"/>
              <w:ind w:left="638" w:leftChars="88" w:right="0" w:rightChars="0" w:hanging="453" w:hangingChars="349"/>
              <w:jc w:val="center"/>
              <w:rPr>
                <w:rFonts w:ascii="仿宋_GB2312" w:hAnsi="宋体" w:eastAsia="仿宋_GB2312" w:cs="宋体"/>
                <w:color w:val="auto"/>
                <w:sz w:val="13"/>
                <w:szCs w:val="13"/>
                <w:highlight w:val="none"/>
              </w:rPr>
            </w:pPr>
          </w:p>
        </w:tc>
        <w:tc>
          <w:tcPr>
            <w:tcW w:w="1550" w:type="dxa"/>
            <w:vMerge w:val="continue"/>
            <w:tcBorders>
              <w:tl2br w:val="nil"/>
              <w:tr2bl w:val="nil"/>
            </w:tcBorders>
            <w:vAlign w:val="center"/>
          </w:tcPr>
          <w:p w14:paraId="77899A7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sz w:val="13"/>
                <w:szCs w:val="13"/>
                <w:highlight w:val="none"/>
              </w:rPr>
            </w:pPr>
          </w:p>
        </w:tc>
        <w:tc>
          <w:tcPr>
            <w:tcW w:w="4820" w:type="dxa"/>
            <w:vMerge w:val="continue"/>
            <w:tcBorders>
              <w:tl2br w:val="nil"/>
              <w:tr2bl w:val="nil"/>
            </w:tcBorders>
            <w:vAlign w:val="center"/>
          </w:tcPr>
          <w:p w14:paraId="297CBBB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7F1196B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一般情节</w:t>
            </w:r>
          </w:p>
        </w:tc>
        <w:tc>
          <w:tcPr>
            <w:tcW w:w="3437" w:type="dxa"/>
            <w:gridSpan w:val="2"/>
            <w:tcBorders>
              <w:tl2br w:val="nil"/>
              <w:tr2bl w:val="nil"/>
            </w:tcBorders>
            <w:tcMar>
              <w:top w:w="15" w:type="dxa"/>
              <w:left w:w="15" w:type="dxa"/>
              <w:bottom w:w="15" w:type="dxa"/>
              <w:right w:w="15" w:type="dxa"/>
            </w:tcMar>
            <w:vAlign w:val="center"/>
          </w:tcPr>
          <w:p w14:paraId="19E7F5C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不具有从轻、</w:t>
            </w:r>
            <w:r>
              <w:rPr>
                <w:rFonts w:hint="eastAsia" w:ascii="仿宋_GB2312" w:hAnsi="宋体" w:eastAsia="仿宋_GB2312" w:cs="宋体"/>
                <w:color w:val="auto"/>
                <w:kern w:val="0"/>
                <w:sz w:val="13"/>
                <w:szCs w:val="13"/>
                <w:highlight w:val="none"/>
                <w:lang w:eastAsia="zh-CN"/>
              </w:rPr>
              <w:t>从重情节</w:t>
            </w:r>
            <w:r>
              <w:rPr>
                <w:rFonts w:hint="eastAsia" w:ascii="仿宋_GB2312" w:hAnsi="宋体" w:eastAsia="仿宋_GB2312" w:cs="宋体"/>
                <w:color w:val="auto"/>
                <w:kern w:val="0"/>
                <w:sz w:val="13"/>
                <w:szCs w:val="13"/>
                <w:highlight w:val="none"/>
              </w:rPr>
              <w:t>的。</w:t>
            </w:r>
          </w:p>
        </w:tc>
        <w:tc>
          <w:tcPr>
            <w:tcW w:w="3058" w:type="dxa"/>
            <w:tcBorders>
              <w:tl2br w:val="nil"/>
              <w:tr2bl w:val="nil"/>
            </w:tcBorders>
            <w:tcMar>
              <w:top w:w="15" w:type="dxa"/>
              <w:left w:w="15" w:type="dxa"/>
              <w:bottom w:w="15" w:type="dxa"/>
              <w:right w:w="15" w:type="dxa"/>
            </w:tcMar>
            <w:vAlign w:val="center"/>
          </w:tcPr>
          <w:p w14:paraId="3F9BF00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责令限期改正，并可处以1千元以上3千元以下的罚款。</w:t>
            </w:r>
          </w:p>
        </w:tc>
      </w:tr>
      <w:tr w14:paraId="366B876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390" w:hRule="atLeast"/>
          <w:jc w:val="center"/>
        </w:trPr>
        <w:tc>
          <w:tcPr>
            <w:tcW w:w="428" w:type="dxa"/>
            <w:vMerge w:val="continue"/>
            <w:tcBorders>
              <w:tl2br w:val="nil"/>
              <w:tr2bl w:val="nil"/>
            </w:tcBorders>
            <w:vAlign w:val="center"/>
          </w:tcPr>
          <w:p w14:paraId="36748FBF">
            <w:pPr>
              <w:pStyle w:val="37"/>
              <w:keepNext w:val="0"/>
              <w:keepLines w:val="0"/>
              <w:pageBreakBefore w:val="0"/>
              <w:widowControl/>
              <w:numPr>
                <w:ilvl w:val="0"/>
                <w:numId w:val="12"/>
              </w:numPr>
              <w:kinsoku/>
              <w:overflowPunct/>
              <w:topLinePunct w:val="0"/>
              <w:autoSpaceDE/>
              <w:autoSpaceDN/>
              <w:bidi w:val="0"/>
              <w:adjustRightInd/>
              <w:snapToGrid/>
              <w:spacing w:beforeAutospacing="0" w:afterAutospacing="0" w:line="260" w:lineRule="exact"/>
              <w:ind w:left="638" w:leftChars="88" w:right="0" w:rightChars="0" w:hanging="453" w:hangingChars="349"/>
              <w:jc w:val="center"/>
              <w:rPr>
                <w:rFonts w:ascii="仿宋_GB2312" w:hAnsi="宋体" w:eastAsia="仿宋_GB2312" w:cs="宋体"/>
                <w:color w:val="auto"/>
                <w:sz w:val="13"/>
                <w:szCs w:val="13"/>
                <w:highlight w:val="none"/>
              </w:rPr>
            </w:pPr>
          </w:p>
        </w:tc>
        <w:tc>
          <w:tcPr>
            <w:tcW w:w="1550" w:type="dxa"/>
            <w:vMerge w:val="continue"/>
            <w:tcBorders>
              <w:tl2br w:val="nil"/>
              <w:tr2bl w:val="nil"/>
            </w:tcBorders>
            <w:vAlign w:val="center"/>
          </w:tcPr>
          <w:p w14:paraId="4A5446C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sz w:val="13"/>
                <w:szCs w:val="13"/>
                <w:highlight w:val="none"/>
              </w:rPr>
            </w:pPr>
          </w:p>
        </w:tc>
        <w:tc>
          <w:tcPr>
            <w:tcW w:w="4820" w:type="dxa"/>
            <w:vMerge w:val="continue"/>
            <w:tcBorders>
              <w:tl2br w:val="nil"/>
              <w:tr2bl w:val="nil"/>
            </w:tcBorders>
            <w:vAlign w:val="center"/>
          </w:tcPr>
          <w:p w14:paraId="541203D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182ED5C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从重情节</w:t>
            </w:r>
          </w:p>
        </w:tc>
        <w:tc>
          <w:tcPr>
            <w:tcW w:w="3437" w:type="dxa"/>
            <w:gridSpan w:val="2"/>
            <w:tcBorders>
              <w:tl2br w:val="nil"/>
              <w:tr2bl w:val="nil"/>
            </w:tcBorders>
            <w:tcMar>
              <w:top w:w="15" w:type="dxa"/>
              <w:left w:w="15" w:type="dxa"/>
              <w:bottom w:w="15" w:type="dxa"/>
              <w:right w:w="15" w:type="dxa"/>
            </w:tcMar>
            <w:vAlign w:val="center"/>
          </w:tcPr>
          <w:p w14:paraId="333A933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曾因实施该违法行为被查处，再次实施该违法行为的</w:t>
            </w:r>
            <w:r>
              <w:rPr>
                <w:rFonts w:hint="eastAsia" w:ascii="仿宋_GB2312" w:hAnsi="宋体" w:eastAsia="仿宋_GB2312" w:cs="宋体"/>
                <w:color w:val="auto"/>
                <w:kern w:val="0"/>
                <w:sz w:val="13"/>
                <w:szCs w:val="13"/>
                <w:highlight w:val="none"/>
                <w:lang w:eastAsia="zh-CN"/>
              </w:rPr>
              <w:t>，</w:t>
            </w:r>
            <w:r>
              <w:rPr>
                <w:rFonts w:hint="eastAsia" w:ascii="仿宋_GB2312" w:hAnsi="宋体" w:eastAsia="仿宋_GB2312" w:cs="宋体"/>
                <w:color w:val="auto"/>
                <w:kern w:val="0"/>
                <w:sz w:val="13"/>
                <w:szCs w:val="13"/>
                <w:highlight w:val="none"/>
                <w:lang w:val="en-US" w:eastAsia="zh-CN"/>
              </w:rPr>
              <w:t>或因实施违法行为</w:t>
            </w:r>
            <w:r>
              <w:rPr>
                <w:rFonts w:hint="eastAsia" w:ascii="仿宋_GB2312" w:hAnsi="宋体" w:eastAsia="仿宋_GB2312" w:cs="宋体"/>
                <w:color w:val="auto"/>
                <w:kern w:val="0"/>
                <w:sz w:val="13"/>
                <w:szCs w:val="13"/>
                <w:highlight w:val="none"/>
              </w:rPr>
              <w:t>造成严重危害后果的。</w:t>
            </w:r>
          </w:p>
        </w:tc>
        <w:tc>
          <w:tcPr>
            <w:tcW w:w="3058" w:type="dxa"/>
            <w:tcBorders>
              <w:tl2br w:val="nil"/>
              <w:tr2bl w:val="nil"/>
            </w:tcBorders>
            <w:tcMar>
              <w:top w:w="15" w:type="dxa"/>
              <w:left w:w="15" w:type="dxa"/>
              <w:bottom w:w="15" w:type="dxa"/>
              <w:right w:w="15" w:type="dxa"/>
            </w:tcMar>
            <w:vAlign w:val="center"/>
          </w:tcPr>
          <w:p w14:paraId="7A7AC03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责令限期改正，并可处以3千元以上5千元以下的罚款。</w:t>
            </w:r>
          </w:p>
        </w:tc>
      </w:tr>
      <w:tr w14:paraId="1FFC7C1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169" w:hRule="atLeast"/>
          <w:jc w:val="center"/>
        </w:trPr>
        <w:tc>
          <w:tcPr>
            <w:tcW w:w="428" w:type="dxa"/>
            <w:vMerge w:val="restart"/>
            <w:tcBorders>
              <w:tl2br w:val="nil"/>
              <w:tr2bl w:val="nil"/>
            </w:tcBorders>
            <w:tcMar>
              <w:top w:w="15" w:type="dxa"/>
              <w:left w:w="15" w:type="dxa"/>
              <w:bottom w:w="15" w:type="dxa"/>
              <w:right w:w="15" w:type="dxa"/>
            </w:tcMar>
            <w:vAlign w:val="center"/>
          </w:tcPr>
          <w:p w14:paraId="7B50615A">
            <w:pPr>
              <w:keepNext w:val="0"/>
              <w:keepLines w:val="0"/>
              <w:pageBreakBefore w:val="0"/>
              <w:widowControl/>
              <w:numPr>
                <w:ilvl w:val="0"/>
                <w:numId w:val="11"/>
              </w:numPr>
              <w:suppressLineNumbers w:val="0"/>
              <w:tabs>
                <w:tab w:val="clear" w:pos="397"/>
              </w:tabs>
              <w:kinsoku/>
              <w:overflowPunct/>
              <w:topLinePunct w:val="0"/>
              <w:autoSpaceDE/>
              <w:autoSpaceDN/>
              <w:bidi w:val="0"/>
              <w:adjustRightInd/>
              <w:snapToGrid/>
              <w:spacing w:beforeAutospacing="0" w:afterAutospacing="0" w:line="260" w:lineRule="exact"/>
              <w:ind w:left="638" w:leftChars="88" w:right="0" w:rightChars="0" w:hanging="453" w:hangingChars="349"/>
              <w:jc w:val="center"/>
              <w:textAlignment w:val="center"/>
              <w:rPr>
                <w:rFonts w:hint="default" w:ascii="仿宋_GB2312" w:hAnsi="宋体" w:eastAsia="仿宋_GB2312" w:cs="宋体"/>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334</w:t>
            </w:r>
          </w:p>
        </w:tc>
        <w:tc>
          <w:tcPr>
            <w:tcW w:w="1550" w:type="dxa"/>
            <w:vMerge w:val="restart"/>
            <w:tcBorders>
              <w:tl2br w:val="nil"/>
              <w:tr2bl w:val="nil"/>
            </w:tcBorders>
            <w:tcMar>
              <w:top w:w="15" w:type="dxa"/>
              <w:left w:w="15" w:type="dxa"/>
              <w:bottom w:w="15" w:type="dxa"/>
              <w:right w:w="15" w:type="dxa"/>
            </w:tcMar>
            <w:vAlign w:val="center"/>
          </w:tcPr>
          <w:p w14:paraId="5850BA8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单位或者个人擅自在城市桥梁上架设各类管线、设置广告等辅助物的</w:t>
            </w:r>
          </w:p>
        </w:tc>
        <w:tc>
          <w:tcPr>
            <w:tcW w:w="4820" w:type="dxa"/>
            <w:vMerge w:val="restart"/>
            <w:tcBorders>
              <w:tl2br w:val="nil"/>
              <w:tr2bl w:val="nil"/>
            </w:tcBorders>
            <w:tcMar>
              <w:top w:w="15" w:type="dxa"/>
              <w:left w:w="15" w:type="dxa"/>
              <w:bottom w:w="15" w:type="dxa"/>
              <w:right w:w="15" w:type="dxa"/>
            </w:tcMar>
            <w:vAlign w:val="center"/>
          </w:tcPr>
          <w:p w14:paraId="0608851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宋体"/>
                <w:color w:val="auto"/>
                <w:kern w:val="0"/>
                <w:sz w:val="13"/>
                <w:szCs w:val="13"/>
                <w:highlight w:val="none"/>
              </w:rPr>
            </w:pPr>
            <w:r>
              <w:rPr>
                <w:rFonts w:hint="eastAsia" w:ascii="仿宋_GB2312" w:hAnsi="宋体" w:eastAsia="仿宋_GB2312" w:cs="宋体"/>
                <w:color w:val="auto"/>
                <w:kern w:val="0"/>
                <w:sz w:val="13"/>
                <w:szCs w:val="13"/>
                <w:highlight w:val="none"/>
              </w:rPr>
              <w:t>《城市桥梁检测和养护维修管理办法》</w:t>
            </w:r>
            <w:r>
              <w:rPr>
                <w:rFonts w:hint="eastAsia" w:ascii="仿宋_GB2312" w:hAnsi="宋体" w:eastAsia="仿宋_GB2312" w:cs="宋体"/>
                <w:b/>
                <w:bCs/>
                <w:color w:val="auto"/>
                <w:kern w:val="0"/>
                <w:sz w:val="13"/>
                <w:szCs w:val="13"/>
                <w:highlight w:val="none"/>
              </w:rPr>
              <w:t>第二十六条</w:t>
            </w:r>
            <w:r>
              <w:rPr>
                <w:rFonts w:hint="eastAsia" w:ascii="仿宋_GB2312" w:hAnsi="宋体" w:eastAsia="仿宋_GB2312" w:cs="宋体"/>
                <w:b/>
                <w:bCs/>
                <w:color w:val="auto"/>
                <w:kern w:val="0"/>
                <w:sz w:val="13"/>
                <w:szCs w:val="13"/>
                <w:highlight w:val="none"/>
                <w:lang w:eastAsia="zh-CN"/>
              </w:rPr>
              <w:t>：</w:t>
            </w:r>
            <w:r>
              <w:rPr>
                <w:rFonts w:hint="eastAsia" w:ascii="仿宋_GB2312" w:hAnsi="宋体" w:eastAsia="仿宋_GB2312" w:cs="宋体"/>
                <w:color w:val="auto"/>
                <w:kern w:val="0"/>
                <w:sz w:val="13"/>
                <w:szCs w:val="13"/>
                <w:highlight w:val="none"/>
              </w:rPr>
              <w:t>单位或者个人擅自在城市桥梁上架设各类管线、设置广告等辅助物的，由城市人民政府市政工程设施行政主管部门责令限期改正，并可处2万元以下的罚款；造成损失的，依法承担赔偿责任。</w:t>
            </w:r>
          </w:p>
        </w:tc>
        <w:tc>
          <w:tcPr>
            <w:tcW w:w="823" w:type="dxa"/>
            <w:tcBorders>
              <w:tl2br w:val="nil"/>
              <w:tr2bl w:val="nil"/>
            </w:tcBorders>
            <w:tcMar>
              <w:top w:w="15" w:type="dxa"/>
              <w:left w:w="15" w:type="dxa"/>
              <w:bottom w:w="15" w:type="dxa"/>
              <w:right w:w="15" w:type="dxa"/>
            </w:tcMar>
            <w:vAlign w:val="center"/>
          </w:tcPr>
          <w:p w14:paraId="5501CEF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从轻情节</w:t>
            </w:r>
          </w:p>
        </w:tc>
        <w:tc>
          <w:tcPr>
            <w:tcW w:w="3437" w:type="dxa"/>
            <w:gridSpan w:val="2"/>
            <w:tcBorders>
              <w:tl2br w:val="nil"/>
              <w:tr2bl w:val="nil"/>
            </w:tcBorders>
            <w:tcMar>
              <w:top w:w="15" w:type="dxa"/>
              <w:left w:w="15" w:type="dxa"/>
              <w:bottom w:w="15" w:type="dxa"/>
              <w:right w:w="15" w:type="dxa"/>
            </w:tcMar>
            <w:vAlign w:val="center"/>
          </w:tcPr>
          <w:p w14:paraId="76A80CD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初次违法，危害后果轻微，积极采取改正措施消除影响的。</w:t>
            </w:r>
          </w:p>
        </w:tc>
        <w:tc>
          <w:tcPr>
            <w:tcW w:w="3058" w:type="dxa"/>
            <w:tcBorders>
              <w:tl2br w:val="nil"/>
              <w:tr2bl w:val="nil"/>
            </w:tcBorders>
            <w:tcMar>
              <w:top w:w="15" w:type="dxa"/>
              <w:left w:w="15" w:type="dxa"/>
              <w:bottom w:w="15" w:type="dxa"/>
              <w:right w:w="15" w:type="dxa"/>
            </w:tcMar>
            <w:vAlign w:val="center"/>
          </w:tcPr>
          <w:p w14:paraId="2196EF8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责令限期改正，并可处5千元以下的罚款。</w:t>
            </w:r>
          </w:p>
        </w:tc>
      </w:tr>
      <w:tr w14:paraId="6033C00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91" w:hRule="atLeast"/>
          <w:jc w:val="center"/>
        </w:trPr>
        <w:tc>
          <w:tcPr>
            <w:tcW w:w="428" w:type="dxa"/>
            <w:vMerge w:val="continue"/>
            <w:tcBorders>
              <w:tl2br w:val="nil"/>
              <w:tr2bl w:val="nil"/>
            </w:tcBorders>
            <w:vAlign w:val="center"/>
          </w:tcPr>
          <w:p w14:paraId="65EFE71A">
            <w:pPr>
              <w:pStyle w:val="37"/>
              <w:keepNext w:val="0"/>
              <w:keepLines w:val="0"/>
              <w:pageBreakBefore w:val="0"/>
              <w:widowControl/>
              <w:numPr>
                <w:ilvl w:val="0"/>
                <w:numId w:val="12"/>
              </w:numPr>
              <w:kinsoku/>
              <w:overflowPunct/>
              <w:topLinePunct w:val="0"/>
              <w:autoSpaceDE/>
              <w:autoSpaceDN/>
              <w:bidi w:val="0"/>
              <w:adjustRightInd/>
              <w:snapToGrid/>
              <w:spacing w:beforeAutospacing="0" w:afterAutospacing="0" w:line="260" w:lineRule="exact"/>
              <w:ind w:left="638" w:leftChars="88" w:right="0" w:rightChars="0" w:hanging="453" w:hangingChars="349"/>
              <w:jc w:val="center"/>
              <w:rPr>
                <w:rFonts w:ascii="仿宋_GB2312" w:hAnsi="宋体" w:eastAsia="仿宋_GB2312" w:cs="宋体"/>
                <w:color w:val="auto"/>
                <w:sz w:val="13"/>
                <w:szCs w:val="13"/>
                <w:highlight w:val="none"/>
              </w:rPr>
            </w:pPr>
          </w:p>
        </w:tc>
        <w:tc>
          <w:tcPr>
            <w:tcW w:w="1550" w:type="dxa"/>
            <w:vMerge w:val="continue"/>
            <w:tcBorders>
              <w:tl2br w:val="nil"/>
              <w:tr2bl w:val="nil"/>
            </w:tcBorders>
            <w:vAlign w:val="center"/>
          </w:tcPr>
          <w:p w14:paraId="4427B11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s="宋体"/>
                <w:color w:val="auto"/>
                <w:sz w:val="13"/>
                <w:szCs w:val="13"/>
                <w:highlight w:val="none"/>
              </w:rPr>
            </w:pPr>
          </w:p>
        </w:tc>
        <w:tc>
          <w:tcPr>
            <w:tcW w:w="4820" w:type="dxa"/>
            <w:vMerge w:val="continue"/>
            <w:tcBorders>
              <w:tl2br w:val="nil"/>
              <w:tr2bl w:val="nil"/>
            </w:tcBorders>
            <w:vAlign w:val="center"/>
          </w:tcPr>
          <w:p w14:paraId="442A05D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s="宋体"/>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16A0211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一般情节</w:t>
            </w:r>
          </w:p>
        </w:tc>
        <w:tc>
          <w:tcPr>
            <w:tcW w:w="3437" w:type="dxa"/>
            <w:gridSpan w:val="2"/>
            <w:tcBorders>
              <w:tl2br w:val="nil"/>
              <w:tr2bl w:val="nil"/>
            </w:tcBorders>
            <w:tcMar>
              <w:top w:w="15" w:type="dxa"/>
              <w:left w:w="15" w:type="dxa"/>
              <w:bottom w:w="15" w:type="dxa"/>
              <w:right w:w="15" w:type="dxa"/>
            </w:tcMar>
            <w:vAlign w:val="center"/>
          </w:tcPr>
          <w:p w14:paraId="0BA196D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不具有从轻、</w:t>
            </w:r>
            <w:r>
              <w:rPr>
                <w:rFonts w:hint="eastAsia" w:ascii="仿宋_GB2312" w:hAnsi="宋体" w:eastAsia="仿宋_GB2312" w:cs="宋体"/>
                <w:color w:val="auto"/>
                <w:kern w:val="0"/>
                <w:sz w:val="13"/>
                <w:szCs w:val="13"/>
                <w:highlight w:val="none"/>
                <w:lang w:eastAsia="zh-CN"/>
              </w:rPr>
              <w:t>从重情节</w:t>
            </w:r>
            <w:r>
              <w:rPr>
                <w:rFonts w:hint="eastAsia" w:ascii="仿宋_GB2312" w:hAnsi="宋体" w:eastAsia="仿宋_GB2312" w:cs="宋体"/>
                <w:color w:val="auto"/>
                <w:kern w:val="0"/>
                <w:sz w:val="13"/>
                <w:szCs w:val="13"/>
                <w:highlight w:val="none"/>
              </w:rPr>
              <w:t>的。</w:t>
            </w:r>
          </w:p>
        </w:tc>
        <w:tc>
          <w:tcPr>
            <w:tcW w:w="3058" w:type="dxa"/>
            <w:tcBorders>
              <w:tl2br w:val="nil"/>
              <w:tr2bl w:val="nil"/>
            </w:tcBorders>
            <w:tcMar>
              <w:top w:w="15" w:type="dxa"/>
              <w:left w:w="15" w:type="dxa"/>
              <w:bottom w:w="15" w:type="dxa"/>
              <w:right w:w="15" w:type="dxa"/>
            </w:tcMar>
            <w:vAlign w:val="center"/>
          </w:tcPr>
          <w:p w14:paraId="4A58CD7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责令限期改正，并可处5千元以上1万元以下的罚款。</w:t>
            </w:r>
          </w:p>
        </w:tc>
      </w:tr>
      <w:tr w14:paraId="7C6751A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247" w:hRule="atLeast"/>
          <w:jc w:val="center"/>
        </w:trPr>
        <w:tc>
          <w:tcPr>
            <w:tcW w:w="428" w:type="dxa"/>
            <w:vMerge w:val="continue"/>
            <w:tcBorders>
              <w:tl2br w:val="nil"/>
              <w:tr2bl w:val="nil"/>
            </w:tcBorders>
            <w:vAlign w:val="center"/>
          </w:tcPr>
          <w:p w14:paraId="73608B1F">
            <w:pPr>
              <w:pStyle w:val="37"/>
              <w:keepNext w:val="0"/>
              <w:keepLines w:val="0"/>
              <w:pageBreakBefore w:val="0"/>
              <w:widowControl/>
              <w:numPr>
                <w:ilvl w:val="0"/>
                <w:numId w:val="12"/>
              </w:numPr>
              <w:kinsoku/>
              <w:overflowPunct/>
              <w:topLinePunct w:val="0"/>
              <w:autoSpaceDE/>
              <w:autoSpaceDN/>
              <w:bidi w:val="0"/>
              <w:adjustRightInd/>
              <w:snapToGrid/>
              <w:spacing w:beforeAutospacing="0" w:afterAutospacing="0" w:line="260" w:lineRule="exact"/>
              <w:ind w:left="638" w:leftChars="88" w:right="0" w:rightChars="0" w:hanging="453" w:hangingChars="349"/>
              <w:jc w:val="center"/>
              <w:rPr>
                <w:rFonts w:ascii="仿宋_GB2312" w:hAnsi="宋体" w:eastAsia="仿宋_GB2312" w:cs="宋体"/>
                <w:color w:val="auto"/>
                <w:sz w:val="13"/>
                <w:szCs w:val="13"/>
                <w:highlight w:val="none"/>
              </w:rPr>
            </w:pPr>
          </w:p>
        </w:tc>
        <w:tc>
          <w:tcPr>
            <w:tcW w:w="1550" w:type="dxa"/>
            <w:vMerge w:val="continue"/>
            <w:tcBorders>
              <w:tl2br w:val="nil"/>
              <w:tr2bl w:val="nil"/>
            </w:tcBorders>
            <w:vAlign w:val="center"/>
          </w:tcPr>
          <w:p w14:paraId="4FB7606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s="宋体"/>
                <w:color w:val="auto"/>
                <w:sz w:val="13"/>
                <w:szCs w:val="13"/>
                <w:highlight w:val="none"/>
              </w:rPr>
            </w:pPr>
          </w:p>
        </w:tc>
        <w:tc>
          <w:tcPr>
            <w:tcW w:w="4820" w:type="dxa"/>
            <w:vMerge w:val="continue"/>
            <w:tcBorders>
              <w:tl2br w:val="nil"/>
              <w:tr2bl w:val="nil"/>
            </w:tcBorders>
            <w:vAlign w:val="center"/>
          </w:tcPr>
          <w:p w14:paraId="5506D79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s="宋体"/>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374549A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从重情节</w:t>
            </w:r>
          </w:p>
        </w:tc>
        <w:tc>
          <w:tcPr>
            <w:tcW w:w="3437" w:type="dxa"/>
            <w:gridSpan w:val="2"/>
            <w:tcBorders>
              <w:tl2br w:val="nil"/>
              <w:tr2bl w:val="nil"/>
            </w:tcBorders>
            <w:tcMar>
              <w:top w:w="15" w:type="dxa"/>
              <w:left w:w="15" w:type="dxa"/>
              <w:bottom w:w="15" w:type="dxa"/>
              <w:right w:w="15" w:type="dxa"/>
            </w:tcMar>
            <w:vAlign w:val="center"/>
          </w:tcPr>
          <w:p w14:paraId="1C3D94C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整改不积极的</w:t>
            </w:r>
            <w:r>
              <w:rPr>
                <w:rFonts w:hint="eastAsia" w:ascii="仿宋_GB2312" w:hAnsi="宋体" w:eastAsia="仿宋_GB2312" w:cs="宋体"/>
                <w:color w:val="auto"/>
                <w:kern w:val="0"/>
                <w:sz w:val="13"/>
                <w:szCs w:val="13"/>
                <w:highlight w:val="none"/>
                <w:lang w:eastAsia="zh-CN"/>
              </w:rPr>
              <w:t>，</w:t>
            </w:r>
            <w:r>
              <w:rPr>
                <w:rFonts w:hint="eastAsia" w:ascii="仿宋_GB2312" w:hAnsi="宋体" w:eastAsia="仿宋_GB2312" w:cs="宋体"/>
                <w:color w:val="auto"/>
                <w:kern w:val="0"/>
                <w:sz w:val="13"/>
                <w:szCs w:val="13"/>
                <w:highlight w:val="none"/>
                <w:lang w:val="en-US" w:eastAsia="zh-CN"/>
              </w:rPr>
              <w:t>或</w:t>
            </w:r>
            <w:r>
              <w:rPr>
                <w:rFonts w:hint="eastAsia" w:ascii="仿宋_GB2312" w:hAnsi="宋体" w:eastAsia="仿宋_GB2312" w:cs="宋体"/>
                <w:color w:val="auto"/>
                <w:kern w:val="0"/>
                <w:sz w:val="13"/>
                <w:szCs w:val="13"/>
                <w:highlight w:val="none"/>
              </w:rPr>
              <w:t>曾因实施该违法行为被查处，再次实施该违法行为的</w:t>
            </w:r>
            <w:r>
              <w:rPr>
                <w:rFonts w:hint="eastAsia" w:ascii="仿宋_GB2312" w:hAnsi="宋体" w:eastAsia="仿宋_GB2312" w:cs="宋体"/>
                <w:color w:val="auto"/>
                <w:kern w:val="0"/>
                <w:sz w:val="13"/>
                <w:szCs w:val="13"/>
                <w:highlight w:val="none"/>
                <w:lang w:eastAsia="zh-CN"/>
              </w:rPr>
              <w:t>，</w:t>
            </w:r>
            <w:r>
              <w:rPr>
                <w:rFonts w:hint="eastAsia" w:ascii="仿宋_GB2312" w:hAnsi="宋体" w:eastAsia="仿宋_GB2312" w:cs="宋体"/>
                <w:color w:val="auto"/>
                <w:kern w:val="0"/>
                <w:sz w:val="13"/>
                <w:szCs w:val="13"/>
                <w:highlight w:val="none"/>
                <w:lang w:val="en-US" w:eastAsia="zh-CN"/>
              </w:rPr>
              <w:t>或</w:t>
            </w:r>
            <w:r>
              <w:rPr>
                <w:rFonts w:hint="eastAsia" w:ascii="仿宋_GB2312" w:hAnsi="宋体" w:eastAsia="仿宋_GB2312" w:cs="宋体"/>
                <w:color w:val="auto"/>
                <w:kern w:val="0"/>
                <w:sz w:val="13"/>
                <w:szCs w:val="13"/>
                <w:highlight w:val="none"/>
              </w:rPr>
              <w:t>造成严重危害后果的。</w:t>
            </w:r>
          </w:p>
        </w:tc>
        <w:tc>
          <w:tcPr>
            <w:tcW w:w="3058" w:type="dxa"/>
            <w:tcBorders>
              <w:tl2br w:val="nil"/>
              <w:tr2bl w:val="nil"/>
            </w:tcBorders>
            <w:tcMar>
              <w:top w:w="15" w:type="dxa"/>
              <w:left w:w="15" w:type="dxa"/>
              <w:bottom w:w="15" w:type="dxa"/>
              <w:right w:w="15" w:type="dxa"/>
            </w:tcMar>
            <w:vAlign w:val="center"/>
          </w:tcPr>
          <w:p w14:paraId="143EA4D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责令限期改正，并可处1万元以上2万元以下的罚款。</w:t>
            </w:r>
          </w:p>
        </w:tc>
      </w:tr>
      <w:tr w14:paraId="49DF0E8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169" w:hRule="atLeast"/>
          <w:jc w:val="center"/>
        </w:trPr>
        <w:tc>
          <w:tcPr>
            <w:tcW w:w="428" w:type="dxa"/>
            <w:vMerge w:val="restart"/>
            <w:tcBorders>
              <w:tl2br w:val="nil"/>
              <w:tr2bl w:val="nil"/>
            </w:tcBorders>
            <w:tcMar>
              <w:top w:w="15" w:type="dxa"/>
              <w:left w:w="15" w:type="dxa"/>
              <w:bottom w:w="15" w:type="dxa"/>
              <w:right w:w="15" w:type="dxa"/>
            </w:tcMar>
            <w:vAlign w:val="center"/>
          </w:tcPr>
          <w:p w14:paraId="7D793FFA">
            <w:pPr>
              <w:keepNext w:val="0"/>
              <w:keepLines w:val="0"/>
              <w:pageBreakBefore w:val="0"/>
              <w:widowControl/>
              <w:numPr>
                <w:ilvl w:val="0"/>
                <w:numId w:val="11"/>
              </w:numPr>
              <w:suppressLineNumbers w:val="0"/>
              <w:tabs>
                <w:tab w:val="clear" w:pos="397"/>
              </w:tabs>
              <w:kinsoku/>
              <w:overflowPunct/>
              <w:topLinePunct w:val="0"/>
              <w:autoSpaceDE/>
              <w:autoSpaceDN/>
              <w:bidi w:val="0"/>
              <w:adjustRightInd/>
              <w:snapToGrid/>
              <w:spacing w:beforeAutospacing="0" w:afterAutospacing="0" w:line="260" w:lineRule="exact"/>
              <w:ind w:left="638" w:leftChars="88" w:right="0" w:rightChars="0" w:hanging="453" w:hangingChars="349"/>
              <w:jc w:val="center"/>
              <w:textAlignment w:val="center"/>
              <w:rPr>
                <w:rFonts w:hint="default" w:ascii="仿宋_GB2312" w:hAnsi="宋体" w:eastAsia="仿宋_GB2312" w:cs="宋体"/>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335</w:t>
            </w:r>
          </w:p>
        </w:tc>
        <w:tc>
          <w:tcPr>
            <w:tcW w:w="1550" w:type="dxa"/>
            <w:vMerge w:val="restart"/>
            <w:tcBorders>
              <w:tl2br w:val="nil"/>
              <w:tr2bl w:val="nil"/>
            </w:tcBorders>
            <w:tcMar>
              <w:top w:w="15" w:type="dxa"/>
              <w:left w:w="15" w:type="dxa"/>
              <w:bottom w:w="15" w:type="dxa"/>
              <w:right w:w="15" w:type="dxa"/>
            </w:tcMar>
            <w:vAlign w:val="center"/>
          </w:tcPr>
          <w:p w14:paraId="60052FB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kern w:val="0"/>
                <w:sz w:val="13"/>
                <w:szCs w:val="13"/>
                <w:highlight w:val="none"/>
              </w:rPr>
            </w:pPr>
          </w:p>
          <w:p w14:paraId="12BD527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单位和个人擅自在城市桥梁施工控制范围内从事河道疏浚、挖掘、打桩、地下管道顶进、爆破等作业的</w:t>
            </w:r>
          </w:p>
        </w:tc>
        <w:tc>
          <w:tcPr>
            <w:tcW w:w="4820" w:type="dxa"/>
            <w:vMerge w:val="restart"/>
            <w:tcBorders>
              <w:tl2br w:val="nil"/>
              <w:tr2bl w:val="nil"/>
            </w:tcBorders>
            <w:tcMar>
              <w:top w:w="15" w:type="dxa"/>
              <w:left w:w="15" w:type="dxa"/>
              <w:bottom w:w="15" w:type="dxa"/>
              <w:right w:w="15" w:type="dxa"/>
            </w:tcMar>
            <w:vAlign w:val="center"/>
          </w:tcPr>
          <w:p w14:paraId="57DB072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hint="eastAsia" w:ascii="仿宋_GB2312" w:hAnsi="宋体" w:eastAsia="仿宋_GB2312" w:cs="宋体"/>
                <w:color w:val="auto"/>
                <w:kern w:val="0"/>
                <w:sz w:val="13"/>
                <w:szCs w:val="13"/>
                <w:highlight w:val="none"/>
              </w:rPr>
            </w:pPr>
            <w:r>
              <w:rPr>
                <w:rFonts w:hint="eastAsia" w:ascii="仿宋_GB2312" w:hAnsi="宋体" w:eastAsia="仿宋_GB2312" w:cs="宋体"/>
                <w:color w:val="auto"/>
                <w:kern w:val="0"/>
                <w:sz w:val="13"/>
                <w:szCs w:val="13"/>
                <w:highlight w:val="none"/>
              </w:rPr>
              <w:t>《城市桥梁检测和养护维修管理办法》</w:t>
            </w:r>
            <w:r>
              <w:rPr>
                <w:rFonts w:hint="eastAsia" w:ascii="仿宋_GB2312" w:hAnsi="宋体" w:eastAsia="仿宋_GB2312" w:cs="宋体"/>
                <w:b/>
                <w:bCs/>
                <w:color w:val="auto"/>
                <w:kern w:val="0"/>
                <w:sz w:val="13"/>
                <w:szCs w:val="13"/>
                <w:highlight w:val="none"/>
              </w:rPr>
              <w:t>第二十七条</w:t>
            </w:r>
            <w:r>
              <w:rPr>
                <w:rFonts w:hint="eastAsia" w:ascii="仿宋_GB2312" w:hAnsi="宋体" w:eastAsia="仿宋_GB2312" w:cs="宋体"/>
                <w:b/>
                <w:bCs/>
                <w:color w:val="auto"/>
                <w:kern w:val="0"/>
                <w:sz w:val="13"/>
                <w:szCs w:val="13"/>
                <w:highlight w:val="none"/>
                <w:lang w:eastAsia="zh-CN"/>
              </w:rPr>
              <w:t>：</w:t>
            </w:r>
            <w:r>
              <w:rPr>
                <w:rFonts w:hint="eastAsia" w:ascii="仿宋_GB2312" w:hAnsi="宋体" w:eastAsia="仿宋_GB2312" w:cs="宋体"/>
                <w:color w:val="auto"/>
                <w:kern w:val="0"/>
                <w:sz w:val="13"/>
                <w:szCs w:val="13"/>
                <w:highlight w:val="none"/>
              </w:rPr>
              <w:t>单位和个人擅自在城市桥梁施工控制范围内从事本办法第十四条第二款规定的活动的，由城市人民政府市政工程设施行政主管部门责令限期改正，并可处1万元以上3万元以下的罚款。</w:t>
            </w:r>
          </w:p>
          <w:p w14:paraId="7A58616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1" w:firstLineChars="200"/>
              <w:textAlignment w:val="center"/>
              <w:rPr>
                <w:rFonts w:hint="eastAsia" w:ascii="仿宋_GB2312" w:hAnsi="宋体" w:eastAsia="仿宋_GB2312" w:cs="宋体"/>
                <w:color w:val="auto"/>
                <w:kern w:val="0"/>
                <w:sz w:val="13"/>
                <w:szCs w:val="13"/>
                <w:highlight w:val="none"/>
              </w:rPr>
            </w:pPr>
            <w:r>
              <w:rPr>
                <w:rFonts w:hint="eastAsia" w:ascii="仿宋_GB2312" w:hAnsi="宋体" w:eastAsia="仿宋_GB2312" w:cs="宋体"/>
                <w:b/>
                <w:bCs/>
                <w:color w:val="auto"/>
                <w:kern w:val="0"/>
                <w:sz w:val="13"/>
                <w:szCs w:val="13"/>
                <w:highlight w:val="none"/>
              </w:rPr>
              <w:t>第十四条第二款</w:t>
            </w:r>
            <w:r>
              <w:rPr>
                <w:rFonts w:hint="eastAsia" w:ascii="仿宋_GB2312" w:hAnsi="宋体" w:eastAsia="仿宋_GB2312" w:cs="宋体"/>
                <w:color w:val="auto"/>
                <w:kern w:val="0"/>
                <w:sz w:val="13"/>
                <w:szCs w:val="13"/>
                <w:highlight w:val="none"/>
              </w:rPr>
              <w:t>在城市桥梁施工控制范围内从事河道疏浚、挖掘、打桩、地下管道顶进、爆破等作业的单位和个人，在取得施工许可证前应当先经城市人民政府市政工程设施行政主管部门同意，并与城市桥梁的产权人签订保护协议，采取保护措施后，方可施工。</w:t>
            </w:r>
          </w:p>
        </w:tc>
        <w:tc>
          <w:tcPr>
            <w:tcW w:w="823" w:type="dxa"/>
            <w:tcBorders>
              <w:tl2br w:val="nil"/>
              <w:tr2bl w:val="nil"/>
            </w:tcBorders>
            <w:tcMar>
              <w:top w:w="15" w:type="dxa"/>
              <w:left w:w="15" w:type="dxa"/>
              <w:bottom w:w="15" w:type="dxa"/>
              <w:right w:w="15" w:type="dxa"/>
            </w:tcMar>
            <w:vAlign w:val="center"/>
          </w:tcPr>
          <w:p w14:paraId="26B46F1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从轻情节</w:t>
            </w:r>
          </w:p>
        </w:tc>
        <w:tc>
          <w:tcPr>
            <w:tcW w:w="3437" w:type="dxa"/>
            <w:gridSpan w:val="2"/>
            <w:tcBorders>
              <w:tl2br w:val="nil"/>
              <w:tr2bl w:val="nil"/>
            </w:tcBorders>
            <w:tcMar>
              <w:top w:w="15" w:type="dxa"/>
              <w:left w:w="15" w:type="dxa"/>
              <w:bottom w:w="15" w:type="dxa"/>
              <w:right w:w="15" w:type="dxa"/>
            </w:tcMar>
            <w:vAlign w:val="center"/>
          </w:tcPr>
          <w:p w14:paraId="5B2D8F1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初次违法，危害后果轻微，积极采取改正措施消除影响的。</w:t>
            </w:r>
          </w:p>
        </w:tc>
        <w:tc>
          <w:tcPr>
            <w:tcW w:w="3058" w:type="dxa"/>
            <w:tcBorders>
              <w:tl2br w:val="nil"/>
              <w:tr2bl w:val="nil"/>
            </w:tcBorders>
            <w:tcMar>
              <w:top w:w="15" w:type="dxa"/>
              <w:left w:w="15" w:type="dxa"/>
              <w:bottom w:w="15" w:type="dxa"/>
              <w:right w:w="15" w:type="dxa"/>
            </w:tcMar>
            <w:vAlign w:val="center"/>
          </w:tcPr>
          <w:p w14:paraId="4E597A7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责令限期改正，并可处1万元的罚款。</w:t>
            </w:r>
          </w:p>
        </w:tc>
      </w:tr>
      <w:tr w14:paraId="223EA37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91" w:hRule="atLeast"/>
          <w:jc w:val="center"/>
        </w:trPr>
        <w:tc>
          <w:tcPr>
            <w:tcW w:w="428" w:type="dxa"/>
            <w:vMerge w:val="continue"/>
            <w:tcBorders>
              <w:tl2br w:val="nil"/>
              <w:tr2bl w:val="nil"/>
            </w:tcBorders>
            <w:vAlign w:val="center"/>
          </w:tcPr>
          <w:p w14:paraId="011347D2">
            <w:pPr>
              <w:pStyle w:val="37"/>
              <w:keepNext w:val="0"/>
              <w:keepLines w:val="0"/>
              <w:pageBreakBefore w:val="0"/>
              <w:widowControl/>
              <w:numPr>
                <w:ilvl w:val="0"/>
                <w:numId w:val="12"/>
              </w:numPr>
              <w:kinsoku/>
              <w:overflowPunct/>
              <w:topLinePunct w:val="0"/>
              <w:autoSpaceDE/>
              <w:autoSpaceDN/>
              <w:bidi w:val="0"/>
              <w:adjustRightInd/>
              <w:snapToGrid/>
              <w:spacing w:beforeAutospacing="0" w:afterAutospacing="0" w:line="260" w:lineRule="exact"/>
              <w:ind w:left="638" w:leftChars="88" w:right="0" w:rightChars="0" w:hanging="453" w:hangingChars="349"/>
              <w:jc w:val="center"/>
              <w:rPr>
                <w:rFonts w:ascii="仿宋_GB2312" w:hAnsi="宋体" w:eastAsia="仿宋_GB2312" w:cs="宋体"/>
                <w:color w:val="auto"/>
                <w:sz w:val="13"/>
                <w:szCs w:val="13"/>
                <w:highlight w:val="none"/>
              </w:rPr>
            </w:pPr>
          </w:p>
        </w:tc>
        <w:tc>
          <w:tcPr>
            <w:tcW w:w="1550" w:type="dxa"/>
            <w:vMerge w:val="continue"/>
            <w:tcBorders>
              <w:tl2br w:val="nil"/>
              <w:tr2bl w:val="nil"/>
            </w:tcBorders>
            <w:vAlign w:val="center"/>
          </w:tcPr>
          <w:p w14:paraId="71F29A5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sz w:val="13"/>
                <w:szCs w:val="13"/>
                <w:highlight w:val="none"/>
              </w:rPr>
            </w:pPr>
          </w:p>
        </w:tc>
        <w:tc>
          <w:tcPr>
            <w:tcW w:w="4820" w:type="dxa"/>
            <w:vMerge w:val="continue"/>
            <w:tcBorders>
              <w:tl2br w:val="nil"/>
              <w:tr2bl w:val="nil"/>
            </w:tcBorders>
            <w:vAlign w:val="center"/>
          </w:tcPr>
          <w:p w14:paraId="1B40325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308C63C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一般情节</w:t>
            </w:r>
          </w:p>
        </w:tc>
        <w:tc>
          <w:tcPr>
            <w:tcW w:w="3437" w:type="dxa"/>
            <w:gridSpan w:val="2"/>
            <w:tcBorders>
              <w:tl2br w:val="nil"/>
              <w:tr2bl w:val="nil"/>
            </w:tcBorders>
            <w:tcMar>
              <w:top w:w="15" w:type="dxa"/>
              <w:left w:w="15" w:type="dxa"/>
              <w:bottom w:w="15" w:type="dxa"/>
              <w:right w:w="15" w:type="dxa"/>
            </w:tcMar>
            <w:vAlign w:val="center"/>
          </w:tcPr>
          <w:p w14:paraId="4EF9F1A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不具有从轻、</w:t>
            </w:r>
            <w:r>
              <w:rPr>
                <w:rFonts w:hint="eastAsia" w:ascii="仿宋_GB2312" w:hAnsi="宋体" w:eastAsia="仿宋_GB2312" w:cs="宋体"/>
                <w:color w:val="auto"/>
                <w:kern w:val="0"/>
                <w:sz w:val="13"/>
                <w:szCs w:val="13"/>
                <w:highlight w:val="none"/>
                <w:lang w:eastAsia="zh-CN"/>
              </w:rPr>
              <w:t>从重情节</w:t>
            </w:r>
            <w:r>
              <w:rPr>
                <w:rFonts w:hint="eastAsia" w:ascii="仿宋_GB2312" w:hAnsi="宋体" w:eastAsia="仿宋_GB2312" w:cs="宋体"/>
                <w:color w:val="auto"/>
                <w:kern w:val="0"/>
                <w:sz w:val="13"/>
                <w:szCs w:val="13"/>
                <w:highlight w:val="none"/>
              </w:rPr>
              <w:t>的。</w:t>
            </w:r>
          </w:p>
        </w:tc>
        <w:tc>
          <w:tcPr>
            <w:tcW w:w="3058" w:type="dxa"/>
            <w:tcBorders>
              <w:tl2br w:val="nil"/>
              <w:tr2bl w:val="nil"/>
            </w:tcBorders>
            <w:tcMar>
              <w:top w:w="15" w:type="dxa"/>
              <w:left w:w="15" w:type="dxa"/>
              <w:bottom w:w="15" w:type="dxa"/>
              <w:right w:w="15" w:type="dxa"/>
            </w:tcMar>
            <w:vAlign w:val="center"/>
          </w:tcPr>
          <w:p w14:paraId="0666C83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责令限期改正，并可处1万元以上2万元以下的罚款。</w:t>
            </w:r>
          </w:p>
        </w:tc>
      </w:tr>
      <w:tr w14:paraId="0CDF060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247" w:hRule="atLeast"/>
          <w:jc w:val="center"/>
        </w:trPr>
        <w:tc>
          <w:tcPr>
            <w:tcW w:w="428" w:type="dxa"/>
            <w:vMerge w:val="continue"/>
            <w:tcBorders>
              <w:tl2br w:val="nil"/>
              <w:tr2bl w:val="nil"/>
            </w:tcBorders>
            <w:vAlign w:val="center"/>
          </w:tcPr>
          <w:p w14:paraId="53BC1B37">
            <w:pPr>
              <w:pStyle w:val="37"/>
              <w:keepNext w:val="0"/>
              <w:keepLines w:val="0"/>
              <w:pageBreakBefore w:val="0"/>
              <w:widowControl/>
              <w:numPr>
                <w:ilvl w:val="0"/>
                <w:numId w:val="12"/>
              </w:numPr>
              <w:kinsoku/>
              <w:overflowPunct/>
              <w:topLinePunct w:val="0"/>
              <w:autoSpaceDE/>
              <w:autoSpaceDN/>
              <w:bidi w:val="0"/>
              <w:adjustRightInd/>
              <w:snapToGrid/>
              <w:spacing w:beforeAutospacing="0" w:afterAutospacing="0" w:line="260" w:lineRule="exact"/>
              <w:ind w:left="638" w:leftChars="88" w:right="0" w:rightChars="0" w:hanging="453" w:hangingChars="349"/>
              <w:jc w:val="center"/>
              <w:rPr>
                <w:rFonts w:ascii="仿宋_GB2312" w:hAnsi="宋体" w:eastAsia="仿宋_GB2312" w:cs="宋体"/>
                <w:color w:val="auto"/>
                <w:sz w:val="13"/>
                <w:szCs w:val="13"/>
                <w:highlight w:val="none"/>
              </w:rPr>
            </w:pPr>
          </w:p>
        </w:tc>
        <w:tc>
          <w:tcPr>
            <w:tcW w:w="1550" w:type="dxa"/>
            <w:vMerge w:val="continue"/>
            <w:tcBorders>
              <w:tl2br w:val="nil"/>
              <w:tr2bl w:val="nil"/>
            </w:tcBorders>
            <w:vAlign w:val="center"/>
          </w:tcPr>
          <w:p w14:paraId="2ADA24E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sz w:val="13"/>
                <w:szCs w:val="13"/>
                <w:highlight w:val="none"/>
              </w:rPr>
            </w:pPr>
          </w:p>
        </w:tc>
        <w:tc>
          <w:tcPr>
            <w:tcW w:w="4820" w:type="dxa"/>
            <w:vMerge w:val="continue"/>
            <w:tcBorders>
              <w:tl2br w:val="nil"/>
              <w:tr2bl w:val="nil"/>
            </w:tcBorders>
            <w:vAlign w:val="center"/>
          </w:tcPr>
          <w:p w14:paraId="658F5E0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5FFD462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从重情节</w:t>
            </w:r>
          </w:p>
        </w:tc>
        <w:tc>
          <w:tcPr>
            <w:tcW w:w="3437" w:type="dxa"/>
            <w:gridSpan w:val="2"/>
            <w:tcBorders>
              <w:tl2br w:val="nil"/>
              <w:tr2bl w:val="nil"/>
            </w:tcBorders>
            <w:tcMar>
              <w:top w:w="15" w:type="dxa"/>
              <w:left w:w="15" w:type="dxa"/>
              <w:bottom w:w="15" w:type="dxa"/>
              <w:right w:w="15" w:type="dxa"/>
            </w:tcMar>
            <w:vAlign w:val="center"/>
          </w:tcPr>
          <w:p w14:paraId="1A75563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整改不积极的</w:t>
            </w:r>
            <w:r>
              <w:rPr>
                <w:rFonts w:hint="eastAsia" w:ascii="仿宋_GB2312" w:hAnsi="宋体" w:eastAsia="仿宋_GB2312" w:cs="宋体"/>
                <w:color w:val="auto"/>
                <w:kern w:val="0"/>
                <w:sz w:val="13"/>
                <w:szCs w:val="13"/>
                <w:highlight w:val="none"/>
                <w:lang w:eastAsia="zh-CN"/>
              </w:rPr>
              <w:t>，</w:t>
            </w:r>
            <w:r>
              <w:rPr>
                <w:rFonts w:hint="eastAsia" w:ascii="仿宋_GB2312" w:hAnsi="宋体" w:eastAsia="仿宋_GB2312" w:cs="宋体"/>
                <w:color w:val="auto"/>
                <w:kern w:val="0"/>
                <w:sz w:val="13"/>
                <w:szCs w:val="13"/>
                <w:highlight w:val="none"/>
                <w:lang w:val="en-US" w:eastAsia="zh-CN"/>
              </w:rPr>
              <w:t>或</w:t>
            </w:r>
            <w:r>
              <w:rPr>
                <w:rFonts w:hint="eastAsia" w:ascii="仿宋_GB2312" w:hAnsi="宋体" w:eastAsia="仿宋_GB2312" w:cs="宋体"/>
                <w:color w:val="auto"/>
                <w:kern w:val="0"/>
                <w:sz w:val="13"/>
                <w:szCs w:val="13"/>
                <w:highlight w:val="none"/>
              </w:rPr>
              <w:t>曾因实施该违法行为被查处，再次实施该违法行为的</w:t>
            </w:r>
            <w:r>
              <w:rPr>
                <w:rFonts w:hint="eastAsia" w:ascii="仿宋_GB2312" w:hAnsi="宋体" w:eastAsia="仿宋_GB2312" w:cs="宋体"/>
                <w:color w:val="auto"/>
                <w:kern w:val="0"/>
                <w:sz w:val="13"/>
                <w:szCs w:val="13"/>
                <w:highlight w:val="none"/>
                <w:lang w:eastAsia="zh-CN"/>
              </w:rPr>
              <w:t>，</w:t>
            </w:r>
            <w:r>
              <w:rPr>
                <w:rFonts w:hint="eastAsia" w:ascii="仿宋_GB2312" w:hAnsi="宋体" w:eastAsia="仿宋_GB2312" w:cs="宋体"/>
                <w:color w:val="auto"/>
                <w:kern w:val="0"/>
                <w:sz w:val="13"/>
                <w:szCs w:val="13"/>
                <w:highlight w:val="none"/>
                <w:lang w:val="en-US" w:eastAsia="zh-CN"/>
              </w:rPr>
              <w:t>或</w:t>
            </w:r>
            <w:r>
              <w:rPr>
                <w:rFonts w:hint="eastAsia" w:ascii="仿宋_GB2312" w:hAnsi="宋体" w:eastAsia="仿宋_GB2312" w:cs="宋体"/>
                <w:color w:val="auto"/>
                <w:kern w:val="0"/>
                <w:sz w:val="13"/>
                <w:szCs w:val="13"/>
                <w:highlight w:val="none"/>
              </w:rPr>
              <w:t>造成严重危害后果的。</w:t>
            </w:r>
          </w:p>
        </w:tc>
        <w:tc>
          <w:tcPr>
            <w:tcW w:w="3058" w:type="dxa"/>
            <w:tcBorders>
              <w:tl2br w:val="nil"/>
              <w:tr2bl w:val="nil"/>
            </w:tcBorders>
            <w:tcMar>
              <w:top w:w="15" w:type="dxa"/>
              <w:left w:w="15" w:type="dxa"/>
              <w:bottom w:w="15" w:type="dxa"/>
              <w:right w:w="15" w:type="dxa"/>
            </w:tcMar>
            <w:vAlign w:val="center"/>
          </w:tcPr>
          <w:p w14:paraId="2E04E65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责令限期改正，并可处2万元以上3万元以下的罚款。</w:t>
            </w:r>
          </w:p>
        </w:tc>
      </w:tr>
      <w:tr w14:paraId="3D76B62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413" w:hRule="atLeast"/>
          <w:jc w:val="center"/>
        </w:trPr>
        <w:tc>
          <w:tcPr>
            <w:tcW w:w="428" w:type="dxa"/>
            <w:vMerge w:val="restart"/>
            <w:tcBorders>
              <w:tl2br w:val="nil"/>
              <w:tr2bl w:val="nil"/>
            </w:tcBorders>
            <w:tcMar>
              <w:top w:w="15" w:type="dxa"/>
              <w:left w:w="15" w:type="dxa"/>
              <w:bottom w:w="15" w:type="dxa"/>
              <w:right w:w="15" w:type="dxa"/>
            </w:tcMar>
            <w:vAlign w:val="center"/>
          </w:tcPr>
          <w:p w14:paraId="0192090D">
            <w:pPr>
              <w:keepNext w:val="0"/>
              <w:keepLines w:val="0"/>
              <w:pageBreakBefore w:val="0"/>
              <w:widowControl/>
              <w:numPr>
                <w:ilvl w:val="0"/>
                <w:numId w:val="11"/>
              </w:numPr>
              <w:suppressLineNumbers w:val="0"/>
              <w:tabs>
                <w:tab w:val="clear" w:pos="397"/>
              </w:tabs>
              <w:kinsoku/>
              <w:overflowPunct/>
              <w:topLinePunct w:val="0"/>
              <w:autoSpaceDE/>
              <w:autoSpaceDN/>
              <w:bidi w:val="0"/>
              <w:adjustRightInd/>
              <w:snapToGrid/>
              <w:spacing w:beforeAutospacing="0" w:afterAutospacing="0" w:line="260" w:lineRule="exact"/>
              <w:ind w:left="638" w:leftChars="88" w:right="0" w:rightChars="0" w:hanging="453" w:hangingChars="349"/>
              <w:jc w:val="center"/>
              <w:textAlignment w:val="center"/>
              <w:rPr>
                <w:rFonts w:hint="default" w:ascii="仿宋_GB2312" w:hAnsi="宋体" w:eastAsia="仿宋_GB2312" w:cs="宋体"/>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336</w:t>
            </w:r>
          </w:p>
        </w:tc>
        <w:tc>
          <w:tcPr>
            <w:tcW w:w="1550" w:type="dxa"/>
            <w:vMerge w:val="restart"/>
            <w:tcBorders>
              <w:tl2br w:val="nil"/>
              <w:tr2bl w:val="nil"/>
            </w:tcBorders>
            <w:tcMar>
              <w:top w:w="15" w:type="dxa"/>
              <w:left w:w="15" w:type="dxa"/>
              <w:bottom w:w="15" w:type="dxa"/>
              <w:right w:w="15" w:type="dxa"/>
            </w:tcMar>
            <w:vAlign w:val="center"/>
          </w:tcPr>
          <w:p w14:paraId="2D7958F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超限机动车辆、履带车、铁轮车等需经过城市桥梁的，在报公安交通管理部门审批前，未先经城市人民政府市政工程设施行政主管部门同意，并采取相应技术措施后通行的</w:t>
            </w:r>
          </w:p>
        </w:tc>
        <w:tc>
          <w:tcPr>
            <w:tcW w:w="4820" w:type="dxa"/>
            <w:vMerge w:val="restart"/>
            <w:tcBorders>
              <w:tl2br w:val="nil"/>
              <w:tr2bl w:val="nil"/>
            </w:tcBorders>
            <w:tcMar>
              <w:top w:w="15" w:type="dxa"/>
              <w:left w:w="15" w:type="dxa"/>
              <w:bottom w:w="15" w:type="dxa"/>
              <w:right w:w="15" w:type="dxa"/>
            </w:tcMar>
            <w:vAlign w:val="center"/>
          </w:tcPr>
          <w:p w14:paraId="53461C7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hint="eastAsia" w:ascii="仿宋_GB2312" w:hAnsi="宋体" w:eastAsia="仿宋_GB2312" w:cs="宋体"/>
                <w:color w:val="auto"/>
                <w:kern w:val="0"/>
                <w:sz w:val="13"/>
                <w:szCs w:val="13"/>
                <w:highlight w:val="none"/>
                <w:lang w:eastAsia="zh-CN"/>
              </w:rPr>
            </w:pPr>
            <w:r>
              <w:rPr>
                <w:rFonts w:hint="eastAsia" w:ascii="仿宋_GB2312" w:hAnsi="宋体" w:eastAsia="仿宋_GB2312" w:cs="宋体"/>
                <w:color w:val="auto"/>
                <w:kern w:val="0"/>
                <w:sz w:val="13"/>
                <w:szCs w:val="13"/>
                <w:highlight w:val="none"/>
              </w:rPr>
              <w:t>《城市桥梁检测和养护维修管理办法》</w:t>
            </w:r>
            <w:r>
              <w:rPr>
                <w:rFonts w:hint="eastAsia" w:ascii="仿宋_GB2312" w:hAnsi="宋体" w:eastAsia="仿宋_GB2312" w:cs="宋体"/>
                <w:b/>
                <w:bCs/>
                <w:color w:val="auto"/>
                <w:kern w:val="0"/>
                <w:sz w:val="13"/>
                <w:szCs w:val="13"/>
                <w:highlight w:val="none"/>
              </w:rPr>
              <w:t>第二十八条</w:t>
            </w:r>
            <w:r>
              <w:rPr>
                <w:rFonts w:hint="eastAsia" w:ascii="仿宋_GB2312" w:hAnsi="宋体" w:eastAsia="仿宋_GB2312" w:cs="宋体"/>
                <w:b/>
                <w:bCs/>
                <w:color w:val="auto"/>
                <w:kern w:val="0"/>
                <w:sz w:val="13"/>
                <w:szCs w:val="13"/>
                <w:highlight w:val="none"/>
                <w:lang w:eastAsia="zh-CN"/>
              </w:rPr>
              <w:t>：</w:t>
            </w:r>
            <w:r>
              <w:rPr>
                <w:rFonts w:hint="eastAsia" w:ascii="仿宋_GB2312" w:hAnsi="宋体" w:eastAsia="仿宋_GB2312" w:cs="宋体"/>
                <w:color w:val="auto"/>
                <w:kern w:val="0"/>
                <w:sz w:val="13"/>
                <w:szCs w:val="13"/>
                <w:highlight w:val="none"/>
              </w:rPr>
              <w:t>违反本办法第十六条、第二十三条规定，由城市人民政府市政工程设施行政主管部门责令限期改正，并可处1万元以上2万元以下的罚款；造成损失的，依法承担赔偿责任。</w:t>
            </w:r>
          </w:p>
          <w:p w14:paraId="50CA9F6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hint="eastAsia" w:ascii="仿宋_GB2312" w:hAnsi="宋体" w:eastAsia="仿宋_GB2312" w:cs="宋体"/>
                <w:color w:val="auto"/>
                <w:kern w:val="0"/>
                <w:sz w:val="13"/>
                <w:szCs w:val="13"/>
                <w:highlight w:val="none"/>
              </w:rPr>
            </w:pPr>
            <w:r>
              <w:rPr>
                <w:rFonts w:hint="eastAsia" w:ascii="仿宋_GB2312" w:hAnsi="宋体" w:eastAsia="仿宋_GB2312" w:cs="宋体"/>
                <w:b/>
                <w:bCs/>
                <w:color w:val="auto"/>
                <w:kern w:val="0"/>
                <w:sz w:val="13"/>
                <w:szCs w:val="13"/>
                <w:highlight w:val="none"/>
                <w:lang w:val="en-US" w:eastAsia="zh-CN"/>
              </w:rPr>
              <w:t>第十六条：</w:t>
            </w:r>
            <w:r>
              <w:rPr>
                <w:rFonts w:hint="eastAsia" w:ascii="仿宋_GB2312" w:hAnsi="宋体" w:eastAsia="仿宋_GB2312" w:cs="宋体"/>
                <w:color w:val="auto"/>
                <w:kern w:val="0"/>
                <w:sz w:val="13"/>
                <w:szCs w:val="13"/>
                <w:highlight w:val="none"/>
                <w:lang w:val="en-US" w:eastAsia="zh-CN"/>
              </w:rPr>
              <w:t>超限机动车辆、履带车、铁轮车等需经过城市桥梁的，在报公安交通管理部门审批前，应当先经城市人民政府市政工程设施行政主管部门同意，并采取相应技术措施后，方可通行。</w:t>
            </w:r>
          </w:p>
          <w:p w14:paraId="0A55E52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6C1EE4F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从轻情节</w:t>
            </w:r>
          </w:p>
        </w:tc>
        <w:tc>
          <w:tcPr>
            <w:tcW w:w="3437" w:type="dxa"/>
            <w:gridSpan w:val="2"/>
            <w:tcBorders>
              <w:tl2br w:val="nil"/>
              <w:tr2bl w:val="nil"/>
            </w:tcBorders>
            <w:tcMar>
              <w:top w:w="15" w:type="dxa"/>
              <w:left w:w="15" w:type="dxa"/>
              <w:bottom w:w="15" w:type="dxa"/>
              <w:right w:w="15" w:type="dxa"/>
            </w:tcMar>
            <w:vAlign w:val="center"/>
          </w:tcPr>
          <w:p w14:paraId="229806D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初次违法，危害后果轻微，积极采取改正措施消除影响的。</w:t>
            </w:r>
          </w:p>
        </w:tc>
        <w:tc>
          <w:tcPr>
            <w:tcW w:w="3058" w:type="dxa"/>
            <w:tcBorders>
              <w:tl2br w:val="nil"/>
              <w:tr2bl w:val="nil"/>
            </w:tcBorders>
            <w:tcMar>
              <w:top w:w="15" w:type="dxa"/>
              <w:left w:w="15" w:type="dxa"/>
              <w:bottom w:w="15" w:type="dxa"/>
              <w:right w:w="15" w:type="dxa"/>
            </w:tcMar>
            <w:vAlign w:val="center"/>
          </w:tcPr>
          <w:p w14:paraId="555A25A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责令限期改正，并可处1万元的罚款。</w:t>
            </w:r>
          </w:p>
        </w:tc>
      </w:tr>
      <w:tr w14:paraId="3C14A53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240" w:hRule="atLeast"/>
          <w:jc w:val="center"/>
        </w:trPr>
        <w:tc>
          <w:tcPr>
            <w:tcW w:w="428" w:type="dxa"/>
            <w:vMerge w:val="continue"/>
            <w:tcBorders>
              <w:tl2br w:val="nil"/>
              <w:tr2bl w:val="nil"/>
            </w:tcBorders>
            <w:vAlign w:val="center"/>
          </w:tcPr>
          <w:p w14:paraId="4212B70E">
            <w:pPr>
              <w:pStyle w:val="37"/>
              <w:keepNext w:val="0"/>
              <w:keepLines w:val="0"/>
              <w:pageBreakBefore w:val="0"/>
              <w:widowControl/>
              <w:numPr>
                <w:ilvl w:val="0"/>
                <w:numId w:val="12"/>
              </w:numPr>
              <w:kinsoku/>
              <w:overflowPunct/>
              <w:topLinePunct w:val="0"/>
              <w:autoSpaceDE/>
              <w:autoSpaceDN/>
              <w:bidi w:val="0"/>
              <w:adjustRightInd/>
              <w:snapToGrid/>
              <w:spacing w:beforeAutospacing="0" w:afterAutospacing="0" w:line="260" w:lineRule="exact"/>
              <w:ind w:left="638" w:leftChars="88" w:right="0" w:rightChars="0" w:hanging="453" w:hangingChars="349"/>
              <w:jc w:val="center"/>
              <w:rPr>
                <w:rFonts w:ascii="仿宋_GB2312" w:hAnsi="宋体" w:eastAsia="仿宋_GB2312" w:cs="宋体"/>
                <w:color w:val="auto"/>
                <w:sz w:val="13"/>
                <w:szCs w:val="13"/>
                <w:highlight w:val="none"/>
              </w:rPr>
            </w:pPr>
          </w:p>
        </w:tc>
        <w:tc>
          <w:tcPr>
            <w:tcW w:w="1550" w:type="dxa"/>
            <w:vMerge w:val="continue"/>
            <w:tcBorders>
              <w:tl2br w:val="nil"/>
              <w:tr2bl w:val="nil"/>
            </w:tcBorders>
            <w:vAlign w:val="center"/>
          </w:tcPr>
          <w:p w14:paraId="22C9659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sz w:val="13"/>
                <w:szCs w:val="13"/>
                <w:highlight w:val="none"/>
              </w:rPr>
            </w:pPr>
          </w:p>
        </w:tc>
        <w:tc>
          <w:tcPr>
            <w:tcW w:w="4820" w:type="dxa"/>
            <w:vMerge w:val="continue"/>
            <w:tcBorders>
              <w:tl2br w:val="nil"/>
              <w:tr2bl w:val="nil"/>
            </w:tcBorders>
            <w:vAlign w:val="center"/>
          </w:tcPr>
          <w:p w14:paraId="198BB82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78246DC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一般情节</w:t>
            </w:r>
          </w:p>
        </w:tc>
        <w:tc>
          <w:tcPr>
            <w:tcW w:w="3437" w:type="dxa"/>
            <w:gridSpan w:val="2"/>
            <w:tcBorders>
              <w:tl2br w:val="nil"/>
              <w:tr2bl w:val="nil"/>
            </w:tcBorders>
            <w:tcMar>
              <w:top w:w="15" w:type="dxa"/>
              <w:left w:w="15" w:type="dxa"/>
              <w:bottom w:w="15" w:type="dxa"/>
              <w:right w:w="15" w:type="dxa"/>
            </w:tcMar>
            <w:vAlign w:val="center"/>
          </w:tcPr>
          <w:p w14:paraId="774D155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不具有从轻、</w:t>
            </w:r>
            <w:r>
              <w:rPr>
                <w:rFonts w:hint="eastAsia" w:ascii="仿宋_GB2312" w:hAnsi="宋体" w:eastAsia="仿宋_GB2312" w:cs="宋体"/>
                <w:color w:val="auto"/>
                <w:kern w:val="0"/>
                <w:sz w:val="13"/>
                <w:szCs w:val="13"/>
                <w:highlight w:val="none"/>
                <w:lang w:eastAsia="zh-CN"/>
              </w:rPr>
              <w:t>从重情节</w:t>
            </w:r>
            <w:r>
              <w:rPr>
                <w:rFonts w:hint="eastAsia" w:ascii="仿宋_GB2312" w:hAnsi="宋体" w:eastAsia="仿宋_GB2312" w:cs="宋体"/>
                <w:color w:val="auto"/>
                <w:kern w:val="0"/>
                <w:sz w:val="13"/>
                <w:szCs w:val="13"/>
                <w:highlight w:val="none"/>
              </w:rPr>
              <w:t>的。</w:t>
            </w:r>
          </w:p>
        </w:tc>
        <w:tc>
          <w:tcPr>
            <w:tcW w:w="3058" w:type="dxa"/>
            <w:tcBorders>
              <w:tl2br w:val="nil"/>
              <w:tr2bl w:val="nil"/>
            </w:tcBorders>
            <w:tcMar>
              <w:top w:w="15" w:type="dxa"/>
              <w:left w:w="15" w:type="dxa"/>
              <w:bottom w:w="15" w:type="dxa"/>
              <w:right w:w="15" w:type="dxa"/>
            </w:tcMar>
            <w:vAlign w:val="center"/>
          </w:tcPr>
          <w:p w14:paraId="44DC06A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责令限期改正，并可处1万元以上1.5万元以下的罚款。</w:t>
            </w:r>
          </w:p>
        </w:tc>
      </w:tr>
      <w:tr w14:paraId="6BD06D4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405" w:hRule="atLeast"/>
          <w:jc w:val="center"/>
        </w:trPr>
        <w:tc>
          <w:tcPr>
            <w:tcW w:w="428" w:type="dxa"/>
            <w:vMerge w:val="continue"/>
            <w:tcBorders>
              <w:tl2br w:val="nil"/>
              <w:tr2bl w:val="nil"/>
            </w:tcBorders>
            <w:vAlign w:val="center"/>
          </w:tcPr>
          <w:p w14:paraId="7B053DC8">
            <w:pPr>
              <w:pStyle w:val="37"/>
              <w:keepNext w:val="0"/>
              <w:keepLines w:val="0"/>
              <w:pageBreakBefore w:val="0"/>
              <w:widowControl/>
              <w:numPr>
                <w:ilvl w:val="0"/>
                <w:numId w:val="12"/>
              </w:numPr>
              <w:kinsoku/>
              <w:overflowPunct/>
              <w:topLinePunct w:val="0"/>
              <w:autoSpaceDE/>
              <w:autoSpaceDN/>
              <w:bidi w:val="0"/>
              <w:adjustRightInd/>
              <w:snapToGrid/>
              <w:spacing w:beforeAutospacing="0" w:afterAutospacing="0" w:line="260" w:lineRule="exact"/>
              <w:ind w:left="638" w:leftChars="88" w:right="0" w:rightChars="0" w:hanging="453" w:hangingChars="349"/>
              <w:jc w:val="center"/>
              <w:rPr>
                <w:rFonts w:ascii="仿宋_GB2312" w:hAnsi="宋体" w:eastAsia="仿宋_GB2312" w:cs="宋体"/>
                <w:color w:val="auto"/>
                <w:sz w:val="13"/>
                <w:szCs w:val="13"/>
                <w:highlight w:val="none"/>
              </w:rPr>
            </w:pPr>
          </w:p>
        </w:tc>
        <w:tc>
          <w:tcPr>
            <w:tcW w:w="1550" w:type="dxa"/>
            <w:vMerge w:val="continue"/>
            <w:tcBorders>
              <w:tl2br w:val="nil"/>
              <w:tr2bl w:val="nil"/>
            </w:tcBorders>
            <w:vAlign w:val="center"/>
          </w:tcPr>
          <w:p w14:paraId="3CEC03D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sz w:val="13"/>
                <w:szCs w:val="13"/>
                <w:highlight w:val="none"/>
              </w:rPr>
            </w:pPr>
          </w:p>
        </w:tc>
        <w:tc>
          <w:tcPr>
            <w:tcW w:w="4820" w:type="dxa"/>
            <w:vMerge w:val="continue"/>
            <w:tcBorders>
              <w:tl2br w:val="nil"/>
              <w:tr2bl w:val="nil"/>
            </w:tcBorders>
            <w:vAlign w:val="center"/>
          </w:tcPr>
          <w:p w14:paraId="49EAD07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6C974B4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从重情节</w:t>
            </w:r>
          </w:p>
        </w:tc>
        <w:tc>
          <w:tcPr>
            <w:tcW w:w="3437" w:type="dxa"/>
            <w:gridSpan w:val="2"/>
            <w:tcBorders>
              <w:tl2br w:val="nil"/>
              <w:tr2bl w:val="nil"/>
            </w:tcBorders>
            <w:tcMar>
              <w:top w:w="15" w:type="dxa"/>
              <w:left w:w="15" w:type="dxa"/>
              <w:bottom w:w="15" w:type="dxa"/>
              <w:right w:w="15" w:type="dxa"/>
            </w:tcMar>
            <w:vAlign w:val="center"/>
          </w:tcPr>
          <w:p w14:paraId="5BD47FE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整改不积极的</w:t>
            </w:r>
            <w:r>
              <w:rPr>
                <w:rFonts w:hint="eastAsia" w:ascii="仿宋_GB2312" w:hAnsi="宋体" w:eastAsia="仿宋_GB2312" w:cs="宋体"/>
                <w:color w:val="auto"/>
                <w:kern w:val="0"/>
                <w:sz w:val="13"/>
                <w:szCs w:val="13"/>
                <w:highlight w:val="none"/>
                <w:lang w:eastAsia="zh-CN"/>
              </w:rPr>
              <w:t>，</w:t>
            </w:r>
            <w:r>
              <w:rPr>
                <w:rFonts w:hint="eastAsia" w:ascii="仿宋_GB2312" w:hAnsi="宋体" w:eastAsia="仿宋_GB2312" w:cs="宋体"/>
                <w:color w:val="auto"/>
                <w:kern w:val="0"/>
                <w:sz w:val="13"/>
                <w:szCs w:val="13"/>
                <w:highlight w:val="none"/>
                <w:lang w:val="en-US" w:eastAsia="zh-CN"/>
              </w:rPr>
              <w:t>或</w:t>
            </w:r>
            <w:r>
              <w:rPr>
                <w:rFonts w:hint="eastAsia" w:ascii="仿宋_GB2312" w:hAnsi="宋体" w:eastAsia="仿宋_GB2312" w:cs="宋体"/>
                <w:color w:val="auto"/>
                <w:kern w:val="0"/>
                <w:sz w:val="13"/>
                <w:szCs w:val="13"/>
                <w:highlight w:val="none"/>
              </w:rPr>
              <w:t>曾因实施该违法行为被查处，再次实施该违法行为的</w:t>
            </w:r>
            <w:r>
              <w:rPr>
                <w:rFonts w:hint="eastAsia" w:ascii="仿宋_GB2312" w:hAnsi="宋体" w:eastAsia="仿宋_GB2312" w:cs="宋体"/>
                <w:color w:val="auto"/>
                <w:kern w:val="0"/>
                <w:sz w:val="13"/>
                <w:szCs w:val="13"/>
                <w:highlight w:val="none"/>
                <w:lang w:eastAsia="zh-CN"/>
              </w:rPr>
              <w:t>，</w:t>
            </w:r>
            <w:r>
              <w:rPr>
                <w:rFonts w:hint="eastAsia" w:ascii="仿宋_GB2312" w:hAnsi="宋体" w:eastAsia="仿宋_GB2312" w:cs="宋体"/>
                <w:color w:val="auto"/>
                <w:kern w:val="0"/>
                <w:sz w:val="13"/>
                <w:szCs w:val="13"/>
                <w:highlight w:val="none"/>
                <w:lang w:val="en-US" w:eastAsia="zh-CN"/>
              </w:rPr>
              <w:t>或</w:t>
            </w:r>
            <w:r>
              <w:rPr>
                <w:rFonts w:hint="eastAsia" w:ascii="仿宋_GB2312" w:hAnsi="宋体" w:eastAsia="仿宋_GB2312" w:cs="宋体"/>
                <w:color w:val="auto"/>
                <w:kern w:val="0"/>
                <w:sz w:val="13"/>
                <w:szCs w:val="13"/>
                <w:highlight w:val="none"/>
              </w:rPr>
              <w:t>造成严重危害后果的。</w:t>
            </w:r>
          </w:p>
        </w:tc>
        <w:tc>
          <w:tcPr>
            <w:tcW w:w="3058" w:type="dxa"/>
            <w:tcBorders>
              <w:tl2br w:val="nil"/>
              <w:tr2bl w:val="nil"/>
            </w:tcBorders>
            <w:tcMar>
              <w:top w:w="15" w:type="dxa"/>
              <w:left w:w="15" w:type="dxa"/>
              <w:bottom w:w="15" w:type="dxa"/>
              <w:right w:w="15" w:type="dxa"/>
            </w:tcMar>
            <w:vAlign w:val="center"/>
          </w:tcPr>
          <w:p w14:paraId="4BE5111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责令限期改正，并可处1.5万元以上2万元以下的罚款。</w:t>
            </w:r>
          </w:p>
        </w:tc>
      </w:tr>
      <w:tr w14:paraId="7185A49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169" w:hRule="atLeast"/>
          <w:jc w:val="center"/>
        </w:trPr>
        <w:tc>
          <w:tcPr>
            <w:tcW w:w="428" w:type="dxa"/>
            <w:vMerge w:val="restart"/>
            <w:tcBorders>
              <w:tl2br w:val="nil"/>
              <w:tr2bl w:val="nil"/>
            </w:tcBorders>
            <w:vAlign w:val="center"/>
          </w:tcPr>
          <w:p w14:paraId="070E2ACF">
            <w:pPr>
              <w:keepNext w:val="0"/>
              <w:keepLines w:val="0"/>
              <w:pageBreakBefore w:val="0"/>
              <w:widowControl/>
              <w:numPr>
                <w:ilvl w:val="0"/>
                <w:numId w:val="11"/>
              </w:numPr>
              <w:suppressLineNumbers w:val="0"/>
              <w:tabs>
                <w:tab w:val="clear" w:pos="397"/>
              </w:tabs>
              <w:kinsoku/>
              <w:overflowPunct/>
              <w:topLinePunct w:val="0"/>
              <w:autoSpaceDE/>
              <w:autoSpaceDN/>
              <w:bidi w:val="0"/>
              <w:adjustRightInd/>
              <w:snapToGrid/>
              <w:spacing w:beforeAutospacing="0" w:afterAutospacing="0" w:line="260" w:lineRule="exact"/>
              <w:ind w:left="638" w:leftChars="88" w:right="0" w:rightChars="0" w:hanging="453" w:hangingChars="349"/>
              <w:jc w:val="center"/>
              <w:textAlignment w:val="center"/>
              <w:rPr>
                <w:rFonts w:hint="default" w:ascii="仿宋_GB2312" w:hAnsi="宋体" w:eastAsia="仿宋_GB2312" w:cs="宋体"/>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337</w:t>
            </w:r>
          </w:p>
        </w:tc>
        <w:tc>
          <w:tcPr>
            <w:tcW w:w="1550" w:type="dxa"/>
            <w:vMerge w:val="restart"/>
            <w:tcBorders>
              <w:tl2br w:val="nil"/>
              <w:tr2bl w:val="nil"/>
            </w:tcBorders>
            <w:vAlign w:val="center"/>
          </w:tcPr>
          <w:p w14:paraId="751DCD2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经过检测评估，确定城市桥梁的承载能力下降，但尚未构成危桥的，城市桥梁产权人和委托管理人未及时设置警示标志，并立即采取加固等安全措施的</w:t>
            </w:r>
          </w:p>
        </w:tc>
        <w:tc>
          <w:tcPr>
            <w:tcW w:w="4820" w:type="dxa"/>
            <w:vMerge w:val="restart"/>
            <w:tcBorders>
              <w:tl2br w:val="nil"/>
              <w:tr2bl w:val="nil"/>
            </w:tcBorders>
            <w:vAlign w:val="center"/>
          </w:tcPr>
          <w:p w14:paraId="21297EF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hint="eastAsia" w:ascii="仿宋_GB2312" w:hAnsi="宋体" w:eastAsia="仿宋_GB2312" w:cs="宋体"/>
                <w:color w:val="auto"/>
                <w:kern w:val="0"/>
                <w:sz w:val="13"/>
                <w:szCs w:val="13"/>
                <w:highlight w:val="none"/>
              </w:rPr>
            </w:pPr>
            <w:r>
              <w:rPr>
                <w:rFonts w:hint="eastAsia" w:ascii="仿宋_GB2312" w:hAnsi="宋体" w:eastAsia="仿宋_GB2312" w:cs="宋体"/>
                <w:color w:val="auto"/>
                <w:kern w:val="0"/>
                <w:sz w:val="13"/>
                <w:szCs w:val="13"/>
                <w:highlight w:val="none"/>
              </w:rPr>
              <w:t>《城市桥梁检测和养护维修管理办法》</w:t>
            </w:r>
            <w:r>
              <w:rPr>
                <w:rFonts w:hint="eastAsia" w:ascii="仿宋_GB2312" w:hAnsi="宋体" w:eastAsia="仿宋_GB2312" w:cs="宋体"/>
                <w:b/>
                <w:bCs/>
                <w:color w:val="auto"/>
                <w:kern w:val="0"/>
                <w:sz w:val="13"/>
                <w:szCs w:val="13"/>
                <w:highlight w:val="none"/>
              </w:rPr>
              <w:t>第二十八条</w:t>
            </w:r>
            <w:r>
              <w:rPr>
                <w:rFonts w:hint="eastAsia" w:ascii="仿宋_GB2312" w:hAnsi="宋体" w:eastAsia="仿宋_GB2312" w:cs="宋体"/>
                <w:b/>
                <w:bCs/>
                <w:color w:val="auto"/>
                <w:kern w:val="0"/>
                <w:sz w:val="13"/>
                <w:szCs w:val="13"/>
                <w:highlight w:val="none"/>
                <w:lang w:eastAsia="zh-CN"/>
              </w:rPr>
              <w:t>：</w:t>
            </w:r>
            <w:r>
              <w:rPr>
                <w:rFonts w:hint="eastAsia" w:ascii="仿宋_GB2312" w:hAnsi="宋体" w:eastAsia="仿宋_GB2312" w:cs="宋体"/>
                <w:color w:val="auto"/>
                <w:kern w:val="0"/>
                <w:sz w:val="13"/>
                <w:szCs w:val="13"/>
                <w:highlight w:val="none"/>
              </w:rPr>
              <w:t>违反本办法第十六条、第二十三条规定，由城市人民政府市政工程设施行政主管部门责令限期改正，并可处1万元以上2万元以下的罚款；造成损失的，依法承担赔偿责任。</w:t>
            </w:r>
          </w:p>
          <w:p w14:paraId="77135F3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hint="eastAsia" w:ascii="仿宋_GB2312" w:hAnsi="宋体" w:eastAsia="仿宋_GB2312" w:cs="宋体"/>
                <w:color w:val="auto"/>
                <w:kern w:val="0"/>
                <w:sz w:val="13"/>
                <w:szCs w:val="13"/>
                <w:highlight w:val="none"/>
              </w:rPr>
            </w:pPr>
            <w:r>
              <w:rPr>
                <w:rFonts w:hint="eastAsia" w:ascii="仿宋_GB2312" w:hAnsi="宋体" w:eastAsia="仿宋_GB2312" w:cs="宋体"/>
                <w:b/>
                <w:bCs/>
                <w:color w:val="auto"/>
                <w:kern w:val="0"/>
                <w:sz w:val="13"/>
                <w:szCs w:val="13"/>
                <w:highlight w:val="none"/>
              </w:rPr>
              <w:t>第二十三条</w:t>
            </w:r>
            <w:r>
              <w:rPr>
                <w:rFonts w:hint="eastAsia" w:ascii="仿宋_GB2312" w:hAnsi="宋体" w:eastAsia="仿宋_GB2312" w:cs="宋体"/>
                <w:b/>
                <w:bCs/>
                <w:color w:val="auto"/>
                <w:kern w:val="0"/>
                <w:sz w:val="13"/>
                <w:szCs w:val="13"/>
                <w:highlight w:val="none"/>
                <w:lang w:eastAsia="zh-CN"/>
              </w:rPr>
              <w:t>：</w:t>
            </w:r>
            <w:r>
              <w:rPr>
                <w:rFonts w:hint="eastAsia" w:ascii="仿宋_GB2312" w:hAnsi="宋体" w:eastAsia="仿宋_GB2312" w:cs="宋体"/>
                <w:color w:val="auto"/>
                <w:kern w:val="0"/>
                <w:sz w:val="13"/>
                <w:szCs w:val="13"/>
                <w:highlight w:val="none"/>
              </w:rPr>
              <w:t>经过检测评估，确定城市桥梁的承载能力下降，但尚未构成危桥的，城市桥梁产权人和委托管理人应当及时设置警示标志，并立即采取加固等安全措施。</w:t>
            </w:r>
          </w:p>
          <w:p w14:paraId="3CD2132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hint="eastAsia" w:ascii="仿宋_GB2312" w:hAnsi="宋体" w:eastAsia="仿宋_GB2312" w:cs="宋体"/>
                <w:color w:val="auto"/>
                <w:kern w:val="0"/>
                <w:sz w:val="13"/>
                <w:szCs w:val="13"/>
                <w:highlight w:val="none"/>
              </w:rPr>
            </w:pPr>
            <w:r>
              <w:rPr>
                <w:rFonts w:hint="eastAsia" w:ascii="仿宋_GB2312" w:hAnsi="宋体" w:eastAsia="仿宋_GB2312" w:cs="宋体"/>
                <w:color w:val="auto"/>
                <w:kern w:val="0"/>
                <w:sz w:val="13"/>
                <w:szCs w:val="13"/>
                <w:highlight w:val="none"/>
              </w:rPr>
              <w:t>　　经检测评估判定为危桥的，城市桥梁产权人和委托管理人应当立即采取措施，设置显著的警示标志，并在二十四小时内，向城市人民政府市政工程设施行政主管部门报告；城市人民政府市政工程设施行政主管部门应当提出处理意见，并限期排除危险；在危险排除之前，不得使用或者转让。</w:t>
            </w:r>
          </w:p>
          <w:p w14:paraId="4F64DAE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hint="eastAsia" w:ascii="仿宋_GB2312" w:hAnsi="宋体" w:eastAsia="仿宋_GB2312" w:cs="宋体"/>
                <w:color w:val="auto"/>
                <w:kern w:val="0"/>
                <w:sz w:val="13"/>
                <w:szCs w:val="13"/>
                <w:highlight w:val="none"/>
              </w:rPr>
            </w:pPr>
            <w:r>
              <w:rPr>
                <w:rFonts w:hint="eastAsia" w:ascii="仿宋_GB2312" w:hAnsi="宋体" w:eastAsia="仿宋_GB2312" w:cs="宋体"/>
                <w:color w:val="auto"/>
                <w:kern w:val="0"/>
                <w:sz w:val="13"/>
                <w:szCs w:val="13"/>
                <w:highlight w:val="none"/>
              </w:rPr>
              <w:t>　　城市桥梁产权人或者委托管理人对检测评估结论有异议的，可以依法申请重新检测评估。但重新检测评估结论未果之前，不得停止执行前款规定。</w:t>
            </w:r>
          </w:p>
        </w:tc>
        <w:tc>
          <w:tcPr>
            <w:tcW w:w="823" w:type="dxa"/>
            <w:tcBorders>
              <w:tl2br w:val="nil"/>
              <w:tr2bl w:val="nil"/>
            </w:tcBorders>
            <w:tcMar>
              <w:top w:w="15" w:type="dxa"/>
              <w:left w:w="15" w:type="dxa"/>
              <w:bottom w:w="15" w:type="dxa"/>
              <w:right w:w="15" w:type="dxa"/>
            </w:tcMar>
            <w:vAlign w:val="center"/>
          </w:tcPr>
          <w:p w14:paraId="2F5BA6A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从轻情节</w:t>
            </w:r>
          </w:p>
        </w:tc>
        <w:tc>
          <w:tcPr>
            <w:tcW w:w="3437" w:type="dxa"/>
            <w:gridSpan w:val="2"/>
            <w:tcBorders>
              <w:tl2br w:val="nil"/>
              <w:tr2bl w:val="nil"/>
            </w:tcBorders>
            <w:tcMar>
              <w:top w:w="15" w:type="dxa"/>
              <w:left w:w="15" w:type="dxa"/>
              <w:bottom w:w="15" w:type="dxa"/>
              <w:right w:w="15" w:type="dxa"/>
            </w:tcMar>
            <w:vAlign w:val="center"/>
          </w:tcPr>
          <w:p w14:paraId="16597AA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初次违法，危害后果轻微，积极采取改正措施消除影响的。</w:t>
            </w:r>
          </w:p>
        </w:tc>
        <w:tc>
          <w:tcPr>
            <w:tcW w:w="3058" w:type="dxa"/>
            <w:tcBorders>
              <w:tl2br w:val="nil"/>
              <w:tr2bl w:val="nil"/>
            </w:tcBorders>
            <w:tcMar>
              <w:top w:w="15" w:type="dxa"/>
              <w:left w:w="15" w:type="dxa"/>
              <w:bottom w:w="15" w:type="dxa"/>
              <w:right w:w="15" w:type="dxa"/>
            </w:tcMar>
            <w:vAlign w:val="center"/>
          </w:tcPr>
          <w:p w14:paraId="2495913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责令限期改正，并可处1万元的罚款。</w:t>
            </w:r>
          </w:p>
        </w:tc>
      </w:tr>
      <w:tr w14:paraId="571AAF3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91" w:hRule="atLeast"/>
          <w:jc w:val="center"/>
        </w:trPr>
        <w:tc>
          <w:tcPr>
            <w:tcW w:w="428" w:type="dxa"/>
            <w:vMerge w:val="continue"/>
            <w:tcBorders>
              <w:tl2br w:val="nil"/>
              <w:tr2bl w:val="nil"/>
            </w:tcBorders>
            <w:vAlign w:val="center"/>
          </w:tcPr>
          <w:p w14:paraId="1B649992">
            <w:pPr>
              <w:pStyle w:val="37"/>
              <w:keepNext w:val="0"/>
              <w:keepLines w:val="0"/>
              <w:pageBreakBefore w:val="0"/>
              <w:widowControl/>
              <w:numPr>
                <w:ilvl w:val="0"/>
                <w:numId w:val="12"/>
              </w:numPr>
              <w:kinsoku/>
              <w:overflowPunct/>
              <w:topLinePunct w:val="0"/>
              <w:autoSpaceDE/>
              <w:autoSpaceDN/>
              <w:bidi w:val="0"/>
              <w:adjustRightInd/>
              <w:snapToGrid/>
              <w:spacing w:beforeAutospacing="0" w:afterAutospacing="0" w:line="260" w:lineRule="exact"/>
              <w:ind w:left="638" w:leftChars="88" w:right="0" w:rightChars="0" w:hanging="453" w:hangingChars="349"/>
              <w:jc w:val="center"/>
              <w:textAlignment w:val="center"/>
              <w:rPr>
                <w:rFonts w:ascii="仿宋_GB2312" w:hAnsi="宋体" w:eastAsia="仿宋_GB2312" w:cs="宋体"/>
                <w:color w:val="auto"/>
                <w:sz w:val="13"/>
                <w:szCs w:val="13"/>
                <w:highlight w:val="none"/>
              </w:rPr>
            </w:pPr>
          </w:p>
        </w:tc>
        <w:tc>
          <w:tcPr>
            <w:tcW w:w="1550" w:type="dxa"/>
            <w:vMerge w:val="continue"/>
            <w:tcBorders>
              <w:tl2br w:val="nil"/>
              <w:tr2bl w:val="nil"/>
            </w:tcBorders>
            <w:vAlign w:val="center"/>
          </w:tcPr>
          <w:p w14:paraId="12B1DF6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宋体"/>
                <w:color w:val="auto"/>
                <w:sz w:val="13"/>
                <w:szCs w:val="13"/>
                <w:highlight w:val="none"/>
              </w:rPr>
            </w:pPr>
          </w:p>
        </w:tc>
        <w:tc>
          <w:tcPr>
            <w:tcW w:w="4820" w:type="dxa"/>
            <w:vMerge w:val="continue"/>
            <w:tcBorders>
              <w:tl2br w:val="nil"/>
              <w:tr2bl w:val="nil"/>
            </w:tcBorders>
            <w:vAlign w:val="center"/>
          </w:tcPr>
          <w:p w14:paraId="3A4DA87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宋体"/>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025E84B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一般情节</w:t>
            </w:r>
          </w:p>
        </w:tc>
        <w:tc>
          <w:tcPr>
            <w:tcW w:w="3437" w:type="dxa"/>
            <w:gridSpan w:val="2"/>
            <w:tcBorders>
              <w:tl2br w:val="nil"/>
              <w:tr2bl w:val="nil"/>
            </w:tcBorders>
            <w:tcMar>
              <w:top w:w="15" w:type="dxa"/>
              <w:left w:w="15" w:type="dxa"/>
              <w:bottom w:w="15" w:type="dxa"/>
              <w:right w:w="15" w:type="dxa"/>
            </w:tcMar>
            <w:vAlign w:val="center"/>
          </w:tcPr>
          <w:p w14:paraId="3B7E34D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不具有从轻、</w:t>
            </w:r>
            <w:r>
              <w:rPr>
                <w:rFonts w:hint="eastAsia" w:ascii="仿宋_GB2312" w:hAnsi="宋体" w:eastAsia="仿宋_GB2312" w:cs="宋体"/>
                <w:color w:val="auto"/>
                <w:kern w:val="0"/>
                <w:sz w:val="13"/>
                <w:szCs w:val="13"/>
                <w:highlight w:val="none"/>
                <w:lang w:eastAsia="zh-CN"/>
              </w:rPr>
              <w:t>从重情节</w:t>
            </w:r>
            <w:r>
              <w:rPr>
                <w:rFonts w:hint="eastAsia" w:ascii="仿宋_GB2312" w:hAnsi="宋体" w:eastAsia="仿宋_GB2312" w:cs="宋体"/>
                <w:color w:val="auto"/>
                <w:kern w:val="0"/>
                <w:sz w:val="13"/>
                <w:szCs w:val="13"/>
                <w:highlight w:val="none"/>
              </w:rPr>
              <w:t>的。</w:t>
            </w:r>
          </w:p>
        </w:tc>
        <w:tc>
          <w:tcPr>
            <w:tcW w:w="3058" w:type="dxa"/>
            <w:tcBorders>
              <w:tl2br w:val="nil"/>
              <w:tr2bl w:val="nil"/>
            </w:tcBorders>
            <w:tcMar>
              <w:top w:w="15" w:type="dxa"/>
              <w:left w:w="15" w:type="dxa"/>
              <w:bottom w:w="15" w:type="dxa"/>
              <w:right w:w="15" w:type="dxa"/>
            </w:tcMar>
            <w:vAlign w:val="center"/>
          </w:tcPr>
          <w:p w14:paraId="3CEF2BE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责令限期改正，并可处1万元以上1.5万元以下的罚款。</w:t>
            </w:r>
          </w:p>
        </w:tc>
      </w:tr>
      <w:tr w14:paraId="6468ABB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692" w:hRule="atLeast"/>
          <w:jc w:val="center"/>
        </w:trPr>
        <w:tc>
          <w:tcPr>
            <w:tcW w:w="428" w:type="dxa"/>
            <w:vMerge w:val="continue"/>
            <w:tcBorders>
              <w:tl2br w:val="nil"/>
              <w:tr2bl w:val="nil"/>
            </w:tcBorders>
            <w:vAlign w:val="center"/>
          </w:tcPr>
          <w:p w14:paraId="501196CA">
            <w:pPr>
              <w:pStyle w:val="37"/>
              <w:keepNext w:val="0"/>
              <w:keepLines w:val="0"/>
              <w:pageBreakBefore w:val="0"/>
              <w:widowControl/>
              <w:numPr>
                <w:ilvl w:val="0"/>
                <w:numId w:val="12"/>
              </w:numPr>
              <w:kinsoku/>
              <w:overflowPunct/>
              <w:topLinePunct w:val="0"/>
              <w:autoSpaceDE/>
              <w:autoSpaceDN/>
              <w:bidi w:val="0"/>
              <w:adjustRightInd/>
              <w:snapToGrid/>
              <w:spacing w:beforeAutospacing="0" w:afterAutospacing="0" w:line="260" w:lineRule="exact"/>
              <w:ind w:left="638" w:leftChars="88" w:right="0" w:rightChars="0" w:hanging="453" w:hangingChars="349"/>
              <w:jc w:val="center"/>
              <w:textAlignment w:val="center"/>
              <w:rPr>
                <w:rFonts w:ascii="仿宋_GB2312" w:hAnsi="宋体" w:eastAsia="仿宋_GB2312" w:cs="宋体"/>
                <w:color w:val="auto"/>
                <w:kern w:val="0"/>
                <w:sz w:val="13"/>
                <w:szCs w:val="13"/>
                <w:highlight w:val="none"/>
              </w:rPr>
            </w:pPr>
          </w:p>
        </w:tc>
        <w:tc>
          <w:tcPr>
            <w:tcW w:w="1550" w:type="dxa"/>
            <w:vMerge w:val="continue"/>
            <w:tcBorders>
              <w:tl2br w:val="nil"/>
              <w:tr2bl w:val="nil"/>
            </w:tcBorders>
            <w:vAlign w:val="center"/>
          </w:tcPr>
          <w:p w14:paraId="7A2835E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宋体"/>
                <w:color w:val="auto"/>
                <w:kern w:val="0"/>
                <w:sz w:val="13"/>
                <w:szCs w:val="13"/>
                <w:highlight w:val="none"/>
              </w:rPr>
            </w:pPr>
          </w:p>
        </w:tc>
        <w:tc>
          <w:tcPr>
            <w:tcW w:w="4820" w:type="dxa"/>
            <w:vMerge w:val="continue"/>
            <w:tcBorders>
              <w:tl2br w:val="nil"/>
              <w:tr2bl w:val="nil"/>
            </w:tcBorders>
            <w:vAlign w:val="center"/>
          </w:tcPr>
          <w:p w14:paraId="5709F36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宋体"/>
                <w:color w:val="auto"/>
                <w:kern w:val="0"/>
                <w:sz w:val="13"/>
                <w:szCs w:val="13"/>
                <w:highlight w:val="none"/>
              </w:rPr>
            </w:pPr>
          </w:p>
        </w:tc>
        <w:tc>
          <w:tcPr>
            <w:tcW w:w="823" w:type="dxa"/>
            <w:tcBorders>
              <w:tl2br w:val="nil"/>
              <w:tr2bl w:val="nil"/>
            </w:tcBorders>
            <w:tcMar>
              <w:top w:w="15" w:type="dxa"/>
              <w:left w:w="15" w:type="dxa"/>
              <w:bottom w:w="15" w:type="dxa"/>
              <w:right w:w="15" w:type="dxa"/>
            </w:tcMar>
            <w:vAlign w:val="center"/>
          </w:tcPr>
          <w:p w14:paraId="740226E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从重情节</w:t>
            </w:r>
          </w:p>
        </w:tc>
        <w:tc>
          <w:tcPr>
            <w:tcW w:w="3437" w:type="dxa"/>
            <w:gridSpan w:val="2"/>
            <w:tcBorders>
              <w:tl2br w:val="nil"/>
              <w:tr2bl w:val="nil"/>
            </w:tcBorders>
            <w:tcMar>
              <w:top w:w="15" w:type="dxa"/>
              <w:left w:w="15" w:type="dxa"/>
              <w:bottom w:w="15" w:type="dxa"/>
              <w:right w:w="15" w:type="dxa"/>
            </w:tcMar>
            <w:vAlign w:val="center"/>
          </w:tcPr>
          <w:p w14:paraId="58AD0C1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整改不积极的</w:t>
            </w:r>
            <w:r>
              <w:rPr>
                <w:rFonts w:hint="eastAsia" w:ascii="仿宋_GB2312" w:hAnsi="宋体" w:eastAsia="仿宋_GB2312" w:cs="宋体"/>
                <w:color w:val="auto"/>
                <w:kern w:val="0"/>
                <w:sz w:val="13"/>
                <w:szCs w:val="13"/>
                <w:highlight w:val="none"/>
                <w:lang w:eastAsia="zh-CN"/>
              </w:rPr>
              <w:t>，</w:t>
            </w:r>
            <w:r>
              <w:rPr>
                <w:rFonts w:hint="eastAsia" w:ascii="仿宋_GB2312" w:hAnsi="宋体" w:eastAsia="仿宋_GB2312" w:cs="宋体"/>
                <w:color w:val="auto"/>
                <w:kern w:val="0"/>
                <w:sz w:val="13"/>
                <w:szCs w:val="13"/>
                <w:highlight w:val="none"/>
                <w:lang w:val="en-US" w:eastAsia="zh-CN"/>
              </w:rPr>
              <w:t>或</w:t>
            </w:r>
            <w:r>
              <w:rPr>
                <w:rFonts w:hint="eastAsia" w:ascii="仿宋_GB2312" w:hAnsi="宋体" w:eastAsia="仿宋_GB2312" w:cs="宋体"/>
                <w:color w:val="auto"/>
                <w:kern w:val="0"/>
                <w:sz w:val="13"/>
                <w:szCs w:val="13"/>
                <w:highlight w:val="none"/>
              </w:rPr>
              <w:t>曾因实施该违法行为被查处，再次实施该违法行为的</w:t>
            </w:r>
            <w:r>
              <w:rPr>
                <w:rFonts w:hint="eastAsia" w:ascii="仿宋_GB2312" w:hAnsi="宋体" w:eastAsia="仿宋_GB2312" w:cs="宋体"/>
                <w:color w:val="auto"/>
                <w:kern w:val="0"/>
                <w:sz w:val="13"/>
                <w:szCs w:val="13"/>
                <w:highlight w:val="none"/>
                <w:lang w:eastAsia="zh-CN"/>
              </w:rPr>
              <w:t>，</w:t>
            </w:r>
            <w:r>
              <w:rPr>
                <w:rFonts w:hint="eastAsia" w:ascii="仿宋_GB2312" w:hAnsi="宋体" w:eastAsia="仿宋_GB2312" w:cs="宋体"/>
                <w:color w:val="auto"/>
                <w:kern w:val="0"/>
                <w:sz w:val="13"/>
                <w:szCs w:val="13"/>
                <w:highlight w:val="none"/>
                <w:lang w:val="en-US" w:eastAsia="zh-CN"/>
              </w:rPr>
              <w:t>或</w:t>
            </w:r>
            <w:r>
              <w:rPr>
                <w:rFonts w:hint="eastAsia" w:ascii="仿宋_GB2312" w:hAnsi="宋体" w:eastAsia="仿宋_GB2312" w:cs="宋体"/>
                <w:color w:val="auto"/>
                <w:kern w:val="0"/>
                <w:sz w:val="13"/>
                <w:szCs w:val="13"/>
                <w:highlight w:val="none"/>
              </w:rPr>
              <w:t>造成严重危害后果的。</w:t>
            </w:r>
          </w:p>
        </w:tc>
        <w:tc>
          <w:tcPr>
            <w:tcW w:w="3058" w:type="dxa"/>
            <w:tcBorders>
              <w:tl2br w:val="nil"/>
              <w:tr2bl w:val="nil"/>
            </w:tcBorders>
            <w:tcMar>
              <w:top w:w="15" w:type="dxa"/>
              <w:left w:w="15" w:type="dxa"/>
              <w:bottom w:w="15" w:type="dxa"/>
              <w:right w:w="15" w:type="dxa"/>
            </w:tcMar>
            <w:vAlign w:val="center"/>
          </w:tcPr>
          <w:p w14:paraId="7C2F640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责令限期改正，并可处1.5万元以上2万元以下的罚款。</w:t>
            </w:r>
          </w:p>
        </w:tc>
      </w:tr>
      <w:tr w14:paraId="4355348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759" w:hRule="atLeast"/>
          <w:jc w:val="center"/>
        </w:trPr>
        <w:tc>
          <w:tcPr>
            <w:tcW w:w="428" w:type="dxa"/>
            <w:vMerge w:val="restart"/>
            <w:tcBorders>
              <w:tl2br w:val="nil"/>
              <w:tr2bl w:val="nil"/>
            </w:tcBorders>
            <w:tcMar>
              <w:top w:w="15" w:type="dxa"/>
              <w:left w:w="15" w:type="dxa"/>
              <w:bottom w:w="15" w:type="dxa"/>
              <w:right w:w="15" w:type="dxa"/>
            </w:tcMar>
            <w:vAlign w:val="center"/>
          </w:tcPr>
          <w:p w14:paraId="6504BD48">
            <w:pPr>
              <w:keepNext w:val="0"/>
              <w:keepLines w:val="0"/>
              <w:pageBreakBefore w:val="0"/>
              <w:widowControl/>
              <w:numPr>
                <w:ilvl w:val="0"/>
                <w:numId w:val="11"/>
              </w:numPr>
              <w:suppressLineNumbers w:val="0"/>
              <w:tabs>
                <w:tab w:val="clear" w:pos="397"/>
              </w:tabs>
              <w:kinsoku/>
              <w:overflowPunct/>
              <w:topLinePunct w:val="0"/>
              <w:autoSpaceDE/>
              <w:autoSpaceDN/>
              <w:bidi w:val="0"/>
              <w:adjustRightInd/>
              <w:snapToGrid/>
              <w:spacing w:beforeAutospacing="0" w:afterAutospacing="0" w:line="260" w:lineRule="exact"/>
              <w:ind w:left="638" w:leftChars="88" w:right="0" w:rightChars="0" w:hanging="453" w:hangingChars="349"/>
              <w:jc w:val="center"/>
              <w:textAlignment w:val="center"/>
              <w:rPr>
                <w:rFonts w:hint="default" w:ascii="仿宋_GB2312" w:hAnsi="宋体" w:eastAsia="仿宋_GB2312" w:cs="宋体"/>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338</w:t>
            </w:r>
          </w:p>
        </w:tc>
        <w:tc>
          <w:tcPr>
            <w:tcW w:w="1550" w:type="dxa"/>
            <w:vMerge w:val="restart"/>
            <w:tcBorders>
              <w:tl2br w:val="nil"/>
              <w:tr2bl w:val="nil"/>
            </w:tcBorders>
            <w:tcMar>
              <w:top w:w="15" w:type="dxa"/>
              <w:left w:w="15" w:type="dxa"/>
              <w:bottom w:w="15" w:type="dxa"/>
              <w:right w:w="15" w:type="dxa"/>
            </w:tcMar>
            <w:vAlign w:val="center"/>
          </w:tcPr>
          <w:p w14:paraId="132C5F1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建设单位未移交地下管线工程档案的</w:t>
            </w:r>
          </w:p>
        </w:tc>
        <w:tc>
          <w:tcPr>
            <w:tcW w:w="4820" w:type="dxa"/>
            <w:vMerge w:val="restart"/>
            <w:tcBorders>
              <w:tl2br w:val="nil"/>
              <w:tr2bl w:val="nil"/>
            </w:tcBorders>
            <w:tcMar>
              <w:top w:w="15" w:type="dxa"/>
              <w:left w:w="15" w:type="dxa"/>
              <w:bottom w:w="15" w:type="dxa"/>
              <w:right w:w="15" w:type="dxa"/>
            </w:tcMar>
            <w:vAlign w:val="center"/>
          </w:tcPr>
          <w:p w14:paraId="00CD220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kern w:val="0"/>
                <w:sz w:val="13"/>
                <w:szCs w:val="13"/>
                <w:highlight w:val="none"/>
              </w:rPr>
            </w:pPr>
            <w:r>
              <w:rPr>
                <w:rFonts w:hint="eastAsia" w:ascii="仿宋_GB2312" w:hAnsi="宋体" w:eastAsia="仿宋_GB2312" w:cs="宋体"/>
                <w:color w:val="auto"/>
                <w:kern w:val="0"/>
                <w:sz w:val="13"/>
                <w:szCs w:val="13"/>
                <w:highlight w:val="none"/>
              </w:rPr>
              <w:t>《城市地下管线工程档案管理办法》</w:t>
            </w:r>
            <w:r>
              <w:rPr>
                <w:rFonts w:hint="eastAsia" w:ascii="仿宋_GB2312" w:hAnsi="宋体" w:eastAsia="仿宋_GB2312" w:cs="宋体"/>
                <w:b/>
                <w:bCs/>
                <w:color w:val="auto"/>
                <w:kern w:val="0"/>
                <w:sz w:val="13"/>
                <w:szCs w:val="13"/>
                <w:highlight w:val="none"/>
              </w:rPr>
              <w:t>第十七条</w:t>
            </w:r>
            <w:r>
              <w:rPr>
                <w:rFonts w:hint="eastAsia" w:ascii="仿宋_GB2312" w:hAnsi="宋体" w:eastAsia="仿宋_GB2312" w:cs="宋体"/>
                <w:b/>
                <w:bCs/>
                <w:color w:val="auto"/>
                <w:kern w:val="0"/>
                <w:sz w:val="13"/>
                <w:szCs w:val="13"/>
                <w:highlight w:val="none"/>
                <w:lang w:eastAsia="zh-CN"/>
              </w:rPr>
              <w:t>：</w:t>
            </w:r>
            <w:r>
              <w:rPr>
                <w:rFonts w:hint="eastAsia" w:ascii="仿宋_GB2312" w:hAnsi="宋体" w:eastAsia="仿宋_GB2312" w:cs="宋体"/>
                <w:color w:val="auto"/>
                <w:kern w:val="0"/>
                <w:sz w:val="13"/>
                <w:szCs w:val="13"/>
                <w:highlight w:val="none"/>
              </w:rPr>
              <w:t>建设单位违反本办法规定，未移交地下管线工程档案的，由建设主管部门责令改正，处1万元以上10万元以下的罚款；对单位直接负责的主管人员和其他直接责任人员，处单位罚款数额5%以上10%以下的罚款；因建设单位未移交地下管线工程档案，造成施工单位在施工中损坏地下管线的，建设单位依法承担相应的责任。</w:t>
            </w:r>
          </w:p>
        </w:tc>
        <w:tc>
          <w:tcPr>
            <w:tcW w:w="823" w:type="dxa"/>
            <w:tcBorders>
              <w:tl2br w:val="nil"/>
              <w:tr2bl w:val="nil"/>
            </w:tcBorders>
            <w:tcMar>
              <w:top w:w="15" w:type="dxa"/>
              <w:left w:w="15" w:type="dxa"/>
              <w:bottom w:w="15" w:type="dxa"/>
              <w:right w:w="15" w:type="dxa"/>
            </w:tcMar>
            <w:vAlign w:val="center"/>
          </w:tcPr>
          <w:p w14:paraId="0B5A599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从轻情节</w:t>
            </w:r>
          </w:p>
        </w:tc>
        <w:tc>
          <w:tcPr>
            <w:tcW w:w="3437" w:type="dxa"/>
            <w:gridSpan w:val="2"/>
            <w:tcBorders>
              <w:tl2br w:val="nil"/>
              <w:tr2bl w:val="nil"/>
            </w:tcBorders>
            <w:tcMar>
              <w:top w:w="15" w:type="dxa"/>
              <w:left w:w="15" w:type="dxa"/>
              <w:bottom w:w="15" w:type="dxa"/>
              <w:right w:w="15" w:type="dxa"/>
            </w:tcMar>
            <w:vAlign w:val="center"/>
          </w:tcPr>
          <w:p w14:paraId="0537AB3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kern w:val="0"/>
                <w:sz w:val="13"/>
                <w:szCs w:val="13"/>
                <w:highlight w:val="none"/>
              </w:rPr>
            </w:pPr>
            <w:r>
              <w:rPr>
                <w:rFonts w:hint="eastAsia" w:ascii="仿宋_GB2312" w:hAnsi="宋体" w:eastAsia="仿宋_GB2312" w:cs="宋体"/>
                <w:color w:val="auto"/>
                <w:kern w:val="0"/>
                <w:sz w:val="13"/>
                <w:szCs w:val="13"/>
                <w:highlight w:val="none"/>
              </w:rPr>
              <w:t>城建档案管理机构依法要求建设单位工程竣工后移交地下管线工程档案的时间届满后30日内仍未移交的。</w:t>
            </w:r>
          </w:p>
        </w:tc>
        <w:tc>
          <w:tcPr>
            <w:tcW w:w="3058" w:type="dxa"/>
            <w:tcBorders>
              <w:tl2br w:val="nil"/>
              <w:tr2bl w:val="nil"/>
            </w:tcBorders>
            <w:tcMar>
              <w:top w:w="15" w:type="dxa"/>
              <w:left w:w="15" w:type="dxa"/>
              <w:bottom w:w="15" w:type="dxa"/>
              <w:right w:w="15" w:type="dxa"/>
            </w:tcMar>
            <w:vAlign w:val="center"/>
          </w:tcPr>
          <w:p w14:paraId="4E29AAA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责令改正，处1万元以上3万元以下的罚款；对单位直接负责的主管人员和其他直接责任人员，处单位罚款数额5%的罚款。</w:t>
            </w:r>
          </w:p>
        </w:tc>
      </w:tr>
      <w:tr w14:paraId="3D48A08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738" w:hRule="atLeast"/>
          <w:jc w:val="center"/>
        </w:trPr>
        <w:tc>
          <w:tcPr>
            <w:tcW w:w="428" w:type="dxa"/>
            <w:vMerge w:val="continue"/>
            <w:tcBorders>
              <w:tl2br w:val="nil"/>
              <w:tr2bl w:val="nil"/>
            </w:tcBorders>
            <w:vAlign w:val="center"/>
          </w:tcPr>
          <w:p w14:paraId="28102989">
            <w:pPr>
              <w:pStyle w:val="37"/>
              <w:keepNext w:val="0"/>
              <w:keepLines w:val="0"/>
              <w:pageBreakBefore w:val="0"/>
              <w:widowControl/>
              <w:numPr>
                <w:ilvl w:val="0"/>
                <w:numId w:val="12"/>
              </w:numPr>
              <w:kinsoku/>
              <w:overflowPunct/>
              <w:topLinePunct w:val="0"/>
              <w:autoSpaceDE/>
              <w:autoSpaceDN/>
              <w:bidi w:val="0"/>
              <w:adjustRightInd/>
              <w:snapToGrid/>
              <w:spacing w:beforeAutospacing="0" w:afterAutospacing="0" w:line="260" w:lineRule="exact"/>
              <w:ind w:left="638" w:leftChars="88" w:right="0" w:rightChars="0" w:hanging="453" w:hangingChars="349"/>
              <w:jc w:val="center"/>
              <w:rPr>
                <w:rFonts w:ascii="仿宋_GB2312" w:hAnsi="宋体" w:eastAsia="仿宋_GB2312" w:cs="宋体"/>
                <w:color w:val="auto"/>
                <w:sz w:val="13"/>
                <w:szCs w:val="13"/>
                <w:highlight w:val="none"/>
              </w:rPr>
            </w:pPr>
          </w:p>
        </w:tc>
        <w:tc>
          <w:tcPr>
            <w:tcW w:w="1550" w:type="dxa"/>
            <w:vMerge w:val="continue"/>
            <w:tcBorders>
              <w:tl2br w:val="nil"/>
              <w:tr2bl w:val="nil"/>
            </w:tcBorders>
            <w:vAlign w:val="center"/>
          </w:tcPr>
          <w:p w14:paraId="6AAB4B1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sz w:val="13"/>
                <w:szCs w:val="13"/>
                <w:highlight w:val="none"/>
              </w:rPr>
            </w:pPr>
          </w:p>
        </w:tc>
        <w:tc>
          <w:tcPr>
            <w:tcW w:w="4820" w:type="dxa"/>
            <w:vMerge w:val="continue"/>
            <w:tcBorders>
              <w:tl2br w:val="nil"/>
              <w:tr2bl w:val="nil"/>
            </w:tcBorders>
            <w:vAlign w:val="center"/>
          </w:tcPr>
          <w:p w14:paraId="5041119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kern w:val="0"/>
                <w:sz w:val="13"/>
                <w:szCs w:val="13"/>
                <w:highlight w:val="none"/>
              </w:rPr>
            </w:pPr>
          </w:p>
        </w:tc>
        <w:tc>
          <w:tcPr>
            <w:tcW w:w="823" w:type="dxa"/>
            <w:tcBorders>
              <w:tl2br w:val="nil"/>
              <w:tr2bl w:val="nil"/>
            </w:tcBorders>
            <w:tcMar>
              <w:top w:w="15" w:type="dxa"/>
              <w:left w:w="15" w:type="dxa"/>
              <w:bottom w:w="15" w:type="dxa"/>
              <w:right w:w="15" w:type="dxa"/>
            </w:tcMar>
            <w:vAlign w:val="center"/>
          </w:tcPr>
          <w:p w14:paraId="3F82AE4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一般情节</w:t>
            </w:r>
          </w:p>
        </w:tc>
        <w:tc>
          <w:tcPr>
            <w:tcW w:w="3437" w:type="dxa"/>
            <w:gridSpan w:val="2"/>
            <w:tcBorders>
              <w:tl2br w:val="nil"/>
              <w:tr2bl w:val="nil"/>
            </w:tcBorders>
            <w:tcMar>
              <w:top w:w="15" w:type="dxa"/>
              <w:left w:w="15" w:type="dxa"/>
              <w:bottom w:w="15" w:type="dxa"/>
              <w:right w:w="15" w:type="dxa"/>
            </w:tcMar>
            <w:vAlign w:val="center"/>
          </w:tcPr>
          <w:p w14:paraId="1EA8EFD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kern w:val="0"/>
                <w:sz w:val="13"/>
                <w:szCs w:val="13"/>
                <w:highlight w:val="none"/>
              </w:rPr>
            </w:pPr>
            <w:r>
              <w:rPr>
                <w:rFonts w:hint="eastAsia" w:ascii="仿宋_GB2312" w:hAnsi="宋体" w:eastAsia="仿宋_GB2312" w:cs="宋体"/>
                <w:color w:val="auto"/>
                <w:kern w:val="0"/>
                <w:sz w:val="13"/>
                <w:szCs w:val="13"/>
                <w:highlight w:val="none"/>
              </w:rPr>
              <w:t>城建档案管理机构依法要求建设单位工程竣工后移交地下管线工程档案的时间届满后30日以上60日以下未移交的。</w:t>
            </w:r>
          </w:p>
        </w:tc>
        <w:tc>
          <w:tcPr>
            <w:tcW w:w="3058" w:type="dxa"/>
            <w:tcBorders>
              <w:tl2br w:val="nil"/>
              <w:tr2bl w:val="nil"/>
            </w:tcBorders>
            <w:tcMar>
              <w:top w:w="15" w:type="dxa"/>
              <w:left w:w="15" w:type="dxa"/>
              <w:bottom w:w="15" w:type="dxa"/>
              <w:right w:w="15" w:type="dxa"/>
            </w:tcMar>
            <w:vAlign w:val="center"/>
          </w:tcPr>
          <w:p w14:paraId="5C32B62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责令改正，处3万元以上5万元以下的罚款；对单位直接负责的主管人员和其他直接责任人员，处单位罚款数额5%以上8%以下的罚款。</w:t>
            </w:r>
          </w:p>
        </w:tc>
      </w:tr>
      <w:tr w14:paraId="7EAE2EE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481" w:hRule="atLeast"/>
          <w:jc w:val="center"/>
        </w:trPr>
        <w:tc>
          <w:tcPr>
            <w:tcW w:w="428" w:type="dxa"/>
            <w:vMerge w:val="continue"/>
            <w:tcBorders>
              <w:tl2br w:val="nil"/>
              <w:tr2bl w:val="nil"/>
            </w:tcBorders>
            <w:vAlign w:val="center"/>
          </w:tcPr>
          <w:p w14:paraId="36BD3980">
            <w:pPr>
              <w:pStyle w:val="37"/>
              <w:keepNext w:val="0"/>
              <w:keepLines w:val="0"/>
              <w:pageBreakBefore w:val="0"/>
              <w:widowControl/>
              <w:numPr>
                <w:ilvl w:val="0"/>
                <w:numId w:val="12"/>
              </w:numPr>
              <w:kinsoku/>
              <w:overflowPunct/>
              <w:topLinePunct w:val="0"/>
              <w:autoSpaceDE/>
              <w:autoSpaceDN/>
              <w:bidi w:val="0"/>
              <w:adjustRightInd/>
              <w:snapToGrid/>
              <w:spacing w:beforeAutospacing="0" w:afterAutospacing="0" w:line="260" w:lineRule="exact"/>
              <w:ind w:left="638" w:leftChars="88" w:right="0" w:rightChars="0" w:hanging="453" w:hangingChars="349"/>
              <w:jc w:val="center"/>
              <w:rPr>
                <w:rFonts w:ascii="仿宋_GB2312" w:hAnsi="宋体" w:eastAsia="仿宋_GB2312" w:cs="宋体"/>
                <w:color w:val="auto"/>
                <w:sz w:val="13"/>
                <w:szCs w:val="13"/>
                <w:highlight w:val="none"/>
              </w:rPr>
            </w:pPr>
          </w:p>
        </w:tc>
        <w:tc>
          <w:tcPr>
            <w:tcW w:w="1550" w:type="dxa"/>
            <w:vMerge w:val="continue"/>
            <w:tcBorders>
              <w:tl2br w:val="nil"/>
              <w:tr2bl w:val="nil"/>
            </w:tcBorders>
            <w:vAlign w:val="center"/>
          </w:tcPr>
          <w:p w14:paraId="05A2F64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sz w:val="13"/>
                <w:szCs w:val="13"/>
                <w:highlight w:val="none"/>
              </w:rPr>
            </w:pPr>
          </w:p>
        </w:tc>
        <w:tc>
          <w:tcPr>
            <w:tcW w:w="4820" w:type="dxa"/>
            <w:vMerge w:val="continue"/>
            <w:tcBorders>
              <w:tl2br w:val="nil"/>
              <w:tr2bl w:val="nil"/>
            </w:tcBorders>
            <w:vAlign w:val="center"/>
          </w:tcPr>
          <w:p w14:paraId="3933561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kern w:val="0"/>
                <w:sz w:val="13"/>
                <w:szCs w:val="13"/>
                <w:highlight w:val="none"/>
              </w:rPr>
            </w:pPr>
          </w:p>
        </w:tc>
        <w:tc>
          <w:tcPr>
            <w:tcW w:w="823" w:type="dxa"/>
            <w:tcBorders>
              <w:tl2br w:val="nil"/>
              <w:tr2bl w:val="nil"/>
            </w:tcBorders>
            <w:tcMar>
              <w:top w:w="15" w:type="dxa"/>
              <w:left w:w="15" w:type="dxa"/>
              <w:bottom w:w="15" w:type="dxa"/>
              <w:right w:w="15" w:type="dxa"/>
            </w:tcMar>
            <w:vAlign w:val="center"/>
          </w:tcPr>
          <w:p w14:paraId="2609142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从重情节</w:t>
            </w:r>
          </w:p>
        </w:tc>
        <w:tc>
          <w:tcPr>
            <w:tcW w:w="3437" w:type="dxa"/>
            <w:gridSpan w:val="2"/>
            <w:tcBorders>
              <w:tl2br w:val="nil"/>
              <w:tr2bl w:val="nil"/>
            </w:tcBorders>
            <w:tcMar>
              <w:top w:w="15" w:type="dxa"/>
              <w:left w:w="15" w:type="dxa"/>
              <w:bottom w:w="15" w:type="dxa"/>
              <w:right w:w="15" w:type="dxa"/>
            </w:tcMar>
            <w:vAlign w:val="center"/>
          </w:tcPr>
          <w:p w14:paraId="60E7AC4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kern w:val="0"/>
                <w:sz w:val="13"/>
                <w:szCs w:val="13"/>
                <w:highlight w:val="none"/>
              </w:rPr>
            </w:pPr>
            <w:r>
              <w:rPr>
                <w:rFonts w:hint="eastAsia" w:ascii="仿宋_GB2312" w:hAnsi="宋体" w:eastAsia="仿宋_GB2312" w:cs="Times New Roman"/>
                <w:color w:val="auto"/>
                <w:kern w:val="0"/>
                <w:sz w:val="13"/>
                <w:szCs w:val="13"/>
                <w:highlight w:val="none"/>
                <w:lang w:val="en-US" w:eastAsia="zh-CN"/>
              </w:rPr>
              <w:t>有下列情形之一的：</w:t>
            </w:r>
            <w:r>
              <w:rPr>
                <w:rFonts w:hint="eastAsia" w:ascii="仿宋_GB2312" w:hAnsi="宋体" w:eastAsia="仿宋_GB2312" w:cs="宋体"/>
                <w:color w:val="auto"/>
                <w:kern w:val="0"/>
                <w:sz w:val="13"/>
                <w:szCs w:val="13"/>
                <w:highlight w:val="none"/>
              </w:rPr>
              <w:t>（1）城建档案管理机构依法要求建设单位工程竣工后移交地下管线工程档案的时间届满后60日以上未移交的；（2）责令改正后仍不移交的；（3）曾因实施该违法行为被查处，再次实施该违法行为的；（4）造成严重危害后果的。</w:t>
            </w:r>
          </w:p>
        </w:tc>
        <w:tc>
          <w:tcPr>
            <w:tcW w:w="3058" w:type="dxa"/>
            <w:tcBorders>
              <w:tl2br w:val="nil"/>
              <w:tr2bl w:val="nil"/>
            </w:tcBorders>
            <w:tcMar>
              <w:top w:w="15" w:type="dxa"/>
              <w:left w:w="15" w:type="dxa"/>
              <w:bottom w:w="15" w:type="dxa"/>
              <w:right w:w="15" w:type="dxa"/>
            </w:tcMar>
            <w:vAlign w:val="center"/>
          </w:tcPr>
          <w:p w14:paraId="24FA4E4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责令改正，处5万元以上10万元以下的罚款；对单位直接负责的主管人员和其他直接责任人员，处单位罚款数额8%以上10%以下的罚款。</w:t>
            </w:r>
          </w:p>
        </w:tc>
      </w:tr>
      <w:tr w14:paraId="2234AED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403" w:hRule="atLeast"/>
          <w:jc w:val="center"/>
        </w:trPr>
        <w:tc>
          <w:tcPr>
            <w:tcW w:w="428" w:type="dxa"/>
            <w:vMerge w:val="restart"/>
            <w:tcBorders>
              <w:tl2br w:val="nil"/>
              <w:tr2bl w:val="nil"/>
            </w:tcBorders>
            <w:tcMar>
              <w:top w:w="15" w:type="dxa"/>
              <w:left w:w="15" w:type="dxa"/>
              <w:bottom w:w="15" w:type="dxa"/>
              <w:right w:w="15" w:type="dxa"/>
            </w:tcMar>
            <w:vAlign w:val="center"/>
          </w:tcPr>
          <w:p w14:paraId="499E1293">
            <w:pPr>
              <w:keepNext w:val="0"/>
              <w:keepLines w:val="0"/>
              <w:pageBreakBefore w:val="0"/>
              <w:widowControl/>
              <w:numPr>
                <w:ilvl w:val="0"/>
                <w:numId w:val="11"/>
              </w:numPr>
              <w:suppressLineNumbers w:val="0"/>
              <w:tabs>
                <w:tab w:val="clear" w:pos="397"/>
              </w:tabs>
              <w:kinsoku/>
              <w:overflowPunct/>
              <w:topLinePunct w:val="0"/>
              <w:autoSpaceDE/>
              <w:autoSpaceDN/>
              <w:bidi w:val="0"/>
              <w:adjustRightInd/>
              <w:snapToGrid/>
              <w:spacing w:beforeAutospacing="0" w:afterAutospacing="0" w:line="260" w:lineRule="exact"/>
              <w:ind w:left="638" w:leftChars="88" w:right="0" w:rightChars="0" w:hanging="453" w:hangingChars="349"/>
              <w:jc w:val="center"/>
              <w:textAlignment w:val="center"/>
              <w:rPr>
                <w:rFonts w:hint="default" w:ascii="仿宋_GB2312" w:hAnsi="宋体" w:eastAsia="仿宋_GB2312" w:cs="宋体"/>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339</w:t>
            </w:r>
          </w:p>
        </w:tc>
        <w:tc>
          <w:tcPr>
            <w:tcW w:w="1550" w:type="dxa"/>
            <w:vMerge w:val="restart"/>
            <w:tcBorders>
              <w:tl2br w:val="nil"/>
              <w:tr2bl w:val="nil"/>
            </w:tcBorders>
            <w:tcMar>
              <w:top w:w="15" w:type="dxa"/>
              <w:left w:w="15" w:type="dxa"/>
              <w:bottom w:w="15" w:type="dxa"/>
              <w:right w:w="15" w:type="dxa"/>
            </w:tcMar>
            <w:vAlign w:val="center"/>
          </w:tcPr>
          <w:p w14:paraId="3F95320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地下管线专业管理单位未移交地下管线工程档案的</w:t>
            </w:r>
          </w:p>
        </w:tc>
        <w:tc>
          <w:tcPr>
            <w:tcW w:w="4820" w:type="dxa"/>
            <w:vMerge w:val="restart"/>
            <w:tcBorders>
              <w:tl2br w:val="nil"/>
              <w:tr2bl w:val="nil"/>
            </w:tcBorders>
            <w:tcMar>
              <w:top w:w="15" w:type="dxa"/>
              <w:left w:w="15" w:type="dxa"/>
              <w:bottom w:w="15" w:type="dxa"/>
              <w:right w:w="15" w:type="dxa"/>
            </w:tcMar>
            <w:vAlign w:val="center"/>
          </w:tcPr>
          <w:p w14:paraId="726B661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kern w:val="0"/>
                <w:sz w:val="13"/>
                <w:szCs w:val="13"/>
                <w:highlight w:val="none"/>
              </w:rPr>
            </w:pPr>
            <w:r>
              <w:rPr>
                <w:rFonts w:hint="eastAsia" w:ascii="仿宋_GB2312" w:hAnsi="宋体" w:eastAsia="仿宋_GB2312" w:cs="宋体"/>
                <w:color w:val="auto"/>
                <w:kern w:val="0"/>
                <w:sz w:val="13"/>
                <w:szCs w:val="13"/>
                <w:highlight w:val="none"/>
              </w:rPr>
              <w:t>《城市地下管线工程档案管理办法》</w:t>
            </w:r>
            <w:r>
              <w:rPr>
                <w:rFonts w:hint="eastAsia" w:ascii="仿宋_GB2312" w:hAnsi="宋体" w:eastAsia="仿宋_GB2312" w:cs="宋体"/>
                <w:b/>
                <w:bCs/>
                <w:color w:val="auto"/>
                <w:kern w:val="0"/>
                <w:sz w:val="13"/>
                <w:szCs w:val="13"/>
                <w:highlight w:val="none"/>
              </w:rPr>
              <w:t>第十八条</w:t>
            </w:r>
            <w:r>
              <w:rPr>
                <w:rFonts w:hint="eastAsia" w:ascii="仿宋_GB2312" w:hAnsi="宋体" w:eastAsia="仿宋_GB2312" w:cs="宋体"/>
                <w:b/>
                <w:bCs/>
                <w:color w:val="auto"/>
                <w:kern w:val="0"/>
                <w:sz w:val="13"/>
                <w:szCs w:val="13"/>
                <w:highlight w:val="none"/>
                <w:lang w:eastAsia="zh-CN"/>
              </w:rPr>
              <w:t>：</w:t>
            </w:r>
            <w:r>
              <w:rPr>
                <w:rFonts w:hint="eastAsia" w:ascii="仿宋_GB2312" w:hAnsi="宋体" w:eastAsia="仿宋_GB2312" w:cs="宋体"/>
                <w:color w:val="auto"/>
                <w:kern w:val="0"/>
                <w:sz w:val="13"/>
                <w:szCs w:val="13"/>
                <w:highlight w:val="none"/>
              </w:rPr>
              <w:t>地下管线专业管理单位违反本办法规定，未移交地下管线工程档案的，由建设主管部门责令改正，处1万元以下的罚款；因地下管线专业管理单位未移交地下管线工程档案，造成施工单位在施工中损坏地下管线的，地下管线专业管理单位依法承担相应的责任。</w:t>
            </w:r>
          </w:p>
        </w:tc>
        <w:tc>
          <w:tcPr>
            <w:tcW w:w="823" w:type="dxa"/>
            <w:tcBorders>
              <w:tl2br w:val="nil"/>
              <w:tr2bl w:val="nil"/>
            </w:tcBorders>
            <w:tcMar>
              <w:top w:w="15" w:type="dxa"/>
              <w:left w:w="15" w:type="dxa"/>
              <w:bottom w:w="15" w:type="dxa"/>
              <w:right w:w="15" w:type="dxa"/>
            </w:tcMar>
            <w:vAlign w:val="center"/>
          </w:tcPr>
          <w:p w14:paraId="15C06F8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从轻情节</w:t>
            </w:r>
          </w:p>
        </w:tc>
        <w:tc>
          <w:tcPr>
            <w:tcW w:w="3437" w:type="dxa"/>
            <w:gridSpan w:val="2"/>
            <w:tcBorders>
              <w:tl2br w:val="nil"/>
              <w:tr2bl w:val="nil"/>
            </w:tcBorders>
            <w:tcMar>
              <w:top w:w="15" w:type="dxa"/>
              <w:left w:w="15" w:type="dxa"/>
              <w:bottom w:w="15" w:type="dxa"/>
              <w:right w:w="15" w:type="dxa"/>
            </w:tcMar>
            <w:vAlign w:val="center"/>
          </w:tcPr>
          <w:p w14:paraId="4FAD8BC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kern w:val="0"/>
                <w:sz w:val="13"/>
                <w:szCs w:val="13"/>
                <w:highlight w:val="none"/>
              </w:rPr>
            </w:pPr>
            <w:r>
              <w:rPr>
                <w:rFonts w:hint="eastAsia" w:ascii="仿宋_GB2312" w:hAnsi="宋体" w:eastAsia="仿宋_GB2312" w:cs="宋体"/>
                <w:color w:val="auto"/>
                <w:kern w:val="0"/>
                <w:sz w:val="13"/>
                <w:szCs w:val="13"/>
                <w:highlight w:val="none"/>
              </w:rPr>
              <w:t>地下管线专业管理单位将更改、报废、漏测部分的地下管线工程档案修改补充到本单位的地下管线专业图上后，30日以内仍未依法将地下管线专业图及有关资料向城建档案管理机构移交的。</w:t>
            </w:r>
          </w:p>
        </w:tc>
        <w:tc>
          <w:tcPr>
            <w:tcW w:w="3058" w:type="dxa"/>
            <w:tcBorders>
              <w:tl2br w:val="nil"/>
              <w:tr2bl w:val="nil"/>
            </w:tcBorders>
            <w:tcMar>
              <w:top w:w="15" w:type="dxa"/>
              <w:left w:w="15" w:type="dxa"/>
              <w:bottom w:w="15" w:type="dxa"/>
              <w:right w:w="15" w:type="dxa"/>
            </w:tcMar>
            <w:vAlign w:val="center"/>
          </w:tcPr>
          <w:p w14:paraId="0691316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kern w:val="0"/>
                <w:sz w:val="13"/>
                <w:szCs w:val="13"/>
                <w:highlight w:val="none"/>
              </w:rPr>
            </w:pPr>
            <w:r>
              <w:rPr>
                <w:rFonts w:hint="eastAsia" w:ascii="仿宋_GB2312" w:hAnsi="宋体" w:eastAsia="仿宋_GB2312" w:cs="宋体"/>
                <w:color w:val="auto"/>
                <w:kern w:val="0"/>
                <w:sz w:val="13"/>
                <w:szCs w:val="13"/>
                <w:highlight w:val="none"/>
              </w:rPr>
              <w:t>责令改正，处3千元以下的罚款。</w:t>
            </w:r>
          </w:p>
        </w:tc>
      </w:tr>
      <w:tr w14:paraId="6579AB8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403" w:hRule="atLeast"/>
          <w:jc w:val="center"/>
        </w:trPr>
        <w:tc>
          <w:tcPr>
            <w:tcW w:w="428" w:type="dxa"/>
            <w:vMerge w:val="continue"/>
            <w:tcBorders>
              <w:tl2br w:val="nil"/>
              <w:tr2bl w:val="nil"/>
            </w:tcBorders>
            <w:vAlign w:val="center"/>
          </w:tcPr>
          <w:p w14:paraId="780655DD">
            <w:pPr>
              <w:pStyle w:val="37"/>
              <w:keepNext w:val="0"/>
              <w:keepLines w:val="0"/>
              <w:pageBreakBefore w:val="0"/>
              <w:widowControl/>
              <w:numPr>
                <w:ilvl w:val="0"/>
                <w:numId w:val="12"/>
              </w:numPr>
              <w:kinsoku/>
              <w:overflowPunct/>
              <w:topLinePunct w:val="0"/>
              <w:autoSpaceDE/>
              <w:autoSpaceDN/>
              <w:bidi w:val="0"/>
              <w:adjustRightInd/>
              <w:snapToGrid/>
              <w:spacing w:beforeAutospacing="0" w:afterAutospacing="0" w:line="260" w:lineRule="exact"/>
              <w:ind w:left="638" w:leftChars="88" w:right="0" w:rightChars="0" w:hanging="453" w:hangingChars="349"/>
              <w:jc w:val="center"/>
              <w:rPr>
                <w:rFonts w:ascii="仿宋_GB2312" w:hAnsi="宋体" w:eastAsia="仿宋_GB2312" w:cs="宋体"/>
                <w:color w:val="auto"/>
                <w:sz w:val="13"/>
                <w:szCs w:val="13"/>
                <w:highlight w:val="none"/>
              </w:rPr>
            </w:pPr>
          </w:p>
        </w:tc>
        <w:tc>
          <w:tcPr>
            <w:tcW w:w="1550" w:type="dxa"/>
            <w:vMerge w:val="continue"/>
            <w:tcBorders>
              <w:tl2br w:val="nil"/>
              <w:tr2bl w:val="nil"/>
            </w:tcBorders>
            <w:vAlign w:val="center"/>
          </w:tcPr>
          <w:p w14:paraId="020576C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sz w:val="13"/>
                <w:szCs w:val="13"/>
                <w:highlight w:val="none"/>
              </w:rPr>
            </w:pPr>
          </w:p>
        </w:tc>
        <w:tc>
          <w:tcPr>
            <w:tcW w:w="4820" w:type="dxa"/>
            <w:vMerge w:val="continue"/>
            <w:tcBorders>
              <w:tl2br w:val="nil"/>
              <w:tr2bl w:val="nil"/>
            </w:tcBorders>
            <w:vAlign w:val="center"/>
          </w:tcPr>
          <w:p w14:paraId="5AF5527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5C9524B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一般情节</w:t>
            </w:r>
          </w:p>
        </w:tc>
        <w:tc>
          <w:tcPr>
            <w:tcW w:w="3437" w:type="dxa"/>
            <w:gridSpan w:val="2"/>
            <w:tcBorders>
              <w:tl2br w:val="nil"/>
              <w:tr2bl w:val="nil"/>
            </w:tcBorders>
            <w:tcMar>
              <w:top w:w="15" w:type="dxa"/>
              <w:left w:w="15" w:type="dxa"/>
              <w:bottom w:w="15" w:type="dxa"/>
              <w:right w:w="15" w:type="dxa"/>
            </w:tcMar>
            <w:vAlign w:val="center"/>
          </w:tcPr>
          <w:p w14:paraId="1F289E7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kern w:val="0"/>
                <w:sz w:val="13"/>
                <w:szCs w:val="13"/>
                <w:highlight w:val="none"/>
              </w:rPr>
            </w:pPr>
            <w:r>
              <w:rPr>
                <w:rFonts w:hint="eastAsia" w:ascii="仿宋_GB2312" w:hAnsi="宋体" w:eastAsia="仿宋_GB2312" w:cs="宋体"/>
                <w:color w:val="auto"/>
                <w:kern w:val="0"/>
                <w:sz w:val="13"/>
                <w:szCs w:val="13"/>
                <w:highlight w:val="none"/>
              </w:rPr>
              <w:t>地下管线专业管理单位将更改、报废、漏测部分的地下管线工程档案修改补充到本单位的地下管线专业图上后，30日以上60日以下仍未依法将地下管线专业图及有关资料向城建档案管理机构移交的。</w:t>
            </w:r>
          </w:p>
        </w:tc>
        <w:tc>
          <w:tcPr>
            <w:tcW w:w="3058" w:type="dxa"/>
            <w:tcBorders>
              <w:tl2br w:val="nil"/>
              <w:tr2bl w:val="nil"/>
            </w:tcBorders>
            <w:tcMar>
              <w:top w:w="15" w:type="dxa"/>
              <w:left w:w="15" w:type="dxa"/>
              <w:bottom w:w="15" w:type="dxa"/>
              <w:right w:w="15" w:type="dxa"/>
            </w:tcMar>
            <w:vAlign w:val="center"/>
          </w:tcPr>
          <w:p w14:paraId="61C04F3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kern w:val="0"/>
                <w:sz w:val="13"/>
                <w:szCs w:val="13"/>
                <w:highlight w:val="none"/>
              </w:rPr>
            </w:pPr>
            <w:r>
              <w:rPr>
                <w:rFonts w:hint="eastAsia" w:ascii="仿宋_GB2312" w:hAnsi="宋体" w:eastAsia="仿宋_GB2312" w:cs="宋体"/>
                <w:color w:val="auto"/>
                <w:kern w:val="0"/>
                <w:sz w:val="13"/>
                <w:szCs w:val="13"/>
                <w:highlight w:val="none"/>
              </w:rPr>
              <w:t>责令改正，处3千元以上6千元以下的罚款。</w:t>
            </w:r>
          </w:p>
        </w:tc>
      </w:tr>
      <w:tr w14:paraId="3D8438B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638" w:hRule="atLeast"/>
          <w:jc w:val="center"/>
        </w:trPr>
        <w:tc>
          <w:tcPr>
            <w:tcW w:w="428" w:type="dxa"/>
            <w:vMerge w:val="continue"/>
            <w:tcBorders>
              <w:tl2br w:val="nil"/>
              <w:tr2bl w:val="nil"/>
            </w:tcBorders>
            <w:vAlign w:val="center"/>
          </w:tcPr>
          <w:p w14:paraId="37F08054">
            <w:pPr>
              <w:pStyle w:val="37"/>
              <w:keepNext w:val="0"/>
              <w:keepLines w:val="0"/>
              <w:pageBreakBefore w:val="0"/>
              <w:widowControl/>
              <w:numPr>
                <w:ilvl w:val="0"/>
                <w:numId w:val="12"/>
              </w:numPr>
              <w:kinsoku/>
              <w:overflowPunct/>
              <w:topLinePunct w:val="0"/>
              <w:autoSpaceDE/>
              <w:autoSpaceDN/>
              <w:bidi w:val="0"/>
              <w:adjustRightInd/>
              <w:snapToGrid/>
              <w:spacing w:beforeAutospacing="0" w:afterAutospacing="0" w:line="260" w:lineRule="exact"/>
              <w:ind w:left="638" w:leftChars="88" w:right="0" w:rightChars="0" w:hanging="453" w:hangingChars="349"/>
              <w:jc w:val="center"/>
              <w:rPr>
                <w:rFonts w:ascii="仿宋_GB2312" w:hAnsi="宋体" w:eastAsia="仿宋_GB2312" w:cs="宋体"/>
                <w:color w:val="auto"/>
                <w:sz w:val="13"/>
                <w:szCs w:val="13"/>
                <w:highlight w:val="none"/>
              </w:rPr>
            </w:pPr>
          </w:p>
        </w:tc>
        <w:tc>
          <w:tcPr>
            <w:tcW w:w="1550" w:type="dxa"/>
            <w:vMerge w:val="continue"/>
            <w:tcBorders>
              <w:tl2br w:val="nil"/>
              <w:tr2bl w:val="nil"/>
            </w:tcBorders>
            <w:vAlign w:val="center"/>
          </w:tcPr>
          <w:p w14:paraId="471DD28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sz w:val="13"/>
                <w:szCs w:val="13"/>
                <w:highlight w:val="none"/>
              </w:rPr>
            </w:pPr>
          </w:p>
        </w:tc>
        <w:tc>
          <w:tcPr>
            <w:tcW w:w="4820" w:type="dxa"/>
            <w:vMerge w:val="continue"/>
            <w:tcBorders>
              <w:tl2br w:val="nil"/>
              <w:tr2bl w:val="nil"/>
            </w:tcBorders>
            <w:vAlign w:val="center"/>
          </w:tcPr>
          <w:p w14:paraId="7E6CA3A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7BBD38A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从重情节</w:t>
            </w:r>
          </w:p>
        </w:tc>
        <w:tc>
          <w:tcPr>
            <w:tcW w:w="3437" w:type="dxa"/>
            <w:gridSpan w:val="2"/>
            <w:tcBorders>
              <w:tl2br w:val="nil"/>
              <w:tr2bl w:val="nil"/>
            </w:tcBorders>
            <w:tcMar>
              <w:top w:w="15" w:type="dxa"/>
              <w:left w:w="15" w:type="dxa"/>
              <w:bottom w:w="15" w:type="dxa"/>
              <w:right w:w="15" w:type="dxa"/>
            </w:tcMar>
            <w:vAlign w:val="center"/>
          </w:tcPr>
          <w:p w14:paraId="339CC86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kern w:val="0"/>
                <w:sz w:val="13"/>
                <w:szCs w:val="13"/>
                <w:highlight w:val="none"/>
              </w:rPr>
            </w:pPr>
            <w:r>
              <w:rPr>
                <w:rFonts w:hint="eastAsia" w:ascii="仿宋_GB2312" w:hAnsi="宋体" w:eastAsia="仿宋_GB2312" w:cs="Times New Roman"/>
                <w:color w:val="auto"/>
                <w:kern w:val="0"/>
                <w:sz w:val="13"/>
                <w:szCs w:val="13"/>
                <w:highlight w:val="none"/>
                <w:lang w:val="en-US" w:eastAsia="zh-CN"/>
              </w:rPr>
              <w:t>有下列情形之一的：</w:t>
            </w:r>
            <w:r>
              <w:rPr>
                <w:rFonts w:hint="eastAsia" w:ascii="仿宋_GB2312" w:hAnsi="宋体" w:eastAsia="仿宋_GB2312" w:cs="宋体"/>
                <w:color w:val="auto"/>
                <w:kern w:val="0"/>
                <w:sz w:val="13"/>
                <w:szCs w:val="13"/>
                <w:highlight w:val="none"/>
              </w:rPr>
              <w:t>（1）地下管线专业管理单位将更改、报废、漏测部分的地下管线工程档案修改补充到本单位的地下管线专业图上后60日以上仍未依法将地下管线专业图及有关资料向城建档案管理机构移交的；（2）责令改正后仍不移交的；（3）曾因实施该违法行为被查处，再次实施该违法行为的；（4）造成严重危害后果的。</w:t>
            </w:r>
          </w:p>
        </w:tc>
        <w:tc>
          <w:tcPr>
            <w:tcW w:w="3058" w:type="dxa"/>
            <w:tcBorders>
              <w:tl2br w:val="nil"/>
              <w:tr2bl w:val="nil"/>
            </w:tcBorders>
            <w:tcMar>
              <w:top w:w="15" w:type="dxa"/>
              <w:left w:w="15" w:type="dxa"/>
              <w:bottom w:w="15" w:type="dxa"/>
              <w:right w:w="15" w:type="dxa"/>
            </w:tcMar>
            <w:vAlign w:val="center"/>
          </w:tcPr>
          <w:p w14:paraId="779371F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kern w:val="0"/>
                <w:sz w:val="13"/>
                <w:szCs w:val="13"/>
                <w:highlight w:val="none"/>
              </w:rPr>
            </w:pPr>
            <w:r>
              <w:rPr>
                <w:rFonts w:hint="eastAsia" w:ascii="仿宋_GB2312" w:hAnsi="宋体" w:eastAsia="仿宋_GB2312" w:cs="宋体"/>
                <w:color w:val="auto"/>
                <w:kern w:val="0"/>
                <w:sz w:val="13"/>
                <w:szCs w:val="13"/>
                <w:highlight w:val="none"/>
              </w:rPr>
              <w:t>责令改正，处6千元以上1万元以下的罚款。</w:t>
            </w:r>
          </w:p>
        </w:tc>
      </w:tr>
      <w:tr w14:paraId="4FA6EE9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239" w:hRule="atLeast"/>
          <w:jc w:val="center"/>
        </w:trPr>
        <w:tc>
          <w:tcPr>
            <w:tcW w:w="428" w:type="dxa"/>
            <w:vMerge w:val="restart"/>
            <w:tcBorders>
              <w:tl2br w:val="nil"/>
              <w:tr2bl w:val="nil"/>
            </w:tcBorders>
            <w:tcMar>
              <w:top w:w="15" w:type="dxa"/>
              <w:left w:w="15" w:type="dxa"/>
              <w:bottom w:w="15" w:type="dxa"/>
              <w:right w:w="15" w:type="dxa"/>
            </w:tcMar>
            <w:vAlign w:val="center"/>
          </w:tcPr>
          <w:p w14:paraId="453B1FD1">
            <w:pPr>
              <w:keepNext w:val="0"/>
              <w:keepLines w:val="0"/>
              <w:pageBreakBefore w:val="0"/>
              <w:widowControl/>
              <w:numPr>
                <w:ilvl w:val="0"/>
                <w:numId w:val="11"/>
              </w:numPr>
              <w:suppressLineNumbers w:val="0"/>
              <w:tabs>
                <w:tab w:val="clear" w:pos="397"/>
              </w:tabs>
              <w:kinsoku/>
              <w:overflowPunct/>
              <w:topLinePunct w:val="0"/>
              <w:autoSpaceDE/>
              <w:autoSpaceDN/>
              <w:bidi w:val="0"/>
              <w:adjustRightInd/>
              <w:snapToGrid/>
              <w:spacing w:beforeAutospacing="0" w:afterAutospacing="0" w:line="260" w:lineRule="exact"/>
              <w:ind w:left="638" w:leftChars="88" w:right="0" w:rightChars="0" w:hanging="453" w:hangingChars="349"/>
              <w:jc w:val="center"/>
              <w:textAlignment w:val="center"/>
              <w:rPr>
                <w:rFonts w:hint="default" w:ascii="仿宋_GB2312" w:hAnsi="宋体" w:eastAsia="仿宋_GB2312" w:cs="宋体"/>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340</w:t>
            </w:r>
          </w:p>
        </w:tc>
        <w:tc>
          <w:tcPr>
            <w:tcW w:w="1550" w:type="dxa"/>
            <w:vMerge w:val="restart"/>
            <w:tcBorders>
              <w:tl2br w:val="nil"/>
              <w:tr2bl w:val="nil"/>
            </w:tcBorders>
            <w:tcMar>
              <w:top w:w="15" w:type="dxa"/>
              <w:left w:w="15" w:type="dxa"/>
              <w:bottom w:w="15" w:type="dxa"/>
              <w:right w:w="15" w:type="dxa"/>
            </w:tcMar>
            <w:vAlign w:val="center"/>
          </w:tcPr>
          <w:p w14:paraId="4737FB3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在城市景观照明中有过度照明等超能耗标准行为的</w:t>
            </w:r>
          </w:p>
        </w:tc>
        <w:tc>
          <w:tcPr>
            <w:tcW w:w="4820" w:type="dxa"/>
            <w:vMerge w:val="restart"/>
            <w:tcBorders>
              <w:tl2br w:val="nil"/>
              <w:tr2bl w:val="nil"/>
            </w:tcBorders>
            <w:tcMar>
              <w:top w:w="15" w:type="dxa"/>
              <w:left w:w="15" w:type="dxa"/>
              <w:bottom w:w="15" w:type="dxa"/>
              <w:right w:w="15" w:type="dxa"/>
            </w:tcMar>
            <w:vAlign w:val="center"/>
          </w:tcPr>
          <w:p w14:paraId="17E5061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kern w:val="0"/>
                <w:sz w:val="13"/>
                <w:szCs w:val="13"/>
                <w:highlight w:val="none"/>
              </w:rPr>
            </w:pPr>
            <w:r>
              <w:rPr>
                <w:rFonts w:hint="eastAsia" w:ascii="仿宋_GB2312" w:hAnsi="宋体" w:eastAsia="仿宋_GB2312" w:cs="宋体"/>
                <w:color w:val="auto"/>
                <w:kern w:val="0"/>
                <w:sz w:val="13"/>
                <w:szCs w:val="13"/>
                <w:highlight w:val="none"/>
              </w:rPr>
              <w:t>《城市照明管理规定》</w:t>
            </w:r>
            <w:r>
              <w:rPr>
                <w:rFonts w:hint="eastAsia" w:ascii="仿宋_GB2312" w:hAnsi="宋体" w:eastAsia="仿宋_GB2312" w:cs="宋体"/>
                <w:b/>
                <w:bCs/>
                <w:color w:val="auto"/>
                <w:kern w:val="0"/>
                <w:sz w:val="13"/>
                <w:szCs w:val="13"/>
                <w:highlight w:val="none"/>
              </w:rPr>
              <w:t>第三十一条</w:t>
            </w:r>
            <w:r>
              <w:rPr>
                <w:rFonts w:hint="eastAsia" w:ascii="仿宋_GB2312" w:hAnsi="宋体" w:eastAsia="仿宋_GB2312" w:cs="宋体"/>
                <w:b/>
                <w:bCs/>
                <w:color w:val="auto"/>
                <w:kern w:val="0"/>
                <w:sz w:val="13"/>
                <w:szCs w:val="13"/>
                <w:highlight w:val="none"/>
                <w:lang w:eastAsia="zh-CN"/>
              </w:rPr>
              <w:t>：</w:t>
            </w:r>
            <w:r>
              <w:rPr>
                <w:rFonts w:hint="eastAsia" w:ascii="仿宋_GB2312" w:hAnsi="宋体" w:eastAsia="仿宋_GB2312" w:cs="宋体"/>
                <w:color w:val="auto"/>
                <w:kern w:val="0"/>
                <w:sz w:val="13"/>
                <w:szCs w:val="13"/>
                <w:highlight w:val="none"/>
              </w:rPr>
              <w:t>违反本规定，在城市景观照明中有过度照明等超能耗标准行为的，由城市照明主管部门责令限期改正；逾期未改正的，处以1000元以上3万元以下的罚款。</w:t>
            </w:r>
          </w:p>
        </w:tc>
        <w:tc>
          <w:tcPr>
            <w:tcW w:w="823" w:type="dxa"/>
            <w:tcBorders>
              <w:tl2br w:val="nil"/>
              <w:tr2bl w:val="nil"/>
            </w:tcBorders>
            <w:tcMar>
              <w:top w:w="15" w:type="dxa"/>
              <w:left w:w="15" w:type="dxa"/>
              <w:bottom w:w="15" w:type="dxa"/>
              <w:right w:w="15" w:type="dxa"/>
            </w:tcMar>
            <w:vAlign w:val="center"/>
          </w:tcPr>
          <w:p w14:paraId="2EF00B4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从轻情节</w:t>
            </w:r>
          </w:p>
        </w:tc>
        <w:tc>
          <w:tcPr>
            <w:tcW w:w="3437" w:type="dxa"/>
            <w:gridSpan w:val="2"/>
            <w:tcBorders>
              <w:tl2br w:val="nil"/>
              <w:tr2bl w:val="nil"/>
            </w:tcBorders>
            <w:tcMar>
              <w:top w:w="15" w:type="dxa"/>
              <w:left w:w="15" w:type="dxa"/>
              <w:bottom w:w="15" w:type="dxa"/>
              <w:right w:w="15" w:type="dxa"/>
            </w:tcMar>
            <w:vAlign w:val="center"/>
          </w:tcPr>
          <w:p w14:paraId="20E14DC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初次违法，危害后果轻微的。</w:t>
            </w:r>
          </w:p>
        </w:tc>
        <w:tc>
          <w:tcPr>
            <w:tcW w:w="3058" w:type="dxa"/>
            <w:tcBorders>
              <w:tl2br w:val="nil"/>
              <w:tr2bl w:val="nil"/>
            </w:tcBorders>
            <w:tcMar>
              <w:top w:w="15" w:type="dxa"/>
              <w:left w:w="15" w:type="dxa"/>
              <w:bottom w:w="15" w:type="dxa"/>
              <w:right w:w="15" w:type="dxa"/>
            </w:tcMar>
            <w:vAlign w:val="center"/>
          </w:tcPr>
          <w:p w14:paraId="53368AC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责令限期改正；逾期未改正的，处以1千元以上1万元以下的罚款。</w:t>
            </w:r>
          </w:p>
        </w:tc>
      </w:tr>
      <w:tr w14:paraId="60B9359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169" w:hRule="atLeast"/>
          <w:jc w:val="center"/>
        </w:trPr>
        <w:tc>
          <w:tcPr>
            <w:tcW w:w="428" w:type="dxa"/>
            <w:vMerge w:val="continue"/>
            <w:tcBorders>
              <w:tl2br w:val="nil"/>
              <w:tr2bl w:val="nil"/>
            </w:tcBorders>
            <w:vAlign w:val="center"/>
          </w:tcPr>
          <w:p w14:paraId="21D2F56E">
            <w:pPr>
              <w:pStyle w:val="37"/>
              <w:keepNext w:val="0"/>
              <w:keepLines w:val="0"/>
              <w:pageBreakBefore w:val="0"/>
              <w:widowControl/>
              <w:numPr>
                <w:ilvl w:val="0"/>
                <w:numId w:val="12"/>
              </w:numPr>
              <w:kinsoku/>
              <w:overflowPunct/>
              <w:topLinePunct w:val="0"/>
              <w:autoSpaceDE/>
              <w:autoSpaceDN/>
              <w:bidi w:val="0"/>
              <w:adjustRightInd/>
              <w:snapToGrid/>
              <w:spacing w:beforeAutospacing="0" w:afterAutospacing="0" w:line="260" w:lineRule="exact"/>
              <w:ind w:left="638" w:leftChars="88" w:right="0" w:rightChars="0" w:hanging="453" w:hangingChars="349"/>
              <w:jc w:val="center"/>
              <w:rPr>
                <w:rFonts w:ascii="仿宋_GB2312" w:hAnsi="宋体" w:eastAsia="仿宋_GB2312" w:cs="宋体"/>
                <w:color w:val="auto"/>
                <w:sz w:val="13"/>
                <w:szCs w:val="13"/>
                <w:highlight w:val="none"/>
              </w:rPr>
            </w:pPr>
          </w:p>
        </w:tc>
        <w:tc>
          <w:tcPr>
            <w:tcW w:w="1550" w:type="dxa"/>
            <w:vMerge w:val="continue"/>
            <w:tcBorders>
              <w:tl2br w:val="nil"/>
              <w:tr2bl w:val="nil"/>
            </w:tcBorders>
            <w:vAlign w:val="center"/>
          </w:tcPr>
          <w:p w14:paraId="7B7F199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sz w:val="13"/>
                <w:szCs w:val="13"/>
                <w:highlight w:val="none"/>
              </w:rPr>
            </w:pPr>
          </w:p>
        </w:tc>
        <w:tc>
          <w:tcPr>
            <w:tcW w:w="4820" w:type="dxa"/>
            <w:vMerge w:val="continue"/>
            <w:tcBorders>
              <w:tl2br w:val="nil"/>
              <w:tr2bl w:val="nil"/>
            </w:tcBorders>
            <w:vAlign w:val="center"/>
          </w:tcPr>
          <w:p w14:paraId="7083573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kern w:val="0"/>
                <w:sz w:val="13"/>
                <w:szCs w:val="13"/>
                <w:highlight w:val="none"/>
              </w:rPr>
            </w:pPr>
          </w:p>
        </w:tc>
        <w:tc>
          <w:tcPr>
            <w:tcW w:w="823" w:type="dxa"/>
            <w:tcBorders>
              <w:tl2br w:val="nil"/>
              <w:tr2bl w:val="nil"/>
            </w:tcBorders>
            <w:tcMar>
              <w:top w:w="15" w:type="dxa"/>
              <w:left w:w="15" w:type="dxa"/>
              <w:bottom w:w="15" w:type="dxa"/>
              <w:right w:w="15" w:type="dxa"/>
            </w:tcMar>
            <w:vAlign w:val="center"/>
          </w:tcPr>
          <w:p w14:paraId="4458B39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一般情节</w:t>
            </w:r>
          </w:p>
        </w:tc>
        <w:tc>
          <w:tcPr>
            <w:tcW w:w="3437" w:type="dxa"/>
            <w:gridSpan w:val="2"/>
            <w:tcBorders>
              <w:tl2br w:val="nil"/>
              <w:tr2bl w:val="nil"/>
            </w:tcBorders>
            <w:tcMar>
              <w:top w:w="15" w:type="dxa"/>
              <w:left w:w="15" w:type="dxa"/>
              <w:bottom w:w="15" w:type="dxa"/>
              <w:right w:w="15" w:type="dxa"/>
            </w:tcMar>
            <w:vAlign w:val="center"/>
          </w:tcPr>
          <w:p w14:paraId="2B97735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不具有从轻、</w:t>
            </w:r>
            <w:r>
              <w:rPr>
                <w:rFonts w:hint="eastAsia" w:ascii="仿宋_GB2312" w:hAnsi="宋体" w:eastAsia="仿宋_GB2312" w:cs="宋体"/>
                <w:color w:val="auto"/>
                <w:kern w:val="0"/>
                <w:sz w:val="13"/>
                <w:szCs w:val="13"/>
                <w:highlight w:val="none"/>
                <w:lang w:eastAsia="zh-CN"/>
              </w:rPr>
              <w:t>从重情节</w:t>
            </w:r>
            <w:r>
              <w:rPr>
                <w:rFonts w:hint="eastAsia" w:ascii="仿宋_GB2312" w:hAnsi="宋体" w:eastAsia="仿宋_GB2312" w:cs="宋体"/>
                <w:color w:val="auto"/>
                <w:kern w:val="0"/>
                <w:sz w:val="13"/>
                <w:szCs w:val="13"/>
                <w:highlight w:val="none"/>
              </w:rPr>
              <w:t>的。</w:t>
            </w:r>
          </w:p>
        </w:tc>
        <w:tc>
          <w:tcPr>
            <w:tcW w:w="3058" w:type="dxa"/>
            <w:tcBorders>
              <w:tl2br w:val="nil"/>
              <w:tr2bl w:val="nil"/>
            </w:tcBorders>
            <w:tcMar>
              <w:top w:w="15" w:type="dxa"/>
              <w:left w:w="15" w:type="dxa"/>
              <w:bottom w:w="15" w:type="dxa"/>
              <w:right w:w="15" w:type="dxa"/>
            </w:tcMar>
            <w:vAlign w:val="center"/>
          </w:tcPr>
          <w:p w14:paraId="2A06228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责令限期改正；逾期未改正的，处以1万元以上2万元以下罚款。</w:t>
            </w:r>
          </w:p>
        </w:tc>
      </w:tr>
      <w:tr w14:paraId="52E5508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169" w:hRule="atLeast"/>
          <w:jc w:val="center"/>
        </w:trPr>
        <w:tc>
          <w:tcPr>
            <w:tcW w:w="428" w:type="dxa"/>
            <w:vMerge w:val="continue"/>
            <w:tcBorders>
              <w:tl2br w:val="nil"/>
              <w:tr2bl w:val="nil"/>
            </w:tcBorders>
            <w:vAlign w:val="center"/>
          </w:tcPr>
          <w:p w14:paraId="7E16FDF0">
            <w:pPr>
              <w:pStyle w:val="37"/>
              <w:keepNext w:val="0"/>
              <w:keepLines w:val="0"/>
              <w:pageBreakBefore w:val="0"/>
              <w:widowControl/>
              <w:numPr>
                <w:ilvl w:val="0"/>
                <w:numId w:val="12"/>
              </w:numPr>
              <w:kinsoku/>
              <w:overflowPunct/>
              <w:topLinePunct w:val="0"/>
              <w:autoSpaceDE/>
              <w:autoSpaceDN/>
              <w:bidi w:val="0"/>
              <w:adjustRightInd/>
              <w:snapToGrid/>
              <w:spacing w:beforeAutospacing="0" w:afterAutospacing="0" w:line="260" w:lineRule="exact"/>
              <w:ind w:left="638" w:leftChars="88" w:right="0" w:rightChars="0" w:hanging="453" w:hangingChars="349"/>
              <w:jc w:val="center"/>
              <w:rPr>
                <w:rFonts w:ascii="仿宋_GB2312" w:hAnsi="宋体" w:eastAsia="仿宋_GB2312" w:cs="宋体"/>
                <w:color w:val="auto"/>
                <w:sz w:val="13"/>
                <w:szCs w:val="13"/>
                <w:highlight w:val="none"/>
              </w:rPr>
            </w:pPr>
          </w:p>
        </w:tc>
        <w:tc>
          <w:tcPr>
            <w:tcW w:w="1550" w:type="dxa"/>
            <w:vMerge w:val="continue"/>
            <w:tcBorders>
              <w:tl2br w:val="nil"/>
              <w:tr2bl w:val="nil"/>
            </w:tcBorders>
            <w:vAlign w:val="center"/>
          </w:tcPr>
          <w:p w14:paraId="4720424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sz w:val="13"/>
                <w:szCs w:val="13"/>
                <w:highlight w:val="none"/>
              </w:rPr>
            </w:pPr>
          </w:p>
        </w:tc>
        <w:tc>
          <w:tcPr>
            <w:tcW w:w="4820" w:type="dxa"/>
            <w:vMerge w:val="continue"/>
            <w:tcBorders>
              <w:tl2br w:val="nil"/>
              <w:tr2bl w:val="nil"/>
            </w:tcBorders>
            <w:vAlign w:val="center"/>
          </w:tcPr>
          <w:p w14:paraId="1675E48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kern w:val="0"/>
                <w:sz w:val="13"/>
                <w:szCs w:val="13"/>
                <w:highlight w:val="none"/>
              </w:rPr>
            </w:pPr>
          </w:p>
        </w:tc>
        <w:tc>
          <w:tcPr>
            <w:tcW w:w="823" w:type="dxa"/>
            <w:tcBorders>
              <w:tl2br w:val="nil"/>
              <w:tr2bl w:val="nil"/>
            </w:tcBorders>
            <w:tcMar>
              <w:top w:w="15" w:type="dxa"/>
              <w:left w:w="15" w:type="dxa"/>
              <w:bottom w:w="15" w:type="dxa"/>
              <w:right w:w="15" w:type="dxa"/>
            </w:tcMar>
            <w:vAlign w:val="center"/>
          </w:tcPr>
          <w:p w14:paraId="2D917A2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从重情节</w:t>
            </w:r>
          </w:p>
        </w:tc>
        <w:tc>
          <w:tcPr>
            <w:tcW w:w="3437" w:type="dxa"/>
            <w:gridSpan w:val="2"/>
            <w:tcBorders>
              <w:tl2br w:val="nil"/>
              <w:tr2bl w:val="nil"/>
            </w:tcBorders>
            <w:tcMar>
              <w:top w:w="15" w:type="dxa"/>
              <w:left w:w="15" w:type="dxa"/>
              <w:bottom w:w="15" w:type="dxa"/>
              <w:right w:w="15" w:type="dxa"/>
            </w:tcMar>
            <w:vAlign w:val="center"/>
          </w:tcPr>
          <w:p w14:paraId="2B73F07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曾因实施该违法行为被查处，再次实施该违法行为的</w:t>
            </w:r>
            <w:r>
              <w:rPr>
                <w:rFonts w:hint="eastAsia" w:ascii="仿宋_GB2312" w:hAnsi="宋体" w:eastAsia="仿宋_GB2312" w:cs="宋体"/>
                <w:color w:val="auto"/>
                <w:kern w:val="0"/>
                <w:sz w:val="13"/>
                <w:szCs w:val="13"/>
                <w:highlight w:val="none"/>
                <w:lang w:eastAsia="zh-CN"/>
              </w:rPr>
              <w:t>，</w:t>
            </w:r>
            <w:r>
              <w:rPr>
                <w:rFonts w:hint="eastAsia" w:ascii="仿宋_GB2312" w:hAnsi="宋体" w:eastAsia="仿宋_GB2312" w:cs="宋体"/>
                <w:color w:val="auto"/>
                <w:kern w:val="0"/>
                <w:sz w:val="13"/>
                <w:szCs w:val="13"/>
                <w:highlight w:val="none"/>
                <w:lang w:val="en-US" w:eastAsia="zh-CN"/>
              </w:rPr>
              <w:t>或</w:t>
            </w:r>
            <w:r>
              <w:rPr>
                <w:rFonts w:hint="eastAsia" w:ascii="仿宋_GB2312" w:hAnsi="宋体" w:eastAsia="仿宋_GB2312" w:cs="宋体"/>
                <w:color w:val="auto"/>
                <w:kern w:val="0"/>
                <w:sz w:val="13"/>
                <w:szCs w:val="13"/>
                <w:highlight w:val="none"/>
              </w:rPr>
              <w:t>造成严重危害后果的。</w:t>
            </w:r>
          </w:p>
        </w:tc>
        <w:tc>
          <w:tcPr>
            <w:tcW w:w="3058" w:type="dxa"/>
            <w:tcBorders>
              <w:tl2br w:val="nil"/>
              <w:tr2bl w:val="nil"/>
            </w:tcBorders>
            <w:tcMar>
              <w:top w:w="15" w:type="dxa"/>
              <w:left w:w="15" w:type="dxa"/>
              <w:bottom w:w="15" w:type="dxa"/>
              <w:right w:w="15" w:type="dxa"/>
            </w:tcMar>
            <w:vAlign w:val="center"/>
          </w:tcPr>
          <w:p w14:paraId="425CDB9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责令限期改正；逾期未改正的，处以2万元以上3万元以下的罚款。</w:t>
            </w:r>
          </w:p>
        </w:tc>
      </w:tr>
      <w:tr w14:paraId="37FF755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248" w:hRule="atLeast"/>
          <w:jc w:val="center"/>
        </w:trPr>
        <w:tc>
          <w:tcPr>
            <w:tcW w:w="428" w:type="dxa"/>
            <w:vMerge w:val="restart"/>
            <w:tcBorders>
              <w:tl2br w:val="nil"/>
              <w:tr2bl w:val="nil"/>
            </w:tcBorders>
            <w:tcMar>
              <w:top w:w="15" w:type="dxa"/>
              <w:left w:w="15" w:type="dxa"/>
              <w:bottom w:w="15" w:type="dxa"/>
              <w:right w:w="15" w:type="dxa"/>
            </w:tcMar>
            <w:vAlign w:val="center"/>
          </w:tcPr>
          <w:p w14:paraId="58D50B4F">
            <w:pPr>
              <w:keepNext w:val="0"/>
              <w:keepLines w:val="0"/>
              <w:pageBreakBefore w:val="0"/>
              <w:widowControl/>
              <w:numPr>
                <w:ilvl w:val="0"/>
                <w:numId w:val="11"/>
              </w:numPr>
              <w:suppressLineNumbers w:val="0"/>
              <w:tabs>
                <w:tab w:val="clear" w:pos="397"/>
              </w:tabs>
              <w:kinsoku/>
              <w:overflowPunct/>
              <w:topLinePunct w:val="0"/>
              <w:autoSpaceDE/>
              <w:autoSpaceDN/>
              <w:bidi w:val="0"/>
              <w:adjustRightInd/>
              <w:snapToGrid/>
              <w:spacing w:beforeAutospacing="0" w:afterAutospacing="0" w:line="260" w:lineRule="exact"/>
              <w:ind w:left="638" w:leftChars="88" w:right="0" w:rightChars="0" w:hanging="453" w:hangingChars="349"/>
              <w:jc w:val="center"/>
              <w:textAlignment w:val="center"/>
              <w:rPr>
                <w:rFonts w:hint="default" w:ascii="仿宋_GB2312" w:hAnsi="宋体" w:eastAsia="仿宋_GB2312" w:cs="宋体"/>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341</w:t>
            </w:r>
          </w:p>
        </w:tc>
        <w:tc>
          <w:tcPr>
            <w:tcW w:w="1550" w:type="dxa"/>
            <w:vMerge w:val="restart"/>
            <w:tcBorders>
              <w:tl2br w:val="nil"/>
              <w:tr2bl w:val="nil"/>
            </w:tcBorders>
            <w:tcMar>
              <w:top w:w="15" w:type="dxa"/>
              <w:left w:w="15" w:type="dxa"/>
              <w:bottom w:w="15" w:type="dxa"/>
              <w:right w:w="15" w:type="dxa"/>
            </w:tcMar>
            <w:vAlign w:val="center"/>
          </w:tcPr>
          <w:p w14:paraId="45E8449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0" w:firstLineChars="200"/>
              <w:textAlignment w:val="center"/>
              <w:rPr>
                <w:rFonts w:hint="eastAsia" w:ascii="仿宋_GB2312" w:hAnsi="宋体" w:eastAsia="仿宋_GB2312" w:cs="宋体"/>
                <w:color w:val="auto"/>
                <w:kern w:val="0"/>
                <w:sz w:val="13"/>
                <w:szCs w:val="13"/>
                <w:highlight w:val="none"/>
                <w:lang w:eastAsia="zh-CN"/>
              </w:rPr>
            </w:pPr>
            <w:r>
              <w:rPr>
                <w:rFonts w:hint="eastAsia" w:ascii="仿宋_GB2312" w:hAnsi="宋体" w:eastAsia="仿宋_GB2312" w:cs="宋体"/>
                <w:color w:val="auto"/>
                <w:kern w:val="0"/>
                <w:sz w:val="13"/>
                <w:szCs w:val="13"/>
                <w:highlight w:val="none"/>
                <w:lang w:val="en-US" w:eastAsia="zh-CN"/>
              </w:rPr>
              <w:t>存在</w:t>
            </w:r>
            <w:r>
              <w:rPr>
                <w:rFonts w:hint="eastAsia" w:ascii="仿宋_GB2312" w:hAnsi="宋体" w:eastAsia="仿宋_GB2312" w:cs="宋体"/>
                <w:color w:val="auto"/>
                <w:kern w:val="0"/>
                <w:sz w:val="13"/>
                <w:szCs w:val="13"/>
                <w:highlight w:val="none"/>
              </w:rPr>
              <w:t>下列行为</w:t>
            </w:r>
            <w:r>
              <w:rPr>
                <w:rFonts w:hint="eastAsia" w:ascii="仿宋_GB2312" w:hAnsi="宋体" w:eastAsia="仿宋_GB2312" w:cs="宋体"/>
                <w:color w:val="auto"/>
                <w:kern w:val="0"/>
                <w:sz w:val="13"/>
                <w:szCs w:val="13"/>
                <w:highlight w:val="none"/>
                <w:lang w:val="en-US" w:eastAsia="zh-CN"/>
              </w:rPr>
              <w:t>之一的</w:t>
            </w:r>
            <w:r>
              <w:rPr>
                <w:rFonts w:hint="eastAsia" w:ascii="仿宋_GB2312" w:hAnsi="宋体" w:eastAsia="仿宋_GB2312" w:cs="宋体"/>
                <w:color w:val="auto"/>
                <w:kern w:val="0"/>
                <w:sz w:val="13"/>
                <w:szCs w:val="13"/>
                <w:highlight w:val="none"/>
              </w:rPr>
              <w:t>：</w:t>
            </w:r>
          </w:p>
          <w:p w14:paraId="1239EFC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hint="eastAsia" w:ascii="仿宋_GB2312" w:hAnsi="宋体" w:eastAsia="仿宋_GB2312" w:cs="宋体"/>
                <w:color w:val="auto"/>
                <w:kern w:val="0"/>
                <w:sz w:val="13"/>
                <w:szCs w:val="13"/>
                <w:highlight w:val="none"/>
                <w:lang w:eastAsia="zh-CN"/>
              </w:rPr>
            </w:pPr>
            <w:r>
              <w:rPr>
                <w:rFonts w:hint="eastAsia" w:ascii="仿宋_GB2312" w:hAnsi="宋体" w:eastAsia="仿宋_GB2312" w:cs="宋体"/>
                <w:color w:val="auto"/>
                <w:kern w:val="0"/>
                <w:sz w:val="13"/>
                <w:szCs w:val="13"/>
                <w:highlight w:val="none"/>
              </w:rPr>
              <w:t>　　（一）在城市照明设施上刻划、涂污；</w:t>
            </w:r>
          </w:p>
          <w:p w14:paraId="7875E85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hint="eastAsia" w:ascii="仿宋_GB2312" w:hAnsi="宋体" w:eastAsia="仿宋_GB2312" w:cs="宋体"/>
                <w:color w:val="auto"/>
                <w:kern w:val="0"/>
                <w:sz w:val="13"/>
                <w:szCs w:val="13"/>
                <w:highlight w:val="none"/>
                <w:lang w:eastAsia="zh-CN"/>
              </w:rPr>
            </w:pPr>
            <w:r>
              <w:rPr>
                <w:rFonts w:hint="eastAsia" w:ascii="仿宋_GB2312" w:hAnsi="宋体" w:eastAsia="仿宋_GB2312" w:cs="宋体"/>
                <w:color w:val="auto"/>
                <w:kern w:val="0"/>
                <w:sz w:val="13"/>
                <w:szCs w:val="13"/>
                <w:highlight w:val="none"/>
              </w:rPr>
              <w:t>　　（二）在城市照明设施安全距离内，擅自植树、挖坑取土或者设置其他物体，或者倾倒含酸、碱、盐等腐蚀物或者具有腐蚀性的废渣、废液；</w:t>
            </w:r>
          </w:p>
          <w:p w14:paraId="31AE324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hint="eastAsia" w:ascii="仿宋_GB2312" w:hAnsi="宋体" w:eastAsia="仿宋_GB2312" w:cs="宋体"/>
                <w:color w:val="auto"/>
                <w:kern w:val="0"/>
                <w:sz w:val="13"/>
                <w:szCs w:val="13"/>
                <w:highlight w:val="none"/>
              </w:rPr>
            </w:pPr>
            <w:r>
              <w:rPr>
                <w:rFonts w:hint="eastAsia" w:ascii="仿宋_GB2312" w:hAnsi="宋体" w:eastAsia="仿宋_GB2312" w:cs="宋体"/>
                <w:color w:val="auto"/>
                <w:kern w:val="0"/>
                <w:sz w:val="13"/>
                <w:szCs w:val="13"/>
                <w:highlight w:val="none"/>
              </w:rPr>
              <w:t>　　（三）擅自在城市照明设施上张贴、悬挂、设置宣传品、广告；</w:t>
            </w:r>
          </w:p>
          <w:p w14:paraId="2F95920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hint="eastAsia" w:ascii="仿宋_GB2312" w:hAnsi="宋体" w:eastAsia="仿宋_GB2312" w:cs="宋体"/>
                <w:color w:val="auto"/>
                <w:kern w:val="0"/>
                <w:sz w:val="13"/>
                <w:szCs w:val="13"/>
                <w:highlight w:val="none"/>
                <w:lang w:eastAsia="zh-CN"/>
              </w:rPr>
            </w:pPr>
            <w:r>
              <w:rPr>
                <w:rFonts w:hint="eastAsia" w:ascii="仿宋_GB2312" w:hAnsi="宋体" w:eastAsia="仿宋_GB2312" w:cs="宋体"/>
                <w:color w:val="auto"/>
                <w:kern w:val="0"/>
                <w:sz w:val="13"/>
                <w:szCs w:val="13"/>
                <w:highlight w:val="none"/>
              </w:rPr>
              <w:t>　　（四）擅自在城市照明设施上架设线缆、安置其它设施或者接用电源；</w:t>
            </w:r>
          </w:p>
          <w:p w14:paraId="11B74E4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hint="eastAsia" w:ascii="仿宋_GB2312" w:hAnsi="宋体" w:eastAsia="仿宋_GB2312" w:cs="宋体"/>
                <w:color w:val="auto"/>
                <w:kern w:val="0"/>
                <w:sz w:val="13"/>
                <w:szCs w:val="13"/>
                <w:highlight w:val="none"/>
              </w:rPr>
            </w:pPr>
            <w:r>
              <w:rPr>
                <w:rFonts w:hint="eastAsia" w:ascii="仿宋_GB2312" w:hAnsi="宋体" w:eastAsia="仿宋_GB2312" w:cs="宋体"/>
                <w:color w:val="auto"/>
                <w:kern w:val="0"/>
                <w:sz w:val="13"/>
                <w:szCs w:val="13"/>
                <w:highlight w:val="none"/>
              </w:rPr>
              <w:t>　　（五）擅自迁移、拆除、利用城市照明设施；</w:t>
            </w:r>
          </w:p>
          <w:p w14:paraId="45768EA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　　（六）其他可能影响城市照明设施正常运行的行为。</w:t>
            </w:r>
          </w:p>
        </w:tc>
        <w:tc>
          <w:tcPr>
            <w:tcW w:w="4820" w:type="dxa"/>
            <w:vMerge w:val="restart"/>
            <w:tcBorders>
              <w:tl2br w:val="nil"/>
              <w:tr2bl w:val="nil"/>
            </w:tcBorders>
            <w:tcMar>
              <w:top w:w="15" w:type="dxa"/>
              <w:left w:w="15" w:type="dxa"/>
              <w:bottom w:w="15" w:type="dxa"/>
              <w:right w:w="15" w:type="dxa"/>
            </w:tcMar>
            <w:vAlign w:val="center"/>
          </w:tcPr>
          <w:p w14:paraId="4411FA8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hint="eastAsia" w:ascii="仿宋_GB2312" w:hAnsi="宋体" w:eastAsia="仿宋_GB2312" w:cs="宋体"/>
                <w:color w:val="auto"/>
                <w:kern w:val="0"/>
                <w:sz w:val="13"/>
                <w:szCs w:val="13"/>
                <w:highlight w:val="none"/>
              </w:rPr>
            </w:pPr>
            <w:r>
              <w:rPr>
                <w:rFonts w:hint="eastAsia" w:ascii="仿宋_GB2312" w:hAnsi="宋体" w:eastAsia="仿宋_GB2312" w:cs="宋体"/>
                <w:color w:val="auto"/>
                <w:kern w:val="0"/>
                <w:sz w:val="13"/>
                <w:szCs w:val="13"/>
                <w:highlight w:val="none"/>
              </w:rPr>
              <w:t>《城市照明管理规定》</w:t>
            </w:r>
            <w:r>
              <w:rPr>
                <w:rFonts w:hint="eastAsia" w:ascii="仿宋_GB2312" w:hAnsi="宋体" w:eastAsia="仿宋_GB2312" w:cs="宋体"/>
                <w:b/>
                <w:bCs/>
                <w:color w:val="auto"/>
                <w:kern w:val="0"/>
                <w:sz w:val="13"/>
                <w:szCs w:val="13"/>
                <w:highlight w:val="none"/>
              </w:rPr>
              <w:t>第三十二条</w:t>
            </w:r>
            <w:r>
              <w:rPr>
                <w:rFonts w:hint="eastAsia" w:ascii="仿宋_GB2312" w:hAnsi="宋体" w:eastAsia="仿宋_GB2312" w:cs="宋体"/>
                <w:b/>
                <w:bCs/>
                <w:color w:val="auto"/>
                <w:kern w:val="0"/>
                <w:sz w:val="13"/>
                <w:szCs w:val="13"/>
                <w:highlight w:val="none"/>
                <w:lang w:eastAsia="zh-CN"/>
              </w:rPr>
              <w:t>：</w:t>
            </w:r>
            <w:r>
              <w:rPr>
                <w:rFonts w:hint="eastAsia" w:ascii="仿宋_GB2312" w:hAnsi="宋体" w:eastAsia="仿宋_GB2312" w:cs="宋体"/>
                <w:color w:val="auto"/>
                <w:kern w:val="0"/>
                <w:sz w:val="13"/>
                <w:szCs w:val="13"/>
                <w:highlight w:val="none"/>
              </w:rPr>
              <w:t>违反本规定，有第二十八条规定行为之一的，由城市照明主管部门责令限期改正，对个人处以200元以上1000元以下的罚款；对单位处以1000元以上3万元以下的罚款；造成损失的，依法赔偿损失。</w:t>
            </w:r>
          </w:p>
          <w:p w14:paraId="0333FCD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1" w:firstLineChars="200"/>
              <w:textAlignment w:val="center"/>
              <w:rPr>
                <w:rFonts w:hint="eastAsia" w:ascii="仿宋_GB2312" w:hAnsi="宋体" w:eastAsia="仿宋_GB2312" w:cs="宋体"/>
                <w:color w:val="auto"/>
                <w:kern w:val="0"/>
                <w:sz w:val="13"/>
                <w:szCs w:val="13"/>
                <w:highlight w:val="none"/>
                <w:lang w:eastAsia="zh-CN"/>
              </w:rPr>
            </w:pPr>
            <w:r>
              <w:rPr>
                <w:rFonts w:hint="eastAsia" w:ascii="仿宋_GB2312" w:hAnsi="宋体" w:eastAsia="仿宋_GB2312" w:cs="宋体"/>
                <w:b/>
                <w:bCs/>
                <w:color w:val="auto"/>
                <w:kern w:val="0"/>
                <w:sz w:val="13"/>
                <w:szCs w:val="13"/>
                <w:highlight w:val="none"/>
              </w:rPr>
              <w:t>第二十八条</w:t>
            </w:r>
            <w:r>
              <w:rPr>
                <w:rFonts w:hint="eastAsia" w:ascii="仿宋_GB2312" w:hAnsi="宋体" w:eastAsia="仿宋_GB2312" w:cs="宋体"/>
                <w:color w:val="auto"/>
                <w:kern w:val="0"/>
                <w:sz w:val="13"/>
                <w:szCs w:val="13"/>
                <w:highlight w:val="none"/>
              </w:rPr>
              <w:t>　任何单位和个人都应当保护城市照明设施，不得实施下列行为：</w:t>
            </w:r>
          </w:p>
          <w:p w14:paraId="64625AA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hint="eastAsia" w:ascii="仿宋_GB2312" w:hAnsi="宋体" w:eastAsia="仿宋_GB2312" w:cs="宋体"/>
                <w:color w:val="auto"/>
                <w:kern w:val="0"/>
                <w:sz w:val="13"/>
                <w:szCs w:val="13"/>
                <w:highlight w:val="none"/>
                <w:lang w:eastAsia="zh-CN"/>
              </w:rPr>
            </w:pPr>
            <w:r>
              <w:rPr>
                <w:rFonts w:hint="eastAsia" w:ascii="仿宋_GB2312" w:hAnsi="宋体" w:eastAsia="仿宋_GB2312" w:cs="宋体"/>
                <w:color w:val="auto"/>
                <w:kern w:val="0"/>
                <w:sz w:val="13"/>
                <w:szCs w:val="13"/>
                <w:highlight w:val="none"/>
              </w:rPr>
              <w:t>　　（一）在城市照明设施上刻划、涂污；</w:t>
            </w:r>
          </w:p>
          <w:p w14:paraId="05C90C0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hint="eastAsia" w:ascii="仿宋_GB2312" w:hAnsi="宋体" w:eastAsia="仿宋_GB2312" w:cs="宋体"/>
                <w:color w:val="auto"/>
                <w:kern w:val="0"/>
                <w:sz w:val="13"/>
                <w:szCs w:val="13"/>
                <w:highlight w:val="none"/>
                <w:lang w:eastAsia="zh-CN"/>
              </w:rPr>
            </w:pPr>
            <w:r>
              <w:rPr>
                <w:rFonts w:hint="eastAsia" w:ascii="仿宋_GB2312" w:hAnsi="宋体" w:eastAsia="仿宋_GB2312" w:cs="宋体"/>
                <w:color w:val="auto"/>
                <w:kern w:val="0"/>
                <w:sz w:val="13"/>
                <w:szCs w:val="13"/>
                <w:highlight w:val="none"/>
              </w:rPr>
              <w:t>　　（二）在城市照明设施安全距离内，擅自植树、挖坑取土或者设置其他物体，或者倾倒含酸、碱、盐等腐蚀物或者具有腐蚀性的废渣、废液；</w:t>
            </w:r>
          </w:p>
          <w:p w14:paraId="5C0B1F3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hint="eastAsia" w:ascii="仿宋_GB2312" w:hAnsi="宋体" w:eastAsia="仿宋_GB2312" w:cs="宋体"/>
                <w:color w:val="auto"/>
                <w:kern w:val="0"/>
                <w:sz w:val="13"/>
                <w:szCs w:val="13"/>
                <w:highlight w:val="none"/>
              </w:rPr>
            </w:pPr>
            <w:r>
              <w:rPr>
                <w:rFonts w:hint="eastAsia" w:ascii="仿宋_GB2312" w:hAnsi="宋体" w:eastAsia="仿宋_GB2312" w:cs="宋体"/>
                <w:color w:val="auto"/>
                <w:kern w:val="0"/>
                <w:sz w:val="13"/>
                <w:szCs w:val="13"/>
                <w:highlight w:val="none"/>
              </w:rPr>
              <w:t>　　（三）擅自在城市照明设施上张贴、悬挂、设置宣传品、广告；</w:t>
            </w:r>
          </w:p>
          <w:p w14:paraId="513FBBF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hint="eastAsia" w:ascii="仿宋_GB2312" w:hAnsi="宋体" w:eastAsia="仿宋_GB2312" w:cs="宋体"/>
                <w:color w:val="auto"/>
                <w:kern w:val="0"/>
                <w:sz w:val="13"/>
                <w:szCs w:val="13"/>
                <w:highlight w:val="none"/>
                <w:lang w:eastAsia="zh-CN"/>
              </w:rPr>
            </w:pPr>
            <w:r>
              <w:rPr>
                <w:rFonts w:hint="eastAsia" w:ascii="仿宋_GB2312" w:hAnsi="宋体" w:eastAsia="仿宋_GB2312" w:cs="宋体"/>
                <w:color w:val="auto"/>
                <w:kern w:val="0"/>
                <w:sz w:val="13"/>
                <w:szCs w:val="13"/>
                <w:highlight w:val="none"/>
              </w:rPr>
              <w:t>　　（四）擅自在城市照明设施上架设线缆、安置其它设施或者接用电源；</w:t>
            </w:r>
          </w:p>
          <w:p w14:paraId="5D406D4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hint="eastAsia" w:ascii="仿宋_GB2312" w:hAnsi="宋体" w:eastAsia="仿宋_GB2312" w:cs="宋体"/>
                <w:color w:val="auto"/>
                <w:kern w:val="0"/>
                <w:sz w:val="13"/>
                <w:szCs w:val="13"/>
                <w:highlight w:val="none"/>
              </w:rPr>
            </w:pPr>
            <w:r>
              <w:rPr>
                <w:rFonts w:hint="eastAsia" w:ascii="仿宋_GB2312" w:hAnsi="宋体" w:eastAsia="仿宋_GB2312" w:cs="宋体"/>
                <w:color w:val="auto"/>
                <w:kern w:val="0"/>
                <w:sz w:val="13"/>
                <w:szCs w:val="13"/>
                <w:highlight w:val="none"/>
              </w:rPr>
              <w:t>　　（五）擅自迁移、拆除、利用城市照明设施；</w:t>
            </w:r>
          </w:p>
          <w:p w14:paraId="7FF1950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hint="eastAsia" w:ascii="仿宋_GB2312" w:hAnsi="宋体" w:eastAsia="仿宋_GB2312" w:cs="宋体"/>
                <w:color w:val="auto"/>
                <w:kern w:val="0"/>
                <w:sz w:val="13"/>
                <w:szCs w:val="13"/>
                <w:highlight w:val="none"/>
              </w:rPr>
            </w:pPr>
            <w:r>
              <w:rPr>
                <w:rFonts w:hint="eastAsia" w:ascii="仿宋_GB2312" w:hAnsi="宋体" w:eastAsia="仿宋_GB2312" w:cs="宋体"/>
                <w:color w:val="auto"/>
                <w:kern w:val="0"/>
                <w:sz w:val="13"/>
                <w:szCs w:val="13"/>
                <w:highlight w:val="none"/>
              </w:rPr>
              <w:t>　　（六）其他可能影响城市照明设施正常运行的行为。</w:t>
            </w:r>
          </w:p>
        </w:tc>
        <w:tc>
          <w:tcPr>
            <w:tcW w:w="823" w:type="dxa"/>
            <w:tcBorders>
              <w:tl2br w:val="nil"/>
              <w:tr2bl w:val="nil"/>
            </w:tcBorders>
            <w:tcMar>
              <w:top w:w="15" w:type="dxa"/>
              <w:left w:w="15" w:type="dxa"/>
              <w:bottom w:w="15" w:type="dxa"/>
              <w:right w:w="15" w:type="dxa"/>
            </w:tcMar>
            <w:vAlign w:val="center"/>
          </w:tcPr>
          <w:p w14:paraId="548BFF2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从轻情节</w:t>
            </w:r>
          </w:p>
        </w:tc>
        <w:tc>
          <w:tcPr>
            <w:tcW w:w="3437" w:type="dxa"/>
            <w:gridSpan w:val="2"/>
            <w:tcBorders>
              <w:tl2br w:val="nil"/>
              <w:tr2bl w:val="nil"/>
            </w:tcBorders>
            <w:tcMar>
              <w:top w:w="15" w:type="dxa"/>
              <w:left w:w="15" w:type="dxa"/>
              <w:bottom w:w="15" w:type="dxa"/>
              <w:right w:w="15" w:type="dxa"/>
            </w:tcMar>
            <w:vAlign w:val="center"/>
          </w:tcPr>
          <w:p w14:paraId="046A746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初次违法，危害后果轻微，积极整改的。</w:t>
            </w:r>
          </w:p>
        </w:tc>
        <w:tc>
          <w:tcPr>
            <w:tcW w:w="3058" w:type="dxa"/>
            <w:tcBorders>
              <w:tl2br w:val="nil"/>
              <w:tr2bl w:val="nil"/>
            </w:tcBorders>
            <w:tcMar>
              <w:top w:w="15" w:type="dxa"/>
              <w:left w:w="15" w:type="dxa"/>
              <w:bottom w:w="15" w:type="dxa"/>
              <w:right w:w="15" w:type="dxa"/>
            </w:tcMar>
            <w:vAlign w:val="center"/>
          </w:tcPr>
          <w:p w14:paraId="626B78C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责令限期改正，对个人处以200元的罚款；对单位处以1千元以上1万元以下的罚款。</w:t>
            </w:r>
          </w:p>
        </w:tc>
      </w:tr>
      <w:tr w14:paraId="5D99F36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236" w:hRule="atLeast"/>
          <w:jc w:val="center"/>
        </w:trPr>
        <w:tc>
          <w:tcPr>
            <w:tcW w:w="428" w:type="dxa"/>
            <w:vMerge w:val="continue"/>
            <w:tcBorders>
              <w:tl2br w:val="nil"/>
              <w:tr2bl w:val="nil"/>
            </w:tcBorders>
            <w:vAlign w:val="center"/>
          </w:tcPr>
          <w:p w14:paraId="7690D3A8">
            <w:pPr>
              <w:pStyle w:val="37"/>
              <w:keepNext w:val="0"/>
              <w:keepLines w:val="0"/>
              <w:pageBreakBefore w:val="0"/>
              <w:widowControl/>
              <w:numPr>
                <w:ilvl w:val="0"/>
                <w:numId w:val="12"/>
              </w:numPr>
              <w:kinsoku/>
              <w:overflowPunct/>
              <w:topLinePunct w:val="0"/>
              <w:autoSpaceDE/>
              <w:autoSpaceDN/>
              <w:bidi w:val="0"/>
              <w:adjustRightInd/>
              <w:snapToGrid/>
              <w:spacing w:beforeAutospacing="0" w:afterAutospacing="0" w:line="260" w:lineRule="exact"/>
              <w:ind w:left="638" w:leftChars="88" w:right="0" w:rightChars="0" w:hanging="453" w:hangingChars="349"/>
              <w:jc w:val="center"/>
              <w:rPr>
                <w:rFonts w:ascii="仿宋_GB2312" w:hAnsi="宋体" w:eastAsia="仿宋_GB2312" w:cs="宋体"/>
                <w:color w:val="auto"/>
                <w:sz w:val="13"/>
                <w:szCs w:val="13"/>
                <w:highlight w:val="none"/>
              </w:rPr>
            </w:pPr>
          </w:p>
        </w:tc>
        <w:tc>
          <w:tcPr>
            <w:tcW w:w="1550" w:type="dxa"/>
            <w:vMerge w:val="continue"/>
            <w:tcBorders>
              <w:tl2br w:val="nil"/>
              <w:tr2bl w:val="nil"/>
            </w:tcBorders>
            <w:vAlign w:val="center"/>
          </w:tcPr>
          <w:p w14:paraId="4C807B3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sz w:val="13"/>
                <w:szCs w:val="13"/>
                <w:highlight w:val="none"/>
              </w:rPr>
            </w:pPr>
          </w:p>
        </w:tc>
        <w:tc>
          <w:tcPr>
            <w:tcW w:w="4820" w:type="dxa"/>
            <w:vMerge w:val="continue"/>
            <w:tcBorders>
              <w:tl2br w:val="nil"/>
              <w:tr2bl w:val="nil"/>
            </w:tcBorders>
            <w:vAlign w:val="center"/>
          </w:tcPr>
          <w:p w14:paraId="5930FE6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357CD9D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一般情节</w:t>
            </w:r>
          </w:p>
        </w:tc>
        <w:tc>
          <w:tcPr>
            <w:tcW w:w="3437" w:type="dxa"/>
            <w:gridSpan w:val="2"/>
            <w:tcBorders>
              <w:tl2br w:val="nil"/>
              <w:tr2bl w:val="nil"/>
            </w:tcBorders>
            <w:tcMar>
              <w:top w:w="15" w:type="dxa"/>
              <w:left w:w="15" w:type="dxa"/>
              <w:bottom w:w="15" w:type="dxa"/>
              <w:right w:w="15" w:type="dxa"/>
            </w:tcMar>
            <w:vAlign w:val="center"/>
          </w:tcPr>
          <w:p w14:paraId="586039F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不具有从轻、</w:t>
            </w:r>
            <w:r>
              <w:rPr>
                <w:rFonts w:hint="eastAsia" w:ascii="仿宋_GB2312" w:hAnsi="宋体" w:eastAsia="仿宋_GB2312" w:cs="宋体"/>
                <w:color w:val="auto"/>
                <w:kern w:val="0"/>
                <w:sz w:val="13"/>
                <w:szCs w:val="13"/>
                <w:highlight w:val="none"/>
                <w:lang w:eastAsia="zh-CN"/>
              </w:rPr>
              <w:t>从重情节</w:t>
            </w:r>
            <w:r>
              <w:rPr>
                <w:rFonts w:hint="eastAsia" w:ascii="仿宋_GB2312" w:hAnsi="宋体" w:eastAsia="仿宋_GB2312" w:cs="宋体"/>
                <w:color w:val="auto"/>
                <w:kern w:val="0"/>
                <w:sz w:val="13"/>
                <w:szCs w:val="13"/>
                <w:highlight w:val="none"/>
              </w:rPr>
              <w:t>的。</w:t>
            </w:r>
          </w:p>
        </w:tc>
        <w:tc>
          <w:tcPr>
            <w:tcW w:w="3058" w:type="dxa"/>
            <w:tcBorders>
              <w:tl2br w:val="nil"/>
              <w:tr2bl w:val="nil"/>
            </w:tcBorders>
            <w:tcMar>
              <w:top w:w="15" w:type="dxa"/>
              <w:left w:w="15" w:type="dxa"/>
              <w:bottom w:w="15" w:type="dxa"/>
              <w:right w:w="15" w:type="dxa"/>
            </w:tcMar>
            <w:vAlign w:val="center"/>
          </w:tcPr>
          <w:p w14:paraId="04F17C1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责令限期改正，对个人处以200元以上500元以下的罚款；对单位处以1万元以上2万元以下的罚款。</w:t>
            </w:r>
          </w:p>
        </w:tc>
      </w:tr>
      <w:tr w14:paraId="50598BA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247" w:hRule="atLeast"/>
          <w:jc w:val="center"/>
        </w:trPr>
        <w:tc>
          <w:tcPr>
            <w:tcW w:w="428" w:type="dxa"/>
            <w:vMerge w:val="continue"/>
            <w:tcBorders>
              <w:tl2br w:val="nil"/>
              <w:tr2bl w:val="nil"/>
            </w:tcBorders>
            <w:vAlign w:val="center"/>
          </w:tcPr>
          <w:p w14:paraId="61C51BD2">
            <w:pPr>
              <w:pStyle w:val="37"/>
              <w:keepNext w:val="0"/>
              <w:keepLines w:val="0"/>
              <w:pageBreakBefore w:val="0"/>
              <w:widowControl/>
              <w:numPr>
                <w:ilvl w:val="0"/>
                <w:numId w:val="12"/>
              </w:numPr>
              <w:kinsoku/>
              <w:overflowPunct/>
              <w:topLinePunct w:val="0"/>
              <w:autoSpaceDE/>
              <w:autoSpaceDN/>
              <w:bidi w:val="0"/>
              <w:adjustRightInd/>
              <w:snapToGrid/>
              <w:spacing w:beforeAutospacing="0" w:afterAutospacing="0" w:line="260" w:lineRule="exact"/>
              <w:ind w:left="638" w:leftChars="88" w:right="0" w:rightChars="0" w:hanging="453" w:hangingChars="349"/>
              <w:jc w:val="center"/>
              <w:rPr>
                <w:rFonts w:ascii="仿宋_GB2312" w:hAnsi="宋体" w:eastAsia="仿宋_GB2312" w:cs="宋体"/>
                <w:color w:val="auto"/>
                <w:sz w:val="13"/>
                <w:szCs w:val="13"/>
                <w:highlight w:val="none"/>
              </w:rPr>
            </w:pPr>
          </w:p>
        </w:tc>
        <w:tc>
          <w:tcPr>
            <w:tcW w:w="1550" w:type="dxa"/>
            <w:vMerge w:val="continue"/>
            <w:tcBorders>
              <w:tl2br w:val="nil"/>
              <w:tr2bl w:val="nil"/>
            </w:tcBorders>
            <w:vAlign w:val="center"/>
          </w:tcPr>
          <w:p w14:paraId="6B26BCC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sz w:val="13"/>
                <w:szCs w:val="13"/>
                <w:highlight w:val="none"/>
              </w:rPr>
            </w:pPr>
          </w:p>
        </w:tc>
        <w:tc>
          <w:tcPr>
            <w:tcW w:w="4820" w:type="dxa"/>
            <w:vMerge w:val="continue"/>
            <w:tcBorders>
              <w:tl2br w:val="nil"/>
              <w:tr2bl w:val="nil"/>
            </w:tcBorders>
            <w:vAlign w:val="center"/>
          </w:tcPr>
          <w:p w14:paraId="77ACD10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373FB0A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从重情节</w:t>
            </w:r>
          </w:p>
        </w:tc>
        <w:tc>
          <w:tcPr>
            <w:tcW w:w="3437" w:type="dxa"/>
            <w:gridSpan w:val="2"/>
            <w:tcBorders>
              <w:tl2br w:val="nil"/>
              <w:tr2bl w:val="nil"/>
            </w:tcBorders>
            <w:tcMar>
              <w:top w:w="15" w:type="dxa"/>
              <w:left w:w="15" w:type="dxa"/>
              <w:bottom w:w="15" w:type="dxa"/>
              <w:right w:w="15" w:type="dxa"/>
            </w:tcMar>
            <w:vAlign w:val="center"/>
          </w:tcPr>
          <w:p w14:paraId="2A67368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逾期未改正的</w:t>
            </w:r>
            <w:r>
              <w:rPr>
                <w:rFonts w:hint="eastAsia" w:ascii="仿宋_GB2312" w:hAnsi="宋体" w:eastAsia="仿宋_GB2312" w:cs="宋体"/>
                <w:color w:val="auto"/>
                <w:kern w:val="0"/>
                <w:sz w:val="13"/>
                <w:szCs w:val="13"/>
                <w:highlight w:val="none"/>
                <w:lang w:eastAsia="zh-CN"/>
              </w:rPr>
              <w:t>，</w:t>
            </w:r>
            <w:r>
              <w:rPr>
                <w:rFonts w:hint="eastAsia" w:ascii="仿宋_GB2312" w:hAnsi="宋体" w:eastAsia="仿宋_GB2312" w:cs="宋体"/>
                <w:color w:val="auto"/>
                <w:kern w:val="0"/>
                <w:sz w:val="13"/>
                <w:szCs w:val="13"/>
                <w:highlight w:val="none"/>
                <w:lang w:val="en-US" w:eastAsia="zh-CN"/>
              </w:rPr>
              <w:t>或</w:t>
            </w:r>
            <w:r>
              <w:rPr>
                <w:rFonts w:hint="eastAsia" w:ascii="仿宋_GB2312" w:hAnsi="宋体" w:eastAsia="仿宋_GB2312" w:cs="宋体"/>
                <w:color w:val="auto"/>
                <w:kern w:val="0"/>
                <w:sz w:val="13"/>
                <w:szCs w:val="13"/>
                <w:highlight w:val="none"/>
              </w:rPr>
              <w:t>曾因实施该违法行为被查处，再次实施该违法行为的</w:t>
            </w:r>
            <w:r>
              <w:rPr>
                <w:rFonts w:hint="eastAsia" w:ascii="仿宋_GB2312" w:hAnsi="宋体" w:eastAsia="仿宋_GB2312" w:cs="宋体"/>
                <w:color w:val="auto"/>
                <w:kern w:val="0"/>
                <w:sz w:val="13"/>
                <w:szCs w:val="13"/>
                <w:highlight w:val="none"/>
                <w:lang w:eastAsia="zh-CN"/>
              </w:rPr>
              <w:t>，</w:t>
            </w:r>
            <w:r>
              <w:rPr>
                <w:rFonts w:hint="eastAsia" w:ascii="仿宋_GB2312" w:hAnsi="宋体" w:eastAsia="仿宋_GB2312" w:cs="宋体"/>
                <w:color w:val="auto"/>
                <w:kern w:val="0"/>
                <w:sz w:val="13"/>
                <w:szCs w:val="13"/>
                <w:highlight w:val="none"/>
                <w:lang w:val="en-US" w:eastAsia="zh-CN"/>
              </w:rPr>
              <w:t>或</w:t>
            </w:r>
            <w:r>
              <w:rPr>
                <w:rFonts w:hint="eastAsia" w:ascii="仿宋_GB2312" w:hAnsi="宋体" w:eastAsia="仿宋_GB2312" w:cs="宋体"/>
                <w:color w:val="auto"/>
                <w:kern w:val="0"/>
                <w:sz w:val="13"/>
                <w:szCs w:val="13"/>
                <w:highlight w:val="none"/>
              </w:rPr>
              <w:t>造成严重危害后果的。</w:t>
            </w:r>
          </w:p>
        </w:tc>
        <w:tc>
          <w:tcPr>
            <w:tcW w:w="3058" w:type="dxa"/>
            <w:tcBorders>
              <w:tl2br w:val="nil"/>
              <w:tr2bl w:val="nil"/>
            </w:tcBorders>
            <w:tcMar>
              <w:top w:w="15" w:type="dxa"/>
              <w:left w:w="15" w:type="dxa"/>
              <w:bottom w:w="15" w:type="dxa"/>
              <w:right w:w="15" w:type="dxa"/>
            </w:tcMar>
            <w:vAlign w:val="center"/>
          </w:tcPr>
          <w:p w14:paraId="22EEA30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责令限期改正，对个人处以500元以上1千元以下的罚款；对单位处以2万元以上3万元以下的罚款。</w:t>
            </w:r>
          </w:p>
        </w:tc>
      </w:tr>
      <w:tr w14:paraId="29A89D2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289" w:hRule="atLeast"/>
          <w:jc w:val="center"/>
        </w:trPr>
        <w:tc>
          <w:tcPr>
            <w:tcW w:w="428" w:type="dxa"/>
            <w:vMerge w:val="restart"/>
            <w:tcBorders>
              <w:tl2br w:val="nil"/>
              <w:tr2bl w:val="nil"/>
            </w:tcBorders>
            <w:tcMar>
              <w:top w:w="15" w:type="dxa"/>
              <w:left w:w="15" w:type="dxa"/>
              <w:bottom w:w="15" w:type="dxa"/>
              <w:right w:w="15" w:type="dxa"/>
            </w:tcMar>
            <w:vAlign w:val="center"/>
          </w:tcPr>
          <w:p w14:paraId="2722192E">
            <w:pPr>
              <w:keepNext w:val="0"/>
              <w:keepLines w:val="0"/>
              <w:pageBreakBefore w:val="0"/>
              <w:widowControl/>
              <w:numPr>
                <w:ilvl w:val="0"/>
                <w:numId w:val="11"/>
              </w:numPr>
              <w:suppressLineNumbers w:val="0"/>
              <w:tabs>
                <w:tab w:val="clear" w:pos="397"/>
              </w:tabs>
              <w:kinsoku/>
              <w:overflowPunct/>
              <w:topLinePunct w:val="0"/>
              <w:autoSpaceDE/>
              <w:autoSpaceDN/>
              <w:bidi w:val="0"/>
              <w:adjustRightInd/>
              <w:snapToGrid/>
              <w:spacing w:beforeAutospacing="0" w:afterAutospacing="0" w:line="260" w:lineRule="exact"/>
              <w:ind w:left="638" w:leftChars="88" w:right="0" w:rightChars="0" w:hanging="453" w:hangingChars="349"/>
              <w:jc w:val="center"/>
              <w:textAlignment w:val="center"/>
              <w:rPr>
                <w:rFonts w:hint="default" w:ascii="仿宋_GB2312" w:hAnsi="宋体" w:eastAsia="仿宋_GB2312" w:cs="宋体"/>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342</w:t>
            </w:r>
          </w:p>
        </w:tc>
        <w:tc>
          <w:tcPr>
            <w:tcW w:w="1550" w:type="dxa"/>
            <w:vMerge w:val="restart"/>
            <w:tcBorders>
              <w:tl2br w:val="nil"/>
              <w:tr2bl w:val="nil"/>
            </w:tcBorders>
            <w:tcMar>
              <w:top w:w="15" w:type="dxa"/>
              <w:left w:w="15" w:type="dxa"/>
              <w:bottom w:w="15" w:type="dxa"/>
              <w:right w:w="15" w:type="dxa"/>
            </w:tcMar>
            <w:vAlign w:val="center"/>
          </w:tcPr>
          <w:p w14:paraId="2C5DBD53">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kern w:val="0"/>
                <w:sz w:val="13"/>
                <w:szCs w:val="13"/>
                <w:highlight w:val="none"/>
              </w:rPr>
            </w:pPr>
            <w:r>
              <w:rPr>
                <w:rFonts w:hint="eastAsia" w:ascii="仿宋_GB2312" w:hAnsi="宋体" w:eastAsia="仿宋_GB2312" w:cs="宋体"/>
                <w:color w:val="auto"/>
                <w:kern w:val="0"/>
                <w:sz w:val="13"/>
                <w:szCs w:val="13"/>
                <w:highlight w:val="none"/>
              </w:rPr>
              <w:t>将建筑垃圾混入生活垃圾的</w:t>
            </w:r>
          </w:p>
        </w:tc>
        <w:tc>
          <w:tcPr>
            <w:tcW w:w="4820" w:type="dxa"/>
            <w:vMerge w:val="restart"/>
            <w:tcBorders>
              <w:tl2br w:val="nil"/>
              <w:tr2bl w:val="nil"/>
            </w:tcBorders>
            <w:tcMar>
              <w:top w:w="15" w:type="dxa"/>
              <w:left w:w="15" w:type="dxa"/>
              <w:bottom w:w="15" w:type="dxa"/>
              <w:right w:w="15" w:type="dxa"/>
            </w:tcMar>
            <w:vAlign w:val="center"/>
          </w:tcPr>
          <w:p w14:paraId="1B03710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kern w:val="0"/>
                <w:sz w:val="13"/>
                <w:szCs w:val="13"/>
                <w:highlight w:val="none"/>
              </w:rPr>
            </w:pPr>
            <w:r>
              <w:rPr>
                <w:rFonts w:hint="eastAsia" w:ascii="仿宋_GB2312" w:hAnsi="宋体" w:eastAsia="仿宋_GB2312" w:cs="宋体"/>
                <w:color w:val="auto"/>
                <w:kern w:val="0"/>
                <w:sz w:val="13"/>
                <w:szCs w:val="13"/>
                <w:highlight w:val="none"/>
              </w:rPr>
              <w:t>《城市建筑垃圾管理规定》</w:t>
            </w:r>
            <w:r>
              <w:rPr>
                <w:rFonts w:hint="eastAsia" w:ascii="仿宋_GB2312" w:hAnsi="宋体" w:eastAsia="仿宋_GB2312" w:cs="宋体"/>
                <w:b/>
                <w:bCs/>
                <w:color w:val="auto"/>
                <w:kern w:val="0"/>
                <w:sz w:val="13"/>
                <w:szCs w:val="13"/>
                <w:highlight w:val="none"/>
              </w:rPr>
              <w:t>第二十条</w:t>
            </w:r>
            <w:r>
              <w:rPr>
                <w:rFonts w:hint="eastAsia" w:ascii="仿宋_GB2312" w:hAnsi="宋体" w:eastAsia="仿宋_GB2312" w:cs="宋体"/>
                <w:b/>
                <w:bCs/>
                <w:color w:val="auto"/>
                <w:kern w:val="0"/>
                <w:sz w:val="13"/>
                <w:szCs w:val="13"/>
                <w:highlight w:val="none"/>
                <w:lang w:eastAsia="zh-CN"/>
              </w:rPr>
              <w:t>：</w:t>
            </w:r>
            <w:r>
              <w:rPr>
                <w:rFonts w:hint="eastAsia" w:ascii="仿宋_GB2312" w:hAnsi="宋体" w:eastAsia="仿宋_GB2312" w:cs="宋体"/>
                <w:color w:val="auto"/>
                <w:kern w:val="0"/>
                <w:sz w:val="13"/>
                <w:szCs w:val="13"/>
                <w:highlight w:val="none"/>
              </w:rPr>
              <w:t>任何单位和个人有下列情形之一的，由城市人民政府市容环境卫生主管部门责令限期改正，给予警告，处以罚款：（一）将建筑垃圾混入生活垃圾的；（二）将危险废物混入建筑垃圾的；（三）擅自设立弃置场受纳建筑垃圾的；</w:t>
            </w:r>
          </w:p>
          <w:p w14:paraId="50879BA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rPr>
                <w:rFonts w:ascii="仿宋_GB2312" w:hAnsi="宋体" w:eastAsia="仿宋_GB2312" w:cs="宋体"/>
                <w:color w:val="auto"/>
                <w:kern w:val="0"/>
                <w:sz w:val="13"/>
                <w:szCs w:val="13"/>
                <w:highlight w:val="none"/>
              </w:rPr>
            </w:pPr>
            <w:r>
              <w:rPr>
                <w:rFonts w:hint="eastAsia" w:ascii="仿宋_GB2312" w:hAnsi="宋体" w:eastAsia="仿宋_GB2312" w:cs="宋体"/>
                <w:color w:val="auto"/>
                <w:kern w:val="0"/>
                <w:sz w:val="13"/>
                <w:szCs w:val="13"/>
                <w:highlight w:val="none"/>
              </w:rPr>
              <w:t>单位有前款第一项、第二项行为之一的，处3000元以下罚款；有前款第三项行为的，处5000元以上1万元以下罚款。个人有前款第一项、第二项行为之一的，处200元以下罚款；有前款第三项行为的，处3000元以下罚款。</w:t>
            </w:r>
          </w:p>
        </w:tc>
        <w:tc>
          <w:tcPr>
            <w:tcW w:w="823" w:type="dxa"/>
            <w:tcBorders>
              <w:tl2br w:val="nil"/>
              <w:tr2bl w:val="nil"/>
            </w:tcBorders>
            <w:tcMar>
              <w:top w:w="15" w:type="dxa"/>
              <w:left w:w="15" w:type="dxa"/>
              <w:bottom w:w="15" w:type="dxa"/>
              <w:right w:w="15" w:type="dxa"/>
            </w:tcMar>
            <w:vAlign w:val="center"/>
          </w:tcPr>
          <w:p w14:paraId="4F23327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kern w:val="0"/>
                <w:sz w:val="13"/>
                <w:szCs w:val="13"/>
                <w:highlight w:val="none"/>
                <w:lang w:eastAsia="zh-CN"/>
              </w:rPr>
            </w:pPr>
            <w:r>
              <w:rPr>
                <w:rFonts w:hint="eastAsia" w:ascii="仿宋_GB2312" w:hAnsi="宋体" w:eastAsia="仿宋_GB2312" w:cs="宋体"/>
                <w:color w:val="auto"/>
                <w:kern w:val="0"/>
                <w:sz w:val="13"/>
                <w:szCs w:val="13"/>
                <w:highlight w:val="none"/>
                <w:lang w:eastAsia="zh-CN"/>
              </w:rPr>
              <w:t>从轻情节</w:t>
            </w:r>
          </w:p>
        </w:tc>
        <w:tc>
          <w:tcPr>
            <w:tcW w:w="3437" w:type="dxa"/>
            <w:gridSpan w:val="2"/>
            <w:tcBorders>
              <w:tl2br w:val="nil"/>
              <w:tr2bl w:val="nil"/>
            </w:tcBorders>
            <w:tcMar>
              <w:top w:w="15" w:type="dxa"/>
              <w:left w:w="15" w:type="dxa"/>
              <w:bottom w:w="15" w:type="dxa"/>
              <w:right w:w="15" w:type="dxa"/>
            </w:tcMar>
            <w:vAlign w:val="center"/>
          </w:tcPr>
          <w:p w14:paraId="4D92F68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kern w:val="0"/>
                <w:sz w:val="13"/>
                <w:szCs w:val="13"/>
                <w:highlight w:val="none"/>
              </w:rPr>
            </w:pPr>
            <w:r>
              <w:rPr>
                <w:rFonts w:hint="eastAsia" w:ascii="仿宋_GB2312" w:hAnsi="宋体" w:eastAsia="仿宋_GB2312" w:cs="宋体"/>
                <w:color w:val="auto"/>
                <w:kern w:val="0"/>
                <w:sz w:val="13"/>
                <w:szCs w:val="13"/>
                <w:highlight w:val="none"/>
              </w:rPr>
              <w:t>混入1立方米以下的。</w:t>
            </w:r>
          </w:p>
        </w:tc>
        <w:tc>
          <w:tcPr>
            <w:tcW w:w="3058" w:type="dxa"/>
            <w:tcBorders>
              <w:tl2br w:val="nil"/>
              <w:tr2bl w:val="nil"/>
            </w:tcBorders>
            <w:tcMar>
              <w:top w:w="15" w:type="dxa"/>
              <w:left w:w="15" w:type="dxa"/>
              <w:bottom w:w="15" w:type="dxa"/>
              <w:right w:w="15" w:type="dxa"/>
            </w:tcMar>
            <w:vAlign w:val="center"/>
          </w:tcPr>
          <w:p w14:paraId="7790DFF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kern w:val="0"/>
                <w:sz w:val="13"/>
                <w:szCs w:val="13"/>
                <w:highlight w:val="none"/>
              </w:rPr>
            </w:pPr>
            <w:r>
              <w:rPr>
                <w:rFonts w:hint="eastAsia" w:ascii="仿宋_GB2312" w:hAnsi="宋体" w:eastAsia="仿宋_GB2312" w:cs="宋体"/>
                <w:color w:val="auto"/>
                <w:kern w:val="0"/>
                <w:sz w:val="13"/>
                <w:szCs w:val="13"/>
                <w:highlight w:val="none"/>
              </w:rPr>
              <w:t>责令限期改正，给予警告，对单位处1000元以下罚款，对个人处50元以下罚款。</w:t>
            </w:r>
          </w:p>
        </w:tc>
      </w:tr>
      <w:tr w14:paraId="25A0327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289" w:hRule="atLeast"/>
          <w:jc w:val="center"/>
        </w:trPr>
        <w:tc>
          <w:tcPr>
            <w:tcW w:w="428" w:type="dxa"/>
            <w:vMerge w:val="continue"/>
            <w:tcBorders>
              <w:tl2br w:val="nil"/>
              <w:tr2bl w:val="nil"/>
            </w:tcBorders>
            <w:tcMar>
              <w:top w:w="15" w:type="dxa"/>
              <w:left w:w="15" w:type="dxa"/>
              <w:bottom w:w="15" w:type="dxa"/>
              <w:right w:w="15" w:type="dxa"/>
            </w:tcMar>
            <w:vAlign w:val="center"/>
          </w:tcPr>
          <w:p w14:paraId="2F3ECDA4">
            <w:pPr>
              <w:pStyle w:val="37"/>
              <w:keepNext w:val="0"/>
              <w:keepLines w:val="0"/>
              <w:pageBreakBefore w:val="0"/>
              <w:widowControl/>
              <w:numPr>
                <w:ilvl w:val="0"/>
                <w:numId w:val="12"/>
              </w:numPr>
              <w:kinsoku/>
              <w:overflowPunct/>
              <w:topLinePunct w:val="0"/>
              <w:autoSpaceDE/>
              <w:autoSpaceDN/>
              <w:bidi w:val="0"/>
              <w:adjustRightInd/>
              <w:snapToGrid/>
              <w:spacing w:beforeAutospacing="0" w:afterAutospacing="0" w:line="260" w:lineRule="exact"/>
              <w:ind w:left="638" w:leftChars="88" w:right="0" w:rightChars="0" w:hanging="453" w:hangingChars="349"/>
              <w:jc w:val="center"/>
              <w:textAlignment w:val="center"/>
              <w:rPr>
                <w:rFonts w:ascii="仿宋_GB2312" w:hAnsi="宋体" w:eastAsia="仿宋_GB2312" w:cs="宋体"/>
                <w:color w:val="auto"/>
                <w:sz w:val="13"/>
                <w:szCs w:val="13"/>
                <w:highlight w:val="none"/>
              </w:rPr>
            </w:pPr>
          </w:p>
        </w:tc>
        <w:tc>
          <w:tcPr>
            <w:tcW w:w="1550" w:type="dxa"/>
            <w:vMerge w:val="continue"/>
            <w:tcBorders>
              <w:tl2br w:val="nil"/>
              <w:tr2bl w:val="nil"/>
            </w:tcBorders>
            <w:tcMar>
              <w:top w:w="15" w:type="dxa"/>
              <w:left w:w="15" w:type="dxa"/>
              <w:bottom w:w="15" w:type="dxa"/>
              <w:right w:w="15" w:type="dxa"/>
            </w:tcMar>
            <w:vAlign w:val="center"/>
          </w:tcPr>
          <w:p w14:paraId="069A069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sz w:val="13"/>
                <w:szCs w:val="13"/>
                <w:highlight w:val="none"/>
              </w:rPr>
            </w:pPr>
          </w:p>
        </w:tc>
        <w:tc>
          <w:tcPr>
            <w:tcW w:w="4820" w:type="dxa"/>
            <w:vMerge w:val="continue"/>
            <w:tcBorders>
              <w:tl2br w:val="nil"/>
              <w:tr2bl w:val="nil"/>
            </w:tcBorders>
            <w:tcMar>
              <w:top w:w="15" w:type="dxa"/>
              <w:left w:w="15" w:type="dxa"/>
              <w:bottom w:w="15" w:type="dxa"/>
              <w:right w:w="15" w:type="dxa"/>
            </w:tcMar>
            <w:vAlign w:val="center"/>
          </w:tcPr>
          <w:p w14:paraId="18A45CF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642A134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kern w:val="0"/>
                <w:sz w:val="13"/>
                <w:szCs w:val="13"/>
                <w:highlight w:val="none"/>
                <w:lang w:eastAsia="zh-CN"/>
              </w:rPr>
            </w:pPr>
            <w:r>
              <w:rPr>
                <w:rFonts w:hint="eastAsia" w:ascii="仿宋_GB2312" w:hAnsi="宋体" w:eastAsia="仿宋_GB2312" w:cs="宋体"/>
                <w:color w:val="auto"/>
                <w:kern w:val="0"/>
                <w:sz w:val="13"/>
                <w:szCs w:val="13"/>
                <w:highlight w:val="none"/>
                <w:lang w:eastAsia="zh-CN"/>
              </w:rPr>
              <w:t>一般情节</w:t>
            </w:r>
          </w:p>
        </w:tc>
        <w:tc>
          <w:tcPr>
            <w:tcW w:w="3437" w:type="dxa"/>
            <w:gridSpan w:val="2"/>
            <w:tcBorders>
              <w:tl2br w:val="nil"/>
              <w:tr2bl w:val="nil"/>
            </w:tcBorders>
            <w:tcMar>
              <w:top w:w="15" w:type="dxa"/>
              <w:left w:w="15" w:type="dxa"/>
              <w:bottom w:w="15" w:type="dxa"/>
              <w:right w:w="15" w:type="dxa"/>
            </w:tcMar>
            <w:vAlign w:val="center"/>
          </w:tcPr>
          <w:p w14:paraId="305700E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kern w:val="0"/>
                <w:sz w:val="13"/>
                <w:szCs w:val="13"/>
                <w:highlight w:val="none"/>
              </w:rPr>
            </w:pPr>
            <w:r>
              <w:rPr>
                <w:rFonts w:hint="eastAsia" w:ascii="仿宋_GB2312" w:hAnsi="宋体" w:eastAsia="仿宋_GB2312" w:cs="宋体"/>
                <w:color w:val="auto"/>
                <w:kern w:val="0"/>
                <w:sz w:val="13"/>
                <w:szCs w:val="13"/>
                <w:highlight w:val="none"/>
              </w:rPr>
              <w:t>混入2立方米以上5立方米以下的。</w:t>
            </w:r>
          </w:p>
        </w:tc>
        <w:tc>
          <w:tcPr>
            <w:tcW w:w="3058" w:type="dxa"/>
            <w:tcBorders>
              <w:tl2br w:val="nil"/>
              <w:tr2bl w:val="nil"/>
            </w:tcBorders>
            <w:tcMar>
              <w:top w:w="15" w:type="dxa"/>
              <w:left w:w="15" w:type="dxa"/>
              <w:bottom w:w="15" w:type="dxa"/>
              <w:right w:w="15" w:type="dxa"/>
            </w:tcMar>
            <w:vAlign w:val="center"/>
          </w:tcPr>
          <w:p w14:paraId="14967EE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kern w:val="0"/>
                <w:sz w:val="13"/>
                <w:szCs w:val="13"/>
                <w:highlight w:val="none"/>
              </w:rPr>
            </w:pPr>
            <w:r>
              <w:rPr>
                <w:rFonts w:hint="eastAsia" w:ascii="仿宋_GB2312" w:hAnsi="宋体" w:eastAsia="仿宋_GB2312" w:cs="宋体"/>
                <w:color w:val="auto"/>
                <w:kern w:val="0"/>
                <w:sz w:val="13"/>
                <w:szCs w:val="13"/>
                <w:highlight w:val="none"/>
              </w:rPr>
              <w:t>责令限期改正，给予警告，对单位处1000元以上2000元以下罚款，对个人处50元以上100元下罚款。</w:t>
            </w:r>
          </w:p>
        </w:tc>
      </w:tr>
      <w:tr w14:paraId="475FB2D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289" w:hRule="atLeast"/>
          <w:jc w:val="center"/>
        </w:trPr>
        <w:tc>
          <w:tcPr>
            <w:tcW w:w="428" w:type="dxa"/>
            <w:vMerge w:val="continue"/>
            <w:tcBorders>
              <w:tl2br w:val="nil"/>
              <w:tr2bl w:val="nil"/>
            </w:tcBorders>
            <w:tcMar>
              <w:top w:w="15" w:type="dxa"/>
              <w:left w:w="15" w:type="dxa"/>
              <w:bottom w:w="15" w:type="dxa"/>
              <w:right w:w="15" w:type="dxa"/>
            </w:tcMar>
            <w:vAlign w:val="center"/>
          </w:tcPr>
          <w:p w14:paraId="0E9F03FD">
            <w:pPr>
              <w:pStyle w:val="37"/>
              <w:keepNext w:val="0"/>
              <w:keepLines w:val="0"/>
              <w:pageBreakBefore w:val="0"/>
              <w:widowControl/>
              <w:numPr>
                <w:ilvl w:val="0"/>
                <w:numId w:val="12"/>
              </w:numPr>
              <w:kinsoku/>
              <w:overflowPunct/>
              <w:topLinePunct w:val="0"/>
              <w:autoSpaceDE/>
              <w:autoSpaceDN/>
              <w:bidi w:val="0"/>
              <w:adjustRightInd/>
              <w:snapToGrid/>
              <w:spacing w:beforeAutospacing="0" w:afterAutospacing="0" w:line="260" w:lineRule="exact"/>
              <w:ind w:left="638" w:leftChars="88" w:right="0" w:rightChars="0" w:hanging="453" w:hangingChars="349"/>
              <w:jc w:val="center"/>
              <w:textAlignment w:val="center"/>
              <w:rPr>
                <w:rFonts w:ascii="仿宋_GB2312" w:hAnsi="宋体" w:eastAsia="仿宋_GB2312" w:cs="宋体"/>
                <w:color w:val="auto"/>
                <w:kern w:val="0"/>
                <w:sz w:val="13"/>
                <w:szCs w:val="13"/>
                <w:highlight w:val="none"/>
              </w:rPr>
            </w:pPr>
          </w:p>
        </w:tc>
        <w:tc>
          <w:tcPr>
            <w:tcW w:w="1550" w:type="dxa"/>
            <w:vMerge w:val="continue"/>
            <w:tcBorders>
              <w:tl2br w:val="nil"/>
              <w:tr2bl w:val="nil"/>
            </w:tcBorders>
            <w:tcMar>
              <w:top w:w="15" w:type="dxa"/>
              <w:left w:w="15" w:type="dxa"/>
              <w:bottom w:w="15" w:type="dxa"/>
              <w:right w:w="15" w:type="dxa"/>
            </w:tcMar>
            <w:vAlign w:val="center"/>
          </w:tcPr>
          <w:p w14:paraId="31E7B70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kern w:val="0"/>
                <w:sz w:val="13"/>
                <w:szCs w:val="13"/>
                <w:highlight w:val="none"/>
              </w:rPr>
            </w:pPr>
          </w:p>
        </w:tc>
        <w:tc>
          <w:tcPr>
            <w:tcW w:w="4820" w:type="dxa"/>
            <w:vMerge w:val="continue"/>
            <w:tcBorders>
              <w:tl2br w:val="nil"/>
              <w:tr2bl w:val="nil"/>
            </w:tcBorders>
            <w:tcMar>
              <w:top w:w="15" w:type="dxa"/>
              <w:left w:w="15" w:type="dxa"/>
              <w:bottom w:w="15" w:type="dxa"/>
              <w:right w:w="15" w:type="dxa"/>
            </w:tcMar>
            <w:vAlign w:val="center"/>
          </w:tcPr>
          <w:p w14:paraId="6209011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kern w:val="0"/>
                <w:sz w:val="13"/>
                <w:szCs w:val="13"/>
                <w:highlight w:val="none"/>
              </w:rPr>
            </w:pPr>
          </w:p>
        </w:tc>
        <w:tc>
          <w:tcPr>
            <w:tcW w:w="823" w:type="dxa"/>
            <w:tcBorders>
              <w:tl2br w:val="nil"/>
              <w:tr2bl w:val="nil"/>
            </w:tcBorders>
            <w:tcMar>
              <w:top w:w="15" w:type="dxa"/>
              <w:left w:w="15" w:type="dxa"/>
              <w:bottom w:w="15" w:type="dxa"/>
              <w:right w:w="15" w:type="dxa"/>
            </w:tcMar>
            <w:vAlign w:val="center"/>
          </w:tcPr>
          <w:p w14:paraId="03A9465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kern w:val="0"/>
                <w:sz w:val="13"/>
                <w:szCs w:val="13"/>
                <w:highlight w:val="none"/>
                <w:lang w:eastAsia="zh-CN"/>
              </w:rPr>
            </w:pPr>
            <w:r>
              <w:rPr>
                <w:rFonts w:hint="eastAsia" w:ascii="仿宋_GB2312" w:hAnsi="宋体" w:eastAsia="仿宋_GB2312" w:cs="宋体"/>
                <w:color w:val="auto"/>
                <w:kern w:val="0"/>
                <w:sz w:val="13"/>
                <w:szCs w:val="13"/>
                <w:highlight w:val="none"/>
                <w:lang w:eastAsia="zh-CN"/>
              </w:rPr>
              <w:t>从重情节</w:t>
            </w:r>
          </w:p>
        </w:tc>
        <w:tc>
          <w:tcPr>
            <w:tcW w:w="3437" w:type="dxa"/>
            <w:gridSpan w:val="2"/>
            <w:tcBorders>
              <w:tl2br w:val="nil"/>
              <w:tr2bl w:val="nil"/>
            </w:tcBorders>
            <w:tcMar>
              <w:top w:w="15" w:type="dxa"/>
              <w:left w:w="15" w:type="dxa"/>
              <w:bottom w:w="15" w:type="dxa"/>
              <w:right w:w="15" w:type="dxa"/>
            </w:tcMar>
            <w:vAlign w:val="center"/>
          </w:tcPr>
          <w:p w14:paraId="3311CB9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kern w:val="0"/>
                <w:sz w:val="13"/>
                <w:szCs w:val="13"/>
                <w:highlight w:val="none"/>
              </w:rPr>
            </w:pPr>
            <w:r>
              <w:rPr>
                <w:rFonts w:hint="eastAsia" w:ascii="仿宋_GB2312" w:hAnsi="宋体" w:eastAsia="仿宋_GB2312" w:cs="宋体"/>
                <w:color w:val="auto"/>
                <w:kern w:val="0"/>
                <w:sz w:val="13"/>
                <w:szCs w:val="13"/>
                <w:highlight w:val="none"/>
              </w:rPr>
              <w:t>混入5立方米以上的。</w:t>
            </w:r>
          </w:p>
        </w:tc>
        <w:tc>
          <w:tcPr>
            <w:tcW w:w="3058" w:type="dxa"/>
            <w:tcBorders>
              <w:tl2br w:val="nil"/>
              <w:tr2bl w:val="nil"/>
            </w:tcBorders>
            <w:tcMar>
              <w:top w:w="15" w:type="dxa"/>
              <w:left w:w="15" w:type="dxa"/>
              <w:bottom w:w="15" w:type="dxa"/>
              <w:right w:w="15" w:type="dxa"/>
            </w:tcMar>
            <w:vAlign w:val="center"/>
          </w:tcPr>
          <w:p w14:paraId="18D4BB3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kern w:val="0"/>
                <w:sz w:val="13"/>
                <w:szCs w:val="13"/>
                <w:highlight w:val="none"/>
              </w:rPr>
            </w:pPr>
            <w:r>
              <w:rPr>
                <w:rFonts w:hint="eastAsia" w:ascii="仿宋_GB2312" w:hAnsi="宋体" w:eastAsia="仿宋_GB2312" w:cs="宋体"/>
                <w:color w:val="auto"/>
                <w:kern w:val="0"/>
                <w:sz w:val="13"/>
                <w:szCs w:val="13"/>
                <w:highlight w:val="none"/>
              </w:rPr>
              <w:t>责令限期改正，给予警告，对单位处2000元以上3000元以下罚款，对个人处100元以上200元下罚款。</w:t>
            </w:r>
          </w:p>
        </w:tc>
      </w:tr>
      <w:tr w14:paraId="46847A0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350" w:hRule="atLeast"/>
          <w:jc w:val="center"/>
        </w:trPr>
        <w:tc>
          <w:tcPr>
            <w:tcW w:w="428" w:type="dxa"/>
            <w:vMerge w:val="restart"/>
            <w:tcBorders>
              <w:tl2br w:val="nil"/>
              <w:tr2bl w:val="nil"/>
            </w:tcBorders>
            <w:vAlign w:val="center"/>
          </w:tcPr>
          <w:p w14:paraId="06D91821">
            <w:pPr>
              <w:keepNext w:val="0"/>
              <w:keepLines w:val="0"/>
              <w:pageBreakBefore w:val="0"/>
              <w:widowControl/>
              <w:numPr>
                <w:ilvl w:val="0"/>
                <w:numId w:val="11"/>
              </w:numPr>
              <w:suppressLineNumbers w:val="0"/>
              <w:tabs>
                <w:tab w:val="clear" w:pos="397"/>
              </w:tabs>
              <w:kinsoku/>
              <w:overflowPunct/>
              <w:topLinePunct w:val="0"/>
              <w:autoSpaceDE/>
              <w:autoSpaceDN/>
              <w:bidi w:val="0"/>
              <w:adjustRightInd/>
              <w:snapToGrid/>
              <w:spacing w:beforeAutospacing="0" w:afterAutospacing="0" w:line="260" w:lineRule="exact"/>
              <w:ind w:left="638" w:leftChars="88" w:right="0" w:rightChars="0" w:hanging="453" w:hangingChars="349"/>
              <w:jc w:val="center"/>
              <w:textAlignment w:val="center"/>
              <w:rPr>
                <w:rFonts w:hint="default" w:ascii="仿宋_GB2312" w:hAnsi="宋体" w:eastAsia="仿宋_GB2312" w:cs="宋体"/>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343</w:t>
            </w:r>
          </w:p>
        </w:tc>
        <w:tc>
          <w:tcPr>
            <w:tcW w:w="1550" w:type="dxa"/>
            <w:vMerge w:val="restart"/>
            <w:tcBorders>
              <w:tl2br w:val="nil"/>
              <w:tr2bl w:val="nil"/>
            </w:tcBorders>
            <w:vAlign w:val="center"/>
          </w:tcPr>
          <w:p w14:paraId="668B821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将危险废物混入建筑垃圾的</w:t>
            </w:r>
          </w:p>
        </w:tc>
        <w:tc>
          <w:tcPr>
            <w:tcW w:w="4820" w:type="dxa"/>
            <w:vMerge w:val="restart"/>
            <w:tcBorders>
              <w:tl2br w:val="nil"/>
              <w:tr2bl w:val="nil"/>
            </w:tcBorders>
            <w:vAlign w:val="center"/>
          </w:tcPr>
          <w:p w14:paraId="03C881C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kern w:val="0"/>
                <w:sz w:val="13"/>
                <w:szCs w:val="13"/>
                <w:highlight w:val="none"/>
              </w:rPr>
            </w:pPr>
            <w:r>
              <w:rPr>
                <w:rFonts w:hint="eastAsia" w:ascii="仿宋_GB2312" w:hAnsi="宋体" w:eastAsia="仿宋_GB2312" w:cs="宋体"/>
                <w:color w:val="auto"/>
                <w:kern w:val="0"/>
                <w:sz w:val="13"/>
                <w:szCs w:val="13"/>
                <w:highlight w:val="none"/>
              </w:rPr>
              <w:t>《城市建筑垃圾管理规定》</w:t>
            </w:r>
            <w:r>
              <w:rPr>
                <w:rFonts w:hint="eastAsia" w:ascii="仿宋_GB2312" w:hAnsi="宋体" w:eastAsia="仿宋_GB2312" w:cs="宋体"/>
                <w:b/>
                <w:bCs/>
                <w:color w:val="auto"/>
                <w:kern w:val="0"/>
                <w:sz w:val="13"/>
                <w:szCs w:val="13"/>
                <w:highlight w:val="none"/>
              </w:rPr>
              <w:t>第二十条</w:t>
            </w:r>
            <w:r>
              <w:rPr>
                <w:rFonts w:hint="eastAsia" w:ascii="仿宋_GB2312" w:hAnsi="宋体" w:eastAsia="仿宋_GB2312" w:cs="宋体"/>
                <w:b/>
                <w:bCs/>
                <w:color w:val="auto"/>
                <w:kern w:val="0"/>
                <w:sz w:val="13"/>
                <w:szCs w:val="13"/>
                <w:highlight w:val="none"/>
                <w:lang w:eastAsia="zh-CN"/>
              </w:rPr>
              <w:t>：</w:t>
            </w:r>
            <w:r>
              <w:rPr>
                <w:rFonts w:hint="eastAsia" w:ascii="仿宋_GB2312" w:hAnsi="宋体" w:eastAsia="仿宋_GB2312" w:cs="宋体"/>
                <w:color w:val="auto"/>
                <w:kern w:val="0"/>
                <w:sz w:val="13"/>
                <w:szCs w:val="13"/>
                <w:highlight w:val="none"/>
              </w:rPr>
              <w:t>任何单位和个人有下列情形之一的，由城市人民政府市容环境卫生主管部门责令限期改正，给予警告，处以罚款：（一）将建筑垃圾混入生活垃圾的；（二）将危险废物混入建筑垃圾的；（三）擅自设立弃置场受纳建筑垃圾的；</w:t>
            </w:r>
          </w:p>
          <w:p w14:paraId="0A70661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0" w:firstLineChars="2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单位有前款第一项、第二项行为之一的，处3000元以下罚款；有前款第三项行为的，处5000元以上1万元以下罚款。个人有前款第一项、第二项行为之一的，处200元以下罚款；有前款第三项行为的，处3000元以下罚款。</w:t>
            </w:r>
          </w:p>
        </w:tc>
        <w:tc>
          <w:tcPr>
            <w:tcW w:w="823" w:type="dxa"/>
            <w:tcBorders>
              <w:tl2br w:val="nil"/>
              <w:tr2bl w:val="nil"/>
            </w:tcBorders>
            <w:tcMar>
              <w:top w:w="15" w:type="dxa"/>
              <w:left w:w="15" w:type="dxa"/>
              <w:bottom w:w="15" w:type="dxa"/>
              <w:right w:w="15" w:type="dxa"/>
            </w:tcMar>
            <w:vAlign w:val="center"/>
          </w:tcPr>
          <w:p w14:paraId="541611F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kern w:val="0"/>
                <w:sz w:val="13"/>
                <w:szCs w:val="13"/>
                <w:highlight w:val="none"/>
                <w:lang w:eastAsia="zh-CN"/>
              </w:rPr>
            </w:pPr>
            <w:r>
              <w:rPr>
                <w:rFonts w:hint="eastAsia" w:ascii="仿宋_GB2312" w:hAnsi="宋体" w:eastAsia="仿宋_GB2312" w:cs="宋体"/>
                <w:color w:val="auto"/>
                <w:kern w:val="0"/>
                <w:sz w:val="13"/>
                <w:szCs w:val="13"/>
                <w:highlight w:val="none"/>
                <w:lang w:eastAsia="zh-CN"/>
              </w:rPr>
              <w:t>从轻情节</w:t>
            </w:r>
          </w:p>
        </w:tc>
        <w:tc>
          <w:tcPr>
            <w:tcW w:w="3437" w:type="dxa"/>
            <w:gridSpan w:val="2"/>
            <w:tcBorders>
              <w:tl2br w:val="nil"/>
              <w:tr2bl w:val="nil"/>
            </w:tcBorders>
            <w:tcMar>
              <w:top w:w="15" w:type="dxa"/>
              <w:left w:w="15" w:type="dxa"/>
              <w:bottom w:w="15" w:type="dxa"/>
              <w:right w:w="15" w:type="dxa"/>
            </w:tcMar>
            <w:vAlign w:val="center"/>
          </w:tcPr>
          <w:p w14:paraId="67D1268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初次违法，危害后果轻微，主动消除或减轻违法行为后果的。</w:t>
            </w:r>
          </w:p>
        </w:tc>
        <w:tc>
          <w:tcPr>
            <w:tcW w:w="3058" w:type="dxa"/>
            <w:tcBorders>
              <w:tl2br w:val="nil"/>
              <w:tr2bl w:val="nil"/>
            </w:tcBorders>
            <w:tcMar>
              <w:top w:w="15" w:type="dxa"/>
              <w:left w:w="15" w:type="dxa"/>
              <w:bottom w:w="15" w:type="dxa"/>
              <w:right w:w="15" w:type="dxa"/>
            </w:tcMar>
            <w:vAlign w:val="center"/>
          </w:tcPr>
          <w:p w14:paraId="642DA87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kern w:val="0"/>
                <w:sz w:val="13"/>
                <w:szCs w:val="13"/>
                <w:highlight w:val="none"/>
              </w:rPr>
            </w:pPr>
            <w:r>
              <w:rPr>
                <w:rFonts w:hint="eastAsia" w:ascii="仿宋_GB2312" w:hAnsi="宋体" w:eastAsia="仿宋_GB2312" w:cs="宋体"/>
                <w:color w:val="auto"/>
                <w:kern w:val="0"/>
                <w:sz w:val="13"/>
                <w:szCs w:val="13"/>
                <w:highlight w:val="none"/>
              </w:rPr>
              <w:t>责令限期改正，给予警告，对单位处1000元以下罚款，对个人处50元以下罚款。</w:t>
            </w:r>
          </w:p>
        </w:tc>
      </w:tr>
      <w:tr w14:paraId="58032F2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225" w:hRule="atLeast"/>
          <w:jc w:val="center"/>
        </w:trPr>
        <w:tc>
          <w:tcPr>
            <w:tcW w:w="428" w:type="dxa"/>
            <w:vMerge w:val="continue"/>
            <w:tcBorders>
              <w:tl2br w:val="nil"/>
              <w:tr2bl w:val="nil"/>
            </w:tcBorders>
            <w:vAlign w:val="center"/>
          </w:tcPr>
          <w:p w14:paraId="77A40DC4">
            <w:pPr>
              <w:pStyle w:val="37"/>
              <w:keepNext w:val="0"/>
              <w:keepLines w:val="0"/>
              <w:pageBreakBefore w:val="0"/>
              <w:widowControl/>
              <w:numPr>
                <w:ilvl w:val="0"/>
                <w:numId w:val="12"/>
              </w:numPr>
              <w:kinsoku/>
              <w:overflowPunct/>
              <w:topLinePunct w:val="0"/>
              <w:autoSpaceDE/>
              <w:autoSpaceDN/>
              <w:bidi w:val="0"/>
              <w:adjustRightInd/>
              <w:snapToGrid/>
              <w:spacing w:beforeAutospacing="0" w:afterAutospacing="0" w:line="260" w:lineRule="exact"/>
              <w:ind w:left="638" w:leftChars="88" w:right="0" w:rightChars="0" w:hanging="453" w:hangingChars="349"/>
              <w:jc w:val="center"/>
              <w:textAlignment w:val="center"/>
              <w:rPr>
                <w:rFonts w:ascii="仿宋_GB2312" w:hAnsi="宋体" w:eastAsia="仿宋_GB2312" w:cs="宋体"/>
                <w:color w:val="auto"/>
                <w:sz w:val="13"/>
                <w:szCs w:val="13"/>
                <w:highlight w:val="none"/>
              </w:rPr>
            </w:pPr>
          </w:p>
        </w:tc>
        <w:tc>
          <w:tcPr>
            <w:tcW w:w="1550" w:type="dxa"/>
            <w:vMerge w:val="continue"/>
            <w:tcBorders>
              <w:tl2br w:val="nil"/>
              <w:tr2bl w:val="nil"/>
            </w:tcBorders>
            <w:vAlign w:val="center"/>
          </w:tcPr>
          <w:p w14:paraId="45B8995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sz w:val="13"/>
                <w:szCs w:val="13"/>
                <w:highlight w:val="none"/>
              </w:rPr>
            </w:pPr>
          </w:p>
        </w:tc>
        <w:tc>
          <w:tcPr>
            <w:tcW w:w="4820" w:type="dxa"/>
            <w:vMerge w:val="continue"/>
            <w:tcBorders>
              <w:tl2br w:val="nil"/>
              <w:tr2bl w:val="nil"/>
            </w:tcBorders>
            <w:vAlign w:val="center"/>
          </w:tcPr>
          <w:p w14:paraId="4238EAC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65217B9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kern w:val="0"/>
                <w:sz w:val="13"/>
                <w:szCs w:val="13"/>
                <w:highlight w:val="none"/>
                <w:lang w:eastAsia="zh-CN"/>
              </w:rPr>
            </w:pPr>
            <w:r>
              <w:rPr>
                <w:rFonts w:hint="eastAsia" w:ascii="仿宋_GB2312" w:hAnsi="宋体" w:eastAsia="仿宋_GB2312" w:cs="宋体"/>
                <w:color w:val="auto"/>
                <w:kern w:val="0"/>
                <w:sz w:val="13"/>
                <w:szCs w:val="13"/>
                <w:highlight w:val="none"/>
                <w:lang w:eastAsia="zh-CN"/>
              </w:rPr>
              <w:t>一般情节</w:t>
            </w:r>
          </w:p>
        </w:tc>
        <w:tc>
          <w:tcPr>
            <w:tcW w:w="3437" w:type="dxa"/>
            <w:gridSpan w:val="2"/>
            <w:tcBorders>
              <w:tl2br w:val="nil"/>
              <w:tr2bl w:val="nil"/>
            </w:tcBorders>
            <w:tcMar>
              <w:top w:w="15" w:type="dxa"/>
              <w:left w:w="15" w:type="dxa"/>
              <w:bottom w:w="15" w:type="dxa"/>
              <w:right w:w="15" w:type="dxa"/>
            </w:tcMar>
            <w:vAlign w:val="center"/>
          </w:tcPr>
          <w:p w14:paraId="681DD09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不具有从轻、</w:t>
            </w:r>
            <w:r>
              <w:rPr>
                <w:rFonts w:hint="eastAsia" w:ascii="仿宋_GB2312" w:hAnsi="宋体" w:eastAsia="仿宋_GB2312" w:cs="宋体"/>
                <w:color w:val="auto"/>
                <w:kern w:val="0"/>
                <w:sz w:val="13"/>
                <w:szCs w:val="13"/>
                <w:highlight w:val="none"/>
                <w:lang w:eastAsia="zh-CN"/>
              </w:rPr>
              <w:t>从重情节</w:t>
            </w:r>
            <w:r>
              <w:rPr>
                <w:rFonts w:hint="eastAsia" w:ascii="仿宋_GB2312" w:hAnsi="宋体" w:eastAsia="仿宋_GB2312" w:cs="宋体"/>
                <w:color w:val="auto"/>
                <w:kern w:val="0"/>
                <w:sz w:val="13"/>
                <w:szCs w:val="13"/>
                <w:highlight w:val="none"/>
              </w:rPr>
              <w:t>的。</w:t>
            </w:r>
          </w:p>
        </w:tc>
        <w:tc>
          <w:tcPr>
            <w:tcW w:w="3058" w:type="dxa"/>
            <w:tcBorders>
              <w:tl2br w:val="nil"/>
              <w:tr2bl w:val="nil"/>
            </w:tcBorders>
            <w:tcMar>
              <w:top w:w="15" w:type="dxa"/>
              <w:left w:w="15" w:type="dxa"/>
              <w:bottom w:w="15" w:type="dxa"/>
              <w:right w:w="15" w:type="dxa"/>
            </w:tcMar>
            <w:vAlign w:val="center"/>
          </w:tcPr>
          <w:p w14:paraId="4D4B45D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kern w:val="0"/>
                <w:sz w:val="13"/>
                <w:szCs w:val="13"/>
                <w:highlight w:val="none"/>
              </w:rPr>
            </w:pPr>
            <w:r>
              <w:rPr>
                <w:rFonts w:hint="eastAsia" w:ascii="仿宋_GB2312" w:hAnsi="宋体" w:eastAsia="仿宋_GB2312" w:cs="宋体"/>
                <w:color w:val="auto"/>
                <w:kern w:val="0"/>
                <w:sz w:val="13"/>
                <w:szCs w:val="13"/>
                <w:highlight w:val="none"/>
              </w:rPr>
              <w:t>责令限期改正，给予警告，对单位处1000元以上2000元以下罚款，对个人处50元以上100元下罚款。</w:t>
            </w:r>
          </w:p>
        </w:tc>
      </w:tr>
      <w:tr w14:paraId="5339102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403" w:hRule="atLeast"/>
          <w:jc w:val="center"/>
        </w:trPr>
        <w:tc>
          <w:tcPr>
            <w:tcW w:w="428" w:type="dxa"/>
            <w:vMerge w:val="continue"/>
            <w:tcBorders>
              <w:tl2br w:val="nil"/>
              <w:tr2bl w:val="nil"/>
            </w:tcBorders>
            <w:vAlign w:val="center"/>
          </w:tcPr>
          <w:p w14:paraId="6F788E6F">
            <w:pPr>
              <w:pStyle w:val="37"/>
              <w:keepNext w:val="0"/>
              <w:keepLines w:val="0"/>
              <w:pageBreakBefore w:val="0"/>
              <w:widowControl/>
              <w:numPr>
                <w:ilvl w:val="0"/>
                <w:numId w:val="12"/>
              </w:numPr>
              <w:kinsoku/>
              <w:overflowPunct/>
              <w:topLinePunct w:val="0"/>
              <w:autoSpaceDE/>
              <w:autoSpaceDN/>
              <w:bidi w:val="0"/>
              <w:adjustRightInd/>
              <w:snapToGrid/>
              <w:spacing w:beforeAutospacing="0" w:afterAutospacing="0" w:line="260" w:lineRule="exact"/>
              <w:ind w:left="638" w:leftChars="88" w:right="0" w:rightChars="0" w:hanging="453" w:hangingChars="349"/>
              <w:jc w:val="center"/>
              <w:textAlignment w:val="center"/>
              <w:rPr>
                <w:rFonts w:ascii="仿宋_GB2312" w:hAnsi="宋体" w:eastAsia="仿宋_GB2312" w:cs="宋体"/>
                <w:color w:val="auto"/>
                <w:kern w:val="0"/>
                <w:sz w:val="13"/>
                <w:szCs w:val="13"/>
                <w:highlight w:val="none"/>
              </w:rPr>
            </w:pPr>
          </w:p>
        </w:tc>
        <w:tc>
          <w:tcPr>
            <w:tcW w:w="1550" w:type="dxa"/>
            <w:vMerge w:val="continue"/>
            <w:tcBorders>
              <w:tl2br w:val="nil"/>
              <w:tr2bl w:val="nil"/>
            </w:tcBorders>
            <w:vAlign w:val="center"/>
          </w:tcPr>
          <w:p w14:paraId="6546CB0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kern w:val="0"/>
                <w:sz w:val="13"/>
                <w:szCs w:val="13"/>
                <w:highlight w:val="none"/>
              </w:rPr>
            </w:pPr>
          </w:p>
        </w:tc>
        <w:tc>
          <w:tcPr>
            <w:tcW w:w="4820" w:type="dxa"/>
            <w:vMerge w:val="continue"/>
            <w:tcBorders>
              <w:tl2br w:val="nil"/>
              <w:tr2bl w:val="nil"/>
            </w:tcBorders>
            <w:vAlign w:val="center"/>
          </w:tcPr>
          <w:p w14:paraId="7DE8637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kern w:val="0"/>
                <w:sz w:val="13"/>
                <w:szCs w:val="13"/>
                <w:highlight w:val="none"/>
              </w:rPr>
            </w:pPr>
          </w:p>
        </w:tc>
        <w:tc>
          <w:tcPr>
            <w:tcW w:w="823" w:type="dxa"/>
            <w:tcBorders>
              <w:tl2br w:val="nil"/>
              <w:tr2bl w:val="nil"/>
            </w:tcBorders>
            <w:tcMar>
              <w:top w:w="15" w:type="dxa"/>
              <w:left w:w="15" w:type="dxa"/>
              <w:bottom w:w="15" w:type="dxa"/>
              <w:right w:w="15" w:type="dxa"/>
            </w:tcMar>
            <w:vAlign w:val="center"/>
          </w:tcPr>
          <w:p w14:paraId="75B2ACF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kern w:val="0"/>
                <w:sz w:val="13"/>
                <w:szCs w:val="13"/>
                <w:highlight w:val="none"/>
                <w:lang w:eastAsia="zh-CN"/>
              </w:rPr>
            </w:pPr>
            <w:r>
              <w:rPr>
                <w:rFonts w:hint="eastAsia" w:ascii="仿宋_GB2312" w:hAnsi="宋体" w:eastAsia="仿宋_GB2312" w:cs="宋体"/>
                <w:color w:val="auto"/>
                <w:kern w:val="0"/>
                <w:sz w:val="13"/>
                <w:szCs w:val="13"/>
                <w:highlight w:val="none"/>
                <w:lang w:eastAsia="zh-CN"/>
              </w:rPr>
              <w:t>从重情节</w:t>
            </w:r>
          </w:p>
        </w:tc>
        <w:tc>
          <w:tcPr>
            <w:tcW w:w="3437" w:type="dxa"/>
            <w:gridSpan w:val="2"/>
            <w:tcBorders>
              <w:tl2br w:val="nil"/>
              <w:tr2bl w:val="nil"/>
            </w:tcBorders>
            <w:tcMar>
              <w:top w:w="15" w:type="dxa"/>
              <w:left w:w="15" w:type="dxa"/>
              <w:bottom w:w="15" w:type="dxa"/>
              <w:right w:w="15" w:type="dxa"/>
            </w:tcMar>
            <w:vAlign w:val="center"/>
          </w:tcPr>
          <w:p w14:paraId="38DF224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经责令整改后，不采取整改措施的</w:t>
            </w:r>
            <w:r>
              <w:rPr>
                <w:rFonts w:hint="eastAsia" w:ascii="仿宋_GB2312" w:hAnsi="宋体" w:eastAsia="仿宋_GB2312" w:cs="宋体"/>
                <w:color w:val="auto"/>
                <w:kern w:val="0"/>
                <w:sz w:val="13"/>
                <w:szCs w:val="13"/>
                <w:highlight w:val="none"/>
                <w:lang w:eastAsia="zh-CN"/>
              </w:rPr>
              <w:t>，</w:t>
            </w:r>
            <w:r>
              <w:rPr>
                <w:rFonts w:hint="eastAsia" w:ascii="仿宋_GB2312" w:hAnsi="宋体" w:eastAsia="仿宋_GB2312" w:cs="宋体"/>
                <w:color w:val="auto"/>
                <w:kern w:val="0"/>
                <w:sz w:val="13"/>
                <w:szCs w:val="13"/>
                <w:highlight w:val="none"/>
                <w:lang w:val="en-US" w:eastAsia="zh-CN"/>
              </w:rPr>
              <w:t>或</w:t>
            </w:r>
            <w:r>
              <w:rPr>
                <w:rFonts w:hint="eastAsia" w:ascii="仿宋_GB2312" w:hAnsi="宋体" w:eastAsia="仿宋_GB2312" w:cs="宋体"/>
                <w:color w:val="auto"/>
                <w:kern w:val="0"/>
                <w:sz w:val="13"/>
                <w:szCs w:val="13"/>
                <w:highlight w:val="none"/>
              </w:rPr>
              <w:t>曾因实施该违法行为被查处，再次实施该违法行为的</w:t>
            </w:r>
            <w:r>
              <w:rPr>
                <w:rFonts w:hint="eastAsia" w:ascii="仿宋_GB2312" w:hAnsi="宋体" w:eastAsia="仿宋_GB2312" w:cs="宋体"/>
                <w:color w:val="auto"/>
                <w:kern w:val="0"/>
                <w:sz w:val="13"/>
                <w:szCs w:val="13"/>
                <w:highlight w:val="none"/>
                <w:lang w:eastAsia="zh-CN"/>
              </w:rPr>
              <w:t>，</w:t>
            </w:r>
            <w:r>
              <w:rPr>
                <w:rFonts w:hint="eastAsia" w:ascii="仿宋_GB2312" w:hAnsi="宋体" w:eastAsia="仿宋_GB2312" w:cs="宋体"/>
                <w:color w:val="auto"/>
                <w:kern w:val="0"/>
                <w:sz w:val="13"/>
                <w:szCs w:val="13"/>
                <w:highlight w:val="none"/>
                <w:lang w:val="en-US" w:eastAsia="zh-CN"/>
              </w:rPr>
              <w:t>或</w:t>
            </w:r>
            <w:r>
              <w:rPr>
                <w:rFonts w:hint="eastAsia" w:ascii="仿宋_GB2312" w:hAnsi="宋体" w:eastAsia="仿宋_GB2312" w:cs="宋体"/>
                <w:color w:val="auto"/>
                <w:kern w:val="0"/>
                <w:sz w:val="13"/>
                <w:szCs w:val="13"/>
                <w:highlight w:val="none"/>
              </w:rPr>
              <w:t>严重影响城市市容和环境卫生，造成严重危害后果或重大社会影响的。</w:t>
            </w:r>
          </w:p>
        </w:tc>
        <w:tc>
          <w:tcPr>
            <w:tcW w:w="3058" w:type="dxa"/>
            <w:tcBorders>
              <w:tl2br w:val="nil"/>
              <w:tr2bl w:val="nil"/>
            </w:tcBorders>
            <w:tcMar>
              <w:top w:w="15" w:type="dxa"/>
              <w:left w:w="15" w:type="dxa"/>
              <w:bottom w:w="15" w:type="dxa"/>
              <w:right w:w="15" w:type="dxa"/>
            </w:tcMar>
            <w:vAlign w:val="center"/>
          </w:tcPr>
          <w:p w14:paraId="6485906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kern w:val="0"/>
                <w:sz w:val="13"/>
                <w:szCs w:val="13"/>
                <w:highlight w:val="none"/>
              </w:rPr>
            </w:pPr>
            <w:r>
              <w:rPr>
                <w:rFonts w:hint="eastAsia" w:ascii="仿宋_GB2312" w:hAnsi="宋体" w:eastAsia="仿宋_GB2312" w:cs="宋体"/>
                <w:color w:val="auto"/>
                <w:kern w:val="0"/>
                <w:sz w:val="13"/>
                <w:szCs w:val="13"/>
                <w:highlight w:val="none"/>
              </w:rPr>
              <w:t>责令限期改正，给予警告，对单位处2000元以上3000元以下罚款，对个人处100元以上200元下罚款。</w:t>
            </w:r>
          </w:p>
        </w:tc>
      </w:tr>
      <w:tr w14:paraId="6397628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350" w:hRule="atLeast"/>
          <w:jc w:val="center"/>
        </w:trPr>
        <w:tc>
          <w:tcPr>
            <w:tcW w:w="428" w:type="dxa"/>
            <w:vMerge w:val="restart"/>
            <w:tcBorders>
              <w:tl2br w:val="nil"/>
              <w:tr2bl w:val="nil"/>
            </w:tcBorders>
            <w:vAlign w:val="center"/>
          </w:tcPr>
          <w:p w14:paraId="4E5A3871">
            <w:pPr>
              <w:keepNext w:val="0"/>
              <w:keepLines w:val="0"/>
              <w:pageBreakBefore w:val="0"/>
              <w:widowControl/>
              <w:numPr>
                <w:ilvl w:val="0"/>
                <w:numId w:val="11"/>
              </w:numPr>
              <w:suppressLineNumbers w:val="0"/>
              <w:tabs>
                <w:tab w:val="clear" w:pos="397"/>
              </w:tabs>
              <w:kinsoku/>
              <w:overflowPunct/>
              <w:topLinePunct w:val="0"/>
              <w:autoSpaceDE/>
              <w:autoSpaceDN/>
              <w:bidi w:val="0"/>
              <w:adjustRightInd/>
              <w:snapToGrid/>
              <w:spacing w:beforeAutospacing="0" w:afterAutospacing="0" w:line="260" w:lineRule="exact"/>
              <w:ind w:left="638" w:leftChars="88" w:right="0" w:rightChars="0" w:hanging="453" w:hangingChars="349"/>
              <w:jc w:val="center"/>
              <w:textAlignment w:val="center"/>
              <w:rPr>
                <w:rFonts w:hint="default" w:ascii="仿宋_GB2312" w:hAnsi="宋体" w:eastAsia="仿宋_GB2312" w:cs="宋体"/>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344</w:t>
            </w:r>
          </w:p>
        </w:tc>
        <w:tc>
          <w:tcPr>
            <w:tcW w:w="1550" w:type="dxa"/>
            <w:vMerge w:val="restart"/>
            <w:tcBorders>
              <w:tl2br w:val="nil"/>
              <w:tr2bl w:val="nil"/>
            </w:tcBorders>
            <w:vAlign w:val="center"/>
          </w:tcPr>
          <w:p w14:paraId="24AB1D9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擅自设立弃置场受纳建筑垃圾的</w:t>
            </w:r>
          </w:p>
        </w:tc>
        <w:tc>
          <w:tcPr>
            <w:tcW w:w="4820" w:type="dxa"/>
            <w:vMerge w:val="restart"/>
            <w:tcBorders>
              <w:tl2br w:val="nil"/>
              <w:tr2bl w:val="nil"/>
            </w:tcBorders>
            <w:vAlign w:val="center"/>
          </w:tcPr>
          <w:p w14:paraId="0F9C33B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kern w:val="0"/>
                <w:sz w:val="13"/>
                <w:szCs w:val="13"/>
                <w:highlight w:val="none"/>
              </w:rPr>
            </w:pPr>
            <w:r>
              <w:rPr>
                <w:rFonts w:hint="eastAsia" w:ascii="仿宋_GB2312" w:hAnsi="宋体" w:eastAsia="仿宋_GB2312" w:cs="宋体"/>
                <w:color w:val="auto"/>
                <w:kern w:val="0"/>
                <w:sz w:val="13"/>
                <w:szCs w:val="13"/>
                <w:highlight w:val="none"/>
              </w:rPr>
              <w:t>《城市建筑垃圾管理规定》</w:t>
            </w:r>
            <w:r>
              <w:rPr>
                <w:rFonts w:hint="eastAsia" w:ascii="仿宋_GB2312" w:hAnsi="宋体" w:eastAsia="仿宋_GB2312" w:cs="宋体"/>
                <w:b/>
                <w:bCs/>
                <w:color w:val="auto"/>
                <w:kern w:val="0"/>
                <w:sz w:val="13"/>
                <w:szCs w:val="13"/>
                <w:highlight w:val="none"/>
              </w:rPr>
              <w:t>第二十条</w:t>
            </w:r>
            <w:r>
              <w:rPr>
                <w:rFonts w:hint="eastAsia" w:ascii="仿宋_GB2312" w:hAnsi="宋体" w:eastAsia="仿宋_GB2312" w:cs="宋体"/>
                <w:b/>
                <w:bCs/>
                <w:color w:val="auto"/>
                <w:kern w:val="0"/>
                <w:sz w:val="13"/>
                <w:szCs w:val="13"/>
                <w:highlight w:val="none"/>
                <w:lang w:eastAsia="zh-CN"/>
              </w:rPr>
              <w:t>：</w:t>
            </w:r>
            <w:r>
              <w:rPr>
                <w:rFonts w:hint="eastAsia" w:ascii="仿宋_GB2312" w:hAnsi="宋体" w:eastAsia="仿宋_GB2312" w:cs="宋体"/>
                <w:color w:val="auto"/>
                <w:kern w:val="0"/>
                <w:sz w:val="13"/>
                <w:szCs w:val="13"/>
                <w:highlight w:val="none"/>
              </w:rPr>
              <w:t>任何单位和个人有下列情形之一的，由城市人民政府市容环境卫生主管部门责令限期改正，给予警告，处以罚款：（一）将建筑垃圾混入生活垃圾的；（二）将危险废物混入建筑垃圾的；（三）擅自设立弃置场受纳建筑垃圾的；</w:t>
            </w:r>
          </w:p>
          <w:p w14:paraId="2AA45C2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0" w:firstLineChars="2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单位有前款第一项、第二项行为之一的，处3000元以下罚款；有前款第三项行为的，处5000元以上1万元以下罚款。个人有前款第一项、第二项行为之一的，处200元以下罚款；有前款第三项行为的，处3000元以下罚款。</w:t>
            </w:r>
          </w:p>
        </w:tc>
        <w:tc>
          <w:tcPr>
            <w:tcW w:w="823" w:type="dxa"/>
            <w:tcBorders>
              <w:tl2br w:val="nil"/>
              <w:tr2bl w:val="nil"/>
            </w:tcBorders>
            <w:tcMar>
              <w:top w:w="15" w:type="dxa"/>
              <w:left w:w="15" w:type="dxa"/>
              <w:bottom w:w="15" w:type="dxa"/>
              <w:right w:w="15" w:type="dxa"/>
            </w:tcMar>
            <w:vAlign w:val="center"/>
          </w:tcPr>
          <w:p w14:paraId="64CFC25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kern w:val="0"/>
                <w:sz w:val="13"/>
                <w:szCs w:val="13"/>
                <w:highlight w:val="none"/>
                <w:lang w:eastAsia="zh-CN"/>
              </w:rPr>
            </w:pPr>
            <w:r>
              <w:rPr>
                <w:rFonts w:hint="eastAsia" w:ascii="仿宋_GB2312" w:hAnsi="宋体" w:eastAsia="仿宋_GB2312" w:cs="宋体"/>
                <w:color w:val="auto"/>
                <w:kern w:val="0"/>
                <w:sz w:val="13"/>
                <w:szCs w:val="13"/>
                <w:highlight w:val="none"/>
                <w:lang w:eastAsia="zh-CN"/>
              </w:rPr>
              <w:t>从轻情节</w:t>
            </w:r>
          </w:p>
        </w:tc>
        <w:tc>
          <w:tcPr>
            <w:tcW w:w="3437" w:type="dxa"/>
            <w:gridSpan w:val="2"/>
            <w:tcBorders>
              <w:tl2br w:val="nil"/>
              <w:tr2bl w:val="nil"/>
            </w:tcBorders>
            <w:tcMar>
              <w:top w:w="15" w:type="dxa"/>
              <w:left w:w="15" w:type="dxa"/>
              <w:bottom w:w="15" w:type="dxa"/>
              <w:right w:w="15" w:type="dxa"/>
            </w:tcMar>
            <w:vAlign w:val="center"/>
          </w:tcPr>
          <w:p w14:paraId="1CD5120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kern w:val="0"/>
                <w:sz w:val="13"/>
                <w:szCs w:val="13"/>
                <w:highlight w:val="none"/>
              </w:rPr>
            </w:pPr>
            <w:r>
              <w:rPr>
                <w:rFonts w:hint="eastAsia" w:ascii="仿宋_GB2312" w:hAnsi="宋体" w:eastAsia="仿宋_GB2312" w:cs="宋体"/>
                <w:color w:val="auto"/>
                <w:kern w:val="0"/>
                <w:sz w:val="13"/>
                <w:szCs w:val="13"/>
                <w:highlight w:val="none"/>
              </w:rPr>
              <w:t>受纳50立方米以下的。</w:t>
            </w:r>
          </w:p>
        </w:tc>
        <w:tc>
          <w:tcPr>
            <w:tcW w:w="3058" w:type="dxa"/>
            <w:tcBorders>
              <w:tl2br w:val="nil"/>
              <w:tr2bl w:val="nil"/>
            </w:tcBorders>
            <w:tcMar>
              <w:top w:w="15" w:type="dxa"/>
              <w:left w:w="15" w:type="dxa"/>
              <w:bottom w:w="15" w:type="dxa"/>
              <w:right w:w="15" w:type="dxa"/>
            </w:tcMar>
            <w:vAlign w:val="center"/>
          </w:tcPr>
          <w:p w14:paraId="1034BDB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kern w:val="0"/>
                <w:sz w:val="13"/>
                <w:szCs w:val="13"/>
                <w:highlight w:val="none"/>
              </w:rPr>
            </w:pPr>
            <w:r>
              <w:rPr>
                <w:rFonts w:hint="eastAsia" w:ascii="仿宋_GB2312" w:hAnsi="宋体" w:eastAsia="仿宋_GB2312" w:cs="宋体"/>
                <w:color w:val="auto"/>
                <w:kern w:val="0"/>
                <w:sz w:val="13"/>
                <w:szCs w:val="13"/>
                <w:highlight w:val="none"/>
              </w:rPr>
              <w:t>责令限期改正，给予警告，对单位处5000元罚款，对个人处1000元以下罚款。</w:t>
            </w:r>
          </w:p>
        </w:tc>
      </w:tr>
      <w:tr w14:paraId="17740B0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350" w:hRule="atLeast"/>
          <w:jc w:val="center"/>
        </w:trPr>
        <w:tc>
          <w:tcPr>
            <w:tcW w:w="428" w:type="dxa"/>
            <w:vMerge w:val="continue"/>
            <w:tcBorders>
              <w:tl2br w:val="nil"/>
              <w:tr2bl w:val="nil"/>
            </w:tcBorders>
            <w:vAlign w:val="center"/>
          </w:tcPr>
          <w:p w14:paraId="2B21DD91">
            <w:pPr>
              <w:pStyle w:val="37"/>
              <w:keepNext w:val="0"/>
              <w:keepLines w:val="0"/>
              <w:pageBreakBefore w:val="0"/>
              <w:widowControl/>
              <w:numPr>
                <w:ilvl w:val="0"/>
                <w:numId w:val="12"/>
              </w:numPr>
              <w:kinsoku/>
              <w:overflowPunct/>
              <w:topLinePunct w:val="0"/>
              <w:autoSpaceDE/>
              <w:autoSpaceDN/>
              <w:bidi w:val="0"/>
              <w:adjustRightInd/>
              <w:snapToGrid/>
              <w:spacing w:beforeAutospacing="0" w:afterAutospacing="0" w:line="260" w:lineRule="exact"/>
              <w:ind w:left="638" w:leftChars="88" w:right="0" w:rightChars="0" w:hanging="453" w:hangingChars="349"/>
              <w:jc w:val="center"/>
              <w:textAlignment w:val="center"/>
              <w:rPr>
                <w:rFonts w:ascii="仿宋_GB2312" w:hAnsi="宋体" w:eastAsia="仿宋_GB2312" w:cs="宋体"/>
                <w:color w:val="auto"/>
                <w:sz w:val="13"/>
                <w:szCs w:val="13"/>
                <w:highlight w:val="none"/>
              </w:rPr>
            </w:pPr>
          </w:p>
        </w:tc>
        <w:tc>
          <w:tcPr>
            <w:tcW w:w="1550" w:type="dxa"/>
            <w:vMerge w:val="continue"/>
            <w:tcBorders>
              <w:tl2br w:val="nil"/>
              <w:tr2bl w:val="nil"/>
            </w:tcBorders>
            <w:vAlign w:val="center"/>
          </w:tcPr>
          <w:p w14:paraId="6E72C01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sz w:val="13"/>
                <w:szCs w:val="13"/>
                <w:highlight w:val="none"/>
              </w:rPr>
            </w:pPr>
          </w:p>
        </w:tc>
        <w:tc>
          <w:tcPr>
            <w:tcW w:w="4820" w:type="dxa"/>
            <w:vMerge w:val="continue"/>
            <w:tcBorders>
              <w:tl2br w:val="nil"/>
              <w:tr2bl w:val="nil"/>
            </w:tcBorders>
            <w:vAlign w:val="center"/>
          </w:tcPr>
          <w:p w14:paraId="5EB152A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79AEFD2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kern w:val="0"/>
                <w:sz w:val="13"/>
                <w:szCs w:val="13"/>
                <w:highlight w:val="none"/>
                <w:lang w:eastAsia="zh-CN"/>
              </w:rPr>
            </w:pPr>
            <w:r>
              <w:rPr>
                <w:rFonts w:hint="eastAsia" w:ascii="仿宋_GB2312" w:hAnsi="宋体" w:eastAsia="仿宋_GB2312" w:cs="宋体"/>
                <w:color w:val="auto"/>
                <w:kern w:val="0"/>
                <w:sz w:val="13"/>
                <w:szCs w:val="13"/>
                <w:highlight w:val="none"/>
                <w:lang w:eastAsia="zh-CN"/>
              </w:rPr>
              <w:t>一般情节</w:t>
            </w:r>
          </w:p>
        </w:tc>
        <w:tc>
          <w:tcPr>
            <w:tcW w:w="3437" w:type="dxa"/>
            <w:gridSpan w:val="2"/>
            <w:tcBorders>
              <w:tl2br w:val="nil"/>
              <w:tr2bl w:val="nil"/>
            </w:tcBorders>
            <w:tcMar>
              <w:top w:w="15" w:type="dxa"/>
              <w:left w:w="15" w:type="dxa"/>
              <w:bottom w:w="15" w:type="dxa"/>
              <w:right w:w="15" w:type="dxa"/>
            </w:tcMar>
            <w:vAlign w:val="center"/>
          </w:tcPr>
          <w:p w14:paraId="31EFEE9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kern w:val="0"/>
                <w:sz w:val="13"/>
                <w:szCs w:val="13"/>
                <w:highlight w:val="none"/>
              </w:rPr>
            </w:pPr>
            <w:r>
              <w:rPr>
                <w:rFonts w:hint="eastAsia" w:ascii="仿宋_GB2312" w:hAnsi="宋体" w:eastAsia="仿宋_GB2312" w:cs="宋体"/>
                <w:color w:val="auto"/>
                <w:kern w:val="0"/>
                <w:sz w:val="13"/>
                <w:szCs w:val="13"/>
                <w:highlight w:val="none"/>
              </w:rPr>
              <w:t>受纳50立方米以上100立方米以下的。</w:t>
            </w:r>
          </w:p>
        </w:tc>
        <w:tc>
          <w:tcPr>
            <w:tcW w:w="3058" w:type="dxa"/>
            <w:tcBorders>
              <w:tl2br w:val="nil"/>
              <w:tr2bl w:val="nil"/>
            </w:tcBorders>
            <w:tcMar>
              <w:top w:w="15" w:type="dxa"/>
              <w:left w:w="15" w:type="dxa"/>
              <w:bottom w:w="15" w:type="dxa"/>
              <w:right w:w="15" w:type="dxa"/>
            </w:tcMar>
            <w:vAlign w:val="center"/>
          </w:tcPr>
          <w:p w14:paraId="608532D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kern w:val="0"/>
                <w:sz w:val="13"/>
                <w:szCs w:val="13"/>
                <w:highlight w:val="none"/>
              </w:rPr>
            </w:pPr>
            <w:r>
              <w:rPr>
                <w:rFonts w:hint="eastAsia" w:ascii="仿宋_GB2312" w:hAnsi="宋体" w:eastAsia="仿宋_GB2312" w:cs="宋体"/>
                <w:color w:val="auto"/>
                <w:kern w:val="0"/>
                <w:sz w:val="13"/>
                <w:szCs w:val="13"/>
                <w:highlight w:val="none"/>
              </w:rPr>
              <w:t>责令限期改正，给予警告，对单位处5000元以上7500元以下罚款，对个人处1000元以上2000元以下罚款。</w:t>
            </w:r>
          </w:p>
        </w:tc>
      </w:tr>
      <w:tr w14:paraId="150FEB2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350" w:hRule="atLeast"/>
          <w:jc w:val="center"/>
        </w:trPr>
        <w:tc>
          <w:tcPr>
            <w:tcW w:w="428" w:type="dxa"/>
            <w:vMerge w:val="continue"/>
            <w:tcBorders>
              <w:tl2br w:val="nil"/>
              <w:tr2bl w:val="nil"/>
            </w:tcBorders>
            <w:vAlign w:val="center"/>
          </w:tcPr>
          <w:p w14:paraId="6ADF6C5F">
            <w:pPr>
              <w:pStyle w:val="37"/>
              <w:keepNext w:val="0"/>
              <w:keepLines w:val="0"/>
              <w:pageBreakBefore w:val="0"/>
              <w:widowControl/>
              <w:numPr>
                <w:ilvl w:val="0"/>
                <w:numId w:val="12"/>
              </w:numPr>
              <w:kinsoku/>
              <w:overflowPunct/>
              <w:topLinePunct w:val="0"/>
              <w:autoSpaceDE/>
              <w:autoSpaceDN/>
              <w:bidi w:val="0"/>
              <w:adjustRightInd/>
              <w:snapToGrid/>
              <w:spacing w:beforeAutospacing="0" w:afterAutospacing="0" w:line="260" w:lineRule="exact"/>
              <w:ind w:left="638" w:leftChars="88" w:right="0" w:rightChars="0" w:hanging="453" w:hangingChars="349"/>
              <w:jc w:val="center"/>
              <w:textAlignment w:val="center"/>
              <w:rPr>
                <w:rFonts w:ascii="仿宋_GB2312" w:hAnsi="宋体" w:eastAsia="仿宋_GB2312" w:cs="宋体"/>
                <w:color w:val="auto"/>
                <w:kern w:val="0"/>
                <w:sz w:val="13"/>
                <w:szCs w:val="13"/>
                <w:highlight w:val="none"/>
              </w:rPr>
            </w:pPr>
          </w:p>
        </w:tc>
        <w:tc>
          <w:tcPr>
            <w:tcW w:w="1550" w:type="dxa"/>
            <w:vMerge w:val="continue"/>
            <w:tcBorders>
              <w:tl2br w:val="nil"/>
              <w:tr2bl w:val="nil"/>
            </w:tcBorders>
            <w:vAlign w:val="center"/>
          </w:tcPr>
          <w:p w14:paraId="6E5B779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kern w:val="0"/>
                <w:sz w:val="13"/>
                <w:szCs w:val="13"/>
                <w:highlight w:val="none"/>
              </w:rPr>
            </w:pPr>
          </w:p>
        </w:tc>
        <w:tc>
          <w:tcPr>
            <w:tcW w:w="4820" w:type="dxa"/>
            <w:vMerge w:val="continue"/>
            <w:tcBorders>
              <w:tl2br w:val="nil"/>
              <w:tr2bl w:val="nil"/>
            </w:tcBorders>
            <w:vAlign w:val="center"/>
          </w:tcPr>
          <w:p w14:paraId="114EE9F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kern w:val="0"/>
                <w:sz w:val="13"/>
                <w:szCs w:val="13"/>
                <w:highlight w:val="none"/>
              </w:rPr>
            </w:pPr>
          </w:p>
        </w:tc>
        <w:tc>
          <w:tcPr>
            <w:tcW w:w="823" w:type="dxa"/>
            <w:tcBorders>
              <w:tl2br w:val="nil"/>
              <w:tr2bl w:val="nil"/>
            </w:tcBorders>
            <w:tcMar>
              <w:top w:w="15" w:type="dxa"/>
              <w:left w:w="15" w:type="dxa"/>
              <w:bottom w:w="15" w:type="dxa"/>
              <w:right w:w="15" w:type="dxa"/>
            </w:tcMar>
            <w:vAlign w:val="center"/>
          </w:tcPr>
          <w:p w14:paraId="433E74A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kern w:val="0"/>
                <w:sz w:val="13"/>
                <w:szCs w:val="13"/>
                <w:highlight w:val="none"/>
                <w:lang w:eastAsia="zh-CN"/>
              </w:rPr>
            </w:pPr>
            <w:r>
              <w:rPr>
                <w:rFonts w:hint="eastAsia" w:ascii="仿宋_GB2312" w:hAnsi="宋体" w:eastAsia="仿宋_GB2312" w:cs="宋体"/>
                <w:color w:val="auto"/>
                <w:kern w:val="0"/>
                <w:sz w:val="13"/>
                <w:szCs w:val="13"/>
                <w:highlight w:val="none"/>
                <w:lang w:eastAsia="zh-CN"/>
              </w:rPr>
              <w:t>从重情节</w:t>
            </w:r>
          </w:p>
        </w:tc>
        <w:tc>
          <w:tcPr>
            <w:tcW w:w="3437" w:type="dxa"/>
            <w:gridSpan w:val="2"/>
            <w:tcBorders>
              <w:tl2br w:val="nil"/>
              <w:tr2bl w:val="nil"/>
            </w:tcBorders>
            <w:tcMar>
              <w:top w:w="15" w:type="dxa"/>
              <w:left w:w="15" w:type="dxa"/>
              <w:bottom w:w="15" w:type="dxa"/>
              <w:right w:w="15" w:type="dxa"/>
            </w:tcMar>
            <w:vAlign w:val="center"/>
          </w:tcPr>
          <w:p w14:paraId="1C065C3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kern w:val="0"/>
                <w:sz w:val="13"/>
                <w:szCs w:val="13"/>
                <w:highlight w:val="none"/>
              </w:rPr>
            </w:pPr>
            <w:r>
              <w:rPr>
                <w:rFonts w:hint="eastAsia" w:ascii="仿宋_GB2312" w:hAnsi="宋体" w:eastAsia="仿宋_GB2312" w:cs="宋体"/>
                <w:color w:val="auto"/>
                <w:kern w:val="0"/>
                <w:sz w:val="13"/>
                <w:szCs w:val="13"/>
                <w:highlight w:val="none"/>
              </w:rPr>
              <w:t>受纳100立方米以上的。</w:t>
            </w:r>
          </w:p>
        </w:tc>
        <w:tc>
          <w:tcPr>
            <w:tcW w:w="3058" w:type="dxa"/>
            <w:tcBorders>
              <w:tl2br w:val="nil"/>
              <w:tr2bl w:val="nil"/>
            </w:tcBorders>
            <w:tcMar>
              <w:top w:w="15" w:type="dxa"/>
              <w:left w:w="15" w:type="dxa"/>
              <w:bottom w:w="15" w:type="dxa"/>
              <w:right w:w="15" w:type="dxa"/>
            </w:tcMar>
            <w:vAlign w:val="center"/>
          </w:tcPr>
          <w:p w14:paraId="2941B89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kern w:val="0"/>
                <w:sz w:val="13"/>
                <w:szCs w:val="13"/>
                <w:highlight w:val="none"/>
              </w:rPr>
            </w:pPr>
            <w:r>
              <w:rPr>
                <w:rFonts w:hint="eastAsia" w:ascii="仿宋_GB2312" w:hAnsi="宋体" w:eastAsia="仿宋_GB2312" w:cs="宋体"/>
                <w:color w:val="auto"/>
                <w:kern w:val="0"/>
                <w:sz w:val="13"/>
                <w:szCs w:val="13"/>
                <w:highlight w:val="none"/>
              </w:rPr>
              <w:t>责令限期改正，给予警告，对单位处7500元以上1万元以下罚款，对个人处2000元以上3000元以下罚款。</w:t>
            </w:r>
          </w:p>
        </w:tc>
      </w:tr>
      <w:tr w14:paraId="73839F2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169" w:hRule="atLeast"/>
          <w:jc w:val="center"/>
        </w:trPr>
        <w:tc>
          <w:tcPr>
            <w:tcW w:w="428" w:type="dxa"/>
            <w:vMerge w:val="restart"/>
            <w:tcBorders>
              <w:tl2br w:val="nil"/>
              <w:tr2bl w:val="nil"/>
            </w:tcBorders>
            <w:tcMar>
              <w:top w:w="15" w:type="dxa"/>
              <w:left w:w="15" w:type="dxa"/>
              <w:bottom w:w="15" w:type="dxa"/>
              <w:right w:w="15" w:type="dxa"/>
            </w:tcMar>
            <w:vAlign w:val="center"/>
          </w:tcPr>
          <w:p w14:paraId="1E627283">
            <w:pPr>
              <w:keepNext w:val="0"/>
              <w:keepLines w:val="0"/>
              <w:pageBreakBefore w:val="0"/>
              <w:widowControl/>
              <w:numPr>
                <w:ilvl w:val="0"/>
                <w:numId w:val="11"/>
              </w:numPr>
              <w:suppressLineNumbers w:val="0"/>
              <w:tabs>
                <w:tab w:val="clear" w:pos="397"/>
              </w:tabs>
              <w:kinsoku/>
              <w:overflowPunct/>
              <w:topLinePunct w:val="0"/>
              <w:autoSpaceDE/>
              <w:autoSpaceDN/>
              <w:bidi w:val="0"/>
              <w:adjustRightInd/>
              <w:snapToGrid/>
              <w:spacing w:beforeAutospacing="0" w:afterAutospacing="0" w:line="260" w:lineRule="exact"/>
              <w:ind w:left="638" w:leftChars="88" w:right="0" w:rightChars="0" w:hanging="453" w:hangingChars="349"/>
              <w:jc w:val="center"/>
              <w:textAlignment w:val="center"/>
              <w:rPr>
                <w:rFonts w:hint="default" w:ascii="仿宋_GB2312" w:hAnsi="宋体" w:eastAsia="仿宋_GB2312" w:cs="宋体"/>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345</w:t>
            </w:r>
          </w:p>
        </w:tc>
        <w:tc>
          <w:tcPr>
            <w:tcW w:w="1550" w:type="dxa"/>
            <w:vMerge w:val="restart"/>
            <w:tcBorders>
              <w:tl2br w:val="nil"/>
              <w:tr2bl w:val="nil"/>
            </w:tcBorders>
            <w:tcMar>
              <w:top w:w="15" w:type="dxa"/>
              <w:left w:w="15" w:type="dxa"/>
              <w:bottom w:w="15" w:type="dxa"/>
              <w:right w:w="15" w:type="dxa"/>
            </w:tcMar>
            <w:vAlign w:val="center"/>
          </w:tcPr>
          <w:p w14:paraId="62BD1FC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建筑垃圾储运消纳场受纳工业垃圾、生活垃圾和有毒有害垃圾的</w:t>
            </w:r>
          </w:p>
        </w:tc>
        <w:tc>
          <w:tcPr>
            <w:tcW w:w="4820" w:type="dxa"/>
            <w:vMerge w:val="restart"/>
            <w:tcBorders>
              <w:tl2br w:val="nil"/>
              <w:tr2bl w:val="nil"/>
            </w:tcBorders>
            <w:tcMar>
              <w:top w:w="15" w:type="dxa"/>
              <w:left w:w="15" w:type="dxa"/>
              <w:bottom w:w="15" w:type="dxa"/>
              <w:right w:w="15" w:type="dxa"/>
            </w:tcMar>
            <w:vAlign w:val="center"/>
          </w:tcPr>
          <w:p w14:paraId="4F40CEB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《城市建筑垃圾管理规定》</w:t>
            </w:r>
            <w:r>
              <w:rPr>
                <w:rFonts w:hint="eastAsia" w:ascii="仿宋_GB2312" w:hAnsi="宋体" w:eastAsia="仿宋_GB2312" w:cs="宋体"/>
                <w:b/>
                <w:bCs/>
                <w:color w:val="auto"/>
                <w:kern w:val="0"/>
                <w:sz w:val="13"/>
                <w:szCs w:val="13"/>
                <w:highlight w:val="none"/>
              </w:rPr>
              <w:t>第二十一条</w:t>
            </w:r>
            <w:r>
              <w:rPr>
                <w:rFonts w:hint="eastAsia" w:ascii="仿宋_GB2312" w:hAnsi="宋体" w:eastAsia="仿宋_GB2312" w:cs="宋体"/>
                <w:b/>
                <w:bCs/>
                <w:color w:val="auto"/>
                <w:kern w:val="0"/>
                <w:sz w:val="13"/>
                <w:szCs w:val="13"/>
                <w:highlight w:val="none"/>
                <w:lang w:eastAsia="zh-CN"/>
              </w:rPr>
              <w:t>：</w:t>
            </w:r>
            <w:r>
              <w:rPr>
                <w:rFonts w:hint="eastAsia" w:ascii="仿宋_GB2312" w:hAnsi="宋体" w:eastAsia="仿宋_GB2312" w:cs="宋体"/>
                <w:color w:val="auto"/>
                <w:kern w:val="0"/>
                <w:sz w:val="13"/>
                <w:szCs w:val="13"/>
                <w:highlight w:val="none"/>
              </w:rPr>
              <w:t>建筑垃圾储运消纳场受纳工业垃圾、生活垃圾和有毒有害垃圾的，由城市人民政府市容环境卫生主管部门责令限期改正，给予警告，处5000元以上1万元以下罚款。</w:t>
            </w:r>
          </w:p>
        </w:tc>
        <w:tc>
          <w:tcPr>
            <w:tcW w:w="823" w:type="dxa"/>
            <w:tcBorders>
              <w:tl2br w:val="nil"/>
              <w:tr2bl w:val="nil"/>
            </w:tcBorders>
            <w:tcMar>
              <w:top w:w="15" w:type="dxa"/>
              <w:left w:w="15" w:type="dxa"/>
              <w:bottom w:w="15" w:type="dxa"/>
              <w:right w:w="15" w:type="dxa"/>
            </w:tcMar>
            <w:vAlign w:val="center"/>
          </w:tcPr>
          <w:p w14:paraId="0308749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从轻情节</w:t>
            </w:r>
          </w:p>
        </w:tc>
        <w:tc>
          <w:tcPr>
            <w:tcW w:w="3437" w:type="dxa"/>
            <w:gridSpan w:val="2"/>
            <w:tcBorders>
              <w:tl2br w:val="nil"/>
              <w:tr2bl w:val="nil"/>
            </w:tcBorders>
            <w:tcMar>
              <w:top w:w="15" w:type="dxa"/>
              <w:left w:w="15" w:type="dxa"/>
              <w:bottom w:w="15" w:type="dxa"/>
              <w:right w:w="15" w:type="dxa"/>
            </w:tcMar>
            <w:vAlign w:val="center"/>
          </w:tcPr>
          <w:p w14:paraId="3098702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初次违法，危害后果轻微，主动消除或减轻违法行为后果的。</w:t>
            </w:r>
          </w:p>
        </w:tc>
        <w:tc>
          <w:tcPr>
            <w:tcW w:w="3058" w:type="dxa"/>
            <w:tcBorders>
              <w:tl2br w:val="nil"/>
              <w:tr2bl w:val="nil"/>
            </w:tcBorders>
            <w:tcMar>
              <w:top w:w="15" w:type="dxa"/>
              <w:left w:w="15" w:type="dxa"/>
              <w:bottom w:w="15" w:type="dxa"/>
              <w:right w:w="15" w:type="dxa"/>
            </w:tcMar>
            <w:vAlign w:val="center"/>
          </w:tcPr>
          <w:p w14:paraId="734835D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责令限期改正，给予警告，处5千元罚款。</w:t>
            </w:r>
          </w:p>
        </w:tc>
      </w:tr>
      <w:tr w14:paraId="60C91A8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169" w:hRule="atLeast"/>
          <w:jc w:val="center"/>
        </w:trPr>
        <w:tc>
          <w:tcPr>
            <w:tcW w:w="428" w:type="dxa"/>
            <w:vMerge w:val="continue"/>
            <w:tcBorders>
              <w:tl2br w:val="nil"/>
              <w:tr2bl w:val="nil"/>
            </w:tcBorders>
            <w:vAlign w:val="center"/>
          </w:tcPr>
          <w:p w14:paraId="07209DA0">
            <w:pPr>
              <w:pStyle w:val="37"/>
              <w:keepNext w:val="0"/>
              <w:keepLines w:val="0"/>
              <w:pageBreakBefore w:val="0"/>
              <w:widowControl/>
              <w:numPr>
                <w:ilvl w:val="0"/>
                <w:numId w:val="12"/>
              </w:numPr>
              <w:kinsoku/>
              <w:overflowPunct/>
              <w:topLinePunct w:val="0"/>
              <w:autoSpaceDE/>
              <w:autoSpaceDN/>
              <w:bidi w:val="0"/>
              <w:adjustRightInd/>
              <w:snapToGrid/>
              <w:spacing w:beforeAutospacing="0" w:afterAutospacing="0" w:line="260" w:lineRule="exact"/>
              <w:ind w:left="638" w:leftChars="88" w:right="0" w:rightChars="0" w:hanging="453" w:hangingChars="349"/>
              <w:jc w:val="center"/>
              <w:rPr>
                <w:rFonts w:ascii="仿宋_GB2312" w:hAnsi="宋体" w:eastAsia="仿宋_GB2312" w:cs="宋体"/>
                <w:color w:val="auto"/>
                <w:sz w:val="13"/>
                <w:szCs w:val="13"/>
                <w:highlight w:val="none"/>
              </w:rPr>
            </w:pPr>
          </w:p>
        </w:tc>
        <w:tc>
          <w:tcPr>
            <w:tcW w:w="1550" w:type="dxa"/>
            <w:vMerge w:val="continue"/>
            <w:tcBorders>
              <w:tl2br w:val="nil"/>
              <w:tr2bl w:val="nil"/>
            </w:tcBorders>
            <w:vAlign w:val="center"/>
          </w:tcPr>
          <w:p w14:paraId="349302F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sz w:val="13"/>
                <w:szCs w:val="13"/>
                <w:highlight w:val="none"/>
              </w:rPr>
            </w:pPr>
          </w:p>
        </w:tc>
        <w:tc>
          <w:tcPr>
            <w:tcW w:w="4820" w:type="dxa"/>
            <w:vMerge w:val="continue"/>
            <w:tcBorders>
              <w:tl2br w:val="nil"/>
              <w:tr2bl w:val="nil"/>
            </w:tcBorders>
            <w:vAlign w:val="center"/>
          </w:tcPr>
          <w:p w14:paraId="4395061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07EC59A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一般情节</w:t>
            </w:r>
          </w:p>
        </w:tc>
        <w:tc>
          <w:tcPr>
            <w:tcW w:w="3437" w:type="dxa"/>
            <w:gridSpan w:val="2"/>
            <w:tcBorders>
              <w:tl2br w:val="nil"/>
              <w:tr2bl w:val="nil"/>
            </w:tcBorders>
            <w:tcMar>
              <w:top w:w="15" w:type="dxa"/>
              <w:left w:w="15" w:type="dxa"/>
              <w:bottom w:w="15" w:type="dxa"/>
              <w:right w:w="15" w:type="dxa"/>
            </w:tcMar>
            <w:vAlign w:val="center"/>
          </w:tcPr>
          <w:p w14:paraId="074DCF0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不具有从轻、</w:t>
            </w:r>
            <w:r>
              <w:rPr>
                <w:rFonts w:hint="eastAsia" w:ascii="仿宋_GB2312" w:hAnsi="宋体" w:eastAsia="仿宋_GB2312" w:cs="宋体"/>
                <w:color w:val="auto"/>
                <w:kern w:val="0"/>
                <w:sz w:val="13"/>
                <w:szCs w:val="13"/>
                <w:highlight w:val="none"/>
                <w:lang w:eastAsia="zh-CN"/>
              </w:rPr>
              <w:t>从重情节</w:t>
            </w:r>
            <w:r>
              <w:rPr>
                <w:rFonts w:hint="eastAsia" w:ascii="仿宋_GB2312" w:hAnsi="宋体" w:eastAsia="仿宋_GB2312" w:cs="宋体"/>
                <w:color w:val="auto"/>
                <w:kern w:val="0"/>
                <w:sz w:val="13"/>
                <w:szCs w:val="13"/>
                <w:highlight w:val="none"/>
              </w:rPr>
              <w:t>的。</w:t>
            </w:r>
          </w:p>
        </w:tc>
        <w:tc>
          <w:tcPr>
            <w:tcW w:w="3058" w:type="dxa"/>
            <w:tcBorders>
              <w:tl2br w:val="nil"/>
              <w:tr2bl w:val="nil"/>
            </w:tcBorders>
            <w:tcMar>
              <w:top w:w="15" w:type="dxa"/>
              <w:left w:w="15" w:type="dxa"/>
              <w:bottom w:w="15" w:type="dxa"/>
              <w:right w:w="15" w:type="dxa"/>
            </w:tcMar>
            <w:vAlign w:val="center"/>
          </w:tcPr>
          <w:p w14:paraId="1316141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责令限期改正，给予警告，处5千元以上7500元以下罚款。</w:t>
            </w:r>
          </w:p>
        </w:tc>
      </w:tr>
      <w:tr w14:paraId="5E2A0F0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1295" w:hRule="atLeast"/>
          <w:jc w:val="center"/>
        </w:trPr>
        <w:tc>
          <w:tcPr>
            <w:tcW w:w="428" w:type="dxa"/>
            <w:vMerge w:val="continue"/>
            <w:tcBorders>
              <w:tl2br w:val="nil"/>
              <w:tr2bl w:val="nil"/>
            </w:tcBorders>
            <w:vAlign w:val="center"/>
          </w:tcPr>
          <w:p w14:paraId="44D9E701">
            <w:pPr>
              <w:pStyle w:val="37"/>
              <w:keepNext w:val="0"/>
              <w:keepLines w:val="0"/>
              <w:pageBreakBefore w:val="0"/>
              <w:widowControl/>
              <w:numPr>
                <w:ilvl w:val="0"/>
                <w:numId w:val="12"/>
              </w:numPr>
              <w:kinsoku/>
              <w:overflowPunct/>
              <w:topLinePunct w:val="0"/>
              <w:autoSpaceDE/>
              <w:autoSpaceDN/>
              <w:bidi w:val="0"/>
              <w:adjustRightInd/>
              <w:snapToGrid/>
              <w:spacing w:beforeAutospacing="0" w:afterAutospacing="0" w:line="260" w:lineRule="exact"/>
              <w:ind w:left="638" w:leftChars="88" w:right="0" w:rightChars="0" w:hanging="453" w:hangingChars="349"/>
              <w:jc w:val="center"/>
              <w:rPr>
                <w:rFonts w:ascii="仿宋_GB2312" w:hAnsi="宋体" w:eastAsia="仿宋_GB2312" w:cs="宋体"/>
                <w:color w:val="auto"/>
                <w:sz w:val="13"/>
                <w:szCs w:val="13"/>
                <w:highlight w:val="none"/>
              </w:rPr>
            </w:pPr>
          </w:p>
        </w:tc>
        <w:tc>
          <w:tcPr>
            <w:tcW w:w="1550" w:type="dxa"/>
            <w:vMerge w:val="continue"/>
            <w:tcBorders>
              <w:tl2br w:val="nil"/>
              <w:tr2bl w:val="nil"/>
            </w:tcBorders>
            <w:vAlign w:val="center"/>
          </w:tcPr>
          <w:p w14:paraId="5B24E9A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sz w:val="13"/>
                <w:szCs w:val="13"/>
                <w:highlight w:val="none"/>
              </w:rPr>
            </w:pPr>
          </w:p>
        </w:tc>
        <w:tc>
          <w:tcPr>
            <w:tcW w:w="4820" w:type="dxa"/>
            <w:vMerge w:val="continue"/>
            <w:tcBorders>
              <w:tl2br w:val="nil"/>
              <w:tr2bl w:val="nil"/>
            </w:tcBorders>
            <w:vAlign w:val="center"/>
          </w:tcPr>
          <w:p w14:paraId="638AF78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4F996CE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从重情节</w:t>
            </w:r>
          </w:p>
        </w:tc>
        <w:tc>
          <w:tcPr>
            <w:tcW w:w="3437" w:type="dxa"/>
            <w:gridSpan w:val="2"/>
            <w:tcBorders>
              <w:tl2br w:val="nil"/>
              <w:tr2bl w:val="nil"/>
            </w:tcBorders>
            <w:tcMar>
              <w:top w:w="15" w:type="dxa"/>
              <w:left w:w="15" w:type="dxa"/>
              <w:bottom w:w="15" w:type="dxa"/>
              <w:right w:w="15" w:type="dxa"/>
            </w:tcMar>
            <w:vAlign w:val="center"/>
          </w:tcPr>
          <w:p w14:paraId="175971A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经责令整改后，不采取整改措施的</w:t>
            </w:r>
            <w:r>
              <w:rPr>
                <w:rFonts w:hint="eastAsia" w:ascii="仿宋_GB2312" w:hAnsi="宋体" w:eastAsia="仿宋_GB2312" w:cs="宋体"/>
                <w:color w:val="auto"/>
                <w:kern w:val="0"/>
                <w:sz w:val="13"/>
                <w:szCs w:val="13"/>
                <w:highlight w:val="none"/>
                <w:lang w:eastAsia="zh-CN"/>
              </w:rPr>
              <w:t>，</w:t>
            </w:r>
            <w:r>
              <w:rPr>
                <w:rFonts w:hint="eastAsia" w:ascii="仿宋_GB2312" w:hAnsi="宋体" w:eastAsia="仿宋_GB2312" w:cs="宋体"/>
                <w:color w:val="auto"/>
                <w:kern w:val="0"/>
                <w:sz w:val="13"/>
                <w:szCs w:val="13"/>
                <w:highlight w:val="none"/>
                <w:lang w:val="en-US" w:eastAsia="zh-CN"/>
              </w:rPr>
              <w:t>或</w:t>
            </w:r>
            <w:r>
              <w:rPr>
                <w:rFonts w:hint="eastAsia" w:ascii="仿宋_GB2312" w:hAnsi="宋体" w:eastAsia="仿宋_GB2312" w:cs="宋体"/>
                <w:color w:val="auto"/>
                <w:kern w:val="0"/>
                <w:sz w:val="13"/>
                <w:szCs w:val="13"/>
                <w:highlight w:val="none"/>
              </w:rPr>
              <w:t>曾因实施该违法行为被查处，再次实施该违法行为的</w:t>
            </w:r>
            <w:r>
              <w:rPr>
                <w:rFonts w:hint="eastAsia" w:ascii="仿宋_GB2312" w:hAnsi="宋体" w:eastAsia="仿宋_GB2312" w:cs="宋体"/>
                <w:color w:val="auto"/>
                <w:kern w:val="0"/>
                <w:sz w:val="13"/>
                <w:szCs w:val="13"/>
                <w:highlight w:val="none"/>
                <w:lang w:eastAsia="zh-CN"/>
              </w:rPr>
              <w:t>，</w:t>
            </w:r>
            <w:r>
              <w:rPr>
                <w:rFonts w:hint="eastAsia" w:ascii="仿宋_GB2312" w:hAnsi="宋体" w:eastAsia="仿宋_GB2312" w:cs="宋体"/>
                <w:color w:val="auto"/>
                <w:kern w:val="0"/>
                <w:sz w:val="13"/>
                <w:szCs w:val="13"/>
                <w:highlight w:val="none"/>
                <w:lang w:val="en-US" w:eastAsia="zh-CN"/>
              </w:rPr>
              <w:t>或</w:t>
            </w:r>
            <w:r>
              <w:rPr>
                <w:rFonts w:hint="eastAsia" w:ascii="仿宋_GB2312" w:hAnsi="宋体" w:eastAsia="仿宋_GB2312" w:cs="宋体"/>
                <w:color w:val="auto"/>
                <w:kern w:val="0"/>
                <w:sz w:val="13"/>
                <w:szCs w:val="13"/>
                <w:highlight w:val="none"/>
              </w:rPr>
              <w:t>严重影响城市市容和环境卫生，造成严重危害后果或重大社会影响的。</w:t>
            </w:r>
          </w:p>
        </w:tc>
        <w:tc>
          <w:tcPr>
            <w:tcW w:w="3058" w:type="dxa"/>
            <w:tcBorders>
              <w:tl2br w:val="nil"/>
              <w:tr2bl w:val="nil"/>
            </w:tcBorders>
            <w:tcMar>
              <w:top w:w="15" w:type="dxa"/>
              <w:left w:w="15" w:type="dxa"/>
              <w:bottom w:w="15" w:type="dxa"/>
              <w:right w:w="15" w:type="dxa"/>
            </w:tcMar>
            <w:vAlign w:val="center"/>
          </w:tcPr>
          <w:p w14:paraId="23D529F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责令限期改正，给予警告，处7500元以上1万元以下罚款。</w:t>
            </w:r>
          </w:p>
        </w:tc>
      </w:tr>
      <w:tr w14:paraId="0B89411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169" w:hRule="atLeast"/>
          <w:jc w:val="center"/>
        </w:trPr>
        <w:tc>
          <w:tcPr>
            <w:tcW w:w="428" w:type="dxa"/>
            <w:vMerge w:val="restart"/>
            <w:tcBorders>
              <w:tl2br w:val="nil"/>
              <w:tr2bl w:val="nil"/>
            </w:tcBorders>
            <w:vAlign w:val="center"/>
          </w:tcPr>
          <w:p w14:paraId="24E44BE5">
            <w:pPr>
              <w:keepNext w:val="0"/>
              <w:keepLines w:val="0"/>
              <w:pageBreakBefore w:val="0"/>
              <w:widowControl/>
              <w:numPr>
                <w:ilvl w:val="0"/>
                <w:numId w:val="11"/>
              </w:numPr>
              <w:suppressLineNumbers w:val="0"/>
              <w:tabs>
                <w:tab w:val="clear" w:pos="397"/>
              </w:tabs>
              <w:kinsoku/>
              <w:overflowPunct/>
              <w:topLinePunct w:val="0"/>
              <w:autoSpaceDE/>
              <w:autoSpaceDN/>
              <w:bidi w:val="0"/>
              <w:adjustRightInd/>
              <w:snapToGrid/>
              <w:spacing w:beforeAutospacing="0" w:afterAutospacing="0" w:line="260" w:lineRule="exact"/>
              <w:ind w:left="638" w:leftChars="88" w:right="0" w:rightChars="0" w:hanging="453" w:hangingChars="349"/>
              <w:jc w:val="center"/>
              <w:textAlignment w:val="center"/>
              <w:rPr>
                <w:rFonts w:hint="default" w:ascii="仿宋_GB2312" w:hAnsi="宋体" w:eastAsia="仿宋_GB2312" w:cs="仿宋_GB2312"/>
                <w:i w:val="0"/>
                <w:color w:val="auto"/>
                <w:kern w:val="0"/>
                <w:sz w:val="13"/>
                <w:szCs w:val="13"/>
                <w:highlight w:val="none"/>
                <w:u w:val="none"/>
                <w:lang w:val="en-US" w:eastAsia="zh-CN" w:bidi="ar"/>
              </w:rPr>
            </w:pPr>
            <w:r>
              <w:rPr>
                <w:rFonts w:hint="eastAsia" w:ascii="仿宋_GB2312" w:hAnsi="宋体" w:eastAsia="仿宋_GB2312" w:cs="仿宋_GB2312"/>
                <w:i w:val="0"/>
                <w:color w:val="auto"/>
                <w:kern w:val="0"/>
                <w:sz w:val="13"/>
                <w:szCs w:val="13"/>
                <w:highlight w:val="none"/>
                <w:u w:val="none"/>
                <w:lang w:val="en-US" w:eastAsia="zh-CN" w:bidi="ar"/>
              </w:rPr>
              <w:t>346</w:t>
            </w:r>
          </w:p>
        </w:tc>
        <w:tc>
          <w:tcPr>
            <w:tcW w:w="1550" w:type="dxa"/>
            <w:vMerge w:val="restart"/>
            <w:tcBorders>
              <w:tl2br w:val="nil"/>
              <w:tr2bl w:val="nil"/>
            </w:tcBorders>
            <w:vAlign w:val="center"/>
          </w:tcPr>
          <w:p w14:paraId="006FAB6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hint="eastAsia" w:ascii="仿宋_GB2312" w:hAnsi="宋体" w:eastAsia="仿宋_GB2312" w:cs="宋体"/>
                <w:color w:val="auto"/>
                <w:kern w:val="0"/>
                <w:sz w:val="13"/>
                <w:szCs w:val="13"/>
                <w:highlight w:val="none"/>
              </w:rPr>
            </w:pPr>
            <w:r>
              <w:rPr>
                <w:rFonts w:hint="eastAsia" w:ascii="仿宋_GB2312" w:hAnsi="宋体" w:eastAsia="仿宋_GB2312" w:cs="宋体"/>
                <w:color w:val="auto"/>
                <w:kern w:val="0"/>
                <w:sz w:val="13"/>
                <w:szCs w:val="13"/>
                <w:highlight w:val="none"/>
              </w:rPr>
              <w:t>施工单位未及时清运工程施工过程中产生的建筑垃圾，造成环境污染的</w:t>
            </w:r>
          </w:p>
        </w:tc>
        <w:tc>
          <w:tcPr>
            <w:tcW w:w="4820" w:type="dxa"/>
            <w:vMerge w:val="restart"/>
            <w:tcBorders>
              <w:tl2br w:val="nil"/>
              <w:tr2bl w:val="nil"/>
            </w:tcBorders>
            <w:tcMar>
              <w:top w:w="15" w:type="dxa"/>
              <w:left w:w="15" w:type="dxa"/>
              <w:bottom w:w="15" w:type="dxa"/>
              <w:right w:w="15" w:type="dxa"/>
            </w:tcMar>
            <w:vAlign w:val="center"/>
          </w:tcPr>
          <w:p w14:paraId="1004404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hint="eastAsia" w:ascii="仿宋_GB2312" w:hAnsi="宋体" w:eastAsia="仿宋_GB2312" w:cs="宋体"/>
                <w:b/>
                <w:bCs/>
                <w:color w:val="auto"/>
                <w:kern w:val="0"/>
                <w:sz w:val="13"/>
                <w:szCs w:val="13"/>
                <w:highlight w:val="none"/>
                <w:lang w:eastAsia="zh-CN"/>
              </w:rPr>
            </w:pPr>
            <w:r>
              <w:rPr>
                <w:rFonts w:hint="eastAsia" w:ascii="仿宋_GB2312" w:hAnsi="宋体" w:eastAsia="仿宋_GB2312" w:cs="宋体"/>
                <w:color w:val="auto"/>
                <w:kern w:val="0"/>
                <w:sz w:val="13"/>
                <w:szCs w:val="13"/>
                <w:highlight w:val="none"/>
              </w:rPr>
              <w:t>《城市建筑垃圾管理规定》</w:t>
            </w:r>
            <w:r>
              <w:rPr>
                <w:rFonts w:hint="eastAsia" w:ascii="仿宋_GB2312" w:hAnsi="宋体" w:eastAsia="仿宋_GB2312" w:cs="宋体"/>
                <w:b/>
                <w:bCs/>
                <w:color w:val="auto"/>
                <w:kern w:val="0"/>
                <w:sz w:val="13"/>
                <w:szCs w:val="13"/>
                <w:highlight w:val="none"/>
              </w:rPr>
              <w:t>第二十二条</w:t>
            </w:r>
            <w:r>
              <w:rPr>
                <w:rFonts w:hint="eastAsia" w:ascii="仿宋_GB2312" w:hAnsi="宋体" w:eastAsia="仿宋_GB2312" w:cs="宋体"/>
                <w:b/>
                <w:bCs/>
                <w:color w:val="auto"/>
                <w:kern w:val="0"/>
                <w:sz w:val="13"/>
                <w:szCs w:val="13"/>
                <w:highlight w:val="none"/>
                <w:lang w:val="en-US" w:eastAsia="zh-CN"/>
              </w:rPr>
              <w:t>第一款</w:t>
            </w:r>
            <w:r>
              <w:rPr>
                <w:rFonts w:hint="eastAsia" w:ascii="仿宋_GB2312" w:hAnsi="宋体" w:eastAsia="仿宋_GB2312" w:cs="宋体"/>
                <w:b/>
                <w:bCs/>
                <w:color w:val="auto"/>
                <w:kern w:val="0"/>
                <w:sz w:val="13"/>
                <w:szCs w:val="13"/>
                <w:highlight w:val="none"/>
                <w:lang w:eastAsia="zh-CN"/>
              </w:rPr>
              <w:t>：</w:t>
            </w:r>
          </w:p>
          <w:p w14:paraId="4F0FF72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kern w:val="0"/>
                <w:sz w:val="13"/>
                <w:szCs w:val="13"/>
                <w:highlight w:val="none"/>
              </w:rPr>
            </w:pPr>
            <w:r>
              <w:rPr>
                <w:rFonts w:hint="eastAsia" w:ascii="仿宋_GB2312" w:hAnsi="宋体" w:eastAsia="仿宋_GB2312" w:cs="宋体"/>
                <w:color w:val="auto"/>
                <w:kern w:val="0"/>
                <w:sz w:val="13"/>
                <w:szCs w:val="13"/>
                <w:highlight w:val="none"/>
              </w:rPr>
              <w:t>施工单位未及时清运工程施工过程中产生的建筑垃圾，造成环境污染的，由城市人民政府市容环境卫生主管部门责令限期改正，给予警告，处5000元以上5万元以下罚款。</w:t>
            </w:r>
          </w:p>
          <w:p w14:paraId="02B0E33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0" w:firstLineChars="200"/>
              <w:rPr>
                <w:rFonts w:hint="eastAsia" w:ascii="仿宋_GB2312" w:hAnsi="宋体" w:eastAsia="仿宋_GB2312" w:cs="宋体"/>
                <w:color w:val="auto"/>
                <w:kern w:val="0"/>
                <w:sz w:val="13"/>
                <w:szCs w:val="13"/>
                <w:highlight w:val="none"/>
              </w:rPr>
            </w:pPr>
          </w:p>
        </w:tc>
        <w:tc>
          <w:tcPr>
            <w:tcW w:w="823" w:type="dxa"/>
            <w:tcBorders>
              <w:tl2br w:val="nil"/>
              <w:tr2bl w:val="nil"/>
            </w:tcBorders>
            <w:tcMar>
              <w:top w:w="15" w:type="dxa"/>
              <w:left w:w="15" w:type="dxa"/>
              <w:bottom w:w="15" w:type="dxa"/>
              <w:right w:w="15" w:type="dxa"/>
            </w:tcMar>
            <w:vAlign w:val="center"/>
          </w:tcPr>
          <w:p w14:paraId="78B01AE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kern w:val="2"/>
                <w:sz w:val="13"/>
                <w:szCs w:val="13"/>
                <w:highlight w:val="none"/>
                <w:lang w:val="en-US" w:eastAsia="zh-CN" w:bidi="ar-SA"/>
              </w:rPr>
            </w:pPr>
            <w:r>
              <w:rPr>
                <w:rFonts w:hint="eastAsia" w:ascii="仿宋_GB2312" w:hAnsi="宋体" w:eastAsia="仿宋_GB2312" w:cs="宋体"/>
                <w:color w:val="auto"/>
                <w:kern w:val="0"/>
                <w:sz w:val="13"/>
                <w:szCs w:val="13"/>
                <w:highlight w:val="none"/>
                <w:lang w:eastAsia="zh-CN"/>
              </w:rPr>
              <w:t>从轻情节</w:t>
            </w:r>
          </w:p>
        </w:tc>
        <w:tc>
          <w:tcPr>
            <w:tcW w:w="3437" w:type="dxa"/>
            <w:gridSpan w:val="2"/>
            <w:tcBorders>
              <w:tl2br w:val="nil"/>
              <w:tr2bl w:val="nil"/>
            </w:tcBorders>
            <w:tcMar>
              <w:top w:w="15" w:type="dxa"/>
              <w:left w:w="15" w:type="dxa"/>
              <w:bottom w:w="15" w:type="dxa"/>
              <w:right w:w="15" w:type="dxa"/>
            </w:tcMar>
            <w:vAlign w:val="center"/>
          </w:tcPr>
          <w:p w14:paraId="64CD38B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hint="eastAsia" w:ascii="仿宋_GB2312" w:hAnsi="宋体" w:eastAsia="仿宋_GB2312" w:cs="宋体"/>
                <w:color w:val="auto"/>
                <w:kern w:val="0"/>
                <w:sz w:val="13"/>
                <w:szCs w:val="13"/>
                <w:highlight w:val="none"/>
              </w:rPr>
            </w:pPr>
            <w:r>
              <w:rPr>
                <w:rFonts w:hint="eastAsia" w:ascii="仿宋_GB2312" w:hAnsi="宋体" w:eastAsia="仿宋_GB2312" w:cs="宋体"/>
                <w:color w:val="auto"/>
                <w:kern w:val="0"/>
                <w:sz w:val="13"/>
                <w:szCs w:val="13"/>
                <w:highlight w:val="none"/>
              </w:rPr>
              <w:t>初次违法，危害后果轻微，主动消除或减轻违法行为后果的。</w:t>
            </w:r>
          </w:p>
        </w:tc>
        <w:tc>
          <w:tcPr>
            <w:tcW w:w="3058" w:type="dxa"/>
            <w:tcBorders>
              <w:tl2br w:val="nil"/>
              <w:tr2bl w:val="nil"/>
            </w:tcBorders>
            <w:tcMar>
              <w:top w:w="15" w:type="dxa"/>
              <w:left w:w="15" w:type="dxa"/>
              <w:bottom w:w="15" w:type="dxa"/>
              <w:right w:w="15" w:type="dxa"/>
            </w:tcMar>
            <w:vAlign w:val="center"/>
          </w:tcPr>
          <w:p w14:paraId="2CDDF95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hint="eastAsia" w:ascii="仿宋_GB2312" w:hAnsi="宋体" w:eastAsia="仿宋_GB2312" w:cs="宋体"/>
                <w:color w:val="auto"/>
                <w:kern w:val="2"/>
                <w:sz w:val="13"/>
                <w:szCs w:val="13"/>
                <w:highlight w:val="none"/>
                <w:lang w:val="en-US" w:eastAsia="zh-CN" w:bidi="ar-SA"/>
              </w:rPr>
            </w:pPr>
            <w:r>
              <w:rPr>
                <w:rFonts w:hint="eastAsia" w:ascii="仿宋_GB2312" w:hAnsi="宋体" w:eastAsia="仿宋_GB2312" w:cs="宋体"/>
                <w:color w:val="auto"/>
                <w:kern w:val="0"/>
                <w:sz w:val="13"/>
                <w:szCs w:val="13"/>
                <w:highlight w:val="none"/>
              </w:rPr>
              <w:t>责令限期改正，给予警告，处</w:t>
            </w:r>
            <w:r>
              <w:rPr>
                <w:rFonts w:hint="eastAsia" w:ascii="仿宋_GB2312" w:hAnsi="宋体" w:eastAsia="仿宋_GB2312" w:cs="宋体"/>
                <w:color w:val="auto"/>
                <w:kern w:val="0"/>
                <w:sz w:val="13"/>
                <w:szCs w:val="13"/>
                <w:highlight w:val="none"/>
                <w:lang w:val="en-US" w:eastAsia="zh-CN"/>
              </w:rPr>
              <w:t>5千元</w:t>
            </w:r>
            <w:r>
              <w:rPr>
                <w:rFonts w:hint="eastAsia" w:ascii="仿宋_GB2312" w:hAnsi="宋体" w:eastAsia="仿宋_GB2312" w:cs="宋体"/>
                <w:color w:val="auto"/>
                <w:kern w:val="0"/>
                <w:sz w:val="13"/>
                <w:szCs w:val="13"/>
                <w:highlight w:val="none"/>
              </w:rPr>
              <w:t>以上</w:t>
            </w:r>
            <w:r>
              <w:rPr>
                <w:rFonts w:hint="eastAsia" w:ascii="仿宋_GB2312" w:hAnsi="宋体" w:eastAsia="仿宋_GB2312" w:cs="宋体"/>
                <w:color w:val="auto"/>
                <w:kern w:val="0"/>
                <w:sz w:val="13"/>
                <w:szCs w:val="13"/>
                <w:highlight w:val="none"/>
                <w:lang w:val="en-US" w:eastAsia="zh-CN"/>
              </w:rPr>
              <w:t>1</w:t>
            </w:r>
            <w:r>
              <w:rPr>
                <w:rFonts w:hint="eastAsia" w:ascii="仿宋_GB2312" w:hAnsi="宋体" w:eastAsia="仿宋_GB2312" w:cs="宋体"/>
                <w:color w:val="auto"/>
                <w:kern w:val="0"/>
                <w:sz w:val="13"/>
                <w:szCs w:val="13"/>
                <w:highlight w:val="none"/>
              </w:rPr>
              <w:t>万元以下罚款。</w:t>
            </w:r>
          </w:p>
        </w:tc>
      </w:tr>
      <w:tr w14:paraId="333B0B0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169" w:hRule="atLeast"/>
          <w:jc w:val="center"/>
        </w:trPr>
        <w:tc>
          <w:tcPr>
            <w:tcW w:w="428" w:type="dxa"/>
            <w:vMerge w:val="continue"/>
            <w:tcBorders>
              <w:tl2br w:val="nil"/>
              <w:tr2bl w:val="nil"/>
            </w:tcBorders>
            <w:vAlign w:val="center"/>
          </w:tcPr>
          <w:p w14:paraId="6D363B4E">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638" w:leftChars="88" w:right="0" w:rightChars="0" w:hanging="453" w:hangingChars="349"/>
              <w:jc w:val="center"/>
              <w:textAlignment w:val="center"/>
              <w:rPr>
                <w:rFonts w:hint="eastAsia" w:ascii="仿宋_GB2312" w:hAnsi="宋体" w:eastAsia="仿宋_GB2312" w:cs="仿宋_GB2312"/>
                <w:i w:val="0"/>
                <w:color w:val="auto"/>
                <w:kern w:val="0"/>
                <w:sz w:val="13"/>
                <w:szCs w:val="13"/>
                <w:highlight w:val="none"/>
                <w:u w:val="none"/>
                <w:lang w:val="en-US" w:eastAsia="zh-CN" w:bidi="ar"/>
              </w:rPr>
            </w:pPr>
          </w:p>
        </w:tc>
        <w:tc>
          <w:tcPr>
            <w:tcW w:w="1550" w:type="dxa"/>
            <w:vMerge w:val="continue"/>
            <w:tcBorders>
              <w:tl2br w:val="nil"/>
              <w:tr2bl w:val="nil"/>
            </w:tcBorders>
            <w:vAlign w:val="center"/>
          </w:tcPr>
          <w:p w14:paraId="182E08C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hint="eastAsia" w:ascii="仿宋_GB2312" w:hAnsi="宋体" w:eastAsia="仿宋_GB2312" w:cs="宋体"/>
                <w:color w:val="auto"/>
                <w:kern w:val="0"/>
                <w:sz w:val="13"/>
                <w:szCs w:val="13"/>
                <w:highlight w:val="none"/>
              </w:rPr>
            </w:pPr>
          </w:p>
        </w:tc>
        <w:tc>
          <w:tcPr>
            <w:tcW w:w="4820" w:type="dxa"/>
            <w:vMerge w:val="continue"/>
            <w:tcBorders>
              <w:tl2br w:val="nil"/>
              <w:tr2bl w:val="nil"/>
            </w:tcBorders>
            <w:tcMar>
              <w:top w:w="15" w:type="dxa"/>
              <w:left w:w="15" w:type="dxa"/>
              <w:bottom w:w="15" w:type="dxa"/>
              <w:right w:w="15" w:type="dxa"/>
            </w:tcMar>
            <w:vAlign w:val="center"/>
          </w:tcPr>
          <w:p w14:paraId="66CAB6D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0" w:firstLineChars="200"/>
              <w:rPr>
                <w:rFonts w:hint="eastAsia" w:ascii="仿宋_GB2312" w:hAnsi="宋体" w:eastAsia="仿宋_GB2312" w:cs="宋体"/>
                <w:color w:val="auto"/>
                <w:kern w:val="0"/>
                <w:sz w:val="13"/>
                <w:szCs w:val="13"/>
                <w:highlight w:val="none"/>
              </w:rPr>
            </w:pPr>
          </w:p>
        </w:tc>
        <w:tc>
          <w:tcPr>
            <w:tcW w:w="823" w:type="dxa"/>
            <w:tcBorders>
              <w:tl2br w:val="nil"/>
              <w:tr2bl w:val="nil"/>
            </w:tcBorders>
            <w:tcMar>
              <w:top w:w="15" w:type="dxa"/>
              <w:left w:w="15" w:type="dxa"/>
              <w:bottom w:w="15" w:type="dxa"/>
              <w:right w:w="15" w:type="dxa"/>
            </w:tcMar>
            <w:vAlign w:val="center"/>
          </w:tcPr>
          <w:p w14:paraId="183A5E7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kern w:val="2"/>
                <w:sz w:val="13"/>
                <w:szCs w:val="13"/>
                <w:highlight w:val="none"/>
                <w:lang w:val="en-US" w:eastAsia="zh-CN" w:bidi="ar-SA"/>
              </w:rPr>
            </w:pPr>
            <w:r>
              <w:rPr>
                <w:rFonts w:hint="eastAsia" w:ascii="仿宋_GB2312" w:hAnsi="宋体" w:eastAsia="仿宋_GB2312" w:cs="宋体"/>
                <w:color w:val="auto"/>
                <w:kern w:val="0"/>
                <w:sz w:val="13"/>
                <w:szCs w:val="13"/>
                <w:highlight w:val="none"/>
                <w:lang w:eastAsia="zh-CN"/>
              </w:rPr>
              <w:t>一般情节</w:t>
            </w:r>
          </w:p>
        </w:tc>
        <w:tc>
          <w:tcPr>
            <w:tcW w:w="3437" w:type="dxa"/>
            <w:gridSpan w:val="2"/>
            <w:tcBorders>
              <w:tl2br w:val="nil"/>
              <w:tr2bl w:val="nil"/>
            </w:tcBorders>
            <w:tcMar>
              <w:top w:w="15" w:type="dxa"/>
              <w:left w:w="15" w:type="dxa"/>
              <w:bottom w:w="15" w:type="dxa"/>
              <w:right w:w="15" w:type="dxa"/>
            </w:tcMar>
            <w:vAlign w:val="center"/>
          </w:tcPr>
          <w:p w14:paraId="24314F9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hint="eastAsia" w:ascii="仿宋_GB2312" w:hAnsi="宋体" w:eastAsia="仿宋_GB2312" w:cs="宋体"/>
                <w:color w:val="auto"/>
                <w:kern w:val="0"/>
                <w:sz w:val="13"/>
                <w:szCs w:val="13"/>
                <w:highlight w:val="none"/>
              </w:rPr>
            </w:pPr>
            <w:r>
              <w:rPr>
                <w:rFonts w:hint="eastAsia" w:ascii="仿宋_GB2312" w:hAnsi="宋体" w:eastAsia="仿宋_GB2312" w:cs="宋体"/>
                <w:color w:val="auto"/>
                <w:kern w:val="0"/>
                <w:sz w:val="13"/>
                <w:szCs w:val="13"/>
                <w:highlight w:val="none"/>
              </w:rPr>
              <w:t>不具有从轻、</w:t>
            </w:r>
            <w:r>
              <w:rPr>
                <w:rFonts w:hint="eastAsia" w:ascii="仿宋_GB2312" w:hAnsi="宋体" w:eastAsia="仿宋_GB2312" w:cs="宋体"/>
                <w:color w:val="auto"/>
                <w:kern w:val="0"/>
                <w:sz w:val="13"/>
                <w:szCs w:val="13"/>
                <w:highlight w:val="none"/>
                <w:lang w:eastAsia="zh-CN"/>
              </w:rPr>
              <w:t>从重情节</w:t>
            </w:r>
            <w:r>
              <w:rPr>
                <w:rFonts w:hint="eastAsia" w:ascii="仿宋_GB2312" w:hAnsi="宋体" w:eastAsia="仿宋_GB2312" w:cs="宋体"/>
                <w:color w:val="auto"/>
                <w:kern w:val="0"/>
                <w:sz w:val="13"/>
                <w:szCs w:val="13"/>
                <w:highlight w:val="none"/>
              </w:rPr>
              <w:t>的。</w:t>
            </w:r>
          </w:p>
        </w:tc>
        <w:tc>
          <w:tcPr>
            <w:tcW w:w="3058" w:type="dxa"/>
            <w:tcBorders>
              <w:tl2br w:val="nil"/>
              <w:tr2bl w:val="nil"/>
            </w:tcBorders>
            <w:tcMar>
              <w:top w:w="15" w:type="dxa"/>
              <w:left w:w="15" w:type="dxa"/>
              <w:bottom w:w="15" w:type="dxa"/>
              <w:right w:w="15" w:type="dxa"/>
            </w:tcMar>
            <w:vAlign w:val="center"/>
          </w:tcPr>
          <w:p w14:paraId="75DBD47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hint="eastAsia" w:ascii="仿宋_GB2312" w:hAnsi="宋体" w:eastAsia="仿宋_GB2312" w:cs="宋体"/>
                <w:color w:val="auto"/>
                <w:kern w:val="2"/>
                <w:sz w:val="13"/>
                <w:szCs w:val="13"/>
                <w:highlight w:val="none"/>
                <w:lang w:val="en-US" w:eastAsia="zh-CN" w:bidi="ar-SA"/>
              </w:rPr>
            </w:pPr>
            <w:r>
              <w:rPr>
                <w:rFonts w:hint="eastAsia" w:ascii="仿宋_GB2312" w:hAnsi="宋体" w:eastAsia="仿宋_GB2312" w:cs="宋体"/>
                <w:color w:val="auto"/>
                <w:kern w:val="0"/>
                <w:sz w:val="13"/>
                <w:szCs w:val="13"/>
                <w:highlight w:val="none"/>
              </w:rPr>
              <w:t>责令限期改正，给予警告，处</w:t>
            </w:r>
            <w:r>
              <w:rPr>
                <w:rFonts w:hint="eastAsia" w:ascii="仿宋_GB2312" w:hAnsi="宋体" w:eastAsia="仿宋_GB2312" w:cs="宋体"/>
                <w:color w:val="auto"/>
                <w:kern w:val="0"/>
                <w:sz w:val="13"/>
                <w:szCs w:val="13"/>
                <w:highlight w:val="none"/>
                <w:lang w:val="en-US" w:eastAsia="zh-CN"/>
              </w:rPr>
              <w:t>1</w:t>
            </w:r>
            <w:r>
              <w:rPr>
                <w:rFonts w:hint="eastAsia" w:ascii="仿宋_GB2312" w:hAnsi="宋体" w:eastAsia="仿宋_GB2312" w:cs="宋体"/>
                <w:color w:val="auto"/>
                <w:kern w:val="0"/>
                <w:sz w:val="13"/>
                <w:szCs w:val="13"/>
                <w:highlight w:val="none"/>
              </w:rPr>
              <w:t>万元以上</w:t>
            </w:r>
            <w:r>
              <w:rPr>
                <w:rFonts w:hint="eastAsia" w:ascii="仿宋_GB2312" w:hAnsi="宋体" w:eastAsia="仿宋_GB2312" w:cs="宋体"/>
                <w:color w:val="auto"/>
                <w:kern w:val="0"/>
                <w:sz w:val="13"/>
                <w:szCs w:val="13"/>
                <w:highlight w:val="none"/>
                <w:lang w:val="en-US" w:eastAsia="zh-CN"/>
              </w:rPr>
              <w:t>3</w:t>
            </w:r>
            <w:r>
              <w:rPr>
                <w:rFonts w:hint="eastAsia" w:ascii="仿宋_GB2312" w:hAnsi="宋体" w:eastAsia="仿宋_GB2312" w:cs="宋体"/>
                <w:color w:val="auto"/>
                <w:kern w:val="0"/>
                <w:sz w:val="13"/>
                <w:szCs w:val="13"/>
                <w:highlight w:val="none"/>
              </w:rPr>
              <w:t>万元以下罚款。</w:t>
            </w:r>
          </w:p>
        </w:tc>
      </w:tr>
      <w:tr w14:paraId="02DA668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169" w:hRule="atLeast"/>
          <w:jc w:val="center"/>
        </w:trPr>
        <w:tc>
          <w:tcPr>
            <w:tcW w:w="428" w:type="dxa"/>
            <w:vMerge w:val="continue"/>
            <w:tcBorders>
              <w:tl2br w:val="nil"/>
              <w:tr2bl w:val="nil"/>
            </w:tcBorders>
            <w:vAlign w:val="center"/>
          </w:tcPr>
          <w:p w14:paraId="6A340936">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638" w:leftChars="88" w:right="0" w:rightChars="0" w:hanging="453" w:hangingChars="349"/>
              <w:jc w:val="center"/>
              <w:textAlignment w:val="center"/>
              <w:rPr>
                <w:rFonts w:hint="eastAsia" w:ascii="仿宋_GB2312" w:hAnsi="宋体" w:eastAsia="仿宋_GB2312" w:cs="仿宋_GB2312"/>
                <w:i w:val="0"/>
                <w:color w:val="auto"/>
                <w:kern w:val="0"/>
                <w:sz w:val="13"/>
                <w:szCs w:val="13"/>
                <w:highlight w:val="none"/>
                <w:u w:val="none"/>
                <w:lang w:val="en-US" w:eastAsia="zh-CN" w:bidi="ar"/>
              </w:rPr>
            </w:pPr>
          </w:p>
        </w:tc>
        <w:tc>
          <w:tcPr>
            <w:tcW w:w="1550" w:type="dxa"/>
            <w:vMerge w:val="continue"/>
            <w:tcBorders>
              <w:tl2br w:val="nil"/>
              <w:tr2bl w:val="nil"/>
            </w:tcBorders>
            <w:vAlign w:val="center"/>
          </w:tcPr>
          <w:p w14:paraId="0DC2A18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hint="eastAsia" w:ascii="仿宋_GB2312" w:hAnsi="宋体" w:eastAsia="仿宋_GB2312" w:cs="宋体"/>
                <w:color w:val="auto"/>
                <w:kern w:val="0"/>
                <w:sz w:val="13"/>
                <w:szCs w:val="13"/>
                <w:highlight w:val="none"/>
              </w:rPr>
            </w:pPr>
          </w:p>
        </w:tc>
        <w:tc>
          <w:tcPr>
            <w:tcW w:w="4820" w:type="dxa"/>
            <w:vMerge w:val="continue"/>
            <w:tcBorders>
              <w:tl2br w:val="nil"/>
              <w:tr2bl w:val="nil"/>
            </w:tcBorders>
            <w:tcMar>
              <w:top w:w="15" w:type="dxa"/>
              <w:left w:w="15" w:type="dxa"/>
              <w:bottom w:w="15" w:type="dxa"/>
              <w:right w:w="15" w:type="dxa"/>
            </w:tcMar>
            <w:vAlign w:val="center"/>
          </w:tcPr>
          <w:p w14:paraId="1AD3F04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0" w:firstLineChars="200"/>
              <w:rPr>
                <w:rFonts w:hint="eastAsia" w:ascii="仿宋_GB2312" w:hAnsi="宋体" w:eastAsia="仿宋_GB2312" w:cs="宋体"/>
                <w:color w:val="auto"/>
                <w:kern w:val="0"/>
                <w:sz w:val="13"/>
                <w:szCs w:val="13"/>
                <w:highlight w:val="none"/>
              </w:rPr>
            </w:pPr>
          </w:p>
        </w:tc>
        <w:tc>
          <w:tcPr>
            <w:tcW w:w="823" w:type="dxa"/>
            <w:tcBorders>
              <w:tl2br w:val="nil"/>
              <w:tr2bl w:val="nil"/>
            </w:tcBorders>
            <w:tcMar>
              <w:top w:w="15" w:type="dxa"/>
              <w:left w:w="15" w:type="dxa"/>
              <w:bottom w:w="15" w:type="dxa"/>
              <w:right w:w="15" w:type="dxa"/>
            </w:tcMar>
            <w:vAlign w:val="center"/>
          </w:tcPr>
          <w:p w14:paraId="3CDEDE2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kern w:val="2"/>
                <w:sz w:val="13"/>
                <w:szCs w:val="13"/>
                <w:highlight w:val="none"/>
                <w:lang w:val="en-US" w:eastAsia="zh-CN" w:bidi="ar-SA"/>
              </w:rPr>
            </w:pPr>
            <w:r>
              <w:rPr>
                <w:rFonts w:hint="eastAsia" w:ascii="仿宋_GB2312" w:hAnsi="宋体" w:eastAsia="仿宋_GB2312" w:cs="宋体"/>
                <w:color w:val="auto"/>
                <w:kern w:val="0"/>
                <w:sz w:val="13"/>
                <w:szCs w:val="13"/>
                <w:highlight w:val="none"/>
                <w:lang w:eastAsia="zh-CN"/>
              </w:rPr>
              <w:t>从重情节</w:t>
            </w:r>
          </w:p>
        </w:tc>
        <w:tc>
          <w:tcPr>
            <w:tcW w:w="3437" w:type="dxa"/>
            <w:gridSpan w:val="2"/>
            <w:tcBorders>
              <w:tl2br w:val="nil"/>
              <w:tr2bl w:val="nil"/>
            </w:tcBorders>
            <w:tcMar>
              <w:top w:w="15" w:type="dxa"/>
              <w:left w:w="15" w:type="dxa"/>
              <w:bottom w:w="15" w:type="dxa"/>
              <w:right w:w="15" w:type="dxa"/>
            </w:tcMar>
            <w:vAlign w:val="center"/>
          </w:tcPr>
          <w:p w14:paraId="3A6801E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hint="eastAsia" w:ascii="仿宋_GB2312" w:hAnsi="宋体" w:eastAsia="仿宋_GB2312" w:cs="宋体"/>
                <w:color w:val="auto"/>
                <w:kern w:val="0"/>
                <w:sz w:val="13"/>
                <w:szCs w:val="13"/>
                <w:highlight w:val="none"/>
              </w:rPr>
            </w:pPr>
            <w:r>
              <w:rPr>
                <w:rFonts w:hint="eastAsia" w:ascii="仿宋_GB2312" w:hAnsi="宋体" w:eastAsia="仿宋_GB2312" w:cs="宋体"/>
                <w:color w:val="auto"/>
                <w:kern w:val="0"/>
                <w:sz w:val="13"/>
                <w:szCs w:val="13"/>
                <w:highlight w:val="none"/>
              </w:rPr>
              <w:t>经责令整改后，不采取整改措施的</w:t>
            </w:r>
            <w:r>
              <w:rPr>
                <w:rFonts w:hint="eastAsia" w:ascii="仿宋_GB2312" w:hAnsi="宋体" w:eastAsia="仿宋_GB2312" w:cs="宋体"/>
                <w:color w:val="auto"/>
                <w:kern w:val="0"/>
                <w:sz w:val="13"/>
                <w:szCs w:val="13"/>
                <w:highlight w:val="none"/>
                <w:lang w:eastAsia="zh-CN"/>
              </w:rPr>
              <w:t>，</w:t>
            </w:r>
            <w:r>
              <w:rPr>
                <w:rFonts w:hint="eastAsia" w:ascii="仿宋_GB2312" w:hAnsi="宋体" w:eastAsia="仿宋_GB2312" w:cs="宋体"/>
                <w:color w:val="auto"/>
                <w:kern w:val="0"/>
                <w:sz w:val="13"/>
                <w:szCs w:val="13"/>
                <w:highlight w:val="none"/>
                <w:lang w:val="en-US" w:eastAsia="zh-CN"/>
              </w:rPr>
              <w:t>或</w:t>
            </w:r>
            <w:r>
              <w:rPr>
                <w:rFonts w:hint="eastAsia" w:ascii="仿宋_GB2312" w:hAnsi="宋体" w:eastAsia="仿宋_GB2312" w:cs="宋体"/>
                <w:color w:val="auto"/>
                <w:kern w:val="0"/>
                <w:sz w:val="13"/>
                <w:szCs w:val="13"/>
                <w:highlight w:val="none"/>
              </w:rPr>
              <w:t>曾因实施该违法行为被查处，再次实施该违法行为的</w:t>
            </w:r>
            <w:r>
              <w:rPr>
                <w:rFonts w:hint="eastAsia" w:ascii="仿宋_GB2312" w:hAnsi="宋体" w:eastAsia="仿宋_GB2312" w:cs="宋体"/>
                <w:color w:val="auto"/>
                <w:kern w:val="0"/>
                <w:sz w:val="13"/>
                <w:szCs w:val="13"/>
                <w:highlight w:val="none"/>
                <w:lang w:eastAsia="zh-CN"/>
              </w:rPr>
              <w:t>，</w:t>
            </w:r>
            <w:r>
              <w:rPr>
                <w:rFonts w:hint="eastAsia" w:ascii="仿宋_GB2312" w:hAnsi="宋体" w:eastAsia="仿宋_GB2312" w:cs="宋体"/>
                <w:color w:val="auto"/>
                <w:kern w:val="0"/>
                <w:sz w:val="13"/>
                <w:szCs w:val="13"/>
                <w:highlight w:val="none"/>
                <w:lang w:val="en-US" w:eastAsia="zh-CN"/>
              </w:rPr>
              <w:t>或</w:t>
            </w:r>
            <w:r>
              <w:rPr>
                <w:rFonts w:hint="eastAsia" w:ascii="仿宋_GB2312" w:hAnsi="宋体" w:eastAsia="仿宋_GB2312" w:cs="宋体"/>
                <w:color w:val="auto"/>
                <w:kern w:val="0"/>
                <w:sz w:val="13"/>
                <w:szCs w:val="13"/>
                <w:highlight w:val="none"/>
              </w:rPr>
              <w:t>严重影响城市市容和环境卫生，造成严重危害后果或重大社会影响的。</w:t>
            </w:r>
          </w:p>
        </w:tc>
        <w:tc>
          <w:tcPr>
            <w:tcW w:w="3058" w:type="dxa"/>
            <w:tcBorders>
              <w:tl2br w:val="nil"/>
              <w:tr2bl w:val="nil"/>
            </w:tcBorders>
            <w:tcMar>
              <w:top w:w="15" w:type="dxa"/>
              <w:left w:w="15" w:type="dxa"/>
              <w:bottom w:w="15" w:type="dxa"/>
              <w:right w:w="15" w:type="dxa"/>
            </w:tcMar>
            <w:vAlign w:val="center"/>
          </w:tcPr>
          <w:p w14:paraId="266CAF0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hint="eastAsia" w:ascii="仿宋_GB2312" w:hAnsi="宋体" w:eastAsia="仿宋_GB2312" w:cs="宋体"/>
                <w:color w:val="auto"/>
                <w:kern w:val="2"/>
                <w:sz w:val="13"/>
                <w:szCs w:val="13"/>
                <w:highlight w:val="none"/>
                <w:lang w:val="en-US" w:eastAsia="zh-CN" w:bidi="ar-SA"/>
              </w:rPr>
            </w:pPr>
            <w:r>
              <w:rPr>
                <w:rFonts w:hint="eastAsia" w:ascii="仿宋_GB2312" w:hAnsi="宋体" w:eastAsia="仿宋_GB2312" w:cs="宋体"/>
                <w:color w:val="auto"/>
                <w:kern w:val="0"/>
                <w:sz w:val="13"/>
                <w:szCs w:val="13"/>
                <w:highlight w:val="none"/>
              </w:rPr>
              <w:t>责令限期改正，给予警告，处</w:t>
            </w:r>
            <w:r>
              <w:rPr>
                <w:rFonts w:hint="eastAsia" w:ascii="仿宋_GB2312" w:hAnsi="宋体" w:eastAsia="仿宋_GB2312" w:cs="宋体"/>
                <w:color w:val="auto"/>
                <w:kern w:val="0"/>
                <w:sz w:val="13"/>
                <w:szCs w:val="13"/>
                <w:highlight w:val="none"/>
                <w:lang w:val="en-US" w:eastAsia="zh-CN"/>
              </w:rPr>
              <w:t>3</w:t>
            </w:r>
            <w:r>
              <w:rPr>
                <w:rFonts w:hint="eastAsia" w:ascii="仿宋_GB2312" w:hAnsi="宋体" w:eastAsia="仿宋_GB2312" w:cs="宋体"/>
                <w:color w:val="auto"/>
                <w:kern w:val="0"/>
                <w:sz w:val="13"/>
                <w:szCs w:val="13"/>
                <w:highlight w:val="none"/>
              </w:rPr>
              <w:t>万元以上</w:t>
            </w:r>
            <w:r>
              <w:rPr>
                <w:rFonts w:hint="eastAsia" w:ascii="仿宋_GB2312" w:hAnsi="宋体" w:eastAsia="仿宋_GB2312" w:cs="宋体"/>
                <w:color w:val="auto"/>
                <w:kern w:val="0"/>
                <w:sz w:val="13"/>
                <w:szCs w:val="13"/>
                <w:highlight w:val="none"/>
                <w:lang w:val="en-US" w:eastAsia="zh-CN"/>
              </w:rPr>
              <w:t>5</w:t>
            </w:r>
            <w:r>
              <w:rPr>
                <w:rFonts w:hint="eastAsia" w:ascii="仿宋_GB2312" w:hAnsi="宋体" w:eastAsia="仿宋_GB2312" w:cs="宋体"/>
                <w:color w:val="auto"/>
                <w:kern w:val="0"/>
                <w:sz w:val="13"/>
                <w:szCs w:val="13"/>
                <w:highlight w:val="none"/>
              </w:rPr>
              <w:t>万元以下罚款。</w:t>
            </w:r>
          </w:p>
        </w:tc>
      </w:tr>
      <w:tr w14:paraId="4511B61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169" w:hRule="atLeast"/>
          <w:jc w:val="center"/>
        </w:trPr>
        <w:tc>
          <w:tcPr>
            <w:tcW w:w="428" w:type="dxa"/>
            <w:vMerge w:val="restart"/>
            <w:tcBorders>
              <w:tl2br w:val="nil"/>
              <w:tr2bl w:val="nil"/>
            </w:tcBorders>
            <w:vAlign w:val="center"/>
          </w:tcPr>
          <w:p w14:paraId="07D57057">
            <w:pPr>
              <w:keepNext w:val="0"/>
              <w:keepLines w:val="0"/>
              <w:pageBreakBefore w:val="0"/>
              <w:widowControl/>
              <w:numPr>
                <w:ilvl w:val="0"/>
                <w:numId w:val="11"/>
              </w:numPr>
              <w:suppressLineNumbers w:val="0"/>
              <w:tabs>
                <w:tab w:val="clear" w:pos="397"/>
              </w:tabs>
              <w:kinsoku/>
              <w:overflowPunct/>
              <w:topLinePunct w:val="0"/>
              <w:autoSpaceDE/>
              <w:autoSpaceDN/>
              <w:bidi w:val="0"/>
              <w:adjustRightInd/>
              <w:snapToGrid/>
              <w:spacing w:beforeAutospacing="0" w:afterAutospacing="0" w:line="260" w:lineRule="exact"/>
              <w:ind w:left="638" w:leftChars="88" w:right="0" w:rightChars="0" w:hanging="453" w:hangingChars="349"/>
              <w:jc w:val="center"/>
              <w:textAlignment w:val="center"/>
              <w:rPr>
                <w:rFonts w:hint="default" w:ascii="仿宋_GB2312" w:hAnsi="宋体" w:eastAsia="仿宋_GB2312" w:cs="宋体"/>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347</w:t>
            </w:r>
          </w:p>
        </w:tc>
        <w:tc>
          <w:tcPr>
            <w:tcW w:w="1550" w:type="dxa"/>
            <w:vMerge w:val="restart"/>
            <w:tcBorders>
              <w:tl2br w:val="nil"/>
              <w:tr2bl w:val="nil"/>
            </w:tcBorders>
            <w:vAlign w:val="center"/>
          </w:tcPr>
          <w:p w14:paraId="56CBC7D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施工单位将建筑垃圾交给个人或者未经核准从事建筑垃圾运输的单位处置的</w:t>
            </w:r>
          </w:p>
        </w:tc>
        <w:tc>
          <w:tcPr>
            <w:tcW w:w="4820" w:type="dxa"/>
            <w:vMerge w:val="restart"/>
            <w:tcBorders>
              <w:tl2br w:val="nil"/>
              <w:tr2bl w:val="nil"/>
            </w:tcBorders>
            <w:tcMar>
              <w:top w:w="15" w:type="dxa"/>
              <w:left w:w="15" w:type="dxa"/>
              <w:bottom w:w="15" w:type="dxa"/>
              <w:right w:w="15" w:type="dxa"/>
            </w:tcMar>
            <w:vAlign w:val="center"/>
          </w:tcPr>
          <w:p w14:paraId="39818B5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kern w:val="0"/>
                <w:sz w:val="13"/>
                <w:szCs w:val="13"/>
                <w:highlight w:val="none"/>
              </w:rPr>
            </w:pPr>
            <w:r>
              <w:rPr>
                <w:rFonts w:hint="eastAsia" w:ascii="仿宋_GB2312" w:hAnsi="宋体" w:eastAsia="仿宋_GB2312" w:cs="宋体"/>
                <w:color w:val="auto"/>
                <w:kern w:val="0"/>
                <w:sz w:val="13"/>
                <w:szCs w:val="13"/>
                <w:highlight w:val="none"/>
              </w:rPr>
              <w:t>《城市建筑垃圾管理规定》</w:t>
            </w:r>
            <w:r>
              <w:rPr>
                <w:rFonts w:hint="eastAsia" w:ascii="仿宋_GB2312" w:hAnsi="宋体" w:eastAsia="仿宋_GB2312" w:cs="宋体"/>
                <w:b/>
                <w:bCs/>
                <w:color w:val="auto"/>
                <w:kern w:val="0"/>
                <w:sz w:val="13"/>
                <w:szCs w:val="13"/>
                <w:highlight w:val="none"/>
              </w:rPr>
              <w:t>第二十二条</w:t>
            </w:r>
            <w:r>
              <w:rPr>
                <w:rFonts w:hint="eastAsia" w:ascii="仿宋_GB2312" w:hAnsi="宋体" w:eastAsia="仿宋_GB2312" w:cs="宋体"/>
                <w:b/>
                <w:bCs/>
                <w:color w:val="auto"/>
                <w:kern w:val="0"/>
                <w:sz w:val="13"/>
                <w:szCs w:val="13"/>
                <w:highlight w:val="none"/>
                <w:lang w:val="en-US" w:eastAsia="zh-CN"/>
              </w:rPr>
              <w:t>第二款</w:t>
            </w:r>
            <w:r>
              <w:rPr>
                <w:rFonts w:hint="eastAsia" w:ascii="仿宋_GB2312" w:hAnsi="宋体" w:eastAsia="仿宋_GB2312" w:cs="宋体"/>
                <w:b/>
                <w:bCs/>
                <w:color w:val="auto"/>
                <w:kern w:val="0"/>
                <w:sz w:val="13"/>
                <w:szCs w:val="13"/>
                <w:highlight w:val="none"/>
                <w:lang w:eastAsia="zh-CN"/>
              </w:rPr>
              <w:t>：</w:t>
            </w:r>
          </w:p>
          <w:p w14:paraId="3FCEA5D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0" w:firstLineChars="200"/>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施工单位将建筑垃圾交给个人或者未经核准从事建筑垃圾运输的单位处置的，由城市人民政府市容环境卫生主管部门责令限期改正，给予警告，处1万元以上10万元以下罚款。</w:t>
            </w:r>
          </w:p>
        </w:tc>
        <w:tc>
          <w:tcPr>
            <w:tcW w:w="823" w:type="dxa"/>
            <w:tcBorders>
              <w:tl2br w:val="nil"/>
              <w:tr2bl w:val="nil"/>
            </w:tcBorders>
            <w:tcMar>
              <w:top w:w="15" w:type="dxa"/>
              <w:left w:w="15" w:type="dxa"/>
              <w:bottom w:w="15" w:type="dxa"/>
              <w:right w:w="15" w:type="dxa"/>
            </w:tcMar>
            <w:vAlign w:val="center"/>
          </w:tcPr>
          <w:p w14:paraId="6342A1E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从轻情节</w:t>
            </w:r>
          </w:p>
        </w:tc>
        <w:tc>
          <w:tcPr>
            <w:tcW w:w="3437" w:type="dxa"/>
            <w:gridSpan w:val="2"/>
            <w:tcBorders>
              <w:tl2br w:val="nil"/>
              <w:tr2bl w:val="nil"/>
            </w:tcBorders>
            <w:tcMar>
              <w:top w:w="15" w:type="dxa"/>
              <w:left w:w="15" w:type="dxa"/>
              <w:bottom w:w="15" w:type="dxa"/>
              <w:right w:w="15" w:type="dxa"/>
            </w:tcMar>
            <w:vAlign w:val="center"/>
          </w:tcPr>
          <w:p w14:paraId="14F3129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strike/>
                <w:color w:val="auto"/>
                <w:kern w:val="0"/>
                <w:sz w:val="13"/>
                <w:szCs w:val="13"/>
                <w:highlight w:val="none"/>
              </w:rPr>
            </w:pPr>
            <w:r>
              <w:rPr>
                <w:rFonts w:hint="eastAsia" w:ascii="仿宋_GB2312" w:hAnsi="宋体" w:eastAsia="仿宋_GB2312" w:cs="宋体"/>
                <w:color w:val="auto"/>
                <w:kern w:val="0"/>
                <w:sz w:val="13"/>
                <w:szCs w:val="13"/>
                <w:highlight w:val="none"/>
              </w:rPr>
              <w:t>处置建筑垃圾50立方米以下的。</w:t>
            </w:r>
          </w:p>
        </w:tc>
        <w:tc>
          <w:tcPr>
            <w:tcW w:w="3058" w:type="dxa"/>
            <w:tcBorders>
              <w:tl2br w:val="nil"/>
              <w:tr2bl w:val="nil"/>
            </w:tcBorders>
            <w:tcMar>
              <w:top w:w="15" w:type="dxa"/>
              <w:left w:w="15" w:type="dxa"/>
              <w:bottom w:w="15" w:type="dxa"/>
              <w:right w:w="15" w:type="dxa"/>
            </w:tcMar>
            <w:vAlign w:val="center"/>
          </w:tcPr>
          <w:p w14:paraId="5D8095D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责令限期改正，给予警告，处</w:t>
            </w:r>
            <w:r>
              <w:rPr>
                <w:rFonts w:hint="eastAsia" w:ascii="仿宋_GB2312" w:hAnsi="宋体" w:eastAsia="仿宋_GB2312" w:cs="宋体"/>
                <w:color w:val="auto"/>
                <w:kern w:val="0"/>
                <w:sz w:val="13"/>
                <w:szCs w:val="13"/>
                <w:highlight w:val="none"/>
                <w:lang w:val="en-US" w:eastAsia="zh-CN"/>
              </w:rPr>
              <w:t>1万</w:t>
            </w:r>
            <w:r>
              <w:rPr>
                <w:rFonts w:hint="eastAsia" w:ascii="仿宋_GB2312" w:hAnsi="宋体" w:eastAsia="仿宋_GB2312" w:cs="宋体"/>
                <w:color w:val="auto"/>
                <w:kern w:val="0"/>
                <w:sz w:val="13"/>
                <w:szCs w:val="13"/>
                <w:highlight w:val="none"/>
              </w:rPr>
              <w:t>元以上3万元以下罚款。</w:t>
            </w:r>
          </w:p>
        </w:tc>
      </w:tr>
      <w:tr w14:paraId="626DE07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215" w:hRule="atLeast"/>
          <w:jc w:val="center"/>
        </w:trPr>
        <w:tc>
          <w:tcPr>
            <w:tcW w:w="428" w:type="dxa"/>
            <w:vMerge w:val="continue"/>
            <w:tcBorders>
              <w:tl2br w:val="nil"/>
              <w:tr2bl w:val="nil"/>
            </w:tcBorders>
            <w:vAlign w:val="center"/>
          </w:tcPr>
          <w:p w14:paraId="1F1839BA">
            <w:pPr>
              <w:pStyle w:val="37"/>
              <w:keepNext w:val="0"/>
              <w:keepLines w:val="0"/>
              <w:pageBreakBefore w:val="0"/>
              <w:widowControl/>
              <w:numPr>
                <w:ilvl w:val="0"/>
                <w:numId w:val="12"/>
              </w:numPr>
              <w:kinsoku/>
              <w:overflowPunct/>
              <w:topLinePunct w:val="0"/>
              <w:autoSpaceDE/>
              <w:autoSpaceDN/>
              <w:bidi w:val="0"/>
              <w:adjustRightInd/>
              <w:snapToGrid/>
              <w:spacing w:beforeAutospacing="0" w:afterAutospacing="0" w:line="260" w:lineRule="exact"/>
              <w:ind w:left="638" w:leftChars="88" w:right="0" w:rightChars="0" w:hanging="453" w:hangingChars="349"/>
              <w:jc w:val="center"/>
              <w:rPr>
                <w:rFonts w:ascii="仿宋_GB2312" w:hAnsi="宋体" w:eastAsia="仿宋_GB2312" w:cs="宋体"/>
                <w:color w:val="auto"/>
                <w:sz w:val="13"/>
                <w:szCs w:val="13"/>
                <w:highlight w:val="none"/>
              </w:rPr>
            </w:pPr>
          </w:p>
        </w:tc>
        <w:tc>
          <w:tcPr>
            <w:tcW w:w="1550" w:type="dxa"/>
            <w:vMerge w:val="continue"/>
            <w:tcBorders>
              <w:tl2br w:val="nil"/>
              <w:tr2bl w:val="nil"/>
            </w:tcBorders>
            <w:vAlign w:val="center"/>
          </w:tcPr>
          <w:p w14:paraId="7CB8006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sz w:val="13"/>
                <w:szCs w:val="13"/>
                <w:highlight w:val="none"/>
              </w:rPr>
            </w:pPr>
          </w:p>
        </w:tc>
        <w:tc>
          <w:tcPr>
            <w:tcW w:w="4820" w:type="dxa"/>
            <w:vMerge w:val="continue"/>
            <w:tcBorders>
              <w:tl2br w:val="nil"/>
              <w:tr2bl w:val="nil"/>
            </w:tcBorders>
            <w:vAlign w:val="center"/>
          </w:tcPr>
          <w:p w14:paraId="64FBBC9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2A87467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一般情节</w:t>
            </w:r>
          </w:p>
        </w:tc>
        <w:tc>
          <w:tcPr>
            <w:tcW w:w="3437" w:type="dxa"/>
            <w:gridSpan w:val="2"/>
            <w:tcBorders>
              <w:tl2br w:val="nil"/>
              <w:tr2bl w:val="nil"/>
            </w:tcBorders>
            <w:tcMar>
              <w:top w:w="15" w:type="dxa"/>
              <w:left w:w="15" w:type="dxa"/>
              <w:bottom w:w="15" w:type="dxa"/>
              <w:right w:w="15" w:type="dxa"/>
            </w:tcMar>
            <w:vAlign w:val="center"/>
          </w:tcPr>
          <w:p w14:paraId="4BD30AD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strike/>
                <w:color w:val="auto"/>
                <w:kern w:val="0"/>
                <w:sz w:val="13"/>
                <w:szCs w:val="13"/>
                <w:highlight w:val="none"/>
              </w:rPr>
            </w:pPr>
            <w:r>
              <w:rPr>
                <w:rFonts w:hint="eastAsia" w:ascii="仿宋_GB2312" w:hAnsi="宋体" w:eastAsia="仿宋_GB2312" w:cs="宋体"/>
                <w:color w:val="auto"/>
                <w:kern w:val="0"/>
                <w:sz w:val="13"/>
                <w:szCs w:val="13"/>
                <w:highlight w:val="none"/>
              </w:rPr>
              <w:t>处置建筑垃圾50立方米以上100立方米以下的。</w:t>
            </w:r>
          </w:p>
        </w:tc>
        <w:tc>
          <w:tcPr>
            <w:tcW w:w="3058" w:type="dxa"/>
            <w:tcBorders>
              <w:tl2br w:val="nil"/>
              <w:tr2bl w:val="nil"/>
            </w:tcBorders>
            <w:tcMar>
              <w:top w:w="15" w:type="dxa"/>
              <w:left w:w="15" w:type="dxa"/>
              <w:bottom w:w="15" w:type="dxa"/>
              <w:right w:w="15" w:type="dxa"/>
            </w:tcMar>
            <w:vAlign w:val="center"/>
          </w:tcPr>
          <w:p w14:paraId="56BE794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责令限期改正，给予警告，处3万元以上5万元以下罚款。</w:t>
            </w:r>
          </w:p>
        </w:tc>
      </w:tr>
      <w:tr w14:paraId="23BB8F0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623" w:hRule="atLeast"/>
          <w:jc w:val="center"/>
        </w:trPr>
        <w:tc>
          <w:tcPr>
            <w:tcW w:w="428" w:type="dxa"/>
            <w:vMerge w:val="continue"/>
            <w:tcBorders>
              <w:tl2br w:val="nil"/>
              <w:tr2bl w:val="nil"/>
            </w:tcBorders>
            <w:vAlign w:val="center"/>
          </w:tcPr>
          <w:p w14:paraId="483CA2A4">
            <w:pPr>
              <w:pStyle w:val="37"/>
              <w:keepNext w:val="0"/>
              <w:keepLines w:val="0"/>
              <w:pageBreakBefore w:val="0"/>
              <w:widowControl/>
              <w:numPr>
                <w:ilvl w:val="0"/>
                <w:numId w:val="12"/>
              </w:numPr>
              <w:kinsoku/>
              <w:overflowPunct/>
              <w:topLinePunct w:val="0"/>
              <w:autoSpaceDE/>
              <w:autoSpaceDN/>
              <w:bidi w:val="0"/>
              <w:adjustRightInd/>
              <w:snapToGrid/>
              <w:spacing w:beforeAutospacing="0" w:afterAutospacing="0" w:line="260" w:lineRule="exact"/>
              <w:ind w:left="638" w:leftChars="88" w:right="0" w:rightChars="0" w:hanging="453" w:hangingChars="349"/>
              <w:jc w:val="center"/>
              <w:rPr>
                <w:rFonts w:ascii="仿宋_GB2312" w:hAnsi="宋体" w:eastAsia="仿宋_GB2312" w:cs="宋体"/>
                <w:color w:val="auto"/>
                <w:sz w:val="13"/>
                <w:szCs w:val="13"/>
                <w:highlight w:val="none"/>
              </w:rPr>
            </w:pPr>
          </w:p>
        </w:tc>
        <w:tc>
          <w:tcPr>
            <w:tcW w:w="1550" w:type="dxa"/>
            <w:vMerge w:val="continue"/>
            <w:tcBorders>
              <w:tl2br w:val="nil"/>
              <w:tr2bl w:val="nil"/>
            </w:tcBorders>
            <w:vAlign w:val="center"/>
          </w:tcPr>
          <w:p w14:paraId="4D323A5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sz w:val="13"/>
                <w:szCs w:val="13"/>
                <w:highlight w:val="none"/>
              </w:rPr>
            </w:pPr>
          </w:p>
        </w:tc>
        <w:tc>
          <w:tcPr>
            <w:tcW w:w="4820" w:type="dxa"/>
            <w:vMerge w:val="continue"/>
            <w:tcBorders>
              <w:tl2br w:val="nil"/>
              <w:tr2bl w:val="nil"/>
            </w:tcBorders>
            <w:vAlign w:val="center"/>
          </w:tcPr>
          <w:p w14:paraId="235C5D0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36FE817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从重情节</w:t>
            </w:r>
          </w:p>
        </w:tc>
        <w:tc>
          <w:tcPr>
            <w:tcW w:w="3437" w:type="dxa"/>
            <w:gridSpan w:val="2"/>
            <w:tcBorders>
              <w:tl2br w:val="nil"/>
              <w:tr2bl w:val="nil"/>
            </w:tcBorders>
            <w:tcMar>
              <w:top w:w="15" w:type="dxa"/>
              <w:left w:w="15" w:type="dxa"/>
              <w:bottom w:w="15" w:type="dxa"/>
              <w:right w:w="15" w:type="dxa"/>
            </w:tcMar>
            <w:vAlign w:val="center"/>
          </w:tcPr>
          <w:p w14:paraId="46E10EB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strike/>
                <w:color w:val="auto"/>
                <w:kern w:val="0"/>
                <w:sz w:val="13"/>
                <w:szCs w:val="13"/>
                <w:highlight w:val="none"/>
              </w:rPr>
            </w:pPr>
            <w:r>
              <w:rPr>
                <w:rFonts w:hint="eastAsia" w:ascii="仿宋_GB2312" w:hAnsi="宋体" w:eastAsia="仿宋_GB2312" w:cs="Times New Roman"/>
                <w:color w:val="auto"/>
                <w:kern w:val="0"/>
                <w:sz w:val="13"/>
                <w:szCs w:val="13"/>
                <w:highlight w:val="none"/>
                <w:lang w:val="en-US" w:eastAsia="zh-CN"/>
              </w:rPr>
              <w:t>有下列情形之一的：</w:t>
            </w:r>
            <w:r>
              <w:rPr>
                <w:rFonts w:hint="eastAsia" w:ascii="仿宋_GB2312" w:hAnsi="宋体" w:eastAsia="仿宋_GB2312" w:cs="宋体"/>
                <w:color w:val="auto"/>
                <w:kern w:val="0"/>
                <w:sz w:val="13"/>
                <w:szCs w:val="13"/>
                <w:highlight w:val="none"/>
              </w:rPr>
              <w:t>（1）处置建筑垃圾100立方米以上的；（2）经责令整改后，不采取整改措施的；（3）曾因实施该违法行为被查处，再次实施该违法行为的；（4）严重影响城市市容和环境卫生，造成严重危害后果或重大社会影响的。</w:t>
            </w:r>
          </w:p>
        </w:tc>
        <w:tc>
          <w:tcPr>
            <w:tcW w:w="3058" w:type="dxa"/>
            <w:tcBorders>
              <w:tl2br w:val="nil"/>
              <w:tr2bl w:val="nil"/>
            </w:tcBorders>
            <w:tcMar>
              <w:top w:w="15" w:type="dxa"/>
              <w:left w:w="15" w:type="dxa"/>
              <w:bottom w:w="15" w:type="dxa"/>
              <w:right w:w="15" w:type="dxa"/>
            </w:tcMar>
            <w:vAlign w:val="center"/>
          </w:tcPr>
          <w:p w14:paraId="6DFA7FC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责令限期改正，给予警告，处5万元以上10万元以下罚款。</w:t>
            </w:r>
          </w:p>
        </w:tc>
      </w:tr>
      <w:tr w14:paraId="205E13E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195" w:hRule="atLeast"/>
          <w:jc w:val="center"/>
        </w:trPr>
        <w:tc>
          <w:tcPr>
            <w:tcW w:w="428" w:type="dxa"/>
            <w:vMerge w:val="restart"/>
            <w:tcBorders>
              <w:tl2br w:val="nil"/>
              <w:tr2bl w:val="nil"/>
            </w:tcBorders>
            <w:tcMar>
              <w:top w:w="15" w:type="dxa"/>
              <w:left w:w="15" w:type="dxa"/>
              <w:bottom w:w="15" w:type="dxa"/>
              <w:right w:w="15" w:type="dxa"/>
            </w:tcMar>
            <w:vAlign w:val="center"/>
          </w:tcPr>
          <w:p w14:paraId="79FEF83D">
            <w:pPr>
              <w:keepNext w:val="0"/>
              <w:keepLines w:val="0"/>
              <w:pageBreakBefore w:val="0"/>
              <w:widowControl/>
              <w:numPr>
                <w:ilvl w:val="0"/>
                <w:numId w:val="11"/>
              </w:numPr>
              <w:suppressLineNumbers w:val="0"/>
              <w:tabs>
                <w:tab w:val="clear" w:pos="397"/>
              </w:tabs>
              <w:kinsoku/>
              <w:overflowPunct/>
              <w:topLinePunct w:val="0"/>
              <w:autoSpaceDE/>
              <w:autoSpaceDN/>
              <w:bidi w:val="0"/>
              <w:adjustRightInd/>
              <w:snapToGrid/>
              <w:spacing w:beforeAutospacing="0" w:afterAutospacing="0" w:line="260" w:lineRule="exact"/>
              <w:ind w:left="638" w:leftChars="88" w:right="0" w:rightChars="0" w:hanging="453" w:hangingChars="349"/>
              <w:jc w:val="center"/>
              <w:textAlignment w:val="center"/>
              <w:rPr>
                <w:rFonts w:hint="default" w:ascii="仿宋_GB2312" w:hAnsi="宋体" w:eastAsia="仿宋_GB2312" w:cs="宋体"/>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348</w:t>
            </w:r>
          </w:p>
        </w:tc>
        <w:tc>
          <w:tcPr>
            <w:tcW w:w="1550" w:type="dxa"/>
            <w:vMerge w:val="restart"/>
            <w:tcBorders>
              <w:tl2br w:val="nil"/>
              <w:tr2bl w:val="nil"/>
            </w:tcBorders>
            <w:tcMar>
              <w:top w:w="15" w:type="dxa"/>
              <w:left w:w="15" w:type="dxa"/>
              <w:bottom w:w="15" w:type="dxa"/>
              <w:right w:w="15" w:type="dxa"/>
            </w:tcMar>
            <w:vAlign w:val="center"/>
          </w:tcPr>
          <w:p w14:paraId="2AA57DA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处置建筑垃圾的单位在运输建筑垃圾过程中沿途丢弃、遗撒建筑垃圾的</w:t>
            </w:r>
          </w:p>
        </w:tc>
        <w:tc>
          <w:tcPr>
            <w:tcW w:w="4820" w:type="dxa"/>
            <w:vMerge w:val="restart"/>
            <w:tcBorders>
              <w:tl2br w:val="nil"/>
              <w:tr2bl w:val="nil"/>
            </w:tcBorders>
            <w:tcMar>
              <w:top w:w="15" w:type="dxa"/>
              <w:left w:w="15" w:type="dxa"/>
              <w:bottom w:w="15" w:type="dxa"/>
              <w:right w:w="15" w:type="dxa"/>
            </w:tcMar>
            <w:vAlign w:val="center"/>
          </w:tcPr>
          <w:p w14:paraId="229A28C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《城市建筑垃圾管理规定》</w:t>
            </w:r>
            <w:r>
              <w:rPr>
                <w:rFonts w:hint="eastAsia" w:ascii="仿宋_GB2312" w:hAnsi="宋体" w:eastAsia="仿宋_GB2312" w:cs="宋体"/>
                <w:b/>
                <w:bCs/>
                <w:color w:val="auto"/>
                <w:kern w:val="0"/>
                <w:sz w:val="13"/>
                <w:szCs w:val="13"/>
                <w:highlight w:val="none"/>
              </w:rPr>
              <w:t>第二十三条</w:t>
            </w:r>
            <w:r>
              <w:rPr>
                <w:rFonts w:hint="eastAsia" w:ascii="仿宋_GB2312" w:hAnsi="宋体" w:eastAsia="仿宋_GB2312" w:cs="宋体"/>
                <w:b/>
                <w:bCs/>
                <w:color w:val="auto"/>
                <w:kern w:val="0"/>
                <w:sz w:val="13"/>
                <w:szCs w:val="13"/>
                <w:highlight w:val="none"/>
                <w:lang w:eastAsia="zh-CN"/>
              </w:rPr>
              <w:t>：</w:t>
            </w:r>
            <w:r>
              <w:rPr>
                <w:rFonts w:hint="eastAsia" w:ascii="仿宋_GB2312" w:hAnsi="宋体" w:eastAsia="仿宋_GB2312" w:cs="宋体"/>
                <w:color w:val="auto"/>
                <w:kern w:val="0"/>
                <w:sz w:val="13"/>
                <w:szCs w:val="13"/>
                <w:highlight w:val="none"/>
              </w:rPr>
              <w:t>处置建筑垃圾的单位在运输建筑垃圾过程中沿途丢弃、遗撒建筑垃圾的，由城市人民政府市容环境卫生主管部门责令限期改正，给予警告，处5000元以上5万元以下罚款。</w:t>
            </w:r>
          </w:p>
        </w:tc>
        <w:tc>
          <w:tcPr>
            <w:tcW w:w="823" w:type="dxa"/>
            <w:tcBorders>
              <w:tl2br w:val="nil"/>
              <w:tr2bl w:val="nil"/>
            </w:tcBorders>
            <w:tcMar>
              <w:top w:w="15" w:type="dxa"/>
              <w:left w:w="15" w:type="dxa"/>
              <w:bottom w:w="15" w:type="dxa"/>
              <w:right w:w="15" w:type="dxa"/>
            </w:tcMar>
            <w:vAlign w:val="center"/>
          </w:tcPr>
          <w:p w14:paraId="0252412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从轻情节</w:t>
            </w:r>
          </w:p>
        </w:tc>
        <w:tc>
          <w:tcPr>
            <w:tcW w:w="3437" w:type="dxa"/>
            <w:gridSpan w:val="2"/>
            <w:tcBorders>
              <w:tl2br w:val="nil"/>
              <w:tr2bl w:val="nil"/>
            </w:tcBorders>
            <w:tcMar>
              <w:top w:w="15" w:type="dxa"/>
              <w:left w:w="15" w:type="dxa"/>
              <w:bottom w:w="15" w:type="dxa"/>
              <w:right w:w="15" w:type="dxa"/>
            </w:tcMar>
            <w:vAlign w:val="center"/>
          </w:tcPr>
          <w:p w14:paraId="23D07A8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kern w:val="0"/>
                <w:sz w:val="13"/>
                <w:szCs w:val="13"/>
                <w:highlight w:val="none"/>
              </w:rPr>
            </w:pPr>
            <w:r>
              <w:rPr>
                <w:rFonts w:hint="eastAsia" w:ascii="仿宋_GB2312" w:hAnsi="宋体" w:eastAsia="仿宋_GB2312" w:cs="宋体"/>
                <w:color w:val="auto"/>
                <w:kern w:val="0"/>
                <w:sz w:val="13"/>
                <w:szCs w:val="13"/>
                <w:highlight w:val="none"/>
              </w:rPr>
              <w:t>丢弃、遗撒建筑垃圾污染路面10平方米以下的。</w:t>
            </w:r>
          </w:p>
        </w:tc>
        <w:tc>
          <w:tcPr>
            <w:tcW w:w="3058" w:type="dxa"/>
            <w:tcBorders>
              <w:tl2br w:val="nil"/>
              <w:tr2bl w:val="nil"/>
            </w:tcBorders>
            <w:tcMar>
              <w:top w:w="15" w:type="dxa"/>
              <w:left w:w="15" w:type="dxa"/>
              <w:bottom w:w="15" w:type="dxa"/>
              <w:right w:w="15" w:type="dxa"/>
            </w:tcMar>
            <w:vAlign w:val="center"/>
          </w:tcPr>
          <w:p w14:paraId="6F3BC29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责令限期改正，给予警告，处5千元以上1万元以下罚款。</w:t>
            </w:r>
          </w:p>
        </w:tc>
      </w:tr>
      <w:tr w14:paraId="59BCBF3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199" w:hRule="atLeast"/>
          <w:jc w:val="center"/>
        </w:trPr>
        <w:tc>
          <w:tcPr>
            <w:tcW w:w="428" w:type="dxa"/>
            <w:vMerge w:val="continue"/>
            <w:tcBorders>
              <w:tl2br w:val="nil"/>
              <w:tr2bl w:val="nil"/>
            </w:tcBorders>
            <w:vAlign w:val="center"/>
          </w:tcPr>
          <w:p w14:paraId="4A56C93E">
            <w:pPr>
              <w:pStyle w:val="37"/>
              <w:keepNext w:val="0"/>
              <w:keepLines w:val="0"/>
              <w:pageBreakBefore w:val="0"/>
              <w:widowControl/>
              <w:numPr>
                <w:ilvl w:val="0"/>
                <w:numId w:val="12"/>
              </w:numPr>
              <w:kinsoku/>
              <w:overflowPunct/>
              <w:topLinePunct w:val="0"/>
              <w:autoSpaceDE/>
              <w:autoSpaceDN/>
              <w:bidi w:val="0"/>
              <w:adjustRightInd/>
              <w:snapToGrid/>
              <w:spacing w:beforeAutospacing="0" w:afterAutospacing="0" w:line="260" w:lineRule="exact"/>
              <w:ind w:left="638" w:leftChars="88" w:right="0" w:rightChars="0" w:hanging="453" w:hangingChars="349"/>
              <w:jc w:val="center"/>
              <w:rPr>
                <w:rFonts w:ascii="仿宋_GB2312" w:hAnsi="宋体" w:eastAsia="仿宋_GB2312" w:cs="宋体"/>
                <w:color w:val="auto"/>
                <w:sz w:val="13"/>
                <w:szCs w:val="13"/>
                <w:highlight w:val="none"/>
              </w:rPr>
            </w:pPr>
          </w:p>
        </w:tc>
        <w:tc>
          <w:tcPr>
            <w:tcW w:w="1550" w:type="dxa"/>
            <w:vMerge w:val="continue"/>
            <w:tcBorders>
              <w:tl2br w:val="nil"/>
              <w:tr2bl w:val="nil"/>
            </w:tcBorders>
            <w:vAlign w:val="center"/>
          </w:tcPr>
          <w:p w14:paraId="271F7C2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sz w:val="13"/>
                <w:szCs w:val="13"/>
                <w:highlight w:val="none"/>
              </w:rPr>
            </w:pPr>
          </w:p>
        </w:tc>
        <w:tc>
          <w:tcPr>
            <w:tcW w:w="4820" w:type="dxa"/>
            <w:vMerge w:val="continue"/>
            <w:tcBorders>
              <w:tl2br w:val="nil"/>
              <w:tr2bl w:val="nil"/>
            </w:tcBorders>
            <w:vAlign w:val="center"/>
          </w:tcPr>
          <w:p w14:paraId="68A0875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21AA80D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一般情节</w:t>
            </w:r>
          </w:p>
        </w:tc>
        <w:tc>
          <w:tcPr>
            <w:tcW w:w="3437" w:type="dxa"/>
            <w:gridSpan w:val="2"/>
            <w:tcBorders>
              <w:tl2br w:val="nil"/>
              <w:tr2bl w:val="nil"/>
            </w:tcBorders>
            <w:tcMar>
              <w:top w:w="15" w:type="dxa"/>
              <w:left w:w="15" w:type="dxa"/>
              <w:bottom w:w="15" w:type="dxa"/>
              <w:right w:w="15" w:type="dxa"/>
            </w:tcMar>
            <w:vAlign w:val="center"/>
          </w:tcPr>
          <w:p w14:paraId="2FEBA6F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strike/>
                <w:color w:val="auto"/>
                <w:kern w:val="0"/>
                <w:sz w:val="13"/>
                <w:szCs w:val="13"/>
                <w:highlight w:val="none"/>
              </w:rPr>
            </w:pPr>
            <w:r>
              <w:rPr>
                <w:rFonts w:hint="eastAsia" w:ascii="仿宋_GB2312" w:hAnsi="宋体" w:eastAsia="仿宋_GB2312" w:cs="宋体"/>
                <w:color w:val="auto"/>
                <w:kern w:val="0"/>
                <w:sz w:val="13"/>
                <w:szCs w:val="13"/>
                <w:highlight w:val="none"/>
              </w:rPr>
              <w:t>丢弃、遗撒建筑垃圾污染路面10平方米以上50平方米以下的。</w:t>
            </w:r>
          </w:p>
        </w:tc>
        <w:tc>
          <w:tcPr>
            <w:tcW w:w="3058" w:type="dxa"/>
            <w:tcBorders>
              <w:tl2br w:val="nil"/>
              <w:tr2bl w:val="nil"/>
            </w:tcBorders>
            <w:tcMar>
              <w:top w:w="15" w:type="dxa"/>
              <w:left w:w="15" w:type="dxa"/>
              <w:bottom w:w="15" w:type="dxa"/>
              <w:right w:w="15" w:type="dxa"/>
            </w:tcMar>
            <w:vAlign w:val="center"/>
          </w:tcPr>
          <w:p w14:paraId="379343F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责令限期改正，给予警告，处1万元以上3万元以下罚款。</w:t>
            </w:r>
          </w:p>
        </w:tc>
      </w:tr>
      <w:tr w14:paraId="4F701E4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941" w:hRule="atLeast"/>
          <w:jc w:val="center"/>
        </w:trPr>
        <w:tc>
          <w:tcPr>
            <w:tcW w:w="428" w:type="dxa"/>
            <w:vMerge w:val="continue"/>
            <w:tcBorders>
              <w:tl2br w:val="nil"/>
              <w:tr2bl w:val="nil"/>
            </w:tcBorders>
            <w:vAlign w:val="center"/>
          </w:tcPr>
          <w:p w14:paraId="02DD1D06">
            <w:pPr>
              <w:pStyle w:val="37"/>
              <w:keepNext w:val="0"/>
              <w:keepLines w:val="0"/>
              <w:pageBreakBefore w:val="0"/>
              <w:widowControl/>
              <w:numPr>
                <w:ilvl w:val="0"/>
                <w:numId w:val="12"/>
              </w:numPr>
              <w:kinsoku/>
              <w:overflowPunct/>
              <w:topLinePunct w:val="0"/>
              <w:autoSpaceDE/>
              <w:autoSpaceDN/>
              <w:bidi w:val="0"/>
              <w:adjustRightInd/>
              <w:snapToGrid/>
              <w:spacing w:beforeAutospacing="0" w:afterAutospacing="0" w:line="260" w:lineRule="exact"/>
              <w:ind w:left="638" w:leftChars="88" w:right="0" w:rightChars="0" w:hanging="453" w:hangingChars="349"/>
              <w:jc w:val="center"/>
              <w:rPr>
                <w:rFonts w:ascii="仿宋_GB2312" w:hAnsi="宋体" w:eastAsia="仿宋_GB2312" w:cs="宋体"/>
                <w:color w:val="auto"/>
                <w:sz w:val="13"/>
                <w:szCs w:val="13"/>
                <w:highlight w:val="none"/>
              </w:rPr>
            </w:pPr>
          </w:p>
        </w:tc>
        <w:tc>
          <w:tcPr>
            <w:tcW w:w="1550" w:type="dxa"/>
            <w:vMerge w:val="continue"/>
            <w:tcBorders>
              <w:tl2br w:val="nil"/>
              <w:tr2bl w:val="nil"/>
            </w:tcBorders>
            <w:vAlign w:val="center"/>
          </w:tcPr>
          <w:p w14:paraId="47B8604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sz w:val="13"/>
                <w:szCs w:val="13"/>
                <w:highlight w:val="none"/>
              </w:rPr>
            </w:pPr>
          </w:p>
        </w:tc>
        <w:tc>
          <w:tcPr>
            <w:tcW w:w="4820" w:type="dxa"/>
            <w:vMerge w:val="continue"/>
            <w:tcBorders>
              <w:tl2br w:val="nil"/>
              <w:tr2bl w:val="nil"/>
            </w:tcBorders>
            <w:vAlign w:val="center"/>
          </w:tcPr>
          <w:p w14:paraId="2CCFB0C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0A0BE3F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从重情节</w:t>
            </w:r>
          </w:p>
        </w:tc>
        <w:tc>
          <w:tcPr>
            <w:tcW w:w="3437" w:type="dxa"/>
            <w:gridSpan w:val="2"/>
            <w:tcBorders>
              <w:tl2br w:val="nil"/>
              <w:tr2bl w:val="nil"/>
            </w:tcBorders>
            <w:tcMar>
              <w:top w:w="15" w:type="dxa"/>
              <w:left w:w="15" w:type="dxa"/>
              <w:bottom w:w="15" w:type="dxa"/>
              <w:right w:w="15" w:type="dxa"/>
            </w:tcMar>
            <w:vAlign w:val="center"/>
          </w:tcPr>
          <w:p w14:paraId="4160732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kern w:val="0"/>
                <w:sz w:val="13"/>
                <w:szCs w:val="13"/>
                <w:highlight w:val="none"/>
              </w:rPr>
            </w:pPr>
            <w:r>
              <w:rPr>
                <w:rFonts w:hint="eastAsia" w:ascii="仿宋_GB2312" w:hAnsi="宋体" w:eastAsia="仿宋_GB2312" w:cs="Times New Roman"/>
                <w:color w:val="auto"/>
                <w:kern w:val="0"/>
                <w:sz w:val="13"/>
                <w:szCs w:val="13"/>
                <w:highlight w:val="none"/>
                <w:lang w:val="en-US" w:eastAsia="zh-CN"/>
              </w:rPr>
              <w:t>有下列情形之一的：</w:t>
            </w:r>
            <w:r>
              <w:rPr>
                <w:rFonts w:hint="eastAsia" w:ascii="仿宋_GB2312" w:hAnsi="宋体" w:eastAsia="仿宋_GB2312" w:cs="宋体"/>
                <w:color w:val="auto"/>
                <w:kern w:val="0"/>
                <w:sz w:val="13"/>
                <w:szCs w:val="13"/>
                <w:highlight w:val="none"/>
              </w:rPr>
              <w:t>（1）丢弃、遗撒建筑垃圾污染路面50平方米以上的；（2）责令限期改正后，不及时改正的；（3）造成安全事故的；（4）曾因实施该违法行为被查处，再次实施该违法行为的；（5）严重影响城市市容和环境卫生，造成严重危害后果或重大社会影响的。</w:t>
            </w:r>
          </w:p>
        </w:tc>
        <w:tc>
          <w:tcPr>
            <w:tcW w:w="3058" w:type="dxa"/>
            <w:tcBorders>
              <w:tl2br w:val="nil"/>
              <w:tr2bl w:val="nil"/>
            </w:tcBorders>
            <w:tcMar>
              <w:top w:w="15" w:type="dxa"/>
              <w:left w:w="15" w:type="dxa"/>
              <w:bottom w:w="15" w:type="dxa"/>
              <w:right w:w="15" w:type="dxa"/>
            </w:tcMar>
            <w:vAlign w:val="center"/>
          </w:tcPr>
          <w:p w14:paraId="6D3B8AA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责令限期改正，给予警告，处3万元以上5万元以下罚款。</w:t>
            </w:r>
          </w:p>
        </w:tc>
      </w:tr>
      <w:tr w14:paraId="7E8908B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169" w:hRule="atLeast"/>
          <w:jc w:val="center"/>
        </w:trPr>
        <w:tc>
          <w:tcPr>
            <w:tcW w:w="428" w:type="dxa"/>
            <w:vMerge w:val="restart"/>
            <w:tcBorders>
              <w:tl2br w:val="nil"/>
              <w:tr2bl w:val="nil"/>
            </w:tcBorders>
            <w:tcMar>
              <w:top w:w="15" w:type="dxa"/>
              <w:left w:w="15" w:type="dxa"/>
              <w:bottom w:w="15" w:type="dxa"/>
              <w:right w:w="15" w:type="dxa"/>
            </w:tcMar>
            <w:vAlign w:val="center"/>
          </w:tcPr>
          <w:p w14:paraId="42ADE58D">
            <w:pPr>
              <w:keepNext w:val="0"/>
              <w:keepLines w:val="0"/>
              <w:pageBreakBefore w:val="0"/>
              <w:widowControl/>
              <w:numPr>
                <w:ilvl w:val="0"/>
                <w:numId w:val="11"/>
              </w:numPr>
              <w:suppressLineNumbers w:val="0"/>
              <w:tabs>
                <w:tab w:val="clear" w:pos="397"/>
              </w:tabs>
              <w:kinsoku/>
              <w:overflowPunct/>
              <w:topLinePunct w:val="0"/>
              <w:autoSpaceDE/>
              <w:autoSpaceDN/>
              <w:bidi w:val="0"/>
              <w:adjustRightInd/>
              <w:snapToGrid/>
              <w:spacing w:beforeAutospacing="0" w:afterAutospacing="0" w:line="260" w:lineRule="exact"/>
              <w:ind w:left="638" w:leftChars="88" w:right="0" w:rightChars="0" w:hanging="453" w:hangingChars="349"/>
              <w:jc w:val="center"/>
              <w:textAlignment w:val="center"/>
              <w:rPr>
                <w:rFonts w:hint="default" w:ascii="仿宋_GB2312" w:hAnsi="宋体" w:eastAsia="仿宋_GB2312" w:cs="宋体"/>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349</w:t>
            </w:r>
          </w:p>
        </w:tc>
        <w:tc>
          <w:tcPr>
            <w:tcW w:w="1550" w:type="dxa"/>
            <w:vMerge w:val="restart"/>
            <w:tcBorders>
              <w:tl2br w:val="nil"/>
              <w:tr2bl w:val="nil"/>
            </w:tcBorders>
            <w:tcMar>
              <w:top w:w="15" w:type="dxa"/>
              <w:left w:w="15" w:type="dxa"/>
              <w:bottom w:w="15" w:type="dxa"/>
              <w:right w:w="15" w:type="dxa"/>
            </w:tcMar>
            <w:vAlign w:val="center"/>
          </w:tcPr>
          <w:p w14:paraId="1A76FC2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涂改、倒卖、出租、出借或者以其他形式非法转让城市建筑垃圾处置核准文件的</w:t>
            </w:r>
          </w:p>
        </w:tc>
        <w:tc>
          <w:tcPr>
            <w:tcW w:w="4820" w:type="dxa"/>
            <w:vMerge w:val="restart"/>
            <w:tcBorders>
              <w:tl2br w:val="nil"/>
              <w:tr2bl w:val="nil"/>
            </w:tcBorders>
            <w:tcMar>
              <w:top w:w="15" w:type="dxa"/>
              <w:left w:w="15" w:type="dxa"/>
              <w:bottom w:w="15" w:type="dxa"/>
              <w:right w:w="15" w:type="dxa"/>
            </w:tcMar>
            <w:vAlign w:val="center"/>
          </w:tcPr>
          <w:p w14:paraId="684C2EA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《城市建筑垃圾管理规定》</w:t>
            </w:r>
            <w:r>
              <w:rPr>
                <w:rFonts w:hint="eastAsia" w:ascii="仿宋_GB2312" w:hAnsi="宋体" w:eastAsia="仿宋_GB2312" w:cs="宋体"/>
                <w:b/>
                <w:bCs/>
                <w:color w:val="auto"/>
                <w:kern w:val="0"/>
                <w:sz w:val="13"/>
                <w:szCs w:val="13"/>
                <w:highlight w:val="none"/>
              </w:rPr>
              <w:t>第二十四条</w:t>
            </w:r>
            <w:r>
              <w:rPr>
                <w:rFonts w:hint="eastAsia" w:ascii="仿宋_GB2312" w:hAnsi="宋体" w:eastAsia="仿宋_GB2312" w:cs="宋体"/>
                <w:b/>
                <w:bCs/>
                <w:color w:val="auto"/>
                <w:kern w:val="0"/>
                <w:sz w:val="13"/>
                <w:szCs w:val="13"/>
                <w:highlight w:val="none"/>
                <w:lang w:eastAsia="zh-CN"/>
              </w:rPr>
              <w:t>：</w:t>
            </w:r>
            <w:r>
              <w:rPr>
                <w:rFonts w:hint="eastAsia" w:ascii="仿宋_GB2312" w:hAnsi="宋体" w:eastAsia="仿宋_GB2312" w:cs="宋体"/>
                <w:color w:val="auto"/>
                <w:kern w:val="0"/>
                <w:sz w:val="13"/>
                <w:szCs w:val="13"/>
                <w:highlight w:val="none"/>
              </w:rPr>
              <w:t>涂改、倒卖、出租、出借或者以其他形式非法转让城市建筑垃圾处置核准文件的，由城市人民政府市容环境卫生主管部门责令限期改正，给予警告，处5000元以上2万元以下罚款。</w:t>
            </w:r>
          </w:p>
        </w:tc>
        <w:tc>
          <w:tcPr>
            <w:tcW w:w="823" w:type="dxa"/>
            <w:tcBorders>
              <w:tl2br w:val="nil"/>
              <w:tr2bl w:val="nil"/>
            </w:tcBorders>
            <w:tcMar>
              <w:top w:w="15" w:type="dxa"/>
              <w:left w:w="15" w:type="dxa"/>
              <w:bottom w:w="15" w:type="dxa"/>
              <w:right w:w="15" w:type="dxa"/>
            </w:tcMar>
            <w:vAlign w:val="center"/>
          </w:tcPr>
          <w:p w14:paraId="0B35E3E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从轻情节</w:t>
            </w:r>
          </w:p>
        </w:tc>
        <w:tc>
          <w:tcPr>
            <w:tcW w:w="3437" w:type="dxa"/>
            <w:gridSpan w:val="2"/>
            <w:tcBorders>
              <w:tl2br w:val="nil"/>
              <w:tr2bl w:val="nil"/>
            </w:tcBorders>
            <w:tcMar>
              <w:top w:w="15" w:type="dxa"/>
              <w:left w:w="15" w:type="dxa"/>
              <w:bottom w:w="15" w:type="dxa"/>
              <w:right w:w="15" w:type="dxa"/>
            </w:tcMar>
            <w:vAlign w:val="center"/>
          </w:tcPr>
          <w:p w14:paraId="346E282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初次违法，危害后果轻微，主动消除或减轻违法行为后果的。</w:t>
            </w:r>
          </w:p>
        </w:tc>
        <w:tc>
          <w:tcPr>
            <w:tcW w:w="3058" w:type="dxa"/>
            <w:tcBorders>
              <w:tl2br w:val="nil"/>
              <w:tr2bl w:val="nil"/>
            </w:tcBorders>
            <w:tcMar>
              <w:top w:w="15" w:type="dxa"/>
              <w:left w:w="15" w:type="dxa"/>
              <w:bottom w:w="15" w:type="dxa"/>
              <w:right w:w="15" w:type="dxa"/>
            </w:tcMar>
            <w:vAlign w:val="center"/>
          </w:tcPr>
          <w:p w14:paraId="53FCF93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责令限期改正，给予警告，处5千元罚款。</w:t>
            </w:r>
          </w:p>
        </w:tc>
      </w:tr>
      <w:tr w14:paraId="21ED262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91" w:hRule="atLeast"/>
          <w:jc w:val="center"/>
        </w:trPr>
        <w:tc>
          <w:tcPr>
            <w:tcW w:w="428" w:type="dxa"/>
            <w:vMerge w:val="continue"/>
            <w:tcBorders>
              <w:tl2br w:val="nil"/>
              <w:tr2bl w:val="nil"/>
            </w:tcBorders>
            <w:vAlign w:val="center"/>
          </w:tcPr>
          <w:p w14:paraId="7F41C622">
            <w:pPr>
              <w:pStyle w:val="37"/>
              <w:keepNext w:val="0"/>
              <w:keepLines w:val="0"/>
              <w:pageBreakBefore w:val="0"/>
              <w:widowControl/>
              <w:numPr>
                <w:ilvl w:val="0"/>
                <w:numId w:val="12"/>
              </w:numPr>
              <w:kinsoku/>
              <w:overflowPunct/>
              <w:topLinePunct w:val="0"/>
              <w:autoSpaceDE/>
              <w:autoSpaceDN/>
              <w:bidi w:val="0"/>
              <w:adjustRightInd/>
              <w:snapToGrid/>
              <w:spacing w:beforeAutospacing="0" w:afterAutospacing="0" w:line="260" w:lineRule="exact"/>
              <w:ind w:left="638" w:leftChars="88" w:right="0" w:rightChars="0" w:hanging="453" w:hangingChars="349"/>
              <w:jc w:val="center"/>
              <w:rPr>
                <w:rFonts w:ascii="仿宋_GB2312" w:hAnsi="宋体" w:eastAsia="仿宋_GB2312" w:cs="宋体"/>
                <w:color w:val="auto"/>
                <w:sz w:val="13"/>
                <w:szCs w:val="13"/>
                <w:highlight w:val="none"/>
              </w:rPr>
            </w:pPr>
          </w:p>
        </w:tc>
        <w:tc>
          <w:tcPr>
            <w:tcW w:w="1550" w:type="dxa"/>
            <w:vMerge w:val="continue"/>
            <w:tcBorders>
              <w:tl2br w:val="nil"/>
              <w:tr2bl w:val="nil"/>
            </w:tcBorders>
            <w:vAlign w:val="center"/>
          </w:tcPr>
          <w:p w14:paraId="55AF448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sz w:val="13"/>
                <w:szCs w:val="13"/>
                <w:highlight w:val="none"/>
              </w:rPr>
            </w:pPr>
          </w:p>
        </w:tc>
        <w:tc>
          <w:tcPr>
            <w:tcW w:w="4820" w:type="dxa"/>
            <w:vMerge w:val="continue"/>
            <w:tcBorders>
              <w:tl2br w:val="nil"/>
              <w:tr2bl w:val="nil"/>
            </w:tcBorders>
            <w:vAlign w:val="center"/>
          </w:tcPr>
          <w:p w14:paraId="4440E66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4AE4B01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一般情节</w:t>
            </w:r>
          </w:p>
        </w:tc>
        <w:tc>
          <w:tcPr>
            <w:tcW w:w="3437" w:type="dxa"/>
            <w:gridSpan w:val="2"/>
            <w:tcBorders>
              <w:tl2br w:val="nil"/>
              <w:tr2bl w:val="nil"/>
            </w:tcBorders>
            <w:tcMar>
              <w:top w:w="15" w:type="dxa"/>
              <w:left w:w="15" w:type="dxa"/>
              <w:bottom w:w="15" w:type="dxa"/>
              <w:right w:w="15" w:type="dxa"/>
            </w:tcMar>
            <w:vAlign w:val="center"/>
          </w:tcPr>
          <w:p w14:paraId="2A03CE4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不具有从轻、</w:t>
            </w:r>
            <w:r>
              <w:rPr>
                <w:rFonts w:hint="eastAsia" w:ascii="仿宋_GB2312" w:hAnsi="宋体" w:eastAsia="仿宋_GB2312" w:cs="宋体"/>
                <w:color w:val="auto"/>
                <w:kern w:val="0"/>
                <w:sz w:val="13"/>
                <w:szCs w:val="13"/>
                <w:highlight w:val="none"/>
                <w:lang w:eastAsia="zh-CN"/>
              </w:rPr>
              <w:t>从重情节</w:t>
            </w:r>
            <w:r>
              <w:rPr>
                <w:rFonts w:hint="eastAsia" w:ascii="仿宋_GB2312" w:hAnsi="宋体" w:eastAsia="仿宋_GB2312" w:cs="宋体"/>
                <w:color w:val="auto"/>
                <w:kern w:val="0"/>
                <w:sz w:val="13"/>
                <w:szCs w:val="13"/>
                <w:highlight w:val="none"/>
              </w:rPr>
              <w:t>的。</w:t>
            </w:r>
          </w:p>
        </w:tc>
        <w:tc>
          <w:tcPr>
            <w:tcW w:w="3058" w:type="dxa"/>
            <w:tcBorders>
              <w:tl2br w:val="nil"/>
              <w:tr2bl w:val="nil"/>
            </w:tcBorders>
            <w:tcMar>
              <w:top w:w="15" w:type="dxa"/>
              <w:left w:w="15" w:type="dxa"/>
              <w:bottom w:w="15" w:type="dxa"/>
              <w:right w:w="15" w:type="dxa"/>
            </w:tcMar>
            <w:vAlign w:val="center"/>
          </w:tcPr>
          <w:p w14:paraId="30E2BFC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责令限期改正，给予警告，处5千元以上1万元以下罚款。</w:t>
            </w:r>
          </w:p>
        </w:tc>
      </w:tr>
      <w:tr w14:paraId="02688DB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607" w:hRule="atLeast"/>
          <w:jc w:val="center"/>
        </w:trPr>
        <w:tc>
          <w:tcPr>
            <w:tcW w:w="428" w:type="dxa"/>
            <w:vMerge w:val="continue"/>
            <w:tcBorders>
              <w:tl2br w:val="nil"/>
              <w:tr2bl w:val="nil"/>
            </w:tcBorders>
            <w:vAlign w:val="center"/>
          </w:tcPr>
          <w:p w14:paraId="756E96AD">
            <w:pPr>
              <w:pStyle w:val="37"/>
              <w:keepNext w:val="0"/>
              <w:keepLines w:val="0"/>
              <w:pageBreakBefore w:val="0"/>
              <w:widowControl/>
              <w:numPr>
                <w:ilvl w:val="0"/>
                <w:numId w:val="12"/>
              </w:numPr>
              <w:kinsoku/>
              <w:overflowPunct/>
              <w:topLinePunct w:val="0"/>
              <w:autoSpaceDE/>
              <w:autoSpaceDN/>
              <w:bidi w:val="0"/>
              <w:adjustRightInd/>
              <w:snapToGrid/>
              <w:spacing w:beforeAutospacing="0" w:afterAutospacing="0" w:line="260" w:lineRule="exact"/>
              <w:ind w:left="638" w:leftChars="88" w:right="0" w:rightChars="0" w:hanging="453" w:hangingChars="349"/>
              <w:jc w:val="center"/>
              <w:rPr>
                <w:rFonts w:ascii="仿宋_GB2312" w:hAnsi="宋体" w:eastAsia="仿宋_GB2312" w:cs="宋体"/>
                <w:color w:val="auto"/>
                <w:sz w:val="13"/>
                <w:szCs w:val="13"/>
                <w:highlight w:val="none"/>
              </w:rPr>
            </w:pPr>
          </w:p>
        </w:tc>
        <w:tc>
          <w:tcPr>
            <w:tcW w:w="1550" w:type="dxa"/>
            <w:vMerge w:val="continue"/>
            <w:tcBorders>
              <w:tl2br w:val="nil"/>
              <w:tr2bl w:val="nil"/>
            </w:tcBorders>
            <w:vAlign w:val="center"/>
          </w:tcPr>
          <w:p w14:paraId="31CFF9D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sz w:val="13"/>
                <w:szCs w:val="13"/>
                <w:highlight w:val="none"/>
              </w:rPr>
            </w:pPr>
          </w:p>
        </w:tc>
        <w:tc>
          <w:tcPr>
            <w:tcW w:w="4820" w:type="dxa"/>
            <w:vMerge w:val="continue"/>
            <w:tcBorders>
              <w:tl2br w:val="nil"/>
              <w:tr2bl w:val="nil"/>
            </w:tcBorders>
            <w:vAlign w:val="center"/>
          </w:tcPr>
          <w:p w14:paraId="10C1D07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6570634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从重情节</w:t>
            </w:r>
          </w:p>
        </w:tc>
        <w:tc>
          <w:tcPr>
            <w:tcW w:w="3437" w:type="dxa"/>
            <w:gridSpan w:val="2"/>
            <w:tcBorders>
              <w:tl2br w:val="nil"/>
              <w:tr2bl w:val="nil"/>
            </w:tcBorders>
            <w:tcMar>
              <w:top w:w="15" w:type="dxa"/>
              <w:left w:w="15" w:type="dxa"/>
              <w:bottom w:w="15" w:type="dxa"/>
              <w:right w:w="15" w:type="dxa"/>
            </w:tcMar>
            <w:vAlign w:val="center"/>
          </w:tcPr>
          <w:p w14:paraId="3B08964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Times New Roman"/>
                <w:color w:val="auto"/>
                <w:kern w:val="0"/>
                <w:sz w:val="13"/>
                <w:szCs w:val="13"/>
                <w:highlight w:val="none"/>
                <w:lang w:val="en-US" w:eastAsia="zh-CN"/>
              </w:rPr>
              <w:t>有下列情形之一的：</w:t>
            </w:r>
            <w:r>
              <w:rPr>
                <w:rFonts w:hint="eastAsia" w:ascii="仿宋_GB2312" w:hAnsi="宋体" w:eastAsia="仿宋_GB2312" w:cs="宋体"/>
                <w:color w:val="auto"/>
                <w:kern w:val="0"/>
                <w:sz w:val="13"/>
                <w:szCs w:val="13"/>
                <w:highlight w:val="none"/>
              </w:rPr>
              <w:t>（1）责令限期改正后，不及时改正的；（2）造成安全事故的；（3）曾因实施该违法行为被查处，再次实施该违法行为的；（4）造成重大社会影响的。</w:t>
            </w:r>
          </w:p>
        </w:tc>
        <w:tc>
          <w:tcPr>
            <w:tcW w:w="3058" w:type="dxa"/>
            <w:tcBorders>
              <w:tl2br w:val="nil"/>
              <w:tr2bl w:val="nil"/>
            </w:tcBorders>
            <w:tcMar>
              <w:top w:w="15" w:type="dxa"/>
              <w:left w:w="15" w:type="dxa"/>
              <w:bottom w:w="15" w:type="dxa"/>
              <w:right w:w="15" w:type="dxa"/>
            </w:tcMar>
            <w:vAlign w:val="center"/>
          </w:tcPr>
          <w:p w14:paraId="201D835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责令限期改正，给予警告，处1万元以上2万元以下罚款。</w:t>
            </w:r>
          </w:p>
        </w:tc>
      </w:tr>
      <w:tr w14:paraId="263A71E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403" w:hRule="atLeast"/>
          <w:jc w:val="center"/>
        </w:trPr>
        <w:tc>
          <w:tcPr>
            <w:tcW w:w="428" w:type="dxa"/>
            <w:vMerge w:val="restart"/>
            <w:tcBorders>
              <w:tl2br w:val="nil"/>
              <w:tr2bl w:val="nil"/>
            </w:tcBorders>
            <w:tcMar>
              <w:top w:w="15" w:type="dxa"/>
              <w:left w:w="15" w:type="dxa"/>
              <w:bottom w:w="15" w:type="dxa"/>
              <w:right w:w="15" w:type="dxa"/>
            </w:tcMar>
            <w:vAlign w:val="center"/>
          </w:tcPr>
          <w:p w14:paraId="63F18589">
            <w:pPr>
              <w:keepNext w:val="0"/>
              <w:keepLines w:val="0"/>
              <w:pageBreakBefore w:val="0"/>
              <w:widowControl/>
              <w:numPr>
                <w:ilvl w:val="0"/>
                <w:numId w:val="11"/>
              </w:numPr>
              <w:suppressLineNumbers w:val="0"/>
              <w:tabs>
                <w:tab w:val="clear" w:pos="397"/>
              </w:tabs>
              <w:kinsoku/>
              <w:overflowPunct/>
              <w:topLinePunct w:val="0"/>
              <w:autoSpaceDE/>
              <w:autoSpaceDN/>
              <w:bidi w:val="0"/>
              <w:adjustRightInd/>
              <w:snapToGrid/>
              <w:spacing w:beforeAutospacing="0" w:afterAutospacing="0" w:line="260" w:lineRule="exact"/>
              <w:ind w:left="638" w:leftChars="88" w:right="0" w:rightChars="0" w:hanging="453" w:hangingChars="349"/>
              <w:jc w:val="center"/>
              <w:textAlignment w:val="center"/>
              <w:rPr>
                <w:rFonts w:hint="default" w:ascii="仿宋_GB2312" w:hAnsi="宋体" w:eastAsia="仿宋_GB2312" w:cs="宋体"/>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350</w:t>
            </w:r>
          </w:p>
        </w:tc>
        <w:tc>
          <w:tcPr>
            <w:tcW w:w="1550" w:type="dxa"/>
            <w:vMerge w:val="restart"/>
            <w:tcBorders>
              <w:tl2br w:val="nil"/>
              <w:tr2bl w:val="nil"/>
            </w:tcBorders>
            <w:tcMar>
              <w:top w:w="15" w:type="dxa"/>
              <w:left w:w="15" w:type="dxa"/>
              <w:bottom w:w="15" w:type="dxa"/>
              <w:right w:w="15" w:type="dxa"/>
            </w:tcMar>
            <w:vAlign w:val="center"/>
          </w:tcPr>
          <w:p w14:paraId="3F7D34A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有下列情形之一的：（1）未经核准擅自处置建筑垃圾的；（2）处置超出核准范围的建筑垃圾的</w:t>
            </w:r>
          </w:p>
        </w:tc>
        <w:tc>
          <w:tcPr>
            <w:tcW w:w="4820" w:type="dxa"/>
            <w:vMerge w:val="restart"/>
            <w:tcBorders>
              <w:tl2br w:val="nil"/>
              <w:tr2bl w:val="nil"/>
            </w:tcBorders>
            <w:tcMar>
              <w:top w:w="15" w:type="dxa"/>
              <w:left w:w="15" w:type="dxa"/>
              <w:bottom w:w="15" w:type="dxa"/>
              <w:right w:w="15" w:type="dxa"/>
            </w:tcMar>
            <w:vAlign w:val="center"/>
          </w:tcPr>
          <w:p w14:paraId="7B19795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kern w:val="0"/>
                <w:sz w:val="13"/>
                <w:szCs w:val="13"/>
                <w:highlight w:val="none"/>
              </w:rPr>
            </w:pPr>
            <w:r>
              <w:rPr>
                <w:rFonts w:hint="eastAsia" w:ascii="仿宋_GB2312" w:hAnsi="宋体" w:eastAsia="仿宋_GB2312" w:cs="宋体"/>
                <w:color w:val="auto"/>
                <w:kern w:val="0"/>
                <w:sz w:val="13"/>
                <w:szCs w:val="13"/>
                <w:highlight w:val="none"/>
              </w:rPr>
              <w:t>《城市建筑垃圾管理规定》</w:t>
            </w:r>
            <w:r>
              <w:rPr>
                <w:rFonts w:hint="eastAsia" w:ascii="仿宋_GB2312" w:hAnsi="宋体" w:eastAsia="仿宋_GB2312" w:cs="宋体"/>
                <w:b/>
                <w:bCs/>
                <w:color w:val="auto"/>
                <w:kern w:val="0"/>
                <w:sz w:val="13"/>
                <w:szCs w:val="13"/>
                <w:highlight w:val="none"/>
              </w:rPr>
              <w:t>第二十五条</w:t>
            </w:r>
            <w:r>
              <w:rPr>
                <w:rFonts w:hint="eastAsia" w:ascii="仿宋_GB2312" w:hAnsi="宋体" w:eastAsia="仿宋_GB2312" w:cs="宋体"/>
                <w:b/>
                <w:bCs/>
                <w:color w:val="auto"/>
                <w:kern w:val="0"/>
                <w:sz w:val="13"/>
                <w:szCs w:val="13"/>
                <w:highlight w:val="none"/>
                <w:lang w:eastAsia="zh-CN"/>
              </w:rPr>
              <w:t>：</w:t>
            </w:r>
            <w:r>
              <w:rPr>
                <w:rFonts w:hint="eastAsia" w:ascii="仿宋_GB2312" w:hAnsi="宋体" w:eastAsia="仿宋_GB2312" w:cs="宋体"/>
                <w:color w:val="auto"/>
                <w:kern w:val="0"/>
                <w:sz w:val="13"/>
                <w:szCs w:val="13"/>
                <w:highlight w:val="none"/>
              </w:rPr>
              <w:t>违反本规定，有下列情形之一的，由城市人民政府市容环境卫生主管部门责令限期改正，给予警告，对施工单位处1万元以上10万元以下罚款，对建设单位、运输建筑垃圾的单位处5000元以上3万元以下罚款：（一）未经核准擅自处置建筑垃圾的；（二）处置超出核准范围的建筑垃圾的。</w:t>
            </w:r>
          </w:p>
        </w:tc>
        <w:tc>
          <w:tcPr>
            <w:tcW w:w="823" w:type="dxa"/>
            <w:tcBorders>
              <w:tl2br w:val="nil"/>
              <w:tr2bl w:val="nil"/>
            </w:tcBorders>
            <w:tcMar>
              <w:top w:w="15" w:type="dxa"/>
              <w:left w:w="15" w:type="dxa"/>
              <w:bottom w:w="15" w:type="dxa"/>
              <w:right w:w="15" w:type="dxa"/>
            </w:tcMar>
            <w:vAlign w:val="center"/>
          </w:tcPr>
          <w:p w14:paraId="7FE51C9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从轻情节</w:t>
            </w:r>
          </w:p>
        </w:tc>
        <w:tc>
          <w:tcPr>
            <w:tcW w:w="3437" w:type="dxa"/>
            <w:gridSpan w:val="2"/>
            <w:tcBorders>
              <w:tl2br w:val="nil"/>
              <w:tr2bl w:val="nil"/>
            </w:tcBorders>
            <w:tcMar>
              <w:top w:w="15" w:type="dxa"/>
              <w:left w:w="15" w:type="dxa"/>
              <w:bottom w:w="15" w:type="dxa"/>
              <w:right w:w="15" w:type="dxa"/>
            </w:tcMar>
            <w:vAlign w:val="center"/>
          </w:tcPr>
          <w:p w14:paraId="59B0C24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未经核准擅自处置建筑垃圾20立方米以下的；处置超出核准范围的建筑垃圾20立方米以下的。</w:t>
            </w:r>
          </w:p>
        </w:tc>
        <w:tc>
          <w:tcPr>
            <w:tcW w:w="3058" w:type="dxa"/>
            <w:tcBorders>
              <w:tl2br w:val="nil"/>
              <w:tr2bl w:val="nil"/>
            </w:tcBorders>
            <w:tcMar>
              <w:top w:w="15" w:type="dxa"/>
              <w:left w:w="15" w:type="dxa"/>
              <w:bottom w:w="15" w:type="dxa"/>
              <w:right w:w="15" w:type="dxa"/>
            </w:tcMar>
            <w:vAlign w:val="center"/>
          </w:tcPr>
          <w:p w14:paraId="25DEF43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责令限期改正，给予警告，对施工单位处1万元以上3万元以下罚款，对建设单位、运输建筑垃圾的单位处5千元以上1万元以下罚款。</w:t>
            </w:r>
          </w:p>
        </w:tc>
      </w:tr>
      <w:tr w14:paraId="79ADDEF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395" w:hRule="atLeast"/>
          <w:jc w:val="center"/>
        </w:trPr>
        <w:tc>
          <w:tcPr>
            <w:tcW w:w="428" w:type="dxa"/>
            <w:vMerge w:val="continue"/>
            <w:tcBorders>
              <w:tl2br w:val="nil"/>
              <w:tr2bl w:val="nil"/>
            </w:tcBorders>
            <w:vAlign w:val="center"/>
          </w:tcPr>
          <w:p w14:paraId="7A246500">
            <w:pPr>
              <w:pStyle w:val="37"/>
              <w:keepNext w:val="0"/>
              <w:keepLines w:val="0"/>
              <w:pageBreakBefore w:val="0"/>
              <w:widowControl/>
              <w:numPr>
                <w:ilvl w:val="0"/>
                <w:numId w:val="12"/>
              </w:numPr>
              <w:kinsoku/>
              <w:overflowPunct/>
              <w:topLinePunct w:val="0"/>
              <w:autoSpaceDE/>
              <w:autoSpaceDN/>
              <w:bidi w:val="0"/>
              <w:adjustRightInd/>
              <w:snapToGrid/>
              <w:spacing w:beforeAutospacing="0" w:afterAutospacing="0" w:line="260" w:lineRule="exact"/>
              <w:ind w:left="638" w:leftChars="88" w:right="0" w:rightChars="0" w:hanging="453" w:hangingChars="349"/>
              <w:jc w:val="center"/>
              <w:rPr>
                <w:rFonts w:ascii="仿宋_GB2312" w:hAnsi="宋体" w:eastAsia="仿宋_GB2312" w:cs="宋体"/>
                <w:color w:val="auto"/>
                <w:sz w:val="13"/>
                <w:szCs w:val="13"/>
                <w:highlight w:val="none"/>
              </w:rPr>
            </w:pPr>
          </w:p>
        </w:tc>
        <w:tc>
          <w:tcPr>
            <w:tcW w:w="1550" w:type="dxa"/>
            <w:vMerge w:val="continue"/>
            <w:tcBorders>
              <w:tl2br w:val="nil"/>
              <w:tr2bl w:val="nil"/>
            </w:tcBorders>
            <w:vAlign w:val="center"/>
          </w:tcPr>
          <w:p w14:paraId="0F62843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sz w:val="13"/>
                <w:szCs w:val="13"/>
                <w:highlight w:val="none"/>
              </w:rPr>
            </w:pPr>
          </w:p>
        </w:tc>
        <w:tc>
          <w:tcPr>
            <w:tcW w:w="4820" w:type="dxa"/>
            <w:vMerge w:val="continue"/>
            <w:tcBorders>
              <w:tl2br w:val="nil"/>
              <w:tr2bl w:val="nil"/>
            </w:tcBorders>
            <w:vAlign w:val="center"/>
          </w:tcPr>
          <w:p w14:paraId="4FA7074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615817C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一般情节</w:t>
            </w:r>
          </w:p>
        </w:tc>
        <w:tc>
          <w:tcPr>
            <w:tcW w:w="3437" w:type="dxa"/>
            <w:gridSpan w:val="2"/>
            <w:tcBorders>
              <w:tl2br w:val="nil"/>
              <w:tr2bl w:val="nil"/>
            </w:tcBorders>
            <w:tcMar>
              <w:top w:w="15" w:type="dxa"/>
              <w:left w:w="15" w:type="dxa"/>
              <w:bottom w:w="15" w:type="dxa"/>
              <w:right w:w="15" w:type="dxa"/>
            </w:tcMar>
            <w:vAlign w:val="center"/>
          </w:tcPr>
          <w:p w14:paraId="1326D41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未经核准擅自处置建筑垃圾20-50立方米的；处置超出核准范围的建筑垃圾20-50立方米的。</w:t>
            </w:r>
          </w:p>
        </w:tc>
        <w:tc>
          <w:tcPr>
            <w:tcW w:w="3058" w:type="dxa"/>
            <w:tcBorders>
              <w:tl2br w:val="nil"/>
              <w:tr2bl w:val="nil"/>
            </w:tcBorders>
            <w:tcMar>
              <w:top w:w="15" w:type="dxa"/>
              <w:left w:w="15" w:type="dxa"/>
              <w:bottom w:w="15" w:type="dxa"/>
              <w:right w:w="15" w:type="dxa"/>
            </w:tcMar>
            <w:vAlign w:val="center"/>
          </w:tcPr>
          <w:p w14:paraId="102A8EC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责令限期改正，给予警告，对施工单位处3万元以上5万元以下罚款，对建设单位、运输建筑垃圾的单位处1万元以上2万元以下罚款。</w:t>
            </w:r>
          </w:p>
        </w:tc>
      </w:tr>
      <w:tr w14:paraId="18498B0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360" w:hRule="atLeast"/>
          <w:jc w:val="center"/>
        </w:trPr>
        <w:tc>
          <w:tcPr>
            <w:tcW w:w="428" w:type="dxa"/>
            <w:vMerge w:val="continue"/>
            <w:tcBorders>
              <w:tl2br w:val="nil"/>
              <w:tr2bl w:val="nil"/>
            </w:tcBorders>
            <w:vAlign w:val="center"/>
          </w:tcPr>
          <w:p w14:paraId="712C1569">
            <w:pPr>
              <w:pStyle w:val="37"/>
              <w:keepNext w:val="0"/>
              <w:keepLines w:val="0"/>
              <w:pageBreakBefore w:val="0"/>
              <w:widowControl/>
              <w:numPr>
                <w:ilvl w:val="0"/>
                <w:numId w:val="12"/>
              </w:numPr>
              <w:kinsoku/>
              <w:overflowPunct/>
              <w:topLinePunct w:val="0"/>
              <w:autoSpaceDE/>
              <w:autoSpaceDN/>
              <w:bidi w:val="0"/>
              <w:adjustRightInd/>
              <w:snapToGrid/>
              <w:spacing w:beforeAutospacing="0" w:afterAutospacing="0" w:line="260" w:lineRule="exact"/>
              <w:ind w:left="638" w:leftChars="88" w:right="0" w:rightChars="0" w:hanging="453" w:hangingChars="349"/>
              <w:jc w:val="center"/>
              <w:rPr>
                <w:rFonts w:ascii="仿宋_GB2312" w:hAnsi="宋体" w:eastAsia="仿宋_GB2312" w:cs="宋体"/>
                <w:color w:val="auto"/>
                <w:sz w:val="13"/>
                <w:szCs w:val="13"/>
                <w:highlight w:val="none"/>
              </w:rPr>
            </w:pPr>
          </w:p>
        </w:tc>
        <w:tc>
          <w:tcPr>
            <w:tcW w:w="1550" w:type="dxa"/>
            <w:vMerge w:val="continue"/>
            <w:tcBorders>
              <w:tl2br w:val="nil"/>
              <w:tr2bl w:val="nil"/>
            </w:tcBorders>
            <w:vAlign w:val="center"/>
          </w:tcPr>
          <w:p w14:paraId="7C199E2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sz w:val="13"/>
                <w:szCs w:val="13"/>
                <w:highlight w:val="none"/>
              </w:rPr>
            </w:pPr>
          </w:p>
        </w:tc>
        <w:tc>
          <w:tcPr>
            <w:tcW w:w="4820" w:type="dxa"/>
            <w:vMerge w:val="continue"/>
            <w:tcBorders>
              <w:tl2br w:val="nil"/>
              <w:tr2bl w:val="nil"/>
            </w:tcBorders>
            <w:vAlign w:val="center"/>
          </w:tcPr>
          <w:p w14:paraId="2746C66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1694066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从重情节</w:t>
            </w:r>
          </w:p>
        </w:tc>
        <w:tc>
          <w:tcPr>
            <w:tcW w:w="3437" w:type="dxa"/>
            <w:gridSpan w:val="2"/>
            <w:tcBorders>
              <w:tl2br w:val="nil"/>
              <w:tr2bl w:val="nil"/>
            </w:tcBorders>
            <w:tcMar>
              <w:top w:w="15" w:type="dxa"/>
              <w:left w:w="15" w:type="dxa"/>
              <w:bottom w:w="15" w:type="dxa"/>
              <w:right w:w="15" w:type="dxa"/>
            </w:tcMar>
            <w:vAlign w:val="center"/>
          </w:tcPr>
          <w:p w14:paraId="405C39C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未经核准擅自处置建筑垃圾50立方米以上的，或处置超出核准范围的建筑垃圾50立方米以上的</w:t>
            </w:r>
            <w:r>
              <w:rPr>
                <w:rFonts w:hint="eastAsia" w:ascii="仿宋_GB2312" w:hAnsi="宋体" w:eastAsia="仿宋_GB2312" w:cs="宋体"/>
                <w:color w:val="auto"/>
                <w:kern w:val="0"/>
                <w:sz w:val="13"/>
                <w:szCs w:val="13"/>
                <w:highlight w:val="none"/>
                <w:lang w:eastAsia="zh-CN"/>
              </w:rPr>
              <w:t>，</w:t>
            </w:r>
            <w:r>
              <w:rPr>
                <w:rFonts w:hint="eastAsia" w:ascii="仿宋_GB2312" w:hAnsi="宋体" w:eastAsia="仿宋_GB2312" w:cs="宋体"/>
                <w:color w:val="auto"/>
                <w:kern w:val="0"/>
                <w:sz w:val="13"/>
                <w:szCs w:val="13"/>
                <w:highlight w:val="none"/>
                <w:lang w:val="en-US" w:eastAsia="zh-CN"/>
              </w:rPr>
              <w:t>或</w:t>
            </w:r>
            <w:r>
              <w:rPr>
                <w:rFonts w:hint="eastAsia" w:ascii="仿宋_GB2312" w:hAnsi="宋体" w:eastAsia="仿宋_GB2312" w:cs="宋体"/>
                <w:color w:val="auto"/>
                <w:kern w:val="0"/>
                <w:sz w:val="13"/>
                <w:szCs w:val="13"/>
                <w:highlight w:val="none"/>
              </w:rPr>
              <w:t>造成严重危害后果或影响的。</w:t>
            </w:r>
          </w:p>
        </w:tc>
        <w:tc>
          <w:tcPr>
            <w:tcW w:w="3058" w:type="dxa"/>
            <w:tcBorders>
              <w:tl2br w:val="nil"/>
              <w:tr2bl w:val="nil"/>
            </w:tcBorders>
            <w:tcMar>
              <w:top w:w="15" w:type="dxa"/>
              <w:left w:w="15" w:type="dxa"/>
              <w:bottom w:w="15" w:type="dxa"/>
              <w:right w:w="15" w:type="dxa"/>
            </w:tcMar>
            <w:vAlign w:val="center"/>
          </w:tcPr>
          <w:p w14:paraId="2CA8B8D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责令限期改正，给予警告，对施工单位处5万元以上10万元以下罚款，对建设单位、运输建筑垃圾的单位处2万元以上3万元以下罚款。</w:t>
            </w:r>
          </w:p>
        </w:tc>
      </w:tr>
      <w:tr w14:paraId="23A07B7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169" w:hRule="atLeast"/>
          <w:jc w:val="center"/>
        </w:trPr>
        <w:tc>
          <w:tcPr>
            <w:tcW w:w="428" w:type="dxa"/>
            <w:vMerge w:val="restart"/>
            <w:tcBorders>
              <w:tl2br w:val="nil"/>
              <w:tr2bl w:val="nil"/>
            </w:tcBorders>
            <w:tcMar>
              <w:top w:w="15" w:type="dxa"/>
              <w:left w:w="15" w:type="dxa"/>
              <w:bottom w:w="15" w:type="dxa"/>
              <w:right w:w="15" w:type="dxa"/>
            </w:tcMar>
            <w:vAlign w:val="center"/>
          </w:tcPr>
          <w:p w14:paraId="661D4613">
            <w:pPr>
              <w:keepNext w:val="0"/>
              <w:keepLines w:val="0"/>
              <w:pageBreakBefore w:val="0"/>
              <w:widowControl/>
              <w:numPr>
                <w:ilvl w:val="0"/>
                <w:numId w:val="11"/>
              </w:numPr>
              <w:suppressLineNumbers w:val="0"/>
              <w:tabs>
                <w:tab w:val="clear" w:pos="397"/>
              </w:tabs>
              <w:kinsoku/>
              <w:overflowPunct/>
              <w:topLinePunct w:val="0"/>
              <w:autoSpaceDE/>
              <w:autoSpaceDN/>
              <w:bidi w:val="0"/>
              <w:adjustRightInd/>
              <w:snapToGrid/>
              <w:spacing w:beforeAutospacing="0" w:afterAutospacing="0" w:line="260" w:lineRule="exact"/>
              <w:ind w:left="638" w:leftChars="88" w:right="0" w:rightChars="0" w:hanging="453" w:hangingChars="349"/>
              <w:jc w:val="center"/>
              <w:textAlignment w:val="center"/>
              <w:rPr>
                <w:rFonts w:hint="default" w:ascii="仿宋_GB2312" w:hAnsi="宋体" w:eastAsia="仿宋_GB2312" w:cs="宋体"/>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351</w:t>
            </w:r>
          </w:p>
        </w:tc>
        <w:tc>
          <w:tcPr>
            <w:tcW w:w="1550" w:type="dxa"/>
            <w:vMerge w:val="restart"/>
            <w:tcBorders>
              <w:tl2br w:val="nil"/>
              <w:tr2bl w:val="nil"/>
            </w:tcBorders>
            <w:tcMar>
              <w:top w:w="15" w:type="dxa"/>
              <w:left w:w="15" w:type="dxa"/>
              <w:bottom w:w="15" w:type="dxa"/>
              <w:right w:w="15" w:type="dxa"/>
            </w:tcMar>
            <w:vAlign w:val="center"/>
          </w:tcPr>
          <w:p w14:paraId="0641024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任何单位和个人随意倾倒、抛撒或者堆放建筑垃圾的</w:t>
            </w:r>
          </w:p>
        </w:tc>
        <w:tc>
          <w:tcPr>
            <w:tcW w:w="4820" w:type="dxa"/>
            <w:vMerge w:val="restart"/>
            <w:tcBorders>
              <w:tl2br w:val="nil"/>
              <w:tr2bl w:val="nil"/>
            </w:tcBorders>
            <w:tcMar>
              <w:top w:w="15" w:type="dxa"/>
              <w:left w:w="15" w:type="dxa"/>
              <w:bottom w:w="15" w:type="dxa"/>
              <w:right w:w="15" w:type="dxa"/>
            </w:tcMar>
            <w:vAlign w:val="center"/>
          </w:tcPr>
          <w:p w14:paraId="4E12A88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《城市建筑垃圾管理规定》</w:t>
            </w:r>
            <w:r>
              <w:rPr>
                <w:rFonts w:hint="eastAsia" w:ascii="仿宋_GB2312" w:hAnsi="宋体" w:eastAsia="仿宋_GB2312" w:cs="宋体"/>
                <w:b/>
                <w:bCs/>
                <w:color w:val="auto"/>
                <w:kern w:val="0"/>
                <w:sz w:val="13"/>
                <w:szCs w:val="13"/>
                <w:highlight w:val="none"/>
              </w:rPr>
              <w:t>第二十六条</w:t>
            </w:r>
            <w:r>
              <w:rPr>
                <w:rFonts w:hint="eastAsia" w:ascii="仿宋_GB2312" w:hAnsi="宋体" w:eastAsia="仿宋_GB2312" w:cs="宋体"/>
                <w:b/>
                <w:bCs/>
                <w:color w:val="auto"/>
                <w:kern w:val="0"/>
                <w:sz w:val="13"/>
                <w:szCs w:val="13"/>
                <w:highlight w:val="none"/>
                <w:lang w:eastAsia="zh-CN"/>
              </w:rPr>
              <w:t>：</w:t>
            </w:r>
            <w:r>
              <w:rPr>
                <w:rFonts w:hint="eastAsia" w:ascii="仿宋_GB2312" w:hAnsi="宋体" w:eastAsia="仿宋_GB2312" w:cs="宋体"/>
                <w:color w:val="auto"/>
                <w:kern w:val="0"/>
                <w:sz w:val="13"/>
                <w:szCs w:val="13"/>
                <w:highlight w:val="none"/>
              </w:rPr>
              <w:t>任何单位和个人随意倾倒、抛撒或者堆放建筑垃圾的，由城市人民政府市容环境卫生主管部门责令限期改正，给予警告，并对单位处5000元以上5万元以下罚款，对个人处200元以下罚款。</w:t>
            </w:r>
          </w:p>
        </w:tc>
        <w:tc>
          <w:tcPr>
            <w:tcW w:w="823" w:type="dxa"/>
            <w:tcBorders>
              <w:tl2br w:val="nil"/>
              <w:tr2bl w:val="nil"/>
            </w:tcBorders>
            <w:tcMar>
              <w:top w:w="15" w:type="dxa"/>
              <w:left w:w="15" w:type="dxa"/>
              <w:bottom w:w="15" w:type="dxa"/>
              <w:right w:w="15" w:type="dxa"/>
            </w:tcMar>
            <w:vAlign w:val="center"/>
          </w:tcPr>
          <w:p w14:paraId="5ED7AC6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从轻情节</w:t>
            </w:r>
          </w:p>
        </w:tc>
        <w:tc>
          <w:tcPr>
            <w:tcW w:w="3437" w:type="dxa"/>
            <w:gridSpan w:val="2"/>
            <w:tcBorders>
              <w:tl2br w:val="nil"/>
              <w:tr2bl w:val="nil"/>
            </w:tcBorders>
            <w:tcMar>
              <w:top w:w="15" w:type="dxa"/>
              <w:left w:w="15" w:type="dxa"/>
              <w:bottom w:w="15" w:type="dxa"/>
              <w:right w:w="15" w:type="dxa"/>
            </w:tcMar>
            <w:vAlign w:val="center"/>
          </w:tcPr>
          <w:p w14:paraId="57B836F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随意倾倒、抛撒或者堆放建筑垃圾20立方米以下的。</w:t>
            </w:r>
          </w:p>
        </w:tc>
        <w:tc>
          <w:tcPr>
            <w:tcW w:w="3058" w:type="dxa"/>
            <w:tcBorders>
              <w:tl2br w:val="nil"/>
              <w:tr2bl w:val="nil"/>
            </w:tcBorders>
            <w:tcMar>
              <w:top w:w="15" w:type="dxa"/>
              <w:left w:w="15" w:type="dxa"/>
              <w:bottom w:w="15" w:type="dxa"/>
              <w:right w:w="15" w:type="dxa"/>
            </w:tcMar>
            <w:vAlign w:val="center"/>
          </w:tcPr>
          <w:p w14:paraId="2A3618D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责令限期改正，给予警告，并对单位处5千元以上1万元以下罚款，对个人处50元以下罚款。</w:t>
            </w:r>
          </w:p>
        </w:tc>
      </w:tr>
      <w:tr w14:paraId="590C0E9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325" w:hRule="atLeast"/>
          <w:jc w:val="center"/>
        </w:trPr>
        <w:tc>
          <w:tcPr>
            <w:tcW w:w="428" w:type="dxa"/>
            <w:vMerge w:val="continue"/>
            <w:tcBorders>
              <w:tl2br w:val="nil"/>
              <w:tr2bl w:val="nil"/>
            </w:tcBorders>
            <w:vAlign w:val="center"/>
          </w:tcPr>
          <w:p w14:paraId="50B17402">
            <w:pPr>
              <w:pStyle w:val="37"/>
              <w:keepNext w:val="0"/>
              <w:keepLines w:val="0"/>
              <w:pageBreakBefore w:val="0"/>
              <w:widowControl/>
              <w:numPr>
                <w:ilvl w:val="0"/>
                <w:numId w:val="12"/>
              </w:numPr>
              <w:kinsoku/>
              <w:overflowPunct/>
              <w:topLinePunct w:val="0"/>
              <w:autoSpaceDE/>
              <w:autoSpaceDN/>
              <w:bidi w:val="0"/>
              <w:adjustRightInd/>
              <w:snapToGrid/>
              <w:spacing w:beforeAutospacing="0" w:afterAutospacing="0" w:line="260" w:lineRule="exact"/>
              <w:ind w:left="638" w:leftChars="88" w:right="0" w:rightChars="0" w:hanging="453" w:hangingChars="349"/>
              <w:jc w:val="center"/>
              <w:rPr>
                <w:rFonts w:ascii="仿宋_GB2312" w:hAnsi="宋体" w:eastAsia="仿宋_GB2312" w:cs="宋体"/>
                <w:color w:val="auto"/>
                <w:sz w:val="13"/>
                <w:szCs w:val="13"/>
                <w:highlight w:val="none"/>
              </w:rPr>
            </w:pPr>
          </w:p>
        </w:tc>
        <w:tc>
          <w:tcPr>
            <w:tcW w:w="1550" w:type="dxa"/>
            <w:vMerge w:val="continue"/>
            <w:tcBorders>
              <w:tl2br w:val="nil"/>
              <w:tr2bl w:val="nil"/>
            </w:tcBorders>
            <w:vAlign w:val="center"/>
          </w:tcPr>
          <w:p w14:paraId="5808231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sz w:val="13"/>
                <w:szCs w:val="13"/>
                <w:highlight w:val="none"/>
              </w:rPr>
            </w:pPr>
          </w:p>
        </w:tc>
        <w:tc>
          <w:tcPr>
            <w:tcW w:w="4820" w:type="dxa"/>
            <w:vMerge w:val="continue"/>
            <w:tcBorders>
              <w:tl2br w:val="nil"/>
              <w:tr2bl w:val="nil"/>
            </w:tcBorders>
            <w:vAlign w:val="center"/>
          </w:tcPr>
          <w:p w14:paraId="77A7BC1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212AA56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一般情节</w:t>
            </w:r>
          </w:p>
        </w:tc>
        <w:tc>
          <w:tcPr>
            <w:tcW w:w="3437" w:type="dxa"/>
            <w:gridSpan w:val="2"/>
            <w:tcBorders>
              <w:tl2br w:val="nil"/>
              <w:tr2bl w:val="nil"/>
            </w:tcBorders>
            <w:tcMar>
              <w:top w:w="15" w:type="dxa"/>
              <w:left w:w="15" w:type="dxa"/>
              <w:bottom w:w="15" w:type="dxa"/>
              <w:right w:w="15" w:type="dxa"/>
            </w:tcMar>
            <w:vAlign w:val="center"/>
          </w:tcPr>
          <w:p w14:paraId="311C79A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随意倾倒、抛撒或者堆放建筑垃圾20立方米以上50立方米以下的。</w:t>
            </w:r>
          </w:p>
        </w:tc>
        <w:tc>
          <w:tcPr>
            <w:tcW w:w="3058" w:type="dxa"/>
            <w:tcBorders>
              <w:tl2br w:val="nil"/>
              <w:tr2bl w:val="nil"/>
            </w:tcBorders>
            <w:tcMar>
              <w:top w:w="15" w:type="dxa"/>
              <w:left w:w="15" w:type="dxa"/>
              <w:bottom w:w="15" w:type="dxa"/>
              <w:right w:w="15" w:type="dxa"/>
            </w:tcMar>
            <w:vAlign w:val="center"/>
          </w:tcPr>
          <w:p w14:paraId="2015872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责令限期改正，给予警告，并对单位处1万元以上3万元以下罚款，对个人处50元以上100元以下罚款。</w:t>
            </w:r>
          </w:p>
        </w:tc>
      </w:tr>
      <w:tr w14:paraId="1CFEE6B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580" w:hRule="atLeast"/>
          <w:jc w:val="center"/>
        </w:trPr>
        <w:tc>
          <w:tcPr>
            <w:tcW w:w="428" w:type="dxa"/>
            <w:vMerge w:val="continue"/>
            <w:tcBorders>
              <w:tl2br w:val="nil"/>
              <w:tr2bl w:val="nil"/>
            </w:tcBorders>
            <w:vAlign w:val="center"/>
          </w:tcPr>
          <w:p w14:paraId="2EF4FED5">
            <w:pPr>
              <w:pStyle w:val="37"/>
              <w:keepNext w:val="0"/>
              <w:keepLines w:val="0"/>
              <w:pageBreakBefore w:val="0"/>
              <w:widowControl/>
              <w:numPr>
                <w:ilvl w:val="0"/>
                <w:numId w:val="12"/>
              </w:numPr>
              <w:kinsoku/>
              <w:overflowPunct/>
              <w:topLinePunct w:val="0"/>
              <w:autoSpaceDE/>
              <w:autoSpaceDN/>
              <w:bidi w:val="0"/>
              <w:adjustRightInd/>
              <w:snapToGrid/>
              <w:spacing w:beforeAutospacing="0" w:afterAutospacing="0" w:line="260" w:lineRule="exact"/>
              <w:ind w:left="638" w:leftChars="88" w:right="0" w:rightChars="0" w:hanging="453" w:hangingChars="349"/>
              <w:jc w:val="center"/>
              <w:rPr>
                <w:rFonts w:ascii="仿宋_GB2312" w:hAnsi="宋体" w:eastAsia="仿宋_GB2312" w:cs="宋体"/>
                <w:color w:val="auto"/>
                <w:sz w:val="13"/>
                <w:szCs w:val="13"/>
                <w:highlight w:val="none"/>
              </w:rPr>
            </w:pPr>
          </w:p>
        </w:tc>
        <w:tc>
          <w:tcPr>
            <w:tcW w:w="1550" w:type="dxa"/>
            <w:vMerge w:val="continue"/>
            <w:tcBorders>
              <w:tl2br w:val="nil"/>
              <w:tr2bl w:val="nil"/>
            </w:tcBorders>
            <w:vAlign w:val="center"/>
          </w:tcPr>
          <w:p w14:paraId="047F090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sz w:val="13"/>
                <w:szCs w:val="13"/>
                <w:highlight w:val="none"/>
              </w:rPr>
            </w:pPr>
          </w:p>
        </w:tc>
        <w:tc>
          <w:tcPr>
            <w:tcW w:w="4820" w:type="dxa"/>
            <w:vMerge w:val="continue"/>
            <w:tcBorders>
              <w:tl2br w:val="nil"/>
              <w:tr2bl w:val="nil"/>
            </w:tcBorders>
            <w:vAlign w:val="center"/>
          </w:tcPr>
          <w:p w14:paraId="7D875C2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4A5836B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从重情节</w:t>
            </w:r>
          </w:p>
        </w:tc>
        <w:tc>
          <w:tcPr>
            <w:tcW w:w="3437" w:type="dxa"/>
            <w:gridSpan w:val="2"/>
            <w:tcBorders>
              <w:tl2br w:val="nil"/>
              <w:tr2bl w:val="nil"/>
            </w:tcBorders>
            <w:tcMar>
              <w:top w:w="15" w:type="dxa"/>
              <w:left w:w="15" w:type="dxa"/>
              <w:bottom w:w="15" w:type="dxa"/>
              <w:right w:w="15" w:type="dxa"/>
            </w:tcMar>
            <w:vAlign w:val="center"/>
          </w:tcPr>
          <w:p w14:paraId="29BF07AE">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rPr>
                <w:rFonts w:ascii="仿宋_GB2312" w:hAnsi="宋体" w:eastAsia="仿宋_GB2312" w:cs="宋体"/>
                <w:color w:val="auto"/>
                <w:kern w:val="0"/>
                <w:sz w:val="13"/>
                <w:szCs w:val="13"/>
                <w:highlight w:val="none"/>
              </w:rPr>
            </w:pPr>
            <w:r>
              <w:rPr>
                <w:rFonts w:hint="eastAsia" w:ascii="仿宋_GB2312" w:hAnsi="宋体" w:eastAsia="仿宋_GB2312" w:cs="Times New Roman"/>
                <w:color w:val="auto"/>
                <w:kern w:val="0"/>
                <w:sz w:val="13"/>
                <w:szCs w:val="13"/>
                <w:highlight w:val="none"/>
                <w:lang w:val="en-US" w:eastAsia="zh-CN"/>
              </w:rPr>
              <w:t>有下列情形之一的：</w:t>
            </w:r>
            <w:r>
              <w:rPr>
                <w:rFonts w:hint="eastAsia" w:ascii="仿宋_GB2312" w:hAnsi="宋体" w:eastAsia="仿宋_GB2312" w:cs="宋体"/>
                <w:color w:val="auto"/>
                <w:kern w:val="0"/>
                <w:sz w:val="13"/>
                <w:szCs w:val="13"/>
                <w:highlight w:val="none"/>
              </w:rPr>
              <w:t>（1）随意倾倒、抛撒或者堆放建筑垃圾50立方米以上的；（2）责令限期改正后，不及时改正的；（3）造成安全事故的，造成重大社会影响的；（4）曾因实施该违法行为被查处，再次实施该违法行为的。</w:t>
            </w:r>
          </w:p>
        </w:tc>
        <w:tc>
          <w:tcPr>
            <w:tcW w:w="3058" w:type="dxa"/>
            <w:tcBorders>
              <w:tl2br w:val="nil"/>
              <w:tr2bl w:val="nil"/>
            </w:tcBorders>
            <w:tcMar>
              <w:top w:w="15" w:type="dxa"/>
              <w:left w:w="15" w:type="dxa"/>
              <w:bottom w:w="15" w:type="dxa"/>
              <w:right w:w="15" w:type="dxa"/>
            </w:tcMar>
            <w:vAlign w:val="center"/>
          </w:tcPr>
          <w:p w14:paraId="44FA907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责令限期改正，给予警告，并对单位处3万元以上5万元以下罚款，对个人处100元以上200元以下罚款。</w:t>
            </w:r>
          </w:p>
        </w:tc>
      </w:tr>
      <w:tr w14:paraId="6263C42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325" w:hRule="atLeast"/>
          <w:jc w:val="center"/>
        </w:trPr>
        <w:tc>
          <w:tcPr>
            <w:tcW w:w="428" w:type="dxa"/>
            <w:vMerge w:val="restart"/>
            <w:tcBorders>
              <w:tl2br w:val="nil"/>
              <w:tr2bl w:val="nil"/>
            </w:tcBorders>
            <w:tcMar>
              <w:top w:w="15" w:type="dxa"/>
              <w:left w:w="15" w:type="dxa"/>
              <w:bottom w:w="15" w:type="dxa"/>
              <w:right w:w="15" w:type="dxa"/>
            </w:tcMar>
            <w:vAlign w:val="center"/>
          </w:tcPr>
          <w:p w14:paraId="6E2992F9">
            <w:pPr>
              <w:keepNext w:val="0"/>
              <w:keepLines w:val="0"/>
              <w:pageBreakBefore w:val="0"/>
              <w:widowControl/>
              <w:numPr>
                <w:ilvl w:val="0"/>
                <w:numId w:val="11"/>
              </w:numPr>
              <w:suppressLineNumbers w:val="0"/>
              <w:tabs>
                <w:tab w:val="clear" w:pos="397"/>
              </w:tabs>
              <w:kinsoku/>
              <w:overflowPunct/>
              <w:topLinePunct w:val="0"/>
              <w:autoSpaceDE/>
              <w:autoSpaceDN/>
              <w:bidi w:val="0"/>
              <w:adjustRightInd/>
              <w:snapToGrid/>
              <w:spacing w:beforeAutospacing="0" w:afterAutospacing="0" w:line="260" w:lineRule="exact"/>
              <w:ind w:left="638" w:leftChars="88" w:right="0" w:rightChars="0" w:hanging="453" w:hangingChars="349"/>
              <w:jc w:val="center"/>
              <w:textAlignment w:val="center"/>
              <w:rPr>
                <w:rFonts w:hint="default" w:ascii="仿宋_GB2312" w:hAnsi="宋体" w:eastAsia="仿宋_GB2312" w:cs="宋体"/>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352</w:t>
            </w:r>
          </w:p>
        </w:tc>
        <w:tc>
          <w:tcPr>
            <w:tcW w:w="1550" w:type="dxa"/>
            <w:vMerge w:val="restart"/>
            <w:tcBorders>
              <w:tl2br w:val="nil"/>
              <w:tr2bl w:val="nil"/>
            </w:tcBorders>
            <w:tcMar>
              <w:top w:w="15" w:type="dxa"/>
              <w:left w:w="15" w:type="dxa"/>
              <w:bottom w:w="15" w:type="dxa"/>
              <w:right w:w="15" w:type="dxa"/>
            </w:tcMar>
            <w:vAlign w:val="center"/>
          </w:tcPr>
          <w:p w14:paraId="3665744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单位和个人未按规定缴纳城市生活垃圾处理费的</w:t>
            </w:r>
          </w:p>
        </w:tc>
        <w:tc>
          <w:tcPr>
            <w:tcW w:w="4820" w:type="dxa"/>
            <w:vMerge w:val="restart"/>
            <w:tcBorders>
              <w:tl2br w:val="nil"/>
              <w:tr2bl w:val="nil"/>
            </w:tcBorders>
            <w:tcMar>
              <w:top w:w="15" w:type="dxa"/>
              <w:left w:w="15" w:type="dxa"/>
              <w:bottom w:w="15" w:type="dxa"/>
              <w:right w:w="15" w:type="dxa"/>
            </w:tcMar>
            <w:vAlign w:val="center"/>
          </w:tcPr>
          <w:p w14:paraId="621449C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《城市生活垃圾管理办法》</w:t>
            </w:r>
            <w:r>
              <w:rPr>
                <w:rFonts w:hint="eastAsia" w:ascii="仿宋_GB2312" w:hAnsi="宋体" w:eastAsia="仿宋_GB2312" w:cs="宋体"/>
                <w:b/>
                <w:bCs/>
                <w:color w:val="auto"/>
                <w:kern w:val="0"/>
                <w:sz w:val="13"/>
                <w:szCs w:val="13"/>
                <w:highlight w:val="none"/>
              </w:rPr>
              <w:t>第三十八条</w:t>
            </w:r>
            <w:r>
              <w:rPr>
                <w:rFonts w:hint="eastAsia" w:ascii="仿宋_GB2312" w:hAnsi="宋体" w:eastAsia="仿宋_GB2312" w:cs="宋体"/>
                <w:b/>
                <w:bCs/>
                <w:color w:val="auto"/>
                <w:kern w:val="0"/>
                <w:sz w:val="13"/>
                <w:szCs w:val="13"/>
                <w:highlight w:val="none"/>
                <w:lang w:eastAsia="zh-CN"/>
              </w:rPr>
              <w:t>：</w:t>
            </w:r>
            <w:r>
              <w:rPr>
                <w:rFonts w:hint="eastAsia" w:ascii="仿宋_GB2312" w:hAnsi="宋体" w:eastAsia="仿宋_GB2312" w:cs="宋体"/>
                <w:color w:val="auto"/>
                <w:kern w:val="0"/>
                <w:sz w:val="13"/>
                <w:szCs w:val="13"/>
                <w:highlight w:val="none"/>
              </w:rPr>
              <w:t>单位和个人未按规定缴纳城市生活垃圾处理费的，由直辖市、市、县人民政府建设（环境卫生）主管部门责令限期改正，逾期不改正的，对单位可处以应交城市生活垃圾处理费3倍以下且不超过3万元的罚款，对个人可处以应交城市生活垃圾处理费3倍以下且不超过1000元的罚款。</w:t>
            </w:r>
          </w:p>
        </w:tc>
        <w:tc>
          <w:tcPr>
            <w:tcW w:w="823" w:type="dxa"/>
            <w:tcBorders>
              <w:tl2br w:val="nil"/>
              <w:tr2bl w:val="nil"/>
            </w:tcBorders>
            <w:tcMar>
              <w:top w:w="15" w:type="dxa"/>
              <w:left w:w="15" w:type="dxa"/>
              <w:bottom w:w="15" w:type="dxa"/>
              <w:right w:w="15" w:type="dxa"/>
            </w:tcMar>
            <w:vAlign w:val="center"/>
          </w:tcPr>
          <w:p w14:paraId="42F85C3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从轻情节</w:t>
            </w:r>
          </w:p>
        </w:tc>
        <w:tc>
          <w:tcPr>
            <w:tcW w:w="3437" w:type="dxa"/>
            <w:gridSpan w:val="2"/>
            <w:tcBorders>
              <w:tl2br w:val="nil"/>
              <w:tr2bl w:val="nil"/>
            </w:tcBorders>
            <w:tcMar>
              <w:top w:w="15" w:type="dxa"/>
              <w:left w:w="15" w:type="dxa"/>
              <w:bottom w:w="15" w:type="dxa"/>
              <w:right w:w="15" w:type="dxa"/>
            </w:tcMar>
            <w:vAlign w:val="center"/>
          </w:tcPr>
          <w:p w14:paraId="2662B49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初次违法，危害后果轻微的。</w:t>
            </w:r>
          </w:p>
        </w:tc>
        <w:tc>
          <w:tcPr>
            <w:tcW w:w="3058" w:type="dxa"/>
            <w:tcBorders>
              <w:tl2br w:val="nil"/>
              <w:tr2bl w:val="nil"/>
            </w:tcBorders>
            <w:tcMar>
              <w:top w:w="15" w:type="dxa"/>
              <w:left w:w="15" w:type="dxa"/>
              <w:bottom w:w="15" w:type="dxa"/>
              <w:right w:w="15" w:type="dxa"/>
            </w:tcMar>
            <w:vAlign w:val="center"/>
          </w:tcPr>
          <w:p w14:paraId="1750A37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责令限期改正，逾期不改正的，对单位可处以应交城市生活垃圾处理费1倍以下且不超过1万元的罚款，对个人可处以应交城市生活垃圾处理费1倍以下且不超过300元的罚款。</w:t>
            </w:r>
          </w:p>
        </w:tc>
      </w:tr>
      <w:tr w14:paraId="60E1DE2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325" w:hRule="atLeast"/>
          <w:jc w:val="center"/>
        </w:trPr>
        <w:tc>
          <w:tcPr>
            <w:tcW w:w="428" w:type="dxa"/>
            <w:vMerge w:val="continue"/>
            <w:tcBorders>
              <w:tl2br w:val="nil"/>
              <w:tr2bl w:val="nil"/>
            </w:tcBorders>
            <w:vAlign w:val="center"/>
          </w:tcPr>
          <w:p w14:paraId="5B8B4D17">
            <w:pPr>
              <w:pStyle w:val="37"/>
              <w:keepNext w:val="0"/>
              <w:keepLines w:val="0"/>
              <w:pageBreakBefore w:val="0"/>
              <w:widowControl/>
              <w:numPr>
                <w:ilvl w:val="0"/>
                <w:numId w:val="12"/>
              </w:numPr>
              <w:kinsoku/>
              <w:overflowPunct/>
              <w:topLinePunct w:val="0"/>
              <w:autoSpaceDE/>
              <w:autoSpaceDN/>
              <w:bidi w:val="0"/>
              <w:adjustRightInd/>
              <w:snapToGrid/>
              <w:spacing w:beforeAutospacing="0" w:afterAutospacing="0" w:line="260" w:lineRule="exact"/>
              <w:ind w:left="638" w:leftChars="88" w:right="0" w:rightChars="0" w:hanging="453" w:hangingChars="349"/>
              <w:jc w:val="center"/>
              <w:rPr>
                <w:rFonts w:ascii="仿宋_GB2312" w:hAnsi="宋体" w:eastAsia="仿宋_GB2312" w:cs="宋体"/>
                <w:color w:val="auto"/>
                <w:sz w:val="13"/>
                <w:szCs w:val="13"/>
                <w:highlight w:val="none"/>
              </w:rPr>
            </w:pPr>
          </w:p>
        </w:tc>
        <w:tc>
          <w:tcPr>
            <w:tcW w:w="1550" w:type="dxa"/>
            <w:vMerge w:val="continue"/>
            <w:tcBorders>
              <w:tl2br w:val="nil"/>
              <w:tr2bl w:val="nil"/>
            </w:tcBorders>
            <w:vAlign w:val="center"/>
          </w:tcPr>
          <w:p w14:paraId="42283A9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sz w:val="13"/>
                <w:szCs w:val="13"/>
                <w:highlight w:val="none"/>
              </w:rPr>
            </w:pPr>
          </w:p>
        </w:tc>
        <w:tc>
          <w:tcPr>
            <w:tcW w:w="4820" w:type="dxa"/>
            <w:vMerge w:val="continue"/>
            <w:tcBorders>
              <w:tl2br w:val="nil"/>
              <w:tr2bl w:val="nil"/>
            </w:tcBorders>
            <w:vAlign w:val="center"/>
          </w:tcPr>
          <w:p w14:paraId="52797C6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1F8183B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一般情节</w:t>
            </w:r>
          </w:p>
        </w:tc>
        <w:tc>
          <w:tcPr>
            <w:tcW w:w="3437" w:type="dxa"/>
            <w:gridSpan w:val="2"/>
            <w:tcBorders>
              <w:tl2br w:val="nil"/>
              <w:tr2bl w:val="nil"/>
            </w:tcBorders>
            <w:tcMar>
              <w:top w:w="15" w:type="dxa"/>
              <w:left w:w="15" w:type="dxa"/>
              <w:bottom w:w="15" w:type="dxa"/>
              <w:right w:w="15" w:type="dxa"/>
            </w:tcMar>
            <w:vAlign w:val="center"/>
          </w:tcPr>
          <w:p w14:paraId="49A0E21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不具有从轻、</w:t>
            </w:r>
            <w:r>
              <w:rPr>
                <w:rFonts w:hint="eastAsia" w:ascii="仿宋_GB2312" w:hAnsi="宋体" w:eastAsia="仿宋_GB2312" w:cs="宋体"/>
                <w:color w:val="auto"/>
                <w:kern w:val="0"/>
                <w:sz w:val="13"/>
                <w:szCs w:val="13"/>
                <w:highlight w:val="none"/>
                <w:lang w:eastAsia="zh-CN"/>
              </w:rPr>
              <w:t>从重情节</w:t>
            </w:r>
            <w:r>
              <w:rPr>
                <w:rFonts w:hint="eastAsia" w:ascii="仿宋_GB2312" w:hAnsi="宋体" w:eastAsia="仿宋_GB2312" w:cs="宋体"/>
                <w:color w:val="auto"/>
                <w:kern w:val="0"/>
                <w:sz w:val="13"/>
                <w:szCs w:val="13"/>
                <w:highlight w:val="none"/>
              </w:rPr>
              <w:t>的。</w:t>
            </w:r>
          </w:p>
        </w:tc>
        <w:tc>
          <w:tcPr>
            <w:tcW w:w="3058" w:type="dxa"/>
            <w:tcBorders>
              <w:tl2br w:val="nil"/>
              <w:tr2bl w:val="nil"/>
            </w:tcBorders>
            <w:tcMar>
              <w:top w:w="15" w:type="dxa"/>
              <w:left w:w="15" w:type="dxa"/>
              <w:bottom w:w="15" w:type="dxa"/>
              <w:right w:w="15" w:type="dxa"/>
            </w:tcMar>
            <w:vAlign w:val="center"/>
          </w:tcPr>
          <w:p w14:paraId="6273754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责令限期改正，逾期不改正的，对单位可处以应交城市生活垃圾处理费1倍以上2倍以下且不超过2万元的罚款，对个人可处以应交城市生活垃圾处理费1倍以上2倍以下且不超过500元的罚款。</w:t>
            </w:r>
          </w:p>
        </w:tc>
      </w:tr>
      <w:tr w14:paraId="1449E55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325" w:hRule="atLeast"/>
          <w:jc w:val="center"/>
        </w:trPr>
        <w:tc>
          <w:tcPr>
            <w:tcW w:w="428" w:type="dxa"/>
            <w:vMerge w:val="continue"/>
            <w:tcBorders>
              <w:tl2br w:val="nil"/>
              <w:tr2bl w:val="nil"/>
            </w:tcBorders>
            <w:vAlign w:val="center"/>
          </w:tcPr>
          <w:p w14:paraId="7BEE0CC4">
            <w:pPr>
              <w:pStyle w:val="37"/>
              <w:keepNext w:val="0"/>
              <w:keepLines w:val="0"/>
              <w:pageBreakBefore w:val="0"/>
              <w:widowControl/>
              <w:numPr>
                <w:ilvl w:val="0"/>
                <w:numId w:val="12"/>
              </w:numPr>
              <w:kinsoku/>
              <w:overflowPunct/>
              <w:topLinePunct w:val="0"/>
              <w:autoSpaceDE/>
              <w:autoSpaceDN/>
              <w:bidi w:val="0"/>
              <w:adjustRightInd/>
              <w:snapToGrid/>
              <w:spacing w:beforeAutospacing="0" w:afterAutospacing="0" w:line="260" w:lineRule="exact"/>
              <w:ind w:left="638" w:leftChars="88" w:right="0" w:rightChars="0" w:hanging="453" w:hangingChars="349"/>
              <w:jc w:val="center"/>
              <w:rPr>
                <w:rFonts w:ascii="仿宋_GB2312" w:hAnsi="宋体" w:eastAsia="仿宋_GB2312" w:cs="宋体"/>
                <w:color w:val="auto"/>
                <w:sz w:val="13"/>
                <w:szCs w:val="13"/>
                <w:highlight w:val="none"/>
              </w:rPr>
            </w:pPr>
          </w:p>
        </w:tc>
        <w:tc>
          <w:tcPr>
            <w:tcW w:w="1550" w:type="dxa"/>
            <w:vMerge w:val="continue"/>
            <w:tcBorders>
              <w:tl2br w:val="nil"/>
              <w:tr2bl w:val="nil"/>
            </w:tcBorders>
            <w:vAlign w:val="center"/>
          </w:tcPr>
          <w:p w14:paraId="47E11FC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sz w:val="13"/>
                <w:szCs w:val="13"/>
                <w:highlight w:val="none"/>
              </w:rPr>
            </w:pPr>
          </w:p>
        </w:tc>
        <w:tc>
          <w:tcPr>
            <w:tcW w:w="4820" w:type="dxa"/>
            <w:vMerge w:val="continue"/>
            <w:tcBorders>
              <w:tl2br w:val="nil"/>
              <w:tr2bl w:val="nil"/>
            </w:tcBorders>
            <w:vAlign w:val="center"/>
          </w:tcPr>
          <w:p w14:paraId="051F0FD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1A1B6C8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从重情节</w:t>
            </w:r>
          </w:p>
        </w:tc>
        <w:tc>
          <w:tcPr>
            <w:tcW w:w="3437" w:type="dxa"/>
            <w:gridSpan w:val="2"/>
            <w:tcBorders>
              <w:tl2br w:val="nil"/>
              <w:tr2bl w:val="nil"/>
            </w:tcBorders>
            <w:tcMar>
              <w:top w:w="15" w:type="dxa"/>
              <w:left w:w="15" w:type="dxa"/>
              <w:bottom w:w="15" w:type="dxa"/>
              <w:right w:w="15" w:type="dxa"/>
            </w:tcMar>
            <w:vAlign w:val="center"/>
          </w:tcPr>
          <w:p w14:paraId="6809676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曾因实施该违法行为被查处，再次实施该违法行为的</w:t>
            </w:r>
            <w:r>
              <w:rPr>
                <w:rFonts w:hint="eastAsia" w:ascii="仿宋_GB2312" w:hAnsi="宋体" w:eastAsia="仿宋_GB2312" w:cs="宋体"/>
                <w:color w:val="auto"/>
                <w:kern w:val="0"/>
                <w:sz w:val="13"/>
                <w:szCs w:val="13"/>
                <w:highlight w:val="none"/>
                <w:lang w:eastAsia="zh-CN"/>
              </w:rPr>
              <w:t>，</w:t>
            </w:r>
            <w:r>
              <w:rPr>
                <w:rFonts w:hint="eastAsia" w:ascii="仿宋_GB2312" w:hAnsi="宋体" w:eastAsia="仿宋_GB2312" w:cs="宋体"/>
                <w:color w:val="auto"/>
                <w:kern w:val="0"/>
                <w:sz w:val="13"/>
                <w:szCs w:val="13"/>
                <w:highlight w:val="none"/>
                <w:lang w:val="en-US" w:eastAsia="zh-CN"/>
              </w:rPr>
              <w:t>或</w:t>
            </w:r>
            <w:r>
              <w:rPr>
                <w:rFonts w:hint="eastAsia" w:ascii="仿宋_GB2312" w:hAnsi="宋体" w:eastAsia="仿宋_GB2312" w:cs="宋体"/>
                <w:color w:val="auto"/>
                <w:kern w:val="0"/>
                <w:sz w:val="13"/>
                <w:szCs w:val="13"/>
                <w:highlight w:val="none"/>
              </w:rPr>
              <w:t>造成严重危害后果的。</w:t>
            </w:r>
          </w:p>
        </w:tc>
        <w:tc>
          <w:tcPr>
            <w:tcW w:w="3058" w:type="dxa"/>
            <w:tcBorders>
              <w:tl2br w:val="nil"/>
              <w:tr2bl w:val="nil"/>
            </w:tcBorders>
            <w:tcMar>
              <w:top w:w="15" w:type="dxa"/>
              <w:left w:w="15" w:type="dxa"/>
              <w:bottom w:w="15" w:type="dxa"/>
              <w:right w:w="15" w:type="dxa"/>
            </w:tcMar>
            <w:vAlign w:val="center"/>
          </w:tcPr>
          <w:p w14:paraId="540EC0C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责令限期改正，逾期不改正的，对单位处以应交城市生活垃圾处理费2倍以上3倍以下且不超过3万元的罚款，对个人处以应交城市生活垃圾处理费2倍以上3倍以下且不超过1千元的罚款。</w:t>
            </w:r>
          </w:p>
        </w:tc>
      </w:tr>
      <w:tr w14:paraId="594BAE0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169" w:hRule="atLeast"/>
          <w:jc w:val="center"/>
        </w:trPr>
        <w:tc>
          <w:tcPr>
            <w:tcW w:w="428" w:type="dxa"/>
            <w:vMerge w:val="restart"/>
            <w:tcBorders>
              <w:tl2br w:val="nil"/>
              <w:tr2bl w:val="nil"/>
            </w:tcBorders>
            <w:tcMar>
              <w:top w:w="15" w:type="dxa"/>
              <w:left w:w="15" w:type="dxa"/>
              <w:bottom w:w="15" w:type="dxa"/>
              <w:right w:w="15" w:type="dxa"/>
            </w:tcMar>
            <w:vAlign w:val="center"/>
          </w:tcPr>
          <w:p w14:paraId="73199DE4">
            <w:pPr>
              <w:keepNext w:val="0"/>
              <w:keepLines w:val="0"/>
              <w:pageBreakBefore w:val="0"/>
              <w:widowControl/>
              <w:numPr>
                <w:ilvl w:val="0"/>
                <w:numId w:val="11"/>
              </w:numPr>
              <w:suppressLineNumbers w:val="0"/>
              <w:tabs>
                <w:tab w:val="clear" w:pos="397"/>
              </w:tabs>
              <w:kinsoku/>
              <w:overflowPunct/>
              <w:topLinePunct w:val="0"/>
              <w:autoSpaceDE/>
              <w:autoSpaceDN/>
              <w:bidi w:val="0"/>
              <w:adjustRightInd/>
              <w:snapToGrid/>
              <w:spacing w:beforeAutospacing="0" w:afterAutospacing="0" w:line="260" w:lineRule="exact"/>
              <w:ind w:left="638" w:leftChars="88" w:right="0" w:rightChars="0" w:hanging="453" w:hangingChars="349"/>
              <w:jc w:val="center"/>
              <w:textAlignment w:val="center"/>
              <w:rPr>
                <w:rFonts w:hint="default" w:ascii="仿宋_GB2312" w:hAnsi="宋体" w:eastAsia="仿宋_GB2312" w:cs="宋体"/>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353</w:t>
            </w:r>
          </w:p>
        </w:tc>
        <w:tc>
          <w:tcPr>
            <w:tcW w:w="1550" w:type="dxa"/>
            <w:vMerge w:val="restart"/>
            <w:tcBorders>
              <w:tl2br w:val="nil"/>
              <w:tr2bl w:val="nil"/>
            </w:tcBorders>
            <w:tcMar>
              <w:top w:w="15" w:type="dxa"/>
              <w:left w:w="15" w:type="dxa"/>
              <w:bottom w:w="15" w:type="dxa"/>
              <w:right w:w="15" w:type="dxa"/>
            </w:tcMar>
            <w:vAlign w:val="center"/>
          </w:tcPr>
          <w:p w14:paraId="188B548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未按照城市生活垃圾治理规划和环境卫生设施标准配套建设城市生活垃圾收集设施的</w:t>
            </w:r>
          </w:p>
        </w:tc>
        <w:tc>
          <w:tcPr>
            <w:tcW w:w="4820" w:type="dxa"/>
            <w:vMerge w:val="restart"/>
            <w:tcBorders>
              <w:tl2br w:val="nil"/>
              <w:tr2bl w:val="nil"/>
            </w:tcBorders>
            <w:tcMar>
              <w:top w:w="15" w:type="dxa"/>
              <w:left w:w="15" w:type="dxa"/>
              <w:bottom w:w="15" w:type="dxa"/>
              <w:right w:w="15" w:type="dxa"/>
            </w:tcMar>
            <w:vAlign w:val="center"/>
          </w:tcPr>
          <w:p w14:paraId="5C26F8C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《城市生活垃圾管理办法》</w:t>
            </w:r>
            <w:r>
              <w:rPr>
                <w:rFonts w:hint="eastAsia" w:ascii="仿宋_GB2312" w:hAnsi="宋体" w:eastAsia="仿宋_GB2312" w:cs="宋体"/>
                <w:b/>
                <w:bCs/>
                <w:color w:val="auto"/>
                <w:kern w:val="0"/>
                <w:sz w:val="13"/>
                <w:szCs w:val="13"/>
                <w:highlight w:val="none"/>
              </w:rPr>
              <w:t>第三十九条</w:t>
            </w:r>
            <w:r>
              <w:rPr>
                <w:rFonts w:hint="eastAsia" w:ascii="仿宋_GB2312" w:hAnsi="宋体" w:eastAsia="仿宋_GB2312" w:cs="宋体"/>
                <w:b/>
                <w:bCs/>
                <w:color w:val="auto"/>
                <w:kern w:val="0"/>
                <w:sz w:val="13"/>
                <w:szCs w:val="13"/>
                <w:highlight w:val="none"/>
                <w:lang w:eastAsia="zh-CN"/>
              </w:rPr>
              <w:t>：</w:t>
            </w:r>
            <w:r>
              <w:rPr>
                <w:rFonts w:hint="eastAsia" w:ascii="仿宋_GB2312" w:hAnsi="宋体" w:eastAsia="仿宋_GB2312" w:cs="宋体"/>
                <w:color w:val="auto"/>
                <w:kern w:val="0"/>
                <w:sz w:val="13"/>
                <w:szCs w:val="13"/>
                <w:highlight w:val="none"/>
              </w:rPr>
              <w:t>违反本办法第十条规定，未按照城市生活垃圾治理规划和环境卫生设施标准配套建设城市生活垃圾收集设施的，由直辖市、市、县人民政府建设（环境卫生）主管部门责令限期改正，并可处以1万元以下的罚款。</w:t>
            </w:r>
          </w:p>
        </w:tc>
        <w:tc>
          <w:tcPr>
            <w:tcW w:w="823" w:type="dxa"/>
            <w:tcBorders>
              <w:tl2br w:val="nil"/>
              <w:tr2bl w:val="nil"/>
            </w:tcBorders>
            <w:tcMar>
              <w:top w:w="15" w:type="dxa"/>
              <w:left w:w="15" w:type="dxa"/>
              <w:bottom w:w="15" w:type="dxa"/>
              <w:right w:w="15" w:type="dxa"/>
            </w:tcMar>
            <w:vAlign w:val="center"/>
          </w:tcPr>
          <w:p w14:paraId="6CCFCE3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从轻情节</w:t>
            </w:r>
          </w:p>
        </w:tc>
        <w:tc>
          <w:tcPr>
            <w:tcW w:w="3437" w:type="dxa"/>
            <w:gridSpan w:val="2"/>
            <w:tcBorders>
              <w:tl2br w:val="nil"/>
              <w:tr2bl w:val="nil"/>
            </w:tcBorders>
            <w:tcMar>
              <w:top w:w="15" w:type="dxa"/>
              <w:left w:w="15" w:type="dxa"/>
              <w:bottom w:w="15" w:type="dxa"/>
              <w:right w:w="15" w:type="dxa"/>
            </w:tcMar>
            <w:vAlign w:val="center"/>
          </w:tcPr>
          <w:p w14:paraId="5F6D018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初次违法，危害后果轻微，主动消除或减轻违法行为后果的。</w:t>
            </w:r>
          </w:p>
        </w:tc>
        <w:tc>
          <w:tcPr>
            <w:tcW w:w="3058" w:type="dxa"/>
            <w:tcBorders>
              <w:tl2br w:val="nil"/>
              <w:tr2bl w:val="nil"/>
            </w:tcBorders>
            <w:tcMar>
              <w:top w:w="15" w:type="dxa"/>
              <w:left w:w="15" w:type="dxa"/>
              <w:bottom w:w="15" w:type="dxa"/>
              <w:right w:w="15" w:type="dxa"/>
            </w:tcMar>
            <w:vAlign w:val="center"/>
          </w:tcPr>
          <w:p w14:paraId="5CC990F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责令限期改正，并可处以3千元以下罚款。</w:t>
            </w:r>
          </w:p>
        </w:tc>
      </w:tr>
      <w:tr w14:paraId="7E6726D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205" w:hRule="atLeast"/>
          <w:jc w:val="center"/>
        </w:trPr>
        <w:tc>
          <w:tcPr>
            <w:tcW w:w="428" w:type="dxa"/>
            <w:vMerge w:val="continue"/>
            <w:tcBorders>
              <w:tl2br w:val="nil"/>
              <w:tr2bl w:val="nil"/>
            </w:tcBorders>
            <w:vAlign w:val="center"/>
          </w:tcPr>
          <w:p w14:paraId="65B29D6B">
            <w:pPr>
              <w:pStyle w:val="37"/>
              <w:keepNext w:val="0"/>
              <w:keepLines w:val="0"/>
              <w:pageBreakBefore w:val="0"/>
              <w:widowControl/>
              <w:numPr>
                <w:ilvl w:val="0"/>
                <w:numId w:val="12"/>
              </w:numPr>
              <w:kinsoku/>
              <w:overflowPunct/>
              <w:topLinePunct w:val="0"/>
              <w:autoSpaceDE/>
              <w:autoSpaceDN/>
              <w:bidi w:val="0"/>
              <w:adjustRightInd/>
              <w:snapToGrid/>
              <w:spacing w:beforeAutospacing="0" w:afterAutospacing="0" w:line="260" w:lineRule="exact"/>
              <w:ind w:left="638" w:leftChars="88" w:right="0" w:rightChars="0" w:hanging="453" w:hangingChars="349"/>
              <w:jc w:val="center"/>
              <w:rPr>
                <w:rFonts w:ascii="仿宋_GB2312" w:hAnsi="宋体" w:eastAsia="仿宋_GB2312" w:cs="宋体"/>
                <w:color w:val="auto"/>
                <w:sz w:val="13"/>
                <w:szCs w:val="13"/>
                <w:highlight w:val="none"/>
              </w:rPr>
            </w:pPr>
          </w:p>
        </w:tc>
        <w:tc>
          <w:tcPr>
            <w:tcW w:w="1550" w:type="dxa"/>
            <w:vMerge w:val="continue"/>
            <w:tcBorders>
              <w:tl2br w:val="nil"/>
              <w:tr2bl w:val="nil"/>
            </w:tcBorders>
            <w:vAlign w:val="center"/>
          </w:tcPr>
          <w:p w14:paraId="756910C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sz w:val="13"/>
                <w:szCs w:val="13"/>
                <w:highlight w:val="none"/>
              </w:rPr>
            </w:pPr>
          </w:p>
        </w:tc>
        <w:tc>
          <w:tcPr>
            <w:tcW w:w="4820" w:type="dxa"/>
            <w:vMerge w:val="continue"/>
            <w:tcBorders>
              <w:tl2br w:val="nil"/>
              <w:tr2bl w:val="nil"/>
            </w:tcBorders>
            <w:vAlign w:val="center"/>
          </w:tcPr>
          <w:p w14:paraId="688F539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5710DC7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一般情节</w:t>
            </w:r>
          </w:p>
        </w:tc>
        <w:tc>
          <w:tcPr>
            <w:tcW w:w="3437" w:type="dxa"/>
            <w:gridSpan w:val="2"/>
            <w:tcBorders>
              <w:tl2br w:val="nil"/>
              <w:tr2bl w:val="nil"/>
            </w:tcBorders>
            <w:tcMar>
              <w:top w:w="15" w:type="dxa"/>
              <w:left w:w="15" w:type="dxa"/>
              <w:bottom w:w="15" w:type="dxa"/>
              <w:right w:w="15" w:type="dxa"/>
            </w:tcMar>
            <w:vAlign w:val="center"/>
          </w:tcPr>
          <w:p w14:paraId="0DF5660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不具有从轻、</w:t>
            </w:r>
            <w:r>
              <w:rPr>
                <w:rFonts w:hint="eastAsia" w:ascii="仿宋_GB2312" w:hAnsi="宋体" w:eastAsia="仿宋_GB2312" w:cs="宋体"/>
                <w:color w:val="auto"/>
                <w:kern w:val="0"/>
                <w:sz w:val="13"/>
                <w:szCs w:val="13"/>
                <w:highlight w:val="none"/>
                <w:lang w:eastAsia="zh-CN"/>
              </w:rPr>
              <w:t>从重情节</w:t>
            </w:r>
            <w:r>
              <w:rPr>
                <w:rFonts w:hint="eastAsia" w:ascii="仿宋_GB2312" w:hAnsi="宋体" w:eastAsia="仿宋_GB2312" w:cs="宋体"/>
                <w:color w:val="auto"/>
                <w:kern w:val="0"/>
                <w:sz w:val="13"/>
                <w:szCs w:val="13"/>
                <w:highlight w:val="none"/>
              </w:rPr>
              <w:t>的。</w:t>
            </w:r>
          </w:p>
        </w:tc>
        <w:tc>
          <w:tcPr>
            <w:tcW w:w="3058" w:type="dxa"/>
            <w:tcBorders>
              <w:tl2br w:val="nil"/>
              <w:tr2bl w:val="nil"/>
            </w:tcBorders>
            <w:tcMar>
              <w:top w:w="15" w:type="dxa"/>
              <w:left w:w="15" w:type="dxa"/>
              <w:bottom w:w="15" w:type="dxa"/>
              <w:right w:w="15" w:type="dxa"/>
            </w:tcMar>
            <w:vAlign w:val="center"/>
          </w:tcPr>
          <w:p w14:paraId="5837CCD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责令限期改正，并可处以3千元以上7千元以下罚款。</w:t>
            </w:r>
          </w:p>
        </w:tc>
      </w:tr>
      <w:tr w14:paraId="4F3C5DB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266" w:hRule="atLeast"/>
          <w:jc w:val="center"/>
        </w:trPr>
        <w:tc>
          <w:tcPr>
            <w:tcW w:w="428" w:type="dxa"/>
            <w:vMerge w:val="continue"/>
            <w:tcBorders>
              <w:tl2br w:val="nil"/>
              <w:tr2bl w:val="nil"/>
            </w:tcBorders>
            <w:vAlign w:val="center"/>
          </w:tcPr>
          <w:p w14:paraId="5C3E4DCC">
            <w:pPr>
              <w:pStyle w:val="37"/>
              <w:keepNext w:val="0"/>
              <w:keepLines w:val="0"/>
              <w:pageBreakBefore w:val="0"/>
              <w:widowControl/>
              <w:numPr>
                <w:ilvl w:val="0"/>
                <w:numId w:val="12"/>
              </w:numPr>
              <w:kinsoku/>
              <w:overflowPunct/>
              <w:topLinePunct w:val="0"/>
              <w:autoSpaceDE/>
              <w:autoSpaceDN/>
              <w:bidi w:val="0"/>
              <w:adjustRightInd/>
              <w:snapToGrid/>
              <w:spacing w:beforeAutospacing="0" w:afterAutospacing="0" w:line="260" w:lineRule="exact"/>
              <w:ind w:left="638" w:leftChars="88" w:right="0" w:rightChars="0" w:hanging="453" w:hangingChars="349"/>
              <w:jc w:val="center"/>
              <w:rPr>
                <w:rFonts w:ascii="仿宋_GB2312" w:hAnsi="宋体" w:eastAsia="仿宋_GB2312" w:cs="宋体"/>
                <w:color w:val="auto"/>
                <w:sz w:val="13"/>
                <w:szCs w:val="13"/>
                <w:highlight w:val="none"/>
              </w:rPr>
            </w:pPr>
          </w:p>
        </w:tc>
        <w:tc>
          <w:tcPr>
            <w:tcW w:w="1550" w:type="dxa"/>
            <w:vMerge w:val="continue"/>
            <w:tcBorders>
              <w:tl2br w:val="nil"/>
              <w:tr2bl w:val="nil"/>
            </w:tcBorders>
            <w:vAlign w:val="center"/>
          </w:tcPr>
          <w:p w14:paraId="68D77A3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sz w:val="13"/>
                <w:szCs w:val="13"/>
                <w:highlight w:val="none"/>
              </w:rPr>
            </w:pPr>
          </w:p>
        </w:tc>
        <w:tc>
          <w:tcPr>
            <w:tcW w:w="4820" w:type="dxa"/>
            <w:vMerge w:val="continue"/>
            <w:tcBorders>
              <w:tl2br w:val="nil"/>
              <w:tr2bl w:val="nil"/>
            </w:tcBorders>
            <w:vAlign w:val="center"/>
          </w:tcPr>
          <w:p w14:paraId="2962E26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0D6D845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从重情节</w:t>
            </w:r>
          </w:p>
        </w:tc>
        <w:tc>
          <w:tcPr>
            <w:tcW w:w="3437" w:type="dxa"/>
            <w:gridSpan w:val="2"/>
            <w:tcBorders>
              <w:tl2br w:val="nil"/>
              <w:tr2bl w:val="nil"/>
            </w:tcBorders>
            <w:tcMar>
              <w:top w:w="15" w:type="dxa"/>
              <w:left w:w="15" w:type="dxa"/>
              <w:bottom w:w="15" w:type="dxa"/>
              <w:right w:w="15" w:type="dxa"/>
            </w:tcMar>
            <w:vAlign w:val="center"/>
          </w:tcPr>
          <w:p w14:paraId="00D04CE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经责令限期改正后，不及时改正的</w:t>
            </w:r>
            <w:r>
              <w:rPr>
                <w:rFonts w:hint="eastAsia" w:ascii="仿宋_GB2312" w:hAnsi="宋体" w:eastAsia="仿宋_GB2312" w:cs="宋体"/>
                <w:color w:val="auto"/>
                <w:kern w:val="0"/>
                <w:sz w:val="13"/>
                <w:szCs w:val="13"/>
                <w:highlight w:val="none"/>
                <w:lang w:eastAsia="zh-CN"/>
              </w:rPr>
              <w:t>，</w:t>
            </w:r>
            <w:r>
              <w:rPr>
                <w:rFonts w:hint="eastAsia" w:ascii="仿宋_GB2312" w:hAnsi="宋体" w:eastAsia="仿宋_GB2312" w:cs="宋体"/>
                <w:color w:val="auto"/>
                <w:kern w:val="0"/>
                <w:sz w:val="13"/>
                <w:szCs w:val="13"/>
                <w:highlight w:val="none"/>
                <w:lang w:val="en-US" w:eastAsia="zh-CN"/>
              </w:rPr>
              <w:t>或</w:t>
            </w:r>
            <w:r>
              <w:rPr>
                <w:rFonts w:hint="eastAsia" w:ascii="仿宋_GB2312" w:hAnsi="宋体" w:eastAsia="仿宋_GB2312" w:cs="宋体"/>
                <w:color w:val="auto"/>
                <w:kern w:val="0"/>
                <w:sz w:val="13"/>
                <w:szCs w:val="13"/>
                <w:highlight w:val="none"/>
              </w:rPr>
              <w:t>曾因实施该违法行为被查处，再次实施该违法行为的</w:t>
            </w:r>
            <w:r>
              <w:rPr>
                <w:rFonts w:hint="eastAsia" w:ascii="仿宋_GB2312" w:hAnsi="宋体" w:eastAsia="仿宋_GB2312" w:cs="宋体"/>
                <w:color w:val="auto"/>
                <w:kern w:val="0"/>
                <w:sz w:val="13"/>
                <w:szCs w:val="13"/>
                <w:highlight w:val="none"/>
                <w:lang w:eastAsia="zh-CN"/>
              </w:rPr>
              <w:t>，</w:t>
            </w:r>
            <w:r>
              <w:rPr>
                <w:rFonts w:hint="eastAsia" w:ascii="仿宋_GB2312" w:hAnsi="宋体" w:eastAsia="仿宋_GB2312" w:cs="宋体"/>
                <w:color w:val="auto"/>
                <w:kern w:val="0"/>
                <w:sz w:val="13"/>
                <w:szCs w:val="13"/>
                <w:highlight w:val="none"/>
                <w:lang w:val="en-US" w:eastAsia="zh-CN"/>
              </w:rPr>
              <w:t>或</w:t>
            </w:r>
            <w:r>
              <w:rPr>
                <w:rFonts w:hint="eastAsia" w:ascii="仿宋_GB2312" w:hAnsi="宋体" w:eastAsia="仿宋_GB2312" w:cs="宋体"/>
                <w:color w:val="auto"/>
                <w:kern w:val="0"/>
                <w:sz w:val="13"/>
                <w:szCs w:val="13"/>
                <w:highlight w:val="none"/>
              </w:rPr>
              <w:t>造成严重危害后果的。</w:t>
            </w:r>
          </w:p>
        </w:tc>
        <w:tc>
          <w:tcPr>
            <w:tcW w:w="3058" w:type="dxa"/>
            <w:tcBorders>
              <w:tl2br w:val="nil"/>
              <w:tr2bl w:val="nil"/>
            </w:tcBorders>
            <w:tcMar>
              <w:top w:w="15" w:type="dxa"/>
              <w:left w:w="15" w:type="dxa"/>
              <w:bottom w:w="15" w:type="dxa"/>
              <w:right w:w="15" w:type="dxa"/>
            </w:tcMar>
            <w:vAlign w:val="center"/>
          </w:tcPr>
          <w:p w14:paraId="6B03982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责令限期改正，并可处以7千元以上1万元以下罚款。</w:t>
            </w:r>
          </w:p>
        </w:tc>
      </w:tr>
      <w:tr w14:paraId="7CCC7F7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169" w:hRule="atLeast"/>
          <w:jc w:val="center"/>
        </w:trPr>
        <w:tc>
          <w:tcPr>
            <w:tcW w:w="428" w:type="dxa"/>
            <w:vMerge w:val="restart"/>
            <w:tcBorders>
              <w:tl2br w:val="nil"/>
              <w:tr2bl w:val="nil"/>
            </w:tcBorders>
            <w:tcMar>
              <w:top w:w="15" w:type="dxa"/>
              <w:left w:w="15" w:type="dxa"/>
              <w:bottom w:w="15" w:type="dxa"/>
              <w:right w:w="15" w:type="dxa"/>
            </w:tcMar>
            <w:vAlign w:val="center"/>
          </w:tcPr>
          <w:p w14:paraId="63BA4D42">
            <w:pPr>
              <w:keepNext w:val="0"/>
              <w:keepLines w:val="0"/>
              <w:pageBreakBefore w:val="0"/>
              <w:widowControl/>
              <w:numPr>
                <w:ilvl w:val="0"/>
                <w:numId w:val="11"/>
              </w:numPr>
              <w:suppressLineNumbers w:val="0"/>
              <w:tabs>
                <w:tab w:val="clear" w:pos="397"/>
              </w:tabs>
              <w:kinsoku/>
              <w:overflowPunct/>
              <w:topLinePunct w:val="0"/>
              <w:autoSpaceDE/>
              <w:autoSpaceDN/>
              <w:bidi w:val="0"/>
              <w:adjustRightInd/>
              <w:snapToGrid/>
              <w:spacing w:beforeAutospacing="0" w:afterAutospacing="0" w:line="260" w:lineRule="exact"/>
              <w:ind w:left="638" w:leftChars="88" w:right="0" w:rightChars="0" w:hanging="453" w:hangingChars="349"/>
              <w:jc w:val="center"/>
              <w:textAlignment w:val="center"/>
              <w:rPr>
                <w:rFonts w:hint="default" w:ascii="仿宋_GB2312" w:hAnsi="宋体" w:eastAsia="仿宋_GB2312" w:cs="宋体"/>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354</w:t>
            </w:r>
          </w:p>
        </w:tc>
        <w:tc>
          <w:tcPr>
            <w:tcW w:w="1550" w:type="dxa"/>
            <w:vMerge w:val="restart"/>
            <w:tcBorders>
              <w:tl2br w:val="nil"/>
              <w:tr2bl w:val="nil"/>
            </w:tcBorders>
            <w:tcMar>
              <w:top w:w="15" w:type="dxa"/>
              <w:left w:w="15" w:type="dxa"/>
              <w:bottom w:w="15" w:type="dxa"/>
              <w:right w:w="15" w:type="dxa"/>
            </w:tcMar>
            <w:vAlign w:val="center"/>
          </w:tcPr>
          <w:p w14:paraId="4E9B19A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城市生活垃圾处置设施未经验收或者验收不合格投入使用的</w:t>
            </w:r>
          </w:p>
        </w:tc>
        <w:tc>
          <w:tcPr>
            <w:tcW w:w="4820" w:type="dxa"/>
            <w:vMerge w:val="restart"/>
            <w:tcBorders>
              <w:tl2br w:val="nil"/>
              <w:tr2bl w:val="nil"/>
            </w:tcBorders>
            <w:tcMar>
              <w:top w:w="15" w:type="dxa"/>
              <w:left w:w="15" w:type="dxa"/>
              <w:bottom w:w="15" w:type="dxa"/>
              <w:right w:w="15" w:type="dxa"/>
            </w:tcMar>
            <w:vAlign w:val="center"/>
          </w:tcPr>
          <w:p w14:paraId="3C3AE80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《城市生活垃圾管理办法》</w:t>
            </w:r>
            <w:r>
              <w:rPr>
                <w:rFonts w:hint="eastAsia" w:ascii="仿宋_GB2312" w:hAnsi="宋体" w:eastAsia="仿宋_GB2312" w:cs="宋体"/>
                <w:b/>
                <w:bCs/>
                <w:color w:val="auto"/>
                <w:kern w:val="0"/>
                <w:sz w:val="13"/>
                <w:szCs w:val="13"/>
                <w:highlight w:val="none"/>
              </w:rPr>
              <w:t>第四十条</w:t>
            </w:r>
            <w:r>
              <w:rPr>
                <w:rFonts w:hint="eastAsia" w:ascii="仿宋_GB2312" w:hAnsi="宋体" w:eastAsia="仿宋_GB2312" w:cs="宋体"/>
                <w:b/>
                <w:bCs/>
                <w:color w:val="auto"/>
                <w:kern w:val="0"/>
                <w:sz w:val="13"/>
                <w:szCs w:val="13"/>
                <w:highlight w:val="none"/>
                <w:lang w:eastAsia="zh-CN"/>
              </w:rPr>
              <w:t>：</w:t>
            </w:r>
            <w:r>
              <w:rPr>
                <w:rFonts w:hint="eastAsia" w:ascii="仿宋_GB2312" w:hAnsi="宋体" w:eastAsia="仿宋_GB2312" w:cs="宋体"/>
                <w:color w:val="auto"/>
                <w:kern w:val="0"/>
                <w:sz w:val="13"/>
                <w:szCs w:val="13"/>
                <w:highlight w:val="none"/>
              </w:rPr>
              <w:t>违反本办法第十二条规定，城市生活垃圾处置设施未经验收或者验收不合格投入使用的，由直辖市、市、县人民政府建设主管部门责令改正，处工程合同价款2%以上4%以下的罚款；造成损失的，应当承担赔偿责任</w:t>
            </w:r>
            <w:r>
              <w:rPr>
                <w:rFonts w:hint="eastAsia" w:ascii="仿宋_GB2312" w:hAnsi="宋体" w:eastAsia="仿宋_GB2312" w:cs="宋体"/>
                <w:color w:val="auto"/>
                <w:sz w:val="13"/>
                <w:szCs w:val="13"/>
                <w:highlight w:val="none"/>
                <w:shd w:val="clear" w:color="auto" w:fill="FFFFFF"/>
              </w:rPr>
              <w:t>。</w:t>
            </w:r>
          </w:p>
        </w:tc>
        <w:tc>
          <w:tcPr>
            <w:tcW w:w="823" w:type="dxa"/>
            <w:tcBorders>
              <w:tl2br w:val="nil"/>
              <w:tr2bl w:val="nil"/>
            </w:tcBorders>
            <w:tcMar>
              <w:top w:w="15" w:type="dxa"/>
              <w:left w:w="15" w:type="dxa"/>
              <w:bottom w:w="15" w:type="dxa"/>
              <w:right w:w="15" w:type="dxa"/>
            </w:tcMar>
            <w:vAlign w:val="center"/>
          </w:tcPr>
          <w:p w14:paraId="0CDDE64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从轻情节</w:t>
            </w:r>
          </w:p>
        </w:tc>
        <w:tc>
          <w:tcPr>
            <w:tcW w:w="3437" w:type="dxa"/>
            <w:gridSpan w:val="2"/>
            <w:tcBorders>
              <w:tl2br w:val="nil"/>
              <w:tr2bl w:val="nil"/>
            </w:tcBorders>
            <w:tcMar>
              <w:top w:w="15" w:type="dxa"/>
              <w:left w:w="15" w:type="dxa"/>
              <w:bottom w:w="15" w:type="dxa"/>
              <w:right w:w="15" w:type="dxa"/>
            </w:tcMar>
            <w:vAlign w:val="center"/>
          </w:tcPr>
          <w:p w14:paraId="5A21B1B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初次违法，危害后果轻微，主动消除或减轻违法行为后果的。</w:t>
            </w:r>
          </w:p>
        </w:tc>
        <w:tc>
          <w:tcPr>
            <w:tcW w:w="3058" w:type="dxa"/>
            <w:tcBorders>
              <w:tl2br w:val="nil"/>
              <w:tr2bl w:val="nil"/>
            </w:tcBorders>
            <w:tcMar>
              <w:top w:w="15" w:type="dxa"/>
              <w:left w:w="15" w:type="dxa"/>
              <w:bottom w:w="15" w:type="dxa"/>
              <w:right w:w="15" w:type="dxa"/>
            </w:tcMar>
            <w:vAlign w:val="center"/>
          </w:tcPr>
          <w:p w14:paraId="0A5EAA9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责令改正，处工程合同价款2%的罚款。</w:t>
            </w:r>
          </w:p>
        </w:tc>
      </w:tr>
      <w:tr w14:paraId="2D284FF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161" w:hRule="atLeast"/>
          <w:jc w:val="center"/>
        </w:trPr>
        <w:tc>
          <w:tcPr>
            <w:tcW w:w="428" w:type="dxa"/>
            <w:vMerge w:val="continue"/>
            <w:tcBorders>
              <w:tl2br w:val="nil"/>
              <w:tr2bl w:val="nil"/>
            </w:tcBorders>
            <w:vAlign w:val="center"/>
          </w:tcPr>
          <w:p w14:paraId="2E3B965D">
            <w:pPr>
              <w:pStyle w:val="37"/>
              <w:keepNext w:val="0"/>
              <w:keepLines w:val="0"/>
              <w:pageBreakBefore w:val="0"/>
              <w:widowControl/>
              <w:numPr>
                <w:ilvl w:val="0"/>
                <w:numId w:val="12"/>
              </w:numPr>
              <w:kinsoku/>
              <w:overflowPunct/>
              <w:topLinePunct w:val="0"/>
              <w:autoSpaceDE/>
              <w:autoSpaceDN/>
              <w:bidi w:val="0"/>
              <w:adjustRightInd/>
              <w:snapToGrid/>
              <w:spacing w:beforeAutospacing="0" w:afterAutospacing="0" w:line="260" w:lineRule="exact"/>
              <w:ind w:left="638" w:leftChars="88" w:right="0" w:rightChars="0" w:hanging="453" w:hangingChars="349"/>
              <w:jc w:val="center"/>
              <w:rPr>
                <w:rFonts w:ascii="仿宋_GB2312" w:hAnsi="宋体" w:eastAsia="仿宋_GB2312" w:cs="宋体"/>
                <w:color w:val="auto"/>
                <w:sz w:val="13"/>
                <w:szCs w:val="13"/>
                <w:highlight w:val="none"/>
              </w:rPr>
            </w:pPr>
          </w:p>
        </w:tc>
        <w:tc>
          <w:tcPr>
            <w:tcW w:w="1550" w:type="dxa"/>
            <w:vMerge w:val="continue"/>
            <w:tcBorders>
              <w:tl2br w:val="nil"/>
              <w:tr2bl w:val="nil"/>
            </w:tcBorders>
            <w:vAlign w:val="center"/>
          </w:tcPr>
          <w:p w14:paraId="51EB300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sz w:val="13"/>
                <w:szCs w:val="13"/>
                <w:highlight w:val="none"/>
              </w:rPr>
            </w:pPr>
          </w:p>
        </w:tc>
        <w:tc>
          <w:tcPr>
            <w:tcW w:w="4820" w:type="dxa"/>
            <w:vMerge w:val="continue"/>
            <w:tcBorders>
              <w:tl2br w:val="nil"/>
              <w:tr2bl w:val="nil"/>
            </w:tcBorders>
            <w:vAlign w:val="center"/>
          </w:tcPr>
          <w:p w14:paraId="69F24C9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7844FF6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一般情节</w:t>
            </w:r>
          </w:p>
        </w:tc>
        <w:tc>
          <w:tcPr>
            <w:tcW w:w="3437" w:type="dxa"/>
            <w:gridSpan w:val="2"/>
            <w:tcBorders>
              <w:tl2br w:val="nil"/>
              <w:tr2bl w:val="nil"/>
            </w:tcBorders>
            <w:tcMar>
              <w:top w:w="15" w:type="dxa"/>
              <w:left w:w="15" w:type="dxa"/>
              <w:bottom w:w="15" w:type="dxa"/>
              <w:right w:w="15" w:type="dxa"/>
            </w:tcMar>
            <w:vAlign w:val="center"/>
          </w:tcPr>
          <w:p w14:paraId="7DAC465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不具有从轻、</w:t>
            </w:r>
            <w:r>
              <w:rPr>
                <w:rFonts w:hint="eastAsia" w:ascii="仿宋_GB2312" w:hAnsi="宋体" w:eastAsia="仿宋_GB2312" w:cs="宋体"/>
                <w:color w:val="auto"/>
                <w:kern w:val="0"/>
                <w:sz w:val="13"/>
                <w:szCs w:val="13"/>
                <w:highlight w:val="none"/>
                <w:lang w:eastAsia="zh-CN"/>
              </w:rPr>
              <w:t>从重情节</w:t>
            </w:r>
            <w:r>
              <w:rPr>
                <w:rFonts w:hint="eastAsia" w:ascii="仿宋_GB2312" w:hAnsi="宋体" w:eastAsia="仿宋_GB2312" w:cs="宋体"/>
                <w:color w:val="auto"/>
                <w:kern w:val="0"/>
                <w:sz w:val="13"/>
                <w:szCs w:val="13"/>
                <w:highlight w:val="none"/>
              </w:rPr>
              <w:t>的。</w:t>
            </w:r>
          </w:p>
        </w:tc>
        <w:tc>
          <w:tcPr>
            <w:tcW w:w="3058" w:type="dxa"/>
            <w:tcBorders>
              <w:tl2br w:val="nil"/>
              <w:tr2bl w:val="nil"/>
            </w:tcBorders>
            <w:tcMar>
              <w:top w:w="15" w:type="dxa"/>
              <w:left w:w="15" w:type="dxa"/>
              <w:bottom w:w="15" w:type="dxa"/>
              <w:right w:w="15" w:type="dxa"/>
            </w:tcMar>
            <w:vAlign w:val="center"/>
          </w:tcPr>
          <w:p w14:paraId="3861088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责令改正，处工程合同价款2%以上3%以下的罚款。</w:t>
            </w:r>
          </w:p>
        </w:tc>
      </w:tr>
      <w:tr w14:paraId="1ADFD0D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91" w:hRule="atLeast"/>
          <w:jc w:val="center"/>
        </w:trPr>
        <w:tc>
          <w:tcPr>
            <w:tcW w:w="428" w:type="dxa"/>
            <w:vMerge w:val="continue"/>
            <w:tcBorders>
              <w:tl2br w:val="nil"/>
              <w:tr2bl w:val="nil"/>
            </w:tcBorders>
            <w:vAlign w:val="center"/>
          </w:tcPr>
          <w:p w14:paraId="3057987F">
            <w:pPr>
              <w:pStyle w:val="37"/>
              <w:keepNext w:val="0"/>
              <w:keepLines w:val="0"/>
              <w:pageBreakBefore w:val="0"/>
              <w:widowControl/>
              <w:numPr>
                <w:ilvl w:val="0"/>
                <w:numId w:val="12"/>
              </w:numPr>
              <w:kinsoku/>
              <w:overflowPunct/>
              <w:topLinePunct w:val="0"/>
              <w:autoSpaceDE/>
              <w:autoSpaceDN/>
              <w:bidi w:val="0"/>
              <w:adjustRightInd/>
              <w:snapToGrid/>
              <w:spacing w:beforeAutospacing="0" w:afterAutospacing="0" w:line="260" w:lineRule="exact"/>
              <w:ind w:left="638" w:leftChars="88" w:right="0" w:rightChars="0" w:hanging="453" w:hangingChars="349"/>
              <w:jc w:val="center"/>
              <w:rPr>
                <w:rFonts w:ascii="仿宋_GB2312" w:hAnsi="宋体" w:eastAsia="仿宋_GB2312" w:cs="宋体"/>
                <w:color w:val="auto"/>
                <w:sz w:val="13"/>
                <w:szCs w:val="13"/>
                <w:highlight w:val="none"/>
              </w:rPr>
            </w:pPr>
          </w:p>
        </w:tc>
        <w:tc>
          <w:tcPr>
            <w:tcW w:w="1550" w:type="dxa"/>
            <w:vMerge w:val="continue"/>
            <w:tcBorders>
              <w:tl2br w:val="nil"/>
              <w:tr2bl w:val="nil"/>
            </w:tcBorders>
            <w:vAlign w:val="center"/>
          </w:tcPr>
          <w:p w14:paraId="42FBDF9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sz w:val="13"/>
                <w:szCs w:val="13"/>
                <w:highlight w:val="none"/>
              </w:rPr>
            </w:pPr>
          </w:p>
        </w:tc>
        <w:tc>
          <w:tcPr>
            <w:tcW w:w="4820" w:type="dxa"/>
            <w:vMerge w:val="continue"/>
            <w:tcBorders>
              <w:tl2br w:val="nil"/>
              <w:tr2bl w:val="nil"/>
            </w:tcBorders>
            <w:vAlign w:val="center"/>
          </w:tcPr>
          <w:p w14:paraId="3B61CD4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121A365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从重情节</w:t>
            </w:r>
          </w:p>
        </w:tc>
        <w:tc>
          <w:tcPr>
            <w:tcW w:w="3437" w:type="dxa"/>
            <w:gridSpan w:val="2"/>
            <w:tcBorders>
              <w:tl2br w:val="nil"/>
              <w:tr2bl w:val="nil"/>
            </w:tcBorders>
            <w:tcMar>
              <w:top w:w="15" w:type="dxa"/>
              <w:left w:w="15" w:type="dxa"/>
              <w:bottom w:w="15" w:type="dxa"/>
              <w:right w:w="15" w:type="dxa"/>
            </w:tcMar>
            <w:vAlign w:val="center"/>
          </w:tcPr>
          <w:p w14:paraId="647A188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经责令整改后，不采取整改措施的</w:t>
            </w:r>
            <w:r>
              <w:rPr>
                <w:rFonts w:hint="eastAsia" w:ascii="仿宋_GB2312" w:hAnsi="宋体" w:eastAsia="仿宋_GB2312" w:cs="宋体"/>
                <w:color w:val="auto"/>
                <w:kern w:val="0"/>
                <w:sz w:val="13"/>
                <w:szCs w:val="13"/>
                <w:highlight w:val="none"/>
                <w:lang w:eastAsia="zh-CN"/>
              </w:rPr>
              <w:t>，</w:t>
            </w:r>
            <w:r>
              <w:rPr>
                <w:rFonts w:hint="eastAsia" w:ascii="仿宋_GB2312" w:hAnsi="宋体" w:eastAsia="仿宋_GB2312" w:cs="宋体"/>
                <w:color w:val="auto"/>
                <w:kern w:val="0"/>
                <w:sz w:val="13"/>
                <w:szCs w:val="13"/>
                <w:highlight w:val="none"/>
                <w:lang w:val="en-US" w:eastAsia="zh-CN"/>
              </w:rPr>
              <w:t>或</w:t>
            </w:r>
            <w:r>
              <w:rPr>
                <w:rFonts w:hint="eastAsia" w:ascii="仿宋_GB2312" w:hAnsi="宋体" w:eastAsia="仿宋_GB2312" w:cs="宋体"/>
                <w:color w:val="auto"/>
                <w:kern w:val="0"/>
                <w:sz w:val="13"/>
                <w:szCs w:val="13"/>
                <w:highlight w:val="none"/>
              </w:rPr>
              <w:t>曾因实施该违法行为被查处，再次实施该违法行为的</w:t>
            </w:r>
            <w:r>
              <w:rPr>
                <w:rFonts w:hint="eastAsia" w:ascii="仿宋_GB2312" w:hAnsi="宋体" w:eastAsia="仿宋_GB2312" w:cs="宋体"/>
                <w:color w:val="auto"/>
                <w:kern w:val="0"/>
                <w:sz w:val="13"/>
                <w:szCs w:val="13"/>
                <w:highlight w:val="none"/>
                <w:lang w:eastAsia="zh-CN"/>
              </w:rPr>
              <w:t>，</w:t>
            </w:r>
            <w:r>
              <w:rPr>
                <w:rFonts w:hint="eastAsia" w:ascii="仿宋_GB2312" w:hAnsi="宋体" w:eastAsia="仿宋_GB2312" w:cs="宋体"/>
                <w:color w:val="auto"/>
                <w:kern w:val="0"/>
                <w:sz w:val="13"/>
                <w:szCs w:val="13"/>
                <w:highlight w:val="none"/>
                <w:lang w:val="en-US" w:eastAsia="zh-CN"/>
              </w:rPr>
              <w:t>或</w:t>
            </w:r>
            <w:r>
              <w:rPr>
                <w:rFonts w:hint="eastAsia" w:ascii="仿宋_GB2312" w:hAnsi="宋体" w:eastAsia="仿宋_GB2312" w:cs="宋体"/>
                <w:color w:val="auto"/>
                <w:kern w:val="0"/>
                <w:sz w:val="13"/>
                <w:szCs w:val="13"/>
                <w:highlight w:val="none"/>
              </w:rPr>
              <w:t>造成重大社会影响或造成严重危害后果的。</w:t>
            </w:r>
          </w:p>
        </w:tc>
        <w:tc>
          <w:tcPr>
            <w:tcW w:w="3058" w:type="dxa"/>
            <w:tcBorders>
              <w:tl2br w:val="nil"/>
              <w:tr2bl w:val="nil"/>
            </w:tcBorders>
            <w:tcMar>
              <w:top w:w="15" w:type="dxa"/>
              <w:left w:w="15" w:type="dxa"/>
              <w:bottom w:w="15" w:type="dxa"/>
              <w:right w:w="15" w:type="dxa"/>
            </w:tcMar>
            <w:vAlign w:val="center"/>
          </w:tcPr>
          <w:p w14:paraId="11231B6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责令改正，处工程合同价款3%以上4%以下的罚款。</w:t>
            </w:r>
          </w:p>
        </w:tc>
      </w:tr>
      <w:tr w14:paraId="6767CED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169" w:hRule="atLeast"/>
          <w:jc w:val="center"/>
        </w:trPr>
        <w:tc>
          <w:tcPr>
            <w:tcW w:w="428" w:type="dxa"/>
            <w:vMerge w:val="restart"/>
            <w:tcBorders>
              <w:tl2br w:val="nil"/>
              <w:tr2bl w:val="nil"/>
            </w:tcBorders>
            <w:tcMar>
              <w:top w:w="15" w:type="dxa"/>
              <w:left w:w="15" w:type="dxa"/>
              <w:bottom w:w="15" w:type="dxa"/>
              <w:right w:w="15" w:type="dxa"/>
            </w:tcMar>
            <w:vAlign w:val="center"/>
          </w:tcPr>
          <w:p w14:paraId="336A9846">
            <w:pPr>
              <w:keepNext w:val="0"/>
              <w:keepLines w:val="0"/>
              <w:pageBreakBefore w:val="0"/>
              <w:widowControl/>
              <w:numPr>
                <w:ilvl w:val="0"/>
                <w:numId w:val="11"/>
              </w:numPr>
              <w:suppressLineNumbers w:val="0"/>
              <w:tabs>
                <w:tab w:val="clear" w:pos="397"/>
              </w:tabs>
              <w:kinsoku/>
              <w:overflowPunct/>
              <w:topLinePunct w:val="0"/>
              <w:autoSpaceDE/>
              <w:autoSpaceDN/>
              <w:bidi w:val="0"/>
              <w:adjustRightInd/>
              <w:snapToGrid/>
              <w:spacing w:beforeAutospacing="0" w:afterAutospacing="0" w:line="260" w:lineRule="exact"/>
              <w:ind w:left="638" w:leftChars="88" w:right="0" w:rightChars="0" w:hanging="453" w:hangingChars="349"/>
              <w:jc w:val="center"/>
              <w:textAlignment w:val="center"/>
              <w:rPr>
                <w:rFonts w:hint="default" w:ascii="仿宋_GB2312" w:hAnsi="宋体" w:eastAsia="仿宋_GB2312" w:cs="宋体"/>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355</w:t>
            </w:r>
          </w:p>
        </w:tc>
        <w:tc>
          <w:tcPr>
            <w:tcW w:w="1550" w:type="dxa"/>
            <w:vMerge w:val="restart"/>
            <w:tcBorders>
              <w:tl2br w:val="nil"/>
              <w:tr2bl w:val="nil"/>
            </w:tcBorders>
            <w:tcMar>
              <w:top w:w="15" w:type="dxa"/>
              <w:left w:w="15" w:type="dxa"/>
              <w:bottom w:w="15" w:type="dxa"/>
              <w:right w:w="15" w:type="dxa"/>
            </w:tcMar>
            <w:vAlign w:val="center"/>
          </w:tcPr>
          <w:p w14:paraId="2142A5B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hint="eastAsia" w:ascii="仿宋_GB2312" w:hAnsi="宋体" w:eastAsia="仿宋_GB2312" w:cs="宋体"/>
                <w:color w:val="auto"/>
                <w:kern w:val="0"/>
                <w:sz w:val="13"/>
                <w:szCs w:val="13"/>
                <w:highlight w:val="none"/>
              </w:rPr>
            </w:pPr>
            <w:r>
              <w:rPr>
                <w:rFonts w:hint="eastAsia" w:ascii="仿宋_GB2312" w:hAnsi="宋体" w:eastAsia="仿宋_GB2312" w:cs="宋体"/>
                <w:color w:val="auto"/>
                <w:kern w:val="0"/>
                <w:sz w:val="13"/>
                <w:szCs w:val="13"/>
                <w:highlight w:val="none"/>
              </w:rPr>
              <w:t>从事</w:t>
            </w:r>
            <w:r>
              <w:rPr>
                <w:rFonts w:hint="eastAsia" w:ascii="仿宋_GB2312" w:hAnsi="宋体" w:eastAsia="仿宋_GB2312" w:cs="宋体"/>
                <w:color w:val="auto"/>
                <w:kern w:val="0"/>
                <w:sz w:val="13"/>
                <w:szCs w:val="13"/>
                <w:highlight w:val="none"/>
                <w:lang w:val="en-US" w:eastAsia="zh-CN"/>
              </w:rPr>
              <w:t>城市</w:t>
            </w:r>
            <w:r>
              <w:rPr>
                <w:rFonts w:hint="eastAsia" w:ascii="仿宋_GB2312" w:hAnsi="宋体" w:eastAsia="仿宋_GB2312" w:cs="宋体"/>
                <w:color w:val="auto"/>
                <w:kern w:val="0"/>
                <w:sz w:val="13"/>
                <w:szCs w:val="13"/>
                <w:highlight w:val="none"/>
              </w:rPr>
              <w:t>生活垃圾经营性清扫、收集、运输的企业未履行以下义务</w:t>
            </w:r>
            <w:r>
              <w:rPr>
                <w:rFonts w:hint="eastAsia" w:ascii="仿宋_GB2312" w:hAnsi="宋体" w:eastAsia="仿宋_GB2312" w:cs="宋体"/>
                <w:color w:val="auto"/>
                <w:kern w:val="0"/>
                <w:sz w:val="13"/>
                <w:szCs w:val="13"/>
                <w:highlight w:val="none"/>
                <w:lang w:val="en-US" w:eastAsia="zh-CN"/>
              </w:rPr>
              <w:t>之一的</w:t>
            </w:r>
            <w:r>
              <w:rPr>
                <w:rFonts w:hint="eastAsia" w:ascii="仿宋_GB2312" w:hAnsi="宋体" w:eastAsia="仿宋_GB2312" w:cs="宋体"/>
                <w:color w:val="auto"/>
                <w:kern w:val="0"/>
                <w:sz w:val="13"/>
                <w:szCs w:val="13"/>
                <w:highlight w:val="none"/>
              </w:rPr>
              <w:t>：</w:t>
            </w:r>
          </w:p>
          <w:p w14:paraId="46712B7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hint="eastAsia" w:ascii="仿宋_GB2312" w:hAnsi="宋体" w:eastAsia="仿宋_GB2312" w:cs="宋体"/>
                <w:color w:val="auto"/>
                <w:kern w:val="0"/>
                <w:sz w:val="13"/>
                <w:szCs w:val="13"/>
                <w:highlight w:val="none"/>
              </w:rPr>
            </w:pPr>
            <w:r>
              <w:rPr>
                <w:rFonts w:hint="eastAsia" w:ascii="仿宋_GB2312" w:hAnsi="宋体" w:eastAsia="仿宋_GB2312" w:cs="宋体"/>
                <w:color w:val="auto"/>
                <w:kern w:val="0"/>
                <w:sz w:val="13"/>
                <w:szCs w:val="13"/>
                <w:highlight w:val="none"/>
              </w:rPr>
              <w:t>　（一）按照环境卫生作业标准和作业规范，在规定的时间内及时清扫、收运城市生活垃圾；</w:t>
            </w:r>
          </w:p>
          <w:p w14:paraId="79E7FAA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hint="eastAsia" w:ascii="仿宋_GB2312" w:hAnsi="宋体" w:eastAsia="仿宋_GB2312" w:cs="宋体"/>
                <w:color w:val="auto"/>
                <w:kern w:val="0"/>
                <w:sz w:val="13"/>
                <w:szCs w:val="13"/>
                <w:highlight w:val="none"/>
              </w:rPr>
            </w:pPr>
            <w:r>
              <w:rPr>
                <w:rFonts w:hint="eastAsia" w:ascii="仿宋_GB2312" w:hAnsi="宋体" w:eastAsia="仿宋_GB2312" w:cs="宋体"/>
                <w:color w:val="auto"/>
                <w:kern w:val="0"/>
                <w:sz w:val="13"/>
                <w:szCs w:val="13"/>
                <w:highlight w:val="none"/>
              </w:rPr>
              <w:t>　（二）将收集的城市生活垃圾运到直辖市、市、县人民政府建设（环境卫生）主管部门认可的处理场所；</w:t>
            </w:r>
          </w:p>
          <w:p w14:paraId="64DD1C5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hint="eastAsia" w:ascii="仿宋_GB2312" w:hAnsi="宋体" w:eastAsia="仿宋_GB2312" w:cs="宋体"/>
                <w:color w:val="auto"/>
                <w:kern w:val="0"/>
                <w:sz w:val="13"/>
                <w:szCs w:val="13"/>
                <w:highlight w:val="none"/>
              </w:rPr>
            </w:pPr>
            <w:r>
              <w:rPr>
                <w:rFonts w:hint="eastAsia" w:ascii="仿宋_GB2312" w:hAnsi="宋体" w:eastAsia="仿宋_GB2312" w:cs="宋体"/>
                <w:color w:val="auto"/>
                <w:kern w:val="0"/>
                <w:sz w:val="13"/>
                <w:szCs w:val="13"/>
                <w:highlight w:val="none"/>
              </w:rPr>
              <w:t>　（三）清扫、收运城市生活垃圾后，对生活垃圾收集设施及时保洁、复位，清理作业场地，保持生活垃圾收集设施和周边环境的干净整洁；</w:t>
            </w:r>
          </w:p>
          <w:p w14:paraId="3D2DA5C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kern w:val="0"/>
                <w:sz w:val="13"/>
                <w:szCs w:val="13"/>
                <w:highlight w:val="none"/>
              </w:rPr>
            </w:pPr>
            <w:r>
              <w:rPr>
                <w:rFonts w:hint="eastAsia" w:ascii="仿宋_GB2312" w:hAnsi="宋体" w:eastAsia="仿宋_GB2312" w:cs="宋体"/>
                <w:color w:val="auto"/>
                <w:kern w:val="0"/>
                <w:sz w:val="13"/>
                <w:szCs w:val="13"/>
                <w:highlight w:val="none"/>
              </w:rPr>
              <w:t>　（四）用于收集、运输城市生活垃圾的车辆、船舶应当做到密闭、完好和整洁。</w:t>
            </w:r>
          </w:p>
        </w:tc>
        <w:tc>
          <w:tcPr>
            <w:tcW w:w="4820" w:type="dxa"/>
            <w:vMerge w:val="restart"/>
            <w:tcBorders>
              <w:tl2br w:val="nil"/>
              <w:tr2bl w:val="nil"/>
            </w:tcBorders>
            <w:tcMar>
              <w:top w:w="15" w:type="dxa"/>
              <w:left w:w="15" w:type="dxa"/>
              <w:bottom w:w="15" w:type="dxa"/>
              <w:right w:w="15" w:type="dxa"/>
            </w:tcMar>
            <w:vAlign w:val="center"/>
          </w:tcPr>
          <w:p w14:paraId="55B35B8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hint="eastAsia" w:ascii="仿宋_GB2312" w:hAnsi="宋体" w:eastAsia="仿宋_GB2312" w:cs="宋体"/>
                <w:color w:val="auto"/>
                <w:kern w:val="0"/>
                <w:sz w:val="13"/>
                <w:szCs w:val="13"/>
                <w:highlight w:val="none"/>
              </w:rPr>
            </w:pPr>
            <w:r>
              <w:rPr>
                <w:rFonts w:hint="eastAsia" w:ascii="仿宋_GB2312" w:hAnsi="宋体" w:eastAsia="仿宋_GB2312" w:cs="宋体"/>
                <w:color w:val="auto"/>
                <w:kern w:val="0"/>
                <w:sz w:val="13"/>
                <w:szCs w:val="13"/>
                <w:highlight w:val="none"/>
              </w:rPr>
              <w:t>《城市生活垃圾管理办法》</w:t>
            </w:r>
            <w:r>
              <w:rPr>
                <w:rFonts w:hint="eastAsia" w:ascii="仿宋_GB2312" w:hAnsi="宋体" w:eastAsia="仿宋_GB2312" w:cs="宋体"/>
                <w:b/>
                <w:bCs/>
                <w:color w:val="auto"/>
                <w:kern w:val="0"/>
                <w:sz w:val="13"/>
                <w:szCs w:val="13"/>
                <w:highlight w:val="none"/>
              </w:rPr>
              <w:t>第四十五条</w:t>
            </w:r>
            <w:r>
              <w:rPr>
                <w:rFonts w:hint="eastAsia" w:ascii="仿宋_GB2312" w:hAnsi="宋体" w:eastAsia="仿宋_GB2312" w:cs="宋体"/>
                <w:b/>
                <w:bCs/>
                <w:color w:val="auto"/>
                <w:kern w:val="0"/>
                <w:sz w:val="13"/>
                <w:szCs w:val="13"/>
                <w:highlight w:val="none"/>
                <w:lang w:eastAsia="zh-CN"/>
              </w:rPr>
              <w:t>：</w:t>
            </w:r>
            <w:r>
              <w:rPr>
                <w:rFonts w:hint="eastAsia" w:ascii="仿宋_GB2312" w:hAnsi="宋体" w:eastAsia="仿宋_GB2312" w:cs="宋体"/>
                <w:color w:val="auto"/>
                <w:kern w:val="0"/>
                <w:sz w:val="13"/>
                <w:szCs w:val="13"/>
                <w:highlight w:val="none"/>
              </w:rPr>
              <w:t>从事生活垃圾经营性清扫、收集、运输的企业不履行本办法第二十条规定义务的，由直辖市、市、县人民政府建设（环境卫生）主管部门责令限期改正，并可处以5000元以上3万元以下的罚款：城市生活垃圾经营性处置企业不履行本办法第二十八条规定义务的，由直辖市、市、县人民政府建设（环境卫生）主管部门责令限期改正，并可处以3万元以上10万元以下的罚款。造成损失的，依法承担赔偿责任。</w:t>
            </w:r>
          </w:p>
          <w:p w14:paraId="2FE9151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hint="eastAsia" w:ascii="仿宋_GB2312" w:hAnsi="宋体" w:eastAsia="仿宋_GB2312" w:cs="宋体"/>
                <w:color w:val="auto"/>
                <w:kern w:val="0"/>
                <w:sz w:val="13"/>
                <w:szCs w:val="13"/>
                <w:highlight w:val="none"/>
                <w:lang w:val="en-US" w:eastAsia="zh-CN"/>
              </w:rPr>
            </w:pPr>
            <w:r>
              <w:rPr>
                <w:rFonts w:hint="eastAsia" w:ascii="仿宋_GB2312" w:hAnsi="宋体" w:eastAsia="仿宋_GB2312" w:cs="宋体"/>
                <w:b/>
                <w:bCs/>
                <w:color w:val="auto"/>
                <w:kern w:val="0"/>
                <w:sz w:val="13"/>
                <w:szCs w:val="13"/>
                <w:highlight w:val="none"/>
                <w:lang w:val="en-US" w:eastAsia="zh-CN"/>
              </w:rPr>
              <w:t>第二十条</w:t>
            </w:r>
            <w:r>
              <w:rPr>
                <w:rFonts w:hint="eastAsia" w:ascii="仿宋_GB2312" w:hAnsi="宋体" w:eastAsia="仿宋_GB2312" w:cs="宋体"/>
                <w:color w:val="auto"/>
                <w:kern w:val="0"/>
                <w:sz w:val="13"/>
                <w:szCs w:val="13"/>
                <w:highlight w:val="none"/>
                <w:lang w:val="en-US" w:eastAsia="zh-CN"/>
              </w:rPr>
              <w:t>　从事城市生活垃圾经营性清扫、收集、运输的企业应当履行以下义务：</w:t>
            </w:r>
          </w:p>
          <w:p w14:paraId="0DFDBF9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hint="eastAsia" w:ascii="仿宋_GB2312" w:hAnsi="宋体" w:eastAsia="仿宋_GB2312" w:cs="宋体"/>
                <w:color w:val="auto"/>
                <w:kern w:val="0"/>
                <w:sz w:val="13"/>
                <w:szCs w:val="13"/>
                <w:highlight w:val="none"/>
                <w:lang w:val="en-US" w:eastAsia="zh-CN"/>
              </w:rPr>
            </w:pPr>
            <w:r>
              <w:rPr>
                <w:rFonts w:hint="eastAsia" w:ascii="仿宋_GB2312" w:hAnsi="宋体" w:eastAsia="仿宋_GB2312" w:cs="宋体"/>
                <w:color w:val="auto"/>
                <w:kern w:val="0"/>
                <w:sz w:val="13"/>
                <w:szCs w:val="13"/>
                <w:highlight w:val="none"/>
                <w:lang w:val="en-US" w:eastAsia="zh-CN"/>
              </w:rPr>
              <w:t>　　（一）按照环境卫生作业标准和作业规范，在规定的时间内及时清扫、收运城市生活垃圾；</w:t>
            </w:r>
          </w:p>
          <w:p w14:paraId="3BD3310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hint="eastAsia" w:ascii="仿宋_GB2312" w:hAnsi="宋体" w:eastAsia="仿宋_GB2312" w:cs="宋体"/>
                <w:color w:val="auto"/>
                <w:kern w:val="0"/>
                <w:sz w:val="13"/>
                <w:szCs w:val="13"/>
                <w:highlight w:val="none"/>
                <w:lang w:val="en-US" w:eastAsia="zh-CN"/>
              </w:rPr>
            </w:pPr>
            <w:r>
              <w:rPr>
                <w:rFonts w:hint="eastAsia" w:ascii="仿宋_GB2312" w:hAnsi="宋体" w:eastAsia="仿宋_GB2312" w:cs="宋体"/>
                <w:color w:val="auto"/>
                <w:kern w:val="0"/>
                <w:sz w:val="13"/>
                <w:szCs w:val="13"/>
                <w:highlight w:val="none"/>
                <w:lang w:val="en-US" w:eastAsia="zh-CN"/>
              </w:rPr>
              <w:t>　　（二）将收集的城市生活垃圾运到直辖市、市、县人民政府建设（环境卫生）主管部门认可的处理场所；</w:t>
            </w:r>
          </w:p>
          <w:p w14:paraId="4438021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hint="eastAsia" w:ascii="仿宋_GB2312" w:hAnsi="宋体" w:eastAsia="仿宋_GB2312" w:cs="宋体"/>
                <w:color w:val="auto"/>
                <w:kern w:val="0"/>
                <w:sz w:val="13"/>
                <w:szCs w:val="13"/>
                <w:highlight w:val="none"/>
                <w:lang w:val="en-US" w:eastAsia="zh-CN"/>
              </w:rPr>
            </w:pPr>
            <w:r>
              <w:rPr>
                <w:rFonts w:hint="eastAsia" w:ascii="仿宋_GB2312" w:hAnsi="宋体" w:eastAsia="仿宋_GB2312" w:cs="宋体"/>
                <w:color w:val="auto"/>
                <w:kern w:val="0"/>
                <w:sz w:val="13"/>
                <w:szCs w:val="13"/>
                <w:highlight w:val="none"/>
                <w:lang w:val="en-US" w:eastAsia="zh-CN"/>
              </w:rPr>
              <w:t>　　（三）清扫、收运城市生活垃圾后，对生活垃圾收集设施及时保洁、复位，清理作业场地，保持生活垃圾收集设施和周边环境的干净整洁；</w:t>
            </w:r>
          </w:p>
          <w:p w14:paraId="3DD133D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hint="default" w:ascii="仿宋_GB2312" w:hAnsi="宋体" w:eastAsia="仿宋_GB2312" w:cs="宋体"/>
                <w:color w:val="auto"/>
                <w:kern w:val="0"/>
                <w:sz w:val="13"/>
                <w:szCs w:val="13"/>
                <w:highlight w:val="none"/>
                <w:lang w:val="en-US" w:eastAsia="zh-CN"/>
              </w:rPr>
            </w:pPr>
            <w:r>
              <w:rPr>
                <w:rFonts w:hint="eastAsia" w:ascii="仿宋_GB2312" w:hAnsi="宋体" w:eastAsia="仿宋_GB2312" w:cs="宋体"/>
                <w:color w:val="auto"/>
                <w:kern w:val="0"/>
                <w:sz w:val="13"/>
                <w:szCs w:val="13"/>
                <w:highlight w:val="none"/>
                <w:lang w:val="en-US" w:eastAsia="zh-CN"/>
              </w:rPr>
              <w:t>　　（四）用于收集、运输城市生活垃圾的车辆、船舶应当做到密闭、完好和整洁。</w:t>
            </w:r>
          </w:p>
        </w:tc>
        <w:tc>
          <w:tcPr>
            <w:tcW w:w="823" w:type="dxa"/>
            <w:tcBorders>
              <w:tl2br w:val="nil"/>
              <w:tr2bl w:val="nil"/>
            </w:tcBorders>
            <w:tcMar>
              <w:top w:w="15" w:type="dxa"/>
              <w:left w:w="15" w:type="dxa"/>
              <w:bottom w:w="15" w:type="dxa"/>
              <w:right w:w="15" w:type="dxa"/>
            </w:tcMar>
            <w:vAlign w:val="center"/>
          </w:tcPr>
          <w:p w14:paraId="06AA871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从轻情节</w:t>
            </w:r>
          </w:p>
        </w:tc>
        <w:tc>
          <w:tcPr>
            <w:tcW w:w="3437" w:type="dxa"/>
            <w:gridSpan w:val="2"/>
            <w:tcBorders>
              <w:tl2br w:val="nil"/>
              <w:tr2bl w:val="nil"/>
            </w:tcBorders>
            <w:tcMar>
              <w:top w:w="15" w:type="dxa"/>
              <w:left w:w="15" w:type="dxa"/>
              <w:bottom w:w="15" w:type="dxa"/>
              <w:right w:w="15" w:type="dxa"/>
            </w:tcMar>
            <w:vAlign w:val="center"/>
          </w:tcPr>
          <w:p w14:paraId="41247DE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初次违法，危害后果轻微，主动消除或减轻违法行为后果的。</w:t>
            </w:r>
          </w:p>
        </w:tc>
        <w:tc>
          <w:tcPr>
            <w:tcW w:w="3058" w:type="dxa"/>
            <w:tcBorders>
              <w:tl2br w:val="nil"/>
              <w:tr2bl w:val="nil"/>
            </w:tcBorders>
            <w:tcMar>
              <w:top w:w="15" w:type="dxa"/>
              <w:left w:w="15" w:type="dxa"/>
              <w:bottom w:w="15" w:type="dxa"/>
              <w:right w:w="15" w:type="dxa"/>
            </w:tcMar>
            <w:vAlign w:val="center"/>
          </w:tcPr>
          <w:p w14:paraId="4DB1CEF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责令限期改正，并可处以5千元以上1万元以下的罚款。</w:t>
            </w:r>
          </w:p>
        </w:tc>
      </w:tr>
      <w:tr w14:paraId="398765B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256" w:hRule="atLeast"/>
          <w:jc w:val="center"/>
        </w:trPr>
        <w:tc>
          <w:tcPr>
            <w:tcW w:w="428" w:type="dxa"/>
            <w:vMerge w:val="continue"/>
            <w:tcBorders>
              <w:tl2br w:val="nil"/>
              <w:tr2bl w:val="nil"/>
            </w:tcBorders>
            <w:vAlign w:val="center"/>
          </w:tcPr>
          <w:p w14:paraId="3240AFF1">
            <w:pPr>
              <w:pStyle w:val="37"/>
              <w:keepNext w:val="0"/>
              <w:keepLines w:val="0"/>
              <w:pageBreakBefore w:val="0"/>
              <w:widowControl/>
              <w:numPr>
                <w:ilvl w:val="0"/>
                <w:numId w:val="12"/>
              </w:numPr>
              <w:kinsoku/>
              <w:overflowPunct/>
              <w:topLinePunct w:val="0"/>
              <w:autoSpaceDE/>
              <w:autoSpaceDN/>
              <w:bidi w:val="0"/>
              <w:adjustRightInd/>
              <w:snapToGrid/>
              <w:spacing w:beforeAutospacing="0" w:afterAutospacing="0" w:line="260" w:lineRule="exact"/>
              <w:ind w:left="638" w:leftChars="88" w:right="0" w:rightChars="0" w:hanging="453" w:hangingChars="349"/>
              <w:jc w:val="center"/>
              <w:rPr>
                <w:rFonts w:ascii="仿宋_GB2312" w:hAnsi="宋体" w:eastAsia="仿宋_GB2312" w:cs="宋体"/>
                <w:color w:val="auto"/>
                <w:sz w:val="13"/>
                <w:szCs w:val="13"/>
                <w:highlight w:val="none"/>
              </w:rPr>
            </w:pPr>
          </w:p>
        </w:tc>
        <w:tc>
          <w:tcPr>
            <w:tcW w:w="1550" w:type="dxa"/>
            <w:vMerge w:val="continue"/>
            <w:tcBorders>
              <w:tl2br w:val="nil"/>
              <w:tr2bl w:val="nil"/>
            </w:tcBorders>
            <w:vAlign w:val="center"/>
          </w:tcPr>
          <w:p w14:paraId="4C0F250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kern w:val="0"/>
                <w:sz w:val="13"/>
                <w:szCs w:val="13"/>
                <w:highlight w:val="none"/>
              </w:rPr>
            </w:pPr>
          </w:p>
        </w:tc>
        <w:tc>
          <w:tcPr>
            <w:tcW w:w="4820" w:type="dxa"/>
            <w:vMerge w:val="continue"/>
            <w:tcBorders>
              <w:tl2br w:val="nil"/>
              <w:tr2bl w:val="nil"/>
            </w:tcBorders>
            <w:vAlign w:val="center"/>
          </w:tcPr>
          <w:p w14:paraId="28D2BA3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7C950A6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一般情节</w:t>
            </w:r>
          </w:p>
        </w:tc>
        <w:tc>
          <w:tcPr>
            <w:tcW w:w="3437" w:type="dxa"/>
            <w:gridSpan w:val="2"/>
            <w:tcBorders>
              <w:tl2br w:val="nil"/>
              <w:tr2bl w:val="nil"/>
            </w:tcBorders>
            <w:tcMar>
              <w:top w:w="15" w:type="dxa"/>
              <w:left w:w="15" w:type="dxa"/>
              <w:bottom w:w="15" w:type="dxa"/>
              <w:right w:w="15" w:type="dxa"/>
            </w:tcMar>
            <w:vAlign w:val="center"/>
          </w:tcPr>
          <w:p w14:paraId="2AA22AF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不具有从轻、</w:t>
            </w:r>
            <w:r>
              <w:rPr>
                <w:rFonts w:hint="eastAsia" w:ascii="仿宋_GB2312" w:hAnsi="宋体" w:eastAsia="仿宋_GB2312" w:cs="宋体"/>
                <w:color w:val="auto"/>
                <w:kern w:val="0"/>
                <w:sz w:val="13"/>
                <w:szCs w:val="13"/>
                <w:highlight w:val="none"/>
                <w:lang w:eastAsia="zh-CN"/>
              </w:rPr>
              <w:t>从重情节</w:t>
            </w:r>
            <w:r>
              <w:rPr>
                <w:rFonts w:hint="eastAsia" w:ascii="仿宋_GB2312" w:hAnsi="宋体" w:eastAsia="仿宋_GB2312" w:cs="宋体"/>
                <w:color w:val="auto"/>
                <w:kern w:val="0"/>
                <w:sz w:val="13"/>
                <w:szCs w:val="13"/>
                <w:highlight w:val="none"/>
              </w:rPr>
              <w:t>的。</w:t>
            </w:r>
          </w:p>
        </w:tc>
        <w:tc>
          <w:tcPr>
            <w:tcW w:w="3058" w:type="dxa"/>
            <w:tcBorders>
              <w:tl2br w:val="nil"/>
              <w:tr2bl w:val="nil"/>
            </w:tcBorders>
            <w:tcMar>
              <w:top w:w="15" w:type="dxa"/>
              <w:left w:w="15" w:type="dxa"/>
              <w:bottom w:w="15" w:type="dxa"/>
              <w:right w:w="15" w:type="dxa"/>
            </w:tcMar>
            <w:vAlign w:val="center"/>
          </w:tcPr>
          <w:p w14:paraId="47311D2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责令限期改正，并可处以1万元以上2万元以下罚款。</w:t>
            </w:r>
          </w:p>
        </w:tc>
      </w:tr>
      <w:tr w14:paraId="15C7F0E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403" w:hRule="atLeast"/>
          <w:jc w:val="center"/>
        </w:trPr>
        <w:tc>
          <w:tcPr>
            <w:tcW w:w="428" w:type="dxa"/>
            <w:vMerge w:val="continue"/>
            <w:tcBorders>
              <w:tl2br w:val="nil"/>
              <w:tr2bl w:val="nil"/>
            </w:tcBorders>
            <w:vAlign w:val="center"/>
          </w:tcPr>
          <w:p w14:paraId="29B4C578">
            <w:pPr>
              <w:pStyle w:val="37"/>
              <w:keepNext w:val="0"/>
              <w:keepLines w:val="0"/>
              <w:pageBreakBefore w:val="0"/>
              <w:widowControl/>
              <w:numPr>
                <w:ilvl w:val="0"/>
                <w:numId w:val="12"/>
              </w:numPr>
              <w:kinsoku/>
              <w:overflowPunct/>
              <w:topLinePunct w:val="0"/>
              <w:autoSpaceDE/>
              <w:autoSpaceDN/>
              <w:bidi w:val="0"/>
              <w:adjustRightInd/>
              <w:snapToGrid/>
              <w:spacing w:beforeAutospacing="0" w:afterAutospacing="0" w:line="260" w:lineRule="exact"/>
              <w:ind w:left="638" w:leftChars="88" w:right="0" w:rightChars="0" w:hanging="453" w:hangingChars="349"/>
              <w:jc w:val="center"/>
              <w:rPr>
                <w:rFonts w:ascii="仿宋_GB2312" w:hAnsi="宋体" w:eastAsia="仿宋_GB2312" w:cs="宋体"/>
                <w:color w:val="auto"/>
                <w:sz w:val="13"/>
                <w:szCs w:val="13"/>
                <w:highlight w:val="none"/>
              </w:rPr>
            </w:pPr>
          </w:p>
        </w:tc>
        <w:tc>
          <w:tcPr>
            <w:tcW w:w="1550" w:type="dxa"/>
            <w:vMerge w:val="continue"/>
            <w:tcBorders>
              <w:tl2br w:val="nil"/>
              <w:tr2bl w:val="nil"/>
            </w:tcBorders>
            <w:vAlign w:val="center"/>
          </w:tcPr>
          <w:p w14:paraId="56D5F26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kern w:val="0"/>
                <w:sz w:val="13"/>
                <w:szCs w:val="13"/>
                <w:highlight w:val="none"/>
              </w:rPr>
            </w:pPr>
          </w:p>
        </w:tc>
        <w:tc>
          <w:tcPr>
            <w:tcW w:w="4820" w:type="dxa"/>
            <w:vMerge w:val="continue"/>
            <w:tcBorders>
              <w:tl2br w:val="nil"/>
              <w:tr2bl w:val="nil"/>
            </w:tcBorders>
            <w:vAlign w:val="center"/>
          </w:tcPr>
          <w:p w14:paraId="0E59608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4AE9E56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从重情节</w:t>
            </w:r>
          </w:p>
        </w:tc>
        <w:tc>
          <w:tcPr>
            <w:tcW w:w="3437" w:type="dxa"/>
            <w:gridSpan w:val="2"/>
            <w:tcBorders>
              <w:tl2br w:val="nil"/>
              <w:tr2bl w:val="nil"/>
            </w:tcBorders>
            <w:tcMar>
              <w:top w:w="15" w:type="dxa"/>
              <w:left w:w="15" w:type="dxa"/>
              <w:bottom w:w="15" w:type="dxa"/>
              <w:right w:w="15" w:type="dxa"/>
            </w:tcMar>
            <w:vAlign w:val="center"/>
          </w:tcPr>
          <w:p w14:paraId="150F5AC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Times New Roman"/>
                <w:color w:val="auto"/>
                <w:kern w:val="0"/>
                <w:sz w:val="13"/>
                <w:szCs w:val="13"/>
                <w:highlight w:val="none"/>
                <w:lang w:val="en-US" w:eastAsia="zh-CN"/>
              </w:rPr>
              <w:t>有下列情形之一的：</w:t>
            </w:r>
            <w:r>
              <w:rPr>
                <w:rFonts w:hint="eastAsia" w:ascii="仿宋_GB2312" w:hAnsi="宋体" w:eastAsia="仿宋_GB2312" w:cs="宋体"/>
                <w:color w:val="auto"/>
                <w:kern w:val="0"/>
                <w:sz w:val="13"/>
                <w:szCs w:val="13"/>
                <w:highlight w:val="none"/>
              </w:rPr>
              <w:t>（1）经责令整改后，不采取整改措施的；（2）曾因实施该违法行为被查处，再次实施该违法行为的；（3）严重影响城市市容和环境卫生，造成重大社会影响的；（4）造成严重危害后果的。</w:t>
            </w:r>
          </w:p>
        </w:tc>
        <w:tc>
          <w:tcPr>
            <w:tcW w:w="3058" w:type="dxa"/>
            <w:tcBorders>
              <w:tl2br w:val="nil"/>
              <w:tr2bl w:val="nil"/>
            </w:tcBorders>
            <w:tcMar>
              <w:top w:w="15" w:type="dxa"/>
              <w:left w:w="15" w:type="dxa"/>
              <w:bottom w:w="15" w:type="dxa"/>
              <w:right w:w="15" w:type="dxa"/>
            </w:tcMar>
            <w:vAlign w:val="center"/>
          </w:tcPr>
          <w:p w14:paraId="63C2D78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责令限期改正，并可处以2万元以上3万元以下罚款。</w:t>
            </w:r>
          </w:p>
        </w:tc>
      </w:tr>
      <w:tr w14:paraId="0662EB3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1310" w:hRule="atLeast"/>
          <w:jc w:val="center"/>
        </w:trPr>
        <w:tc>
          <w:tcPr>
            <w:tcW w:w="428" w:type="dxa"/>
            <w:vMerge w:val="restart"/>
            <w:tcBorders>
              <w:tl2br w:val="nil"/>
              <w:tr2bl w:val="nil"/>
            </w:tcBorders>
            <w:vAlign w:val="center"/>
          </w:tcPr>
          <w:p w14:paraId="0AD31403">
            <w:pPr>
              <w:keepNext w:val="0"/>
              <w:keepLines w:val="0"/>
              <w:pageBreakBefore w:val="0"/>
              <w:widowControl/>
              <w:numPr>
                <w:ilvl w:val="0"/>
                <w:numId w:val="11"/>
              </w:numPr>
              <w:suppressLineNumbers w:val="0"/>
              <w:tabs>
                <w:tab w:val="clear" w:pos="397"/>
              </w:tabs>
              <w:kinsoku/>
              <w:overflowPunct/>
              <w:topLinePunct w:val="0"/>
              <w:autoSpaceDE/>
              <w:autoSpaceDN/>
              <w:bidi w:val="0"/>
              <w:adjustRightInd/>
              <w:snapToGrid/>
              <w:spacing w:beforeAutospacing="0" w:afterAutospacing="0" w:line="260" w:lineRule="exact"/>
              <w:ind w:left="638" w:leftChars="88" w:right="0" w:rightChars="0" w:hanging="453" w:hangingChars="349"/>
              <w:jc w:val="center"/>
              <w:textAlignment w:val="center"/>
              <w:rPr>
                <w:rFonts w:hint="default" w:ascii="仿宋_GB2312" w:hAnsi="宋体" w:eastAsia="仿宋_GB2312" w:cs="宋体"/>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356</w:t>
            </w:r>
          </w:p>
        </w:tc>
        <w:tc>
          <w:tcPr>
            <w:tcW w:w="1550" w:type="dxa"/>
            <w:vMerge w:val="restart"/>
            <w:tcBorders>
              <w:tl2br w:val="nil"/>
              <w:tr2bl w:val="nil"/>
            </w:tcBorders>
            <w:vAlign w:val="center"/>
          </w:tcPr>
          <w:p w14:paraId="004C2076">
            <w:pPr>
              <w:keepNext w:val="0"/>
              <w:keepLines w:val="0"/>
              <w:pageBreakBefore w:val="0"/>
              <w:widowControl/>
              <w:kinsoku/>
              <w:wordWrap/>
              <w:overflowPunct/>
              <w:topLinePunct w:val="0"/>
              <w:autoSpaceDE/>
              <w:autoSpaceDN/>
              <w:bidi w:val="0"/>
              <w:adjustRightInd/>
              <w:snapToGrid/>
              <w:spacing w:beforeAutospacing="0" w:afterAutospacing="0" w:line="200" w:lineRule="exact"/>
              <w:ind w:left="0" w:leftChars="0" w:right="0" w:rightChars="0"/>
              <w:textAlignment w:val="center"/>
              <w:rPr>
                <w:rFonts w:hint="eastAsia" w:ascii="仿宋_GB2312" w:hAnsi="宋体" w:eastAsia="仿宋_GB2312" w:cs="宋体"/>
                <w:color w:val="auto"/>
                <w:kern w:val="0"/>
                <w:sz w:val="13"/>
                <w:szCs w:val="13"/>
                <w:highlight w:val="none"/>
                <w:lang w:val="en-US" w:eastAsia="zh-CN"/>
              </w:rPr>
            </w:pPr>
            <w:r>
              <w:rPr>
                <w:rFonts w:hint="eastAsia" w:ascii="仿宋_GB2312" w:hAnsi="宋体" w:eastAsia="仿宋_GB2312" w:cs="宋体"/>
                <w:color w:val="auto"/>
                <w:kern w:val="0"/>
                <w:sz w:val="13"/>
                <w:szCs w:val="13"/>
                <w:highlight w:val="none"/>
              </w:rPr>
              <w:t>城市生活垃圾经营性处置企业未</w:t>
            </w:r>
            <w:r>
              <w:rPr>
                <w:rFonts w:hint="eastAsia" w:ascii="仿宋_GB2312" w:hAnsi="宋体" w:eastAsia="仿宋_GB2312" w:cs="宋体"/>
                <w:color w:val="auto"/>
                <w:kern w:val="0"/>
                <w:sz w:val="13"/>
                <w:szCs w:val="13"/>
                <w:highlight w:val="none"/>
                <w:lang w:val="en-US" w:eastAsia="zh-CN"/>
              </w:rPr>
              <w:t>履行以下义务之一：</w:t>
            </w:r>
          </w:p>
          <w:p w14:paraId="527E80EA">
            <w:pPr>
              <w:keepNext w:val="0"/>
              <w:keepLines w:val="0"/>
              <w:pageBreakBefore w:val="0"/>
              <w:widowControl/>
              <w:kinsoku/>
              <w:wordWrap/>
              <w:overflowPunct/>
              <w:topLinePunct w:val="0"/>
              <w:autoSpaceDE/>
              <w:autoSpaceDN/>
              <w:bidi w:val="0"/>
              <w:adjustRightInd/>
              <w:snapToGrid/>
              <w:spacing w:beforeAutospacing="0" w:afterAutospacing="0" w:line="200" w:lineRule="exact"/>
              <w:ind w:left="0" w:leftChars="0" w:right="0" w:rightChars="0"/>
              <w:textAlignment w:val="center"/>
              <w:rPr>
                <w:rFonts w:hint="eastAsia" w:ascii="仿宋_GB2312" w:hAnsi="宋体" w:eastAsia="仿宋_GB2312" w:cs="宋体"/>
                <w:color w:val="auto"/>
                <w:kern w:val="0"/>
                <w:sz w:val="13"/>
                <w:szCs w:val="13"/>
                <w:highlight w:val="none"/>
                <w:lang w:val="en-US" w:eastAsia="zh-CN"/>
              </w:rPr>
            </w:pPr>
            <w:r>
              <w:rPr>
                <w:rFonts w:hint="eastAsia" w:ascii="仿宋_GB2312" w:hAnsi="宋体" w:eastAsia="仿宋_GB2312" w:cs="宋体"/>
                <w:color w:val="auto"/>
                <w:kern w:val="0"/>
                <w:sz w:val="13"/>
                <w:szCs w:val="13"/>
                <w:highlight w:val="none"/>
                <w:lang w:val="en-US" w:eastAsia="zh-CN"/>
              </w:rPr>
              <w:t>　　（一）严格按照国家有关规定和技术标准，处置城市生活垃圾；</w:t>
            </w:r>
          </w:p>
          <w:p w14:paraId="7A059726">
            <w:pPr>
              <w:keepNext w:val="0"/>
              <w:keepLines w:val="0"/>
              <w:pageBreakBefore w:val="0"/>
              <w:widowControl/>
              <w:kinsoku/>
              <w:wordWrap/>
              <w:overflowPunct/>
              <w:topLinePunct w:val="0"/>
              <w:autoSpaceDE/>
              <w:autoSpaceDN/>
              <w:bidi w:val="0"/>
              <w:adjustRightInd/>
              <w:snapToGrid/>
              <w:spacing w:beforeAutospacing="0" w:afterAutospacing="0" w:line="200" w:lineRule="exact"/>
              <w:ind w:left="0" w:leftChars="0" w:right="0" w:rightChars="0"/>
              <w:textAlignment w:val="center"/>
              <w:rPr>
                <w:rFonts w:hint="eastAsia" w:ascii="仿宋_GB2312" w:hAnsi="宋体" w:eastAsia="仿宋_GB2312" w:cs="宋体"/>
                <w:color w:val="auto"/>
                <w:kern w:val="0"/>
                <w:sz w:val="13"/>
                <w:szCs w:val="13"/>
                <w:highlight w:val="none"/>
                <w:lang w:val="en-US" w:eastAsia="zh-CN"/>
              </w:rPr>
            </w:pPr>
            <w:r>
              <w:rPr>
                <w:rFonts w:hint="eastAsia" w:ascii="仿宋_GB2312" w:hAnsi="宋体" w:eastAsia="仿宋_GB2312" w:cs="宋体"/>
                <w:color w:val="auto"/>
                <w:kern w:val="0"/>
                <w:sz w:val="13"/>
                <w:szCs w:val="13"/>
                <w:highlight w:val="none"/>
                <w:lang w:val="en-US" w:eastAsia="zh-CN"/>
              </w:rPr>
              <w:t>　　（二）按照规定处理处置过程中产生的污水、废气、废渣、粉尘等，防止二次污染；</w:t>
            </w:r>
          </w:p>
          <w:p w14:paraId="78D7B8DD">
            <w:pPr>
              <w:keepNext w:val="0"/>
              <w:keepLines w:val="0"/>
              <w:pageBreakBefore w:val="0"/>
              <w:widowControl/>
              <w:kinsoku/>
              <w:wordWrap/>
              <w:overflowPunct/>
              <w:topLinePunct w:val="0"/>
              <w:autoSpaceDE/>
              <w:autoSpaceDN/>
              <w:bidi w:val="0"/>
              <w:adjustRightInd/>
              <w:snapToGrid/>
              <w:spacing w:beforeAutospacing="0" w:afterAutospacing="0" w:line="200" w:lineRule="exact"/>
              <w:ind w:left="0" w:leftChars="0" w:right="0" w:rightChars="0"/>
              <w:textAlignment w:val="center"/>
              <w:rPr>
                <w:rFonts w:hint="eastAsia" w:ascii="仿宋_GB2312" w:hAnsi="宋体" w:eastAsia="仿宋_GB2312" w:cs="宋体"/>
                <w:color w:val="auto"/>
                <w:kern w:val="0"/>
                <w:sz w:val="13"/>
                <w:szCs w:val="13"/>
                <w:highlight w:val="none"/>
                <w:lang w:val="en-US" w:eastAsia="zh-CN"/>
              </w:rPr>
            </w:pPr>
            <w:r>
              <w:rPr>
                <w:rFonts w:hint="eastAsia" w:ascii="仿宋_GB2312" w:hAnsi="宋体" w:eastAsia="仿宋_GB2312" w:cs="宋体"/>
                <w:color w:val="auto"/>
                <w:kern w:val="0"/>
                <w:sz w:val="13"/>
                <w:szCs w:val="13"/>
                <w:highlight w:val="none"/>
                <w:lang w:val="en-US" w:eastAsia="zh-CN"/>
              </w:rPr>
              <w:t>　　（三）按照所在地建设（环境卫生）主管部门规定的时间和要求接收生活垃圾；</w:t>
            </w:r>
          </w:p>
          <w:p w14:paraId="7719D522">
            <w:pPr>
              <w:keepNext w:val="0"/>
              <w:keepLines w:val="0"/>
              <w:pageBreakBefore w:val="0"/>
              <w:widowControl/>
              <w:kinsoku/>
              <w:wordWrap/>
              <w:overflowPunct/>
              <w:topLinePunct w:val="0"/>
              <w:autoSpaceDE/>
              <w:autoSpaceDN/>
              <w:bidi w:val="0"/>
              <w:adjustRightInd/>
              <w:snapToGrid/>
              <w:spacing w:beforeAutospacing="0" w:afterAutospacing="0" w:line="200" w:lineRule="exact"/>
              <w:ind w:left="0" w:leftChars="0" w:right="0" w:rightChars="0"/>
              <w:textAlignment w:val="center"/>
              <w:rPr>
                <w:rFonts w:hint="eastAsia" w:ascii="仿宋_GB2312" w:hAnsi="宋体" w:eastAsia="仿宋_GB2312" w:cs="宋体"/>
                <w:color w:val="auto"/>
                <w:kern w:val="0"/>
                <w:sz w:val="13"/>
                <w:szCs w:val="13"/>
                <w:highlight w:val="none"/>
                <w:lang w:val="en-US" w:eastAsia="zh-CN"/>
              </w:rPr>
            </w:pPr>
            <w:r>
              <w:rPr>
                <w:rFonts w:hint="eastAsia" w:ascii="仿宋_GB2312" w:hAnsi="宋体" w:eastAsia="仿宋_GB2312" w:cs="宋体"/>
                <w:color w:val="auto"/>
                <w:kern w:val="0"/>
                <w:sz w:val="13"/>
                <w:szCs w:val="13"/>
                <w:highlight w:val="none"/>
                <w:lang w:val="en-US" w:eastAsia="zh-CN"/>
              </w:rPr>
              <w:t>　　（四）按照要求配备城市生活垃圾处置设备、设施，保证设施、设备运行良好；</w:t>
            </w:r>
          </w:p>
          <w:p w14:paraId="4190931B">
            <w:pPr>
              <w:keepNext w:val="0"/>
              <w:keepLines w:val="0"/>
              <w:pageBreakBefore w:val="0"/>
              <w:widowControl/>
              <w:kinsoku/>
              <w:wordWrap/>
              <w:overflowPunct/>
              <w:topLinePunct w:val="0"/>
              <w:autoSpaceDE/>
              <w:autoSpaceDN/>
              <w:bidi w:val="0"/>
              <w:adjustRightInd/>
              <w:snapToGrid/>
              <w:spacing w:beforeAutospacing="0" w:afterAutospacing="0" w:line="200" w:lineRule="exact"/>
              <w:ind w:left="0" w:leftChars="0" w:right="0" w:rightChars="0"/>
              <w:textAlignment w:val="center"/>
              <w:rPr>
                <w:rFonts w:hint="eastAsia" w:ascii="仿宋_GB2312" w:hAnsi="宋体" w:eastAsia="仿宋_GB2312" w:cs="宋体"/>
                <w:color w:val="auto"/>
                <w:kern w:val="0"/>
                <w:sz w:val="13"/>
                <w:szCs w:val="13"/>
                <w:highlight w:val="none"/>
                <w:lang w:val="en-US" w:eastAsia="zh-CN"/>
              </w:rPr>
            </w:pPr>
            <w:r>
              <w:rPr>
                <w:rFonts w:hint="eastAsia" w:ascii="仿宋_GB2312" w:hAnsi="宋体" w:eastAsia="仿宋_GB2312" w:cs="宋体"/>
                <w:color w:val="auto"/>
                <w:kern w:val="0"/>
                <w:sz w:val="13"/>
                <w:szCs w:val="13"/>
                <w:highlight w:val="none"/>
                <w:lang w:val="en-US" w:eastAsia="zh-CN"/>
              </w:rPr>
              <w:t>　　（五）保证城市生活垃圾处置站、场（厂）环境整洁；</w:t>
            </w:r>
          </w:p>
          <w:p w14:paraId="1A31B882">
            <w:pPr>
              <w:keepNext w:val="0"/>
              <w:keepLines w:val="0"/>
              <w:pageBreakBefore w:val="0"/>
              <w:widowControl/>
              <w:kinsoku/>
              <w:wordWrap/>
              <w:overflowPunct/>
              <w:topLinePunct w:val="0"/>
              <w:autoSpaceDE/>
              <w:autoSpaceDN/>
              <w:bidi w:val="0"/>
              <w:adjustRightInd/>
              <w:snapToGrid/>
              <w:spacing w:beforeAutospacing="0" w:afterAutospacing="0" w:line="200" w:lineRule="exact"/>
              <w:ind w:left="0" w:leftChars="0" w:right="0" w:rightChars="0"/>
              <w:textAlignment w:val="center"/>
              <w:rPr>
                <w:rFonts w:hint="eastAsia" w:ascii="仿宋_GB2312" w:hAnsi="宋体" w:eastAsia="仿宋_GB2312" w:cs="宋体"/>
                <w:color w:val="auto"/>
                <w:kern w:val="0"/>
                <w:sz w:val="13"/>
                <w:szCs w:val="13"/>
                <w:highlight w:val="none"/>
                <w:lang w:val="en-US" w:eastAsia="zh-CN"/>
              </w:rPr>
            </w:pPr>
            <w:r>
              <w:rPr>
                <w:rFonts w:hint="eastAsia" w:ascii="仿宋_GB2312" w:hAnsi="宋体" w:eastAsia="仿宋_GB2312" w:cs="宋体"/>
                <w:color w:val="auto"/>
                <w:kern w:val="0"/>
                <w:sz w:val="13"/>
                <w:szCs w:val="13"/>
                <w:highlight w:val="none"/>
                <w:lang w:val="en-US" w:eastAsia="zh-CN"/>
              </w:rPr>
              <w:t>　　（六）按照要求配备合格的管理人员及操作人员；</w:t>
            </w:r>
          </w:p>
          <w:p w14:paraId="262003B9">
            <w:pPr>
              <w:keepNext w:val="0"/>
              <w:keepLines w:val="0"/>
              <w:pageBreakBefore w:val="0"/>
              <w:widowControl/>
              <w:kinsoku/>
              <w:wordWrap/>
              <w:overflowPunct/>
              <w:topLinePunct w:val="0"/>
              <w:autoSpaceDE/>
              <w:autoSpaceDN/>
              <w:bidi w:val="0"/>
              <w:adjustRightInd/>
              <w:snapToGrid/>
              <w:spacing w:beforeAutospacing="0" w:afterAutospacing="0" w:line="200" w:lineRule="exact"/>
              <w:ind w:left="0" w:leftChars="0" w:right="0" w:rightChars="0"/>
              <w:textAlignment w:val="center"/>
              <w:rPr>
                <w:rFonts w:hint="eastAsia" w:ascii="仿宋_GB2312" w:hAnsi="宋体" w:eastAsia="仿宋_GB2312" w:cs="宋体"/>
                <w:color w:val="auto"/>
                <w:kern w:val="0"/>
                <w:sz w:val="13"/>
                <w:szCs w:val="13"/>
                <w:highlight w:val="none"/>
                <w:lang w:val="en-US" w:eastAsia="zh-CN"/>
              </w:rPr>
            </w:pPr>
            <w:r>
              <w:rPr>
                <w:rFonts w:hint="eastAsia" w:ascii="仿宋_GB2312" w:hAnsi="宋体" w:eastAsia="仿宋_GB2312" w:cs="宋体"/>
                <w:color w:val="auto"/>
                <w:kern w:val="0"/>
                <w:sz w:val="13"/>
                <w:szCs w:val="13"/>
                <w:highlight w:val="none"/>
                <w:lang w:val="en-US" w:eastAsia="zh-CN"/>
              </w:rPr>
              <w:t>　　（七）对每日收运、进出场站、处置的生活垃圾进行计量，按照要求将统计数据和报表报送所在地建设（环境卫生）主管部门；</w:t>
            </w:r>
          </w:p>
          <w:p w14:paraId="04A70922">
            <w:pPr>
              <w:keepNext w:val="0"/>
              <w:keepLines w:val="0"/>
              <w:pageBreakBefore w:val="0"/>
              <w:widowControl/>
              <w:kinsoku/>
              <w:wordWrap/>
              <w:overflowPunct/>
              <w:topLinePunct w:val="0"/>
              <w:autoSpaceDE/>
              <w:autoSpaceDN/>
              <w:bidi w:val="0"/>
              <w:adjustRightInd/>
              <w:snapToGrid/>
              <w:spacing w:beforeAutospacing="0" w:afterAutospacing="0" w:line="20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lang w:val="en-US" w:eastAsia="zh-CN"/>
              </w:rPr>
              <w:t>　　（八）按照要求定期进行水、气、土壤等环境影响监测，对生活垃圾处理设施的性能和环保指标进行检测、评价，向所在地建设（环境卫生）主管部门报告检测、评价结果。</w:t>
            </w:r>
          </w:p>
        </w:tc>
        <w:tc>
          <w:tcPr>
            <w:tcW w:w="4820" w:type="dxa"/>
            <w:vMerge w:val="restart"/>
            <w:tcBorders>
              <w:tl2br w:val="nil"/>
              <w:tr2bl w:val="nil"/>
            </w:tcBorders>
            <w:tcMar>
              <w:top w:w="15" w:type="dxa"/>
              <w:left w:w="15" w:type="dxa"/>
              <w:bottom w:w="15" w:type="dxa"/>
              <w:right w:w="15" w:type="dxa"/>
            </w:tcMar>
            <w:vAlign w:val="center"/>
          </w:tcPr>
          <w:p w14:paraId="31C10DE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hint="eastAsia" w:ascii="仿宋_GB2312" w:hAnsi="宋体" w:eastAsia="仿宋_GB2312" w:cs="宋体"/>
                <w:color w:val="auto"/>
                <w:kern w:val="0"/>
                <w:sz w:val="13"/>
                <w:szCs w:val="13"/>
                <w:highlight w:val="none"/>
              </w:rPr>
            </w:pPr>
            <w:r>
              <w:rPr>
                <w:rFonts w:hint="eastAsia" w:ascii="仿宋_GB2312" w:hAnsi="宋体" w:eastAsia="仿宋_GB2312" w:cs="宋体"/>
                <w:color w:val="auto"/>
                <w:kern w:val="0"/>
                <w:sz w:val="13"/>
                <w:szCs w:val="13"/>
                <w:highlight w:val="none"/>
              </w:rPr>
              <w:t>《城市生活垃圾管理办法》</w:t>
            </w:r>
            <w:r>
              <w:rPr>
                <w:rFonts w:hint="eastAsia" w:ascii="仿宋_GB2312" w:hAnsi="宋体" w:eastAsia="仿宋_GB2312" w:cs="宋体"/>
                <w:b/>
                <w:bCs/>
                <w:color w:val="auto"/>
                <w:kern w:val="0"/>
                <w:sz w:val="13"/>
                <w:szCs w:val="13"/>
                <w:highlight w:val="none"/>
              </w:rPr>
              <w:t>第四十五条</w:t>
            </w:r>
            <w:r>
              <w:rPr>
                <w:rFonts w:hint="eastAsia" w:ascii="仿宋_GB2312" w:hAnsi="宋体" w:eastAsia="仿宋_GB2312" w:cs="宋体"/>
                <w:b/>
                <w:bCs/>
                <w:color w:val="auto"/>
                <w:kern w:val="0"/>
                <w:sz w:val="13"/>
                <w:szCs w:val="13"/>
                <w:highlight w:val="none"/>
                <w:lang w:eastAsia="zh-CN"/>
              </w:rPr>
              <w:t>：</w:t>
            </w:r>
            <w:r>
              <w:rPr>
                <w:rFonts w:hint="eastAsia" w:ascii="仿宋_GB2312" w:hAnsi="宋体" w:eastAsia="仿宋_GB2312" w:cs="宋体"/>
                <w:color w:val="auto"/>
                <w:kern w:val="0"/>
                <w:sz w:val="13"/>
                <w:szCs w:val="13"/>
                <w:highlight w:val="none"/>
              </w:rPr>
              <w:t>从事生活垃圾经营性清扫、收集、运输的企业不履行本办法第二十条规定义务的，由直辖市、市、县人民政府建设（环境卫生）主管部门责令限期改正，并可处以5000元以上3万元以下的罚款：城市生活垃圾经营性处置企业不履行本办法第二十八条规定义务的，由直辖市、市、县人民政府建设（环境卫生）主管部门责令限期改正，并可处以3万元以上10万元以下的罚款。造成损失的，依法承担赔偿责任。</w:t>
            </w:r>
          </w:p>
          <w:p w14:paraId="74D1A21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hint="eastAsia" w:ascii="仿宋_GB2312" w:hAnsi="宋体" w:eastAsia="仿宋_GB2312" w:cs="宋体"/>
                <w:color w:val="auto"/>
                <w:kern w:val="0"/>
                <w:sz w:val="13"/>
                <w:szCs w:val="13"/>
                <w:highlight w:val="none"/>
                <w:lang w:val="en-US" w:eastAsia="zh-CN"/>
              </w:rPr>
            </w:pPr>
            <w:r>
              <w:rPr>
                <w:rFonts w:hint="eastAsia" w:ascii="仿宋_GB2312" w:hAnsi="宋体" w:eastAsia="仿宋_GB2312" w:cs="宋体"/>
                <w:b/>
                <w:bCs/>
                <w:color w:val="auto"/>
                <w:kern w:val="0"/>
                <w:sz w:val="13"/>
                <w:szCs w:val="13"/>
                <w:highlight w:val="none"/>
                <w:lang w:val="en-US" w:eastAsia="zh-CN"/>
              </w:rPr>
              <w:t>第二十八条</w:t>
            </w:r>
            <w:r>
              <w:rPr>
                <w:rFonts w:hint="eastAsia" w:ascii="仿宋_GB2312" w:hAnsi="宋体" w:eastAsia="仿宋_GB2312" w:cs="宋体"/>
                <w:color w:val="auto"/>
                <w:kern w:val="0"/>
                <w:sz w:val="13"/>
                <w:szCs w:val="13"/>
                <w:highlight w:val="none"/>
                <w:lang w:val="en-US" w:eastAsia="zh-CN"/>
              </w:rPr>
              <w:t>　从事城市生活垃圾经营性处置的企业应当履行以下义务：</w:t>
            </w:r>
          </w:p>
          <w:p w14:paraId="10C9F17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hint="eastAsia" w:ascii="仿宋_GB2312" w:hAnsi="宋体" w:eastAsia="仿宋_GB2312" w:cs="宋体"/>
                <w:color w:val="auto"/>
                <w:kern w:val="0"/>
                <w:sz w:val="13"/>
                <w:szCs w:val="13"/>
                <w:highlight w:val="none"/>
                <w:lang w:val="en-US" w:eastAsia="zh-CN"/>
              </w:rPr>
            </w:pPr>
            <w:r>
              <w:rPr>
                <w:rFonts w:hint="eastAsia" w:ascii="仿宋_GB2312" w:hAnsi="宋体" w:eastAsia="仿宋_GB2312" w:cs="宋体"/>
                <w:color w:val="auto"/>
                <w:kern w:val="0"/>
                <w:sz w:val="13"/>
                <w:szCs w:val="13"/>
                <w:highlight w:val="none"/>
                <w:lang w:val="en-US" w:eastAsia="zh-CN"/>
              </w:rPr>
              <w:t>　　（一）严格按照国家有关规定和技术标准，处置城市生活垃圾；</w:t>
            </w:r>
          </w:p>
          <w:p w14:paraId="74703B3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hint="eastAsia" w:ascii="仿宋_GB2312" w:hAnsi="宋体" w:eastAsia="仿宋_GB2312" w:cs="宋体"/>
                <w:color w:val="auto"/>
                <w:kern w:val="0"/>
                <w:sz w:val="13"/>
                <w:szCs w:val="13"/>
                <w:highlight w:val="none"/>
                <w:lang w:val="en-US" w:eastAsia="zh-CN"/>
              </w:rPr>
            </w:pPr>
            <w:r>
              <w:rPr>
                <w:rFonts w:hint="eastAsia" w:ascii="仿宋_GB2312" w:hAnsi="宋体" w:eastAsia="仿宋_GB2312" w:cs="宋体"/>
                <w:color w:val="auto"/>
                <w:kern w:val="0"/>
                <w:sz w:val="13"/>
                <w:szCs w:val="13"/>
                <w:highlight w:val="none"/>
                <w:lang w:val="en-US" w:eastAsia="zh-CN"/>
              </w:rPr>
              <w:t>　　（二）按照规定处理处置过程中产生的污水、废气、废渣、粉尘等，防止二次污染；</w:t>
            </w:r>
          </w:p>
          <w:p w14:paraId="7B482B9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hint="eastAsia" w:ascii="仿宋_GB2312" w:hAnsi="宋体" w:eastAsia="仿宋_GB2312" w:cs="宋体"/>
                <w:color w:val="auto"/>
                <w:kern w:val="0"/>
                <w:sz w:val="13"/>
                <w:szCs w:val="13"/>
                <w:highlight w:val="none"/>
                <w:lang w:val="en-US" w:eastAsia="zh-CN"/>
              </w:rPr>
            </w:pPr>
            <w:r>
              <w:rPr>
                <w:rFonts w:hint="eastAsia" w:ascii="仿宋_GB2312" w:hAnsi="宋体" w:eastAsia="仿宋_GB2312" w:cs="宋体"/>
                <w:color w:val="auto"/>
                <w:kern w:val="0"/>
                <w:sz w:val="13"/>
                <w:szCs w:val="13"/>
                <w:highlight w:val="none"/>
                <w:lang w:val="en-US" w:eastAsia="zh-CN"/>
              </w:rPr>
              <w:t>　　（三）按照所在地建设（环境卫生）主管部门规定的时间和要求接收生活垃圾；</w:t>
            </w:r>
          </w:p>
          <w:p w14:paraId="159FA63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hint="eastAsia" w:ascii="仿宋_GB2312" w:hAnsi="宋体" w:eastAsia="仿宋_GB2312" w:cs="宋体"/>
                <w:color w:val="auto"/>
                <w:kern w:val="0"/>
                <w:sz w:val="13"/>
                <w:szCs w:val="13"/>
                <w:highlight w:val="none"/>
                <w:lang w:val="en-US" w:eastAsia="zh-CN"/>
              </w:rPr>
            </w:pPr>
            <w:r>
              <w:rPr>
                <w:rFonts w:hint="eastAsia" w:ascii="仿宋_GB2312" w:hAnsi="宋体" w:eastAsia="仿宋_GB2312" w:cs="宋体"/>
                <w:color w:val="auto"/>
                <w:kern w:val="0"/>
                <w:sz w:val="13"/>
                <w:szCs w:val="13"/>
                <w:highlight w:val="none"/>
                <w:lang w:val="en-US" w:eastAsia="zh-CN"/>
              </w:rPr>
              <w:t>　　（四）按照要求配备城市生活垃圾处置设备、设施，保证设施、设备运行良好；</w:t>
            </w:r>
          </w:p>
          <w:p w14:paraId="66A214D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hint="eastAsia" w:ascii="仿宋_GB2312" w:hAnsi="宋体" w:eastAsia="仿宋_GB2312" w:cs="宋体"/>
                <w:color w:val="auto"/>
                <w:kern w:val="0"/>
                <w:sz w:val="13"/>
                <w:szCs w:val="13"/>
                <w:highlight w:val="none"/>
                <w:lang w:val="en-US" w:eastAsia="zh-CN"/>
              </w:rPr>
            </w:pPr>
            <w:r>
              <w:rPr>
                <w:rFonts w:hint="eastAsia" w:ascii="仿宋_GB2312" w:hAnsi="宋体" w:eastAsia="仿宋_GB2312" w:cs="宋体"/>
                <w:color w:val="auto"/>
                <w:kern w:val="0"/>
                <w:sz w:val="13"/>
                <w:szCs w:val="13"/>
                <w:highlight w:val="none"/>
                <w:lang w:val="en-US" w:eastAsia="zh-CN"/>
              </w:rPr>
              <w:t>　　（五）保证城市生活垃圾处置站、场（厂）环境整洁；</w:t>
            </w:r>
          </w:p>
          <w:p w14:paraId="4FB4F7F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hint="eastAsia" w:ascii="仿宋_GB2312" w:hAnsi="宋体" w:eastAsia="仿宋_GB2312" w:cs="宋体"/>
                <w:color w:val="auto"/>
                <w:kern w:val="0"/>
                <w:sz w:val="13"/>
                <w:szCs w:val="13"/>
                <w:highlight w:val="none"/>
                <w:lang w:val="en-US" w:eastAsia="zh-CN"/>
              </w:rPr>
            </w:pPr>
            <w:r>
              <w:rPr>
                <w:rFonts w:hint="eastAsia" w:ascii="仿宋_GB2312" w:hAnsi="宋体" w:eastAsia="仿宋_GB2312" w:cs="宋体"/>
                <w:color w:val="auto"/>
                <w:kern w:val="0"/>
                <w:sz w:val="13"/>
                <w:szCs w:val="13"/>
                <w:highlight w:val="none"/>
                <w:lang w:val="en-US" w:eastAsia="zh-CN"/>
              </w:rPr>
              <w:t>　　（六）按照要求配备合格的管理人员及操作人员；</w:t>
            </w:r>
          </w:p>
          <w:p w14:paraId="3623F25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hint="eastAsia" w:ascii="仿宋_GB2312" w:hAnsi="宋体" w:eastAsia="仿宋_GB2312" w:cs="宋体"/>
                <w:color w:val="auto"/>
                <w:kern w:val="0"/>
                <w:sz w:val="13"/>
                <w:szCs w:val="13"/>
                <w:highlight w:val="none"/>
                <w:lang w:val="en-US" w:eastAsia="zh-CN"/>
              </w:rPr>
            </w:pPr>
            <w:r>
              <w:rPr>
                <w:rFonts w:hint="eastAsia" w:ascii="仿宋_GB2312" w:hAnsi="宋体" w:eastAsia="仿宋_GB2312" w:cs="宋体"/>
                <w:color w:val="auto"/>
                <w:kern w:val="0"/>
                <w:sz w:val="13"/>
                <w:szCs w:val="13"/>
                <w:highlight w:val="none"/>
                <w:lang w:val="en-US" w:eastAsia="zh-CN"/>
              </w:rPr>
              <w:t>　　（七）对每日收运、进出场站、处置的生活垃圾进行计量，按照要求将统计数据和报表报送所在地建设（环境卫生）主管部门；</w:t>
            </w:r>
          </w:p>
          <w:p w14:paraId="17F0437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hint="default" w:ascii="仿宋_GB2312" w:hAnsi="宋体" w:eastAsia="仿宋_GB2312" w:cs="宋体"/>
                <w:color w:val="auto"/>
                <w:kern w:val="0"/>
                <w:sz w:val="13"/>
                <w:szCs w:val="13"/>
                <w:highlight w:val="none"/>
                <w:lang w:val="en-US" w:eastAsia="zh-CN"/>
              </w:rPr>
            </w:pPr>
            <w:r>
              <w:rPr>
                <w:rFonts w:hint="eastAsia" w:ascii="仿宋_GB2312" w:hAnsi="宋体" w:eastAsia="仿宋_GB2312" w:cs="宋体"/>
                <w:color w:val="auto"/>
                <w:kern w:val="0"/>
                <w:sz w:val="13"/>
                <w:szCs w:val="13"/>
                <w:highlight w:val="none"/>
                <w:lang w:val="en-US" w:eastAsia="zh-CN"/>
              </w:rPr>
              <w:t>　　（八）按照要求定期进行水、气、土壤等环境影响监测，对生活垃圾处理设施的性能和环保指标进行检测、评价，向所在地建设（环境卫生）主管部门报告检测、评价结果。</w:t>
            </w:r>
          </w:p>
        </w:tc>
        <w:tc>
          <w:tcPr>
            <w:tcW w:w="823" w:type="dxa"/>
            <w:tcBorders>
              <w:tl2br w:val="nil"/>
              <w:tr2bl w:val="nil"/>
            </w:tcBorders>
            <w:tcMar>
              <w:top w:w="15" w:type="dxa"/>
              <w:left w:w="15" w:type="dxa"/>
              <w:bottom w:w="15" w:type="dxa"/>
              <w:right w:w="15" w:type="dxa"/>
            </w:tcMar>
            <w:vAlign w:val="center"/>
          </w:tcPr>
          <w:p w14:paraId="44DFDFA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从轻情节</w:t>
            </w:r>
          </w:p>
        </w:tc>
        <w:tc>
          <w:tcPr>
            <w:tcW w:w="3437" w:type="dxa"/>
            <w:gridSpan w:val="2"/>
            <w:tcBorders>
              <w:tl2br w:val="nil"/>
              <w:tr2bl w:val="nil"/>
            </w:tcBorders>
            <w:tcMar>
              <w:top w:w="15" w:type="dxa"/>
              <w:left w:w="15" w:type="dxa"/>
              <w:bottom w:w="15" w:type="dxa"/>
              <w:right w:w="15" w:type="dxa"/>
            </w:tcMar>
            <w:vAlign w:val="center"/>
          </w:tcPr>
          <w:p w14:paraId="6E5DF31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初次违法，危害后果轻微，主动消除或减轻违法行为后果的。</w:t>
            </w:r>
          </w:p>
        </w:tc>
        <w:tc>
          <w:tcPr>
            <w:tcW w:w="3058" w:type="dxa"/>
            <w:tcBorders>
              <w:tl2br w:val="nil"/>
              <w:tr2bl w:val="nil"/>
            </w:tcBorders>
            <w:tcMar>
              <w:top w:w="15" w:type="dxa"/>
              <w:left w:w="15" w:type="dxa"/>
              <w:bottom w:w="15" w:type="dxa"/>
              <w:right w:w="15" w:type="dxa"/>
            </w:tcMar>
            <w:vAlign w:val="center"/>
          </w:tcPr>
          <w:p w14:paraId="418E4A9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责令限期改正，并可处以3万元以上5万元以下罚款。</w:t>
            </w:r>
          </w:p>
        </w:tc>
      </w:tr>
      <w:tr w14:paraId="2ED97F3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1318" w:hRule="atLeast"/>
          <w:jc w:val="center"/>
        </w:trPr>
        <w:tc>
          <w:tcPr>
            <w:tcW w:w="428" w:type="dxa"/>
            <w:vMerge w:val="continue"/>
            <w:tcBorders>
              <w:tl2br w:val="nil"/>
              <w:tr2bl w:val="nil"/>
            </w:tcBorders>
            <w:vAlign w:val="center"/>
          </w:tcPr>
          <w:p w14:paraId="19022507">
            <w:pPr>
              <w:pStyle w:val="37"/>
              <w:keepNext w:val="0"/>
              <w:keepLines w:val="0"/>
              <w:pageBreakBefore w:val="0"/>
              <w:widowControl/>
              <w:numPr>
                <w:ilvl w:val="0"/>
                <w:numId w:val="12"/>
              </w:numPr>
              <w:kinsoku/>
              <w:overflowPunct/>
              <w:topLinePunct w:val="0"/>
              <w:autoSpaceDE/>
              <w:autoSpaceDN/>
              <w:bidi w:val="0"/>
              <w:adjustRightInd/>
              <w:snapToGrid/>
              <w:spacing w:beforeAutospacing="0" w:afterAutospacing="0" w:line="260" w:lineRule="exact"/>
              <w:ind w:left="638" w:leftChars="88" w:right="0" w:rightChars="0" w:hanging="453" w:hangingChars="349"/>
              <w:jc w:val="center"/>
              <w:rPr>
                <w:rFonts w:ascii="仿宋_GB2312" w:hAnsi="宋体" w:eastAsia="仿宋_GB2312" w:cs="宋体"/>
                <w:color w:val="auto"/>
                <w:sz w:val="13"/>
                <w:szCs w:val="13"/>
                <w:highlight w:val="none"/>
              </w:rPr>
            </w:pPr>
          </w:p>
        </w:tc>
        <w:tc>
          <w:tcPr>
            <w:tcW w:w="1550" w:type="dxa"/>
            <w:vMerge w:val="continue"/>
            <w:tcBorders>
              <w:tl2br w:val="nil"/>
              <w:tr2bl w:val="nil"/>
            </w:tcBorders>
            <w:vAlign w:val="center"/>
          </w:tcPr>
          <w:p w14:paraId="2785F1A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sz w:val="13"/>
                <w:szCs w:val="13"/>
                <w:highlight w:val="none"/>
              </w:rPr>
            </w:pPr>
          </w:p>
        </w:tc>
        <w:tc>
          <w:tcPr>
            <w:tcW w:w="4820" w:type="dxa"/>
            <w:vMerge w:val="continue"/>
            <w:tcBorders>
              <w:tl2br w:val="nil"/>
              <w:tr2bl w:val="nil"/>
            </w:tcBorders>
            <w:vAlign w:val="center"/>
          </w:tcPr>
          <w:p w14:paraId="28FDBCE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49491DB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一般情节</w:t>
            </w:r>
          </w:p>
        </w:tc>
        <w:tc>
          <w:tcPr>
            <w:tcW w:w="3437" w:type="dxa"/>
            <w:gridSpan w:val="2"/>
            <w:tcBorders>
              <w:tl2br w:val="nil"/>
              <w:tr2bl w:val="nil"/>
            </w:tcBorders>
            <w:tcMar>
              <w:top w:w="15" w:type="dxa"/>
              <w:left w:w="15" w:type="dxa"/>
              <w:bottom w:w="15" w:type="dxa"/>
              <w:right w:w="15" w:type="dxa"/>
            </w:tcMar>
            <w:vAlign w:val="center"/>
          </w:tcPr>
          <w:p w14:paraId="7804676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不具有从轻、</w:t>
            </w:r>
            <w:r>
              <w:rPr>
                <w:rFonts w:hint="eastAsia" w:ascii="仿宋_GB2312" w:hAnsi="宋体" w:eastAsia="仿宋_GB2312" w:cs="宋体"/>
                <w:color w:val="auto"/>
                <w:kern w:val="0"/>
                <w:sz w:val="13"/>
                <w:szCs w:val="13"/>
                <w:highlight w:val="none"/>
                <w:lang w:eastAsia="zh-CN"/>
              </w:rPr>
              <w:t>从重情节</w:t>
            </w:r>
            <w:r>
              <w:rPr>
                <w:rFonts w:hint="eastAsia" w:ascii="仿宋_GB2312" w:hAnsi="宋体" w:eastAsia="仿宋_GB2312" w:cs="宋体"/>
                <w:color w:val="auto"/>
                <w:kern w:val="0"/>
                <w:sz w:val="13"/>
                <w:szCs w:val="13"/>
                <w:highlight w:val="none"/>
              </w:rPr>
              <w:t>的。</w:t>
            </w:r>
          </w:p>
        </w:tc>
        <w:tc>
          <w:tcPr>
            <w:tcW w:w="3058" w:type="dxa"/>
            <w:tcBorders>
              <w:tl2br w:val="nil"/>
              <w:tr2bl w:val="nil"/>
            </w:tcBorders>
            <w:tcMar>
              <w:top w:w="15" w:type="dxa"/>
              <w:left w:w="15" w:type="dxa"/>
              <w:bottom w:w="15" w:type="dxa"/>
              <w:right w:w="15" w:type="dxa"/>
            </w:tcMar>
            <w:vAlign w:val="center"/>
          </w:tcPr>
          <w:p w14:paraId="55F6CEC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责令限期改正，并可处以5万元以上7万元以下罚款。</w:t>
            </w:r>
          </w:p>
        </w:tc>
      </w:tr>
      <w:tr w14:paraId="67B000A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403" w:hRule="atLeast"/>
          <w:jc w:val="center"/>
        </w:trPr>
        <w:tc>
          <w:tcPr>
            <w:tcW w:w="428" w:type="dxa"/>
            <w:vMerge w:val="continue"/>
            <w:tcBorders>
              <w:tl2br w:val="nil"/>
              <w:tr2bl w:val="nil"/>
            </w:tcBorders>
            <w:vAlign w:val="center"/>
          </w:tcPr>
          <w:p w14:paraId="52A1AB32">
            <w:pPr>
              <w:pStyle w:val="37"/>
              <w:keepNext w:val="0"/>
              <w:keepLines w:val="0"/>
              <w:pageBreakBefore w:val="0"/>
              <w:widowControl/>
              <w:numPr>
                <w:ilvl w:val="0"/>
                <w:numId w:val="12"/>
              </w:numPr>
              <w:kinsoku/>
              <w:overflowPunct/>
              <w:topLinePunct w:val="0"/>
              <w:autoSpaceDE/>
              <w:autoSpaceDN/>
              <w:bidi w:val="0"/>
              <w:adjustRightInd/>
              <w:snapToGrid/>
              <w:spacing w:beforeAutospacing="0" w:afterAutospacing="0" w:line="260" w:lineRule="exact"/>
              <w:ind w:left="638" w:leftChars="88" w:right="0" w:rightChars="0" w:hanging="453" w:hangingChars="349"/>
              <w:jc w:val="center"/>
              <w:rPr>
                <w:rFonts w:ascii="仿宋_GB2312" w:hAnsi="宋体" w:eastAsia="仿宋_GB2312" w:cs="宋体"/>
                <w:color w:val="auto"/>
                <w:sz w:val="13"/>
                <w:szCs w:val="13"/>
                <w:highlight w:val="none"/>
              </w:rPr>
            </w:pPr>
          </w:p>
        </w:tc>
        <w:tc>
          <w:tcPr>
            <w:tcW w:w="1550" w:type="dxa"/>
            <w:vMerge w:val="continue"/>
            <w:tcBorders>
              <w:tl2br w:val="nil"/>
              <w:tr2bl w:val="nil"/>
            </w:tcBorders>
            <w:vAlign w:val="center"/>
          </w:tcPr>
          <w:p w14:paraId="12D5C26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sz w:val="13"/>
                <w:szCs w:val="13"/>
                <w:highlight w:val="none"/>
              </w:rPr>
            </w:pPr>
          </w:p>
        </w:tc>
        <w:tc>
          <w:tcPr>
            <w:tcW w:w="4820" w:type="dxa"/>
            <w:vMerge w:val="continue"/>
            <w:tcBorders>
              <w:tl2br w:val="nil"/>
              <w:tr2bl w:val="nil"/>
            </w:tcBorders>
            <w:vAlign w:val="center"/>
          </w:tcPr>
          <w:p w14:paraId="3D4F8ED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03DC9FD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从重情节</w:t>
            </w:r>
          </w:p>
        </w:tc>
        <w:tc>
          <w:tcPr>
            <w:tcW w:w="3437" w:type="dxa"/>
            <w:gridSpan w:val="2"/>
            <w:tcBorders>
              <w:tl2br w:val="nil"/>
              <w:tr2bl w:val="nil"/>
            </w:tcBorders>
            <w:tcMar>
              <w:top w:w="15" w:type="dxa"/>
              <w:left w:w="15" w:type="dxa"/>
              <w:bottom w:w="15" w:type="dxa"/>
              <w:right w:w="15" w:type="dxa"/>
            </w:tcMar>
            <w:vAlign w:val="center"/>
          </w:tcPr>
          <w:p w14:paraId="1932970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Times New Roman"/>
                <w:color w:val="auto"/>
                <w:kern w:val="0"/>
                <w:sz w:val="13"/>
                <w:szCs w:val="13"/>
                <w:highlight w:val="none"/>
                <w:lang w:val="en-US" w:eastAsia="zh-CN"/>
              </w:rPr>
              <w:t>有下列情形之一的：</w:t>
            </w:r>
            <w:r>
              <w:rPr>
                <w:rFonts w:hint="eastAsia" w:ascii="仿宋_GB2312" w:hAnsi="宋体" w:eastAsia="仿宋_GB2312" w:cs="宋体"/>
                <w:color w:val="auto"/>
                <w:kern w:val="0"/>
                <w:sz w:val="13"/>
                <w:szCs w:val="13"/>
                <w:highlight w:val="none"/>
              </w:rPr>
              <w:t>（1）经责令整改后，不采取整改措施的；（2）曾因实施该违法行为被查处，再次实施该违法行为的；（3）严重影响城市市容和环境卫生，造成重大社会影响的；（4）造成严重危害后果的。</w:t>
            </w:r>
          </w:p>
        </w:tc>
        <w:tc>
          <w:tcPr>
            <w:tcW w:w="3058" w:type="dxa"/>
            <w:tcBorders>
              <w:tl2br w:val="nil"/>
              <w:tr2bl w:val="nil"/>
            </w:tcBorders>
            <w:tcMar>
              <w:top w:w="15" w:type="dxa"/>
              <w:left w:w="15" w:type="dxa"/>
              <w:bottom w:w="15" w:type="dxa"/>
              <w:right w:w="15" w:type="dxa"/>
            </w:tcMar>
            <w:vAlign w:val="center"/>
          </w:tcPr>
          <w:p w14:paraId="2796FD4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责令限期改正，并可处以7万元以上10万元以下罚款。</w:t>
            </w:r>
          </w:p>
        </w:tc>
      </w:tr>
      <w:tr w14:paraId="54E64A2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230" w:hRule="atLeast"/>
          <w:jc w:val="center"/>
        </w:trPr>
        <w:tc>
          <w:tcPr>
            <w:tcW w:w="428" w:type="dxa"/>
            <w:vMerge w:val="restart"/>
            <w:tcBorders>
              <w:tl2br w:val="nil"/>
              <w:tr2bl w:val="nil"/>
            </w:tcBorders>
            <w:tcMar>
              <w:top w:w="15" w:type="dxa"/>
              <w:left w:w="15" w:type="dxa"/>
              <w:bottom w:w="15" w:type="dxa"/>
              <w:right w:w="15" w:type="dxa"/>
            </w:tcMar>
            <w:vAlign w:val="center"/>
          </w:tcPr>
          <w:p w14:paraId="6BF5BFBE">
            <w:pPr>
              <w:keepNext w:val="0"/>
              <w:keepLines w:val="0"/>
              <w:pageBreakBefore w:val="0"/>
              <w:widowControl/>
              <w:numPr>
                <w:ilvl w:val="0"/>
                <w:numId w:val="11"/>
              </w:numPr>
              <w:suppressLineNumbers w:val="0"/>
              <w:tabs>
                <w:tab w:val="clear" w:pos="397"/>
              </w:tabs>
              <w:kinsoku/>
              <w:overflowPunct/>
              <w:topLinePunct w:val="0"/>
              <w:autoSpaceDE/>
              <w:autoSpaceDN/>
              <w:bidi w:val="0"/>
              <w:adjustRightInd/>
              <w:snapToGrid/>
              <w:spacing w:beforeAutospacing="0" w:afterAutospacing="0" w:line="260" w:lineRule="exact"/>
              <w:ind w:left="638" w:leftChars="88" w:right="0" w:rightChars="0" w:hanging="453" w:hangingChars="349"/>
              <w:jc w:val="center"/>
              <w:textAlignment w:val="center"/>
              <w:rPr>
                <w:rFonts w:hint="default" w:ascii="仿宋_GB2312" w:hAnsi="宋体" w:eastAsia="仿宋_GB2312" w:cs="宋体"/>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357</w:t>
            </w:r>
          </w:p>
        </w:tc>
        <w:tc>
          <w:tcPr>
            <w:tcW w:w="1550" w:type="dxa"/>
            <w:vMerge w:val="restart"/>
            <w:tcBorders>
              <w:tl2br w:val="nil"/>
              <w:tr2bl w:val="nil"/>
            </w:tcBorders>
            <w:tcMar>
              <w:top w:w="15" w:type="dxa"/>
              <w:left w:w="15" w:type="dxa"/>
              <w:bottom w:w="15" w:type="dxa"/>
              <w:right w:w="15" w:type="dxa"/>
            </w:tcMar>
            <w:vAlign w:val="center"/>
          </w:tcPr>
          <w:p w14:paraId="289CEED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从事城市生活垃圾经营性清扫、收集、运输的企业，未经批准擅自停业、歇业的</w:t>
            </w:r>
          </w:p>
        </w:tc>
        <w:tc>
          <w:tcPr>
            <w:tcW w:w="4820" w:type="dxa"/>
            <w:vMerge w:val="restart"/>
            <w:tcBorders>
              <w:tl2br w:val="nil"/>
              <w:tr2bl w:val="nil"/>
            </w:tcBorders>
            <w:tcMar>
              <w:top w:w="15" w:type="dxa"/>
              <w:left w:w="15" w:type="dxa"/>
              <w:bottom w:w="15" w:type="dxa"/>
              <w:right w:w="15" w:type="dxa"/>
            </w:tcMar>
            <w:vAlign w:val="center"/>
          </w:tcPr>
          <w:p w14:paraId="4C62023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《城市生活垃圾管理办法》</w:t>
            </w:r>
            <w:r>
              <w:rPr>
                <w:rFonts w:hint="eastAsia" w:ascii="仿宋_GB2312" w:hAnsi="宋体" w:eastAsia="仿宋_GB2312" w:cs="宋体"/>
                <w:b/>
                <w:bCs/>
                <w:color w:val="auto"/>
                <w:kern w:val="0"/>
                <w:sz w:val="13"/>
                <w:szCs w:val="13"/>
                <w:highlight w:val="none"/>
              </w:rPr>
              <w:t>第四十六条</w:t>
            </w:r>
            <w:r>
              <w:rPr>
                <w:rFonts w:hint="eastAsia" w:ascii="仿宋_GB2312" w:hAnsi="宋体" w:eastAsia="仿宋_GB2312" w:cs="宋体"/>
                <w:b/>
                <w:bCs/>
                <w:color w:val="auto"/>
                <w:kern w:val="0"/>
                <w:sz w:val="13"/>
                <w:szCs w:val="13"/>
                <w:highlight w:val="none"/>
                <w:lang w:eastAsia="zh-CN"/>
              </w:rPr>
              <w:t>：</w:t>
            </w:r>
            <w:r>
              <w:rPr>
                <w:rFonts w:hint="eastAsia" w:ascii="仿宋_GB2312" w:hAnsi="宋体" w:eastAsia="仿宋_GB2312" w:cs="宋体"/>
                <w:color w:val="auto"/>
                <w:kern w:val="0"/>
                <w:sz w:val="13"/>
                <w:szCs w:val="13"/>
                <w:highlight w:val="none"/>
              </w:rPr>
              <w:t>违反本办法规定，从事城市生活垃圾经营性清扫、收集、运输的企业，未经批准擅自停业、歇业的，由直辖市、市、县人民政府建设（环境卫生）主管部门责令限期改正，并可处以1万元以上3万元以下罚款；从事城市生活垃圾经营性处置的企业，未经批准擅自停业、歇业的，由直辖市、市、县人民政府建设（环境卫生）主管部门责令限期改正，并可处以5万元以上10万元以下罚款。造成损失的，依法承担赔偿责任。</w:t>
            </w:r>
          </w:p>
        </w:tc>
        <w:tc>
          <w:tcPr>
            <w:tcW w:w="823" w:type="dxa"/>
            <w:tcBorders>
              <w:tl2br w:val="nil"/>
              <w:tr2bl w:val="nil"/>
            </w:tcBorders>
            <w:tcMar>
              <w:top w:w="15" w:type="dxa"/>
              <w:left w:w="15" w:type="dxa"/>
              <w:bottom w:w="15" w:type="dxa"/>
              <w:right w:w="15" w:type="dxa"/>
            </w:tcMar>
            <w:vAlign w:val="center"/>
          </w:tcPr>
          <w:p w14:paraId="339AF64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从轻情节</w:t>
            </w:r>
          </w:p>
        </w:tc>
        <w:tc>
          <w:tcPr>
            <w:tcW w:w="3437" w:type="dxa"/>
            <w:gridSpan w:val="2"/>
            <w:tcBorders>
              <w:tl2br w:val="nil"/>
              <w:tr2bl w:val="nil"/>
            </w:tcBorders>
            <w:tcMar>
              <w:top w:w="15" w:type="dxa"/>
              <w:left w:w="15" w:type="dxa"/>
              <w:bottom w:w="15" w:type="dxa"/>
              <w:right w:w="15" w:type="dxa"/>
            </w:tcMar>
            <w:vAlign w:val="center"/>
          </w:tcPr>
          <w:p w14:paraId="659B614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未经批准擅自停业、歇业1日以内的。</w:t>
            </w:r>
          </w:p>
        </w:tc>
        <w:tc>
          <w:tcPr>
            <w:tcW w:w="3058" w:type="dxa"/>
            <w:tcBorders>
              <w:tl2br w:val="nil"/>
              <w:tr2bl w:val="nil"/>
            </w:tcBorders>
            <w:tcMar>
              <w:top w:w="15" w:type="dxa"/>
              <w:left w:w="15" w:type="dxa"/>
              <w:bottom w:w="15" w:type="dxa"/>
              <w:right w:w="15" w:type="dxa"/>
            </w:tcMar>
            <w:vAlign w:val="center"/>
          </w:tcPr>
          <w:p w14:paraId="19B0DF4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责令限期改正，并可处以1万元罚款。</w:t>
            </w:r>
          </w:p>
        </w:tc>
      </w:tr>
      <w:tr w14:paraId="2DEEE1A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300" w:hRule="atLeast"/>
          <w:jc w:val="center"/>
        </w:trPr>
        <w:tc>
          <w:tcPr>
            <w:tcW w:w="428" w:type="dxa"/>
            <w:vMerge w:val="continue"/>
            <w:tcBorders>
              <w:tl2br w:val="nil"/>
              <w:tr2bl w:val="nil"/>
            </w:tcBorders>
            <w:vAlign w:val="center"/>
          </w:tcPr>
          <w:p w14:paraId="0AB6EC31">
            <w:pPr>
              <w:pStyle w:val="37"/>
              <w:keepNext w:val="0"/>
              <w:keepLines w:val="0"/>
              <w:pageBreakBefore w:val="0"/>
              <w:widowControl/>
              <w:numPr>
                <w:ilvl w:val="0"/>
                <w:numId w:val="12"/>
              </w:numPr>
              <w:kinsoku/>
              <w:overflowPunct/>
              <w:topLinePunct w:val="0"/>
              <w:autoSpaceDE/>
              <w:autoSpaceDN/>
              <w:bidi w:val="0"/>
              <w:adjustRightInd/>
              <w:snapToGrid/>
              <w:spacing w:beforeAutospacing="0" w:afterAutospacing="0" w:line="260" w:lineRule="exact"/>
              <w:ind w:left="638" w:leftChars="88" w:right="0" w:rightChars="0" w:hanging="453" w:hangingChars="349"/>
              <w:jc w:val="center"/>
              <w:rPr>
                <w:rFonts w:ascii="仿宋_GB2312" w:hAnsi="宋体" w:eastAsia="仿宋_GB2312" w:cs="宋体"/>
                <w:color w:val="auto"/>
                <w:sz w:val="13"/>
                <w:szCs w:val="13"/>
                <w:highlight w:val="none"/>
              </w:rPr>
            </w:pPr>
          </w:p>
        </w:tc>
        <w:tc>
          <w:tcPr>
            <w:tcW w:w="1550" w:type="dxa"/>
            <w:vMerge w:val="continue"/>
            <w:tcBorders>
              <w:tl2br w:val="nil"/>
              <w:tr2bl w:val="nil"/>
            </w:tcBorders>
            <w:vAlign w:val="center"/>
          </w:tcPr>
          <w:p w14:paraId="6C51E04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sz w:val="13"/>
                <w:szCs w:val="13"/>
                <w:highlight w:val="none"/>
              </w:rPr>
            </w:pPr>
          </w:p>
        </w:tc>
        <w:tc>
          <w:tcPr>
            <w:tcW w:w="4820" w:type="dxa"/>
            <w:vMerge w:val="continue"/>
            <w:tcBorders>
              <w:tl2br w:val="nil"/>
              <w:tr2bl w:val="nil"/>
            </w:tcBorders>
            <w:vAlign w:val="center"/>
          </w:tcPr>
          <w:p w14:paraId="4917CE9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1896A87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一般情节</w:t>
            </w:r>
          </w:p>
        </w:tc>
        <w:tc>
          <w:tcPr>
            <w:tcW w:w="3437" w:type="dxa"/>
            <w:gridSpan w:val="2"/>
            <w:tcBorders>
              <w:tl2br w:val="nil"/>
              <w:tr2bl w:val="nil"/>
            </w:tcBorders>
            <w:tcMar>
              <w:top w:w="15" w:type="dxa"/>
              <w:left w:w="15" w:type="dxa"/>
              <w:bottom w:w="15" w:type="dxa"/>
              <w:right w:w="15" w:type="dxa"/>
            </w:tcMar>
            <w:vAlign w:val="center"/>
          </w:tcPr>
          <w:p w14:paraId="27F886C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未经批准擅自停业、歇业1日以上3日以下的。</w:t>
            </w:r>
          </w:p>
        </w:tc>
        <w:tc>
          <w:tcPr>
            <w:tcW w:w="3058" w:type="dxa"/>
            <w:tcBorders>
              <w:tl2br w:val="nil"/>
              <w:tr2bl w:val="nil"/>
            </w:tcBorders>
            <w:tcMar>
              <w:top w:w="15" w:type="dxa"/>
              <w:left w:w="15" w:type="dxa"/>
              <w:bottom w:w="15" w:type="dxa"/>
              <w:right w:w="15" w:type="dxa"/>
            </w:tcMar>
            <w:vAlign w:val="center"/>
          </w:tcPr>
          <w:p w14:paraId="3B662DA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责令限期改正，并可处以1万元以上2万元以下罚款。</w:t>
            </w:r>
          </w:p>
        </w:tc>
      </w:tr>
      <w:tr w14:paraId="30628D2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334" w:hRule="atLeast"/>
          <w:jc w:val="center"/>
        </w:trPr>
        <w:tc>
          <w:tcPr>
            <w:tcW w:w="428" w:type="dxa"/>
            <w:vMerge w:val="continue"/>
            <w:tcBorders>
              <w:tl2br w:val="nil"/>
              <w:tr2bl w:val="nil"/>
            </w:tcBorders>
            <w:vAlign w:val="center"/>
          </w:tcPr>
          <w:p w14:paraId="7E170C18">
            <w:pPr>
              <w:pStyle w:val="37"/>
              <w:keepNext w:val="0"/>
              <w:keepLines w:val="0"/>
              <w:pageBreakBefore w:val="0"/>
              <w:widowControl/>
              <w:numPr>
                <w:ilvl w:val="0"/>
                <w:numId w:val="12"/>
              </w:numPr>
              <w:kinsoku/>
              <w:overflowPunct/>
              <w:topLinePunct w:val="0"/>
              <w:autoSpaceDE/>
              <w:autoSpaceDN/>
              <w:bidi w:val="0"/>
              <w:adjustRightInd/>
              <w:snapToGrid/>
              <w:spacing w:beforeAutospacing="0" w:afterAutospacing="0" w:line="260" w:lineRule="exact"/>
              <w:ind w:left="638" w:leftChars="88" w:right="0" w:rightChars="0" w:hanging="453" w:hangingChars="349"/>
              <w:jc w:val="center"/>
              <w:rPr>
                <w:rFonts w:ascii="仿宋_GB2312" w:hAnsi="宋体" w:eastAsia="仿宋_GB2312" w:cs="宋体"/>
                <w:color w:val="auto"/>
                <w:sz w:val="13"/>
                <w:szCs w:val="13"/>
                <w:highlight w:val="none"/>
              </w:rPr>
            </w:pPr>
          </w:p>
        </w:tc>
        <w:tc>
          <w:tcPr>
            <w:tcW w:w="1550" w:type="dxa"/>
            <w:vMerge w:val="continue"/>
            <w:tcBorders>
              <w:tl2br w:val="nil"/>
              <w:tr2bl w:val="nil"/>
            </w:tcBorders>
            <w:vAlign w:val="center"/>
          </w:tcPr>
          <w:p w14:paraId="1450624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sz w:val="13"/>
                <w:szCs w:val="13"/>
                <w:highlight w:val="none"/>
              </w:rPr>
            </w:pPr>
          </w:p>
        </w:tc>
        <w:tc>
          <w:tcPr>
            <w:tcW w:w="4820" w:type="dxa"/>
            <w:vMerge w:val="continue"/>
            <w:tcBorders>
              <w:tl2br w:val="nil"/>
              <w:tr2bl w:val="nil"/>
            </w:tcBorders>
            <w:vAlign w:val="center"/>
          </w:tcPr>
          <w:p w14:paraId="00F2EFD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24F8A8F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从重情节</w:t>
            </w:r>
          </w:p>
        </w:tc>
        <w:tc>
          <w:tcPr>
            <w:tcW w:w="3437" w:type="dxa"/>
            <w:gridSpan w:val="2"/>
            <w:tcBorders>
              <w:tl2br w:val="nil"/>
              <w:tr2bl w:val="nil"/>
            </w:tcBorders>
            <w:tcMar>
              <w:top w:w="15" w:type="dxa"/>
              <w:left w:w="15" w:type="dxa"/>
              <w:bottom w:w="15" w:type="dxa"/>
              <w:right w:w="15" w:type="dxa"/>
            </w:tcMar>
            <w:vAlign w:val="center"/>
          </w:tcPr>
          <w:p w14:paraId="301D0BE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未经批准擅自停业、歇业3日以上的。</w:t>
            </w:r>
          </w:p>
        </w:tc>
        <w:tc>
          <w:tcPr>
            <w:tcW w:w="3058" w:type="dxa"/>
            <w:tcBorders>
              <w:tl2br w:val="nil"/>
              <w:tr2bl w:val="nil"/>
            </w:tcBorders>
            <w:tcMar>
              <w:top w:w="15" w:type="dxa"/>
              <w:left w:w="15" w:type="dxa"/>
              <w:bottom w:w="15" w:type="dxa"/>
              <w:right w:w="15" w:type="dxa"/>
            </w:tcMar>
            <w:vAlign w:val="center"/>
          </w:tcPr>
          <w:p w14:paraId="6F03665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责令限期改正，并可处以2万元以上3万元以下罚款。</w:t>
            </w:r>
          </w:p>
        </w:tc>
      </w:tr>
      <w:tr w14:paraId="4F6F366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351" w:hRule="atLeast"/>
          <w:jc w:val="center"/>
        </w:trPr>
        <w:tc>
          <w:tcPr>
            <w:tcW w:w="428" w:type="dxa"/>
            <w:vMerge w:val="restart"/>
            <w:tcBorders>
              <w:tl2br w:val="nil"/>
              <w:tr2bl w:val="nil"/>
            </w:tcBorders>
            <w:tcMar>
              <w:top w:w="15" w:type="dxa"/>
              <w:left w:w="15" w:type="dxa"/>
              <w:bottom w:w="15" w:type="dxa"/>
              <w:right w:w="15" w:type="dxa"/>
            </w:tcMar>
            <w:vAlign w:val="center"/>
          </w:tcPr>
          <w:p w14:paraId="1052CB32">
            <w:pPr>
              <w:keepNext w:val="0"/>
              <w:keepLines w:val="0"/>
              <w:pageBreakBefore w:val="0"/>
              <w:widowControl/>
              <w:numPr>
                <w:ilvl w:val="0"/>
                <w:numId w:val="11"/>
              </w:numPr>
              <w:suppressLineNumbers w:val="0"/>
              <w:tabs>
                <w:tab w:val="clear" w:pos="397"/>
              </w:tabs>
              <w:kinsoku/>
              <w:overflowPunct/>
              <w:topLinePunct w:val="0"/>
              <w:autoSpaceDE/>
              <w:autoSpaceDN/>
              <w:bidi w:val="0"/>
              <w:adjustRightInd/>
              <w:snapToGrid/>
              <w:spacing w:beforeAutospacing="0" w:afterAutospacing="0" w:line="260" w:lineRule="exact"/>
              <w:ind w:left="638" w:leftChars="88" w:right="0" w:rightChars="0" w:hanging="453" w:hangingChars="349"/>
              <w:jc w:val="center"/>
              <w:textAlignment w:val="center"/>
              <w:rPr>
                <w:rFonts w:hint="default" w:ascii="仿宋_GB2312" w:hAnsi="宋体" w:eastAsia="仿宋_GB2312" w:cs="宋体"/>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358</w:t>
            </w:r>
          </w:p>
        </w:tc>
        <w:tc>
          <w:tcPr>
            <w:tcW w:w="1550" w:type="dxa"/>
            <w:vMerge w:val="restart"/>
            <w:tcBorders>
              <w:tl2br w:val="nil"/>
              <w:tr2bl w:val="nil"/>
            </w:tcBorders>
            <w:tcMar>
              <w:top w:w="15" w:type="dxa"/>
              <w:left w:w="15" w:type="dxa"/>
              <w:bottom w:w="15" w:type="dxa"/>
              <w:right w:w="15" w:type="dxa"/>
            </w:tcMar>
            <w:vAlign w:val="center"/>
          </w:tcPr>
          <w:p w14:paraId="1CBE7E0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从事城市生活垃圾经营性处置的企业，未经批准擅自停业、歇业的</w:t>
            </w:r>
          </w:p>
        </w:tc>
        <w:tc>
          <w:tcPr>
            <w:tcW w:w="4820" w:type="dxa"/>
            <w:vMerge w:val="restart"/>
            <w:tcBorders>
              <w:tl2br w:val="nil"/>
              <w:tr2bl w:val="nil"/>
            </w:tcBorders>
            <w:tcMar>
              <w:top w:w="15" w:type="dxa"/>
              <w:left w:w="15" w:type="dxa"/>
              <w:bottom w:w="15" w:type="dxa"/>
              <w:right w:w="15" w:type="dxa"/>
            </w:tcMar>
            <w:vAlign w:val="center"/>
          </w:tcPr>
          <w:p w14:paraId="3E74C4B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《城市生活垃圾管理办法》</w:t>
            </w:r>
            <w:r>
              <w:rPr>
                <w:rFonts w:hint="eastAsia" w:ascii="仿宋_GB2312" w:hAnsi="宋体" w:eastAsia="仿宋_GB2312" w:cs="宋体"/>
                <w:b/>
                <w:bCs/>
                <w:color w:val="auto"/>
                <w:kern w:val="0"/>
                <w:sz w:val="13"/>
                <w:szCs w:val="13"/>
                <w:highlight w:val="none"/>
              </w:rPr>
              <w:t>第四十六条</w:t>
            </w:r>
            <w:r>
              <w:rPr>
                <w:rFonts w:hint="eastAsia" w:ascii="仿宋_GB2312" w:hAnsi="宋体" w:eastAsia="仿宋_GB2312" w:cs="宋体"/>
                <w:b/>
                <w:bCs/>
                <w:color w:val="auto"/>
                <w:kern w:val="0"/>
                <w:sz w:val="13"/>
                <w:szCs w:val="13"/>
                <w:highlight w:val="none"/>
                <w:lang w:eastAsia="zh-CN"/>
              </w:rPr>
              <w:t>：</w:t>
            </w:r>
            <w:r>
              <w:rPr>
                <w:rFonts w:hint="eastAsia" w:ascii="仿宋_GB2312" w:hAnsi="宋体" w:eastAsia="仿宋_GB2312" w:cs="宋体"/>
                <w:color w:val="auto"/>
                <w:kern w:val="0"/>
                <w:sz w:val="13"/>
                <w:szCs w:val="13"/>
                <w:highlight w:val="none"/>
              </w:rPr>
              <w:t>违反本办法规定，从事城市生活垃圾经营性清扫、收集、运输的企业，未经批准擅自停业、歇业的，由直辖市、市、县人民政府建设（环境卫生）主管部门责令限期改正，并可处以1万元以上3万元以下罚款；从事城市生活垃圾经营性处置的企业，未经批准擅自停业、歇业的，由直辖市、市、县人民政府建设（环境卫生）主管部门责令限期改正，并可处以5万元以上10万元以下罚款。造成损失的，依法承担赔偿责任。</w:t>
            </w:r>
          </w:p>
        </w:tc>
        <w:tc>
          <w:tcPr>
            <w:tcW w:w="823" w:type="dxa"/>
            <w:tcBorders>
              <w:tl2br w:val="nil"/>
              <w:tr2bl w:val="nil"/>
            </w:tcBorders>
            <w:tcMar>
              <w:top w:w="15" w:type="dxa"/>
              <w:left w:w="15" w:type="dxa"/>
              <w:bottom w:w="15" w:type="dxa"/>
              <w:right w:w="15" w:type="dxa"/>
            </w:tcMar>
            <w:vAlign w:val="center"/>
          </w:tcPr>
          <w:p w14:paraId="57F3F8D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从轻情节</w:t>
            </w:r>
          </w:p>
        </w:tc>
        <w:tc>
          <w:tcPr>
            <w:tcW w:w="3437" w:type="dxa"/>
            <w:gridSpan w:val="2"/>
            <w:tcBorders>
              <w:tl2br w:val="nil"/>
              <w:tr2bl w:val="nil"/>
            </w:tcBorders>
            <w:tcMar>
              <w:top w:w="15" w:type="dxa"/>
              <w:left w:w="15" w:type="dxa"/>
              <w:bottom w:w="15" w:type="dxa"/>
              <w:right w:w="15" w:type="dxa"/>
            </w:tcMar>
            <w:vAlign w:val="center"/>
          </w:tcPr>
          <w:p w14:paraId="365880D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未经批准擅自停业、歇业1日以内的。</w:t>
            </w:r>
          </w:p>
        </w:tc>
        <w:tc>
          <w:tcPr>
            <w:tcW w:w="3058" w:type="dxa"/>
            <w:tcBorders>
              <w:tl2br w:val="nil"/>
              <w:tr2bl w:val="nil"/>
            </w:tcBorders>
            <w:tcMar>
              <w:top w:w="15" w:type="dxa"/>
              <w:left w:w="15" w:type="dxa"/>
              <w:bottom w:w="15" w:type="dxa"/>
              <w:right w:w="15" w:type="dxa"/>
            </w:tcMar>
            <w:vAlign w:val="center"/>
          </w:tcPr>
          <w:p w14:paraId="715F656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责令限期改正，并可处以5万元罚款。</w:t>
            </w:r>
          </w:p>
        </w:tc>
      </w:tr>
      <w:tr w14:paraId="6046854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335" w:hRule="atLeast"/>
          <w:jc w:val="center"/>
        </w:trPr>
        <w:tc>
          <w:tcPr>
            <w:tcW w:w="428" w:type="dxa"/>
            <w:vMerge w:val="continue"/>
            <w:tcBorders>
              <w:tl2br w:val="nil"/>
              <w:tr2bl w:val="nil"/>
            </w:tcBorders>
            <w:vAlign w:val="center"/>
          </w:tcPr>
          <w:p w14:paraId="452715FC">
            <w:pPr>
              <w:pStyle w:val="37"/>
              <w:keepNext w:val="0"/>
              <w:keepLines w:val="0"/>
              <w:pageBreakBefore w:val="0"/>
              <w:widowControl/>
              <w:numPr>
                <w:ilvl w:val="0"/>
                <w:numId w:val="12"/>
              </w:numPr>
              <w:kinsoku/>
              <w:overflowPunct/>
              <w:topLinePunct w:val="0"/>
              <w:autoSpaceDE/>
              <w:autoSpaceDN/>
              <w:bidi w:val="0"/>
              <w:adjustRightInd/>
              <w:snapToGrid/>
              <w:spacing w:beforeAutospacing="0" w:afterAutospacing="0" w:line="260" w:lineRule="exact"/>
              <w:ind w:left="638" w:leftChars="88" w:right="0" w:rightChars="0" w:hanging="453" w:hangingChars="349"/>
              <w:jc w:val="center"/>
              <w:rPr>
                <w:rFonts w:ascii="仿宋_GB2312" w:hAnsi="宋体" w:eastAsia="仿宋_GB2312" w:cs="宋体"/>
                <w:color w:val="auto"/>
                <w:sz w:val="13"/>
                <w:szCs w:val="13"/>
                <w:highlight w:val="none"/>
              </w:rPr>
            </w:pPr>
          </w:p>
        </w:tc>
        <w:tc>
          <w:tcPr>
            <w:tcW w:w="1550" w:type="dxa"/>
            <w:vMerge w:val="continue"/>
            <w:tcBorders>
              <w:tl2br w:val="nil"/>
              <w:tr2bl w:val="nil"/>
            </w:tcBorders>
            <w:vAlign w:val="center"/>
          </w:tcPr>
          <w:p w14:paraId="5774EAA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sz w:val="13"/>
                <w:szCs w:val="13"/>
                <w:highlight w:val="none"/>
              </w:rPr>
            </w:pPr>
          </w:p>
        </w:tc>
        <w:tc>
          <w:tcPr>
            <w:tcW w:w="4820" w:type="dxa"/>
            <w:vMerge w:val="continue"/>
            <w:tcBorders>
              <w:tl2br w:val="nil"/>
              <w:tr2bl w:val="nil"/>
            </w:tcBorders>
            <w:vAlign w:val="center"/>
          </w:tcPr>
          <w:p w14:paraId="1AD7334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17B4329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一般情节</w:t>
            </w:r>
          </w:p>
        </w:tc>
        <w:tc>
          <w:tcPr>
            <w:tcW w:w="3437" w:type="dxa"/>
            <w:gridSpan w:val="2"/>
            <w:tcBorders>
              <w:tl2br w:val="nil"/>
              <w:tr2bl w:val="nil"/>
            </w:tcBorders>
            <w:tcMar>
              <w:top w:w="15" w:type="dxa"/>
              <w:left w:w="15" w:type="dxa"/>
              <w:bottom w:w="15" w:type="dxa"/>
              <w:right w:w="15" w:type="dxa"/>
            </w:tcMar>
            <w:vAlign w:val="center"/>
          </w:tcPr>
          <w:p w14:paraId="54FE184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未经批准擅自停业、歇业1日以上3日以下的。</w:t>
            </w:r>
          </w:p>
        </w:tc>
        <w:tc>
          <w:tcPr>
            <w:tcW w:w="3058" w:type="dxa"/>
            <w:tcBorders>
              <w:tl2br w:val="nil"/>
              <w:tr2bl w:val="nil"/>
            </w:tcBorders>
            <w:tcMar>
              <w:top w:w="15" w:type="dxa"/>
              <w:left w:w="15" w:type="dxa"/>
              <w:bottom w:w="15" w:type="dxa"/>
              <w:right w:w="15" w:type="dxa"/>
            </w:tcMar>
            <w:vAlign w:val="center"/>
          </w:tcPr>
          <w:p w14:paraId="5FF67C1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责令限期改正，并可处以5万元以上7万元以下罚款。</w:t>
            </w:r>
          </w:p>
        </w:tc>
      </w:tr>
      <w:tr w14:paraId="09DB8B2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144" w:hRule="atLeast"/>
          <w:jc w:val="center"/>
        </w:trPr>
        <w:tc>
          <w:tcPr>
            <w:tcW w:w="428" w:type="dxa"/>
            <w:vMerge w:val="continue"/>
            <w:tcBorders>
              <w:tl2br w:val="nil"/>
              <w:tr2bl w:val="nil"/>
            </w:tcBorders>
            <w:vAlign w:val="center"/>
          </w:tcPr>
          <w:p w14:paraId="0770C86A">
            <w:pPr>
              <w:pStyle w:val="37"/>
              <w:keepNext w:val="0"/>
              <w:keepLines w:val="0"/>
              <w:pageBreakBefore w:val="0"/>
              <w:widowControl/>
              <w:numPr>
                <w:ilvl w:val="0"/>
                <w:numId w:val="12"/>
              </w:numPr>
              <w:kinsoku/>
              <w:overflowPunct/>
              <w:topLinePunct w:val="0"/>
              <w:autoSpaceDE/>
              <w:autoSpaceDN/>
              <w:bidi w:val="0"/>
              <w:adjustRightInd/>
              <w:snapToGrid/>
              <w:spacing w:beforeAutospacing="0" w:afterAutospacing="0" w:line="260" w:lineRule="exact"/>
              <w:ind w:left="638" w:leftChars="88" w:right="0" w:rightChars="0" w:hanging="453" w:hangingChars="349"/>
              <w:jc w:val="center"/>
              <w:rPr>
                <w:rFonts w:ascii="仿宋_GB2312" w:hAnsi="宋体" w:eastAsia="仿宋_GB2312" w:cs="宋体"/>
                <w:color w:val="auto"/>
                <w:sz w:val="13"/>
                <w:szCs w:val="13"/>
                <w:highlight w:val="none"/>
              </w:rPr>
            </w:pPr>
          </w:p>
        </w:tc>
        <w:tc>
          <w:tcPr>
            <w:tcW w:w="1550" w:type="dxa"/>
            <w:vMerge w:val="continue"/>
            <w:tcBorders>
              <w:tl2br w:val="nil"/>
              <w:tr2bl w:val="nil"/>
            </w:tcBorders>
            <w:vAlign w:val="center"/>
          </w:tcPr>
          <w:p w14:paraId="01E73B1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sz w:val="13"/>
                <w:szCs w:val="13"/>
                <w:highlight w:val="none"/>
              </w:rPr>
            </w:pPr>
          </w:p>
        </w:tc>
        <w:tc>
          <w:tcPr>
            <w:tcW w:w="4820" w:type="dxa"/>
            <w:vMerge w:val="continue"/>
            <w:tcBorders>
              <w:tl2br w:val="nil"/>
              <w:tr2bl w:val="nil"/>
            </w:tcBorders>
            <w:vAlign w:val="center"/>
          </w:tcPr>
          <w:p w14:paraId="3FAEF55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214C69C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从重情节</w:t>
            </w:r>
          </w:p>
        </w:tc>
        <w:tc>
          <w:tcPr>
            <w:tcW w:w="3437" w:type="dxa"/>
            <w:gridSpan w:val="2"/>
            <w:tcBorders>
              <w:tl2br w:val="nil"/>
              <w:tr2bl w:val="nil"/>
            </w:tcBorders>
            <w:tcMar>
              <w:top w:w="15" w:type="dxa"/>
              <w:left w:w="15" w:type="dxa"/>
              <w:bottom w:w="15" w:type="dxa"/>
              <w:right w:w="15" w:type="dxa"/>
            </w:tcMar>
            <w:vAlign w:val="center"/>
          </w:tcPr>
          <w:p w14:paraId="378C966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未经批准擅自停业、歇业3日以上的。</w:t>
            </w:r>
          </w:p>
        </w:tc>
        <w:tc>
          <w:tcPr>
            <w:tcW w:w="3058" w:type="dxa"/>
            <w:tcBorders>
              <w:tl2br w:val="nil"/>
              <w:tr2bl w:val="nil"/>
            </w:tcBorders>
            <w:tcMar>
              <w:top w:w="15" w:type="dxa"/>
              <w:left w:w="15" w:type="dxa"/>
              <w:bottom w:w="15" w:type="dxa"/>
              <w:right w:w="15" w:type="dxa"/>
            </w:tcMar>
            <w:vAlign w:val="center"/>
          </w:tcPr>
          <w:p w14:paraId="7498F48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责令限期改正，并可处以7万元以上10万元以下罚款。</w:t>
            </w:r>
          </w:p>
        </w:tc>
      </w:tr>
      <w:tr w14:paraId="6A4074F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247" w:hRule="atLeast"/>
          <w:jc w:val="center"/>
        </w:trPr>
        <w:tc>
          <w:tcPr>
            <w:tcW w:w="428" w:type="dxa"/>
            <w:vMerge w:val="restart"/>
            <w:tcBorders>
              <w:tl2br w:val="nil"/>
              <w:tr2bl w:val="nil"/>
            </w:tcBorders>
            <w:vAlign w:val="center"/>
          </w:tcPr>
          <w:p w14:paraId="1802E3C4">
            <w:pPr>
              <w:keepNext w:val="0"/>
              <w:keepLines w:val="0"/>
              <w:pageBreakBefore w:val="0"/>
              <w:widowControl/>
              <w:numPr>
                <w:ilvl w:val="0"/>
                <w:numId w:val="11"/>
              </w:numPr>
              <w:suppressLineNumbers w:val="0"/>
              <w:tabs>
                <w:tab w:val="clear" w:pos="397"/>
              </w:tabs>
              <w:kinsoku/>
              <w:overflowPunct/>
              <w:topLinePunct w:val="0"/>
              <w:autoSpaceDE/>
              <w:autoSpaceDN/>
              <w:bidi w:val="0"/>
              <w:adjustRightInd/>
              <w:snapToGrid/>
              <w:spacing w:beforeAutospacing="0" w:afterAutospacing="0" w:line="260" w:lineRule="exact"/>
              <w:ind w:left="638" w:leftChars="88" w:right="0" w:rightChars="0" w:hanging="453" w:hangingChars="349"/>
              <w:jc w:val="center"/>
              <w:textAlignment w:val="center"/>
              <w:rPr>
                <w:rFonts w:hint="default" w:ascii="仿宋_GB2312" w:hAnsi="宋体" w:eastAsia="仿宋_GB2312" w:cs="宋体"/>
                <w:color w:val="auto"/>
                <w:kern w:val="0"/>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359</w:t>
            </w:r>
          </w:p>
        </w:tc>
        <w:tc>
          <w:tcPr>
            <w:tcW w:w="1550" w:type="dxa"/>
            <w:vMerge w:val="restart"/>
            <w:tcBorders>
              <w:tl2br w:val="nil"/>
              <w:tr2bl w:val="nil"/>
            </w:tcBorders>
            <w:vAlign w:val="center"/>
          </w:tcPr>
          <w:p w14:paraId="45EF3B5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rPr>
                <w:rFonts w:ascii="仿宋_GB2312" w:hAnsi="宋体" w:eastAsia="仿宋_GB2312" w:cs="宋体"/>
                <w:color w:val="auto"/>
                <w:sz w:val="13"/>
                <w:szCs w:val="13"/>
                <w:highlight w:val="none"/>
              </w:rPr>
            </w:pPr>
            <w:r>
              <w:rPr>
                <w:rFonts w:hint="eastAsia" w:ascii="仿宋_GB2312" w:hAnsi="宋体" w:eastAsia="仿宋_GB2312" w:cs="宋体"/>
                <w:color w:val="auto"/>
                <w:sz w:val="13"/>
                <w:szCs w:val="13"/>
                <w:highlight w:val="none"/>
              </w:rPr>
              <w:t>将安装有淘汰便器水箱和配件的新建房屋验收交付使用的</w:t>
            </w:r>
          </w:p>
        </w:tc>
        <w:tc>
          <w:tcPr>
            <w:tcW w:w="4820" w:type="dxa"/>
            <w:vMerge w:val="restart"/>
            <w:tcBorders>
              <w:tl2br w:val="nil"/>
              <w:tr2bl w:val="nil"/>
            </w:tcBorders>
            <w:vAlign w:val="center"/>
          </w:tcPr>
          <w:p w14:paraId="19AE6E7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sz w:val="13"/>
                <w:szCs w:val="13"/>
                <w:highlight w:val="none"/>
              </w:rPr>
            </w:pPr>
            <w:r>
              <w:rPr>
                <w:rFonts w:hint="eastAsia" w:ascii="仿宋_GB2312" w:hAnsi="宋体" w:eastAsia="仿宋_GB2312" w:cs="宋体"/>
                <w:color w:val="auto"/>
                <w:sz w:val="13"/>
                <w:szCs w:val="13"/>
                <w:highlight w:val="none"/>
              </w:rPr>
              <w:t>《城市房屋便器水箱应用监督管理办法》</w:t>
            </w:r>
            <w:r>
              <w:rPr>
                <w:rFonts w:hint="eastAsia" w:ascii="仿宋_GB2312" w:hAnsi="宋体" w:eastAsia="仿宋_GB2312" w:cs="宋体"/>
                <w:b/>
                <w:bCs/>
                <w:color w:val="auto"/>
                <w:sz w:val="13"/>
                <w:szCs w:val="13"/>
                <w:highlight w:val="none"/>
              </w:rPr>
              <w:t>第九条</w:t>
            </w:r>
            <w:r>
              <w:rPr>
                <w:rFonts w:hint="eastAsia" w:ascii="仿宋_GB2312" w:hAnsi="宋体" w:eastAsia="仿宋_GB2312" w:cs="宋体"/>
                <w:b/>
                <w:bCs/>
                <w:color w:val="auto"/>
                <w:sz w:val="13"/>
                <w:szCs w:val="13"/>
                <w:highlight w:val="none"/>
                <w:lang w:eastAsia="zh-CN"/>
              </w:rPr>
              <w:t>（</w:t>
            </w:r>
            <w:r>
              <w:rPr>
                <w:rFonts w:hint="eastAsia" w:ascii="仿宋_GB2312" w:hAnsi="宋体" w:eastAsia="仿宋_GB2312" w:cs="宋体"/>
                <w:b/>
                <w:bCs/>
                <w:color w:val="auto"/>
                <w:sz w:val="13"/>
                <w:szCs w:val="13"/>
                <w:highlight w:val="none"/>
                <w:lang w:val="en-US" w:eastAsia="zh-CN"/>
              </w:rPr>
              <w:t>一</w:t>
            </w:r>
            <w:r>
              <w:rPr>
                <w:rFonts w:hint="eastAsia" w:ascii="仿宋_GB2312" w:hAnsi="宋体" w:eastAsia="仿宋_GB2312" w:cs="宋体"/>
                <w:b/>
                <w:bCs/>
                <w:color w:val="auto"/>
                <w:sz w:val="13"/>
                <w:szCs w:val="13"/>
                <w:highlight w:val="none"/>
                <w:lang w:eastAsia="zh-CN"/>
              </w:rPr>
              <w:t>）</w:t>
            </w:r>
            <w:r>
              <w:rPr>
                <w:rFonts w:hint="eastAsia" w:ascii="仿宋_GB2312" w:hAnsi="宋体" w:eastAsia="仿宋_GB2312" w:cs="宋体"/>
                <w:b/>
                <w:bCs/>
                <w:color w:val="auto"/>
                <w:sz w:val="13"/>
                <w:szCs w:val="13"/>
                <w:highlight w:val="none"/>
              </w:rPr>
              <w:t>项</w:t>
            </w:r>
            <w:r>
              <w:rPr>
                <w:rFonts w:hint="eastAsia" w:ascii="仿宋_GB2312" w:hAnsi="宋体" w:eastAsia="仿宋_GB2312" w:cs="宋体"/>
                <w:b/>
                <w:bCs/>
                <w:color w:val="auto"/>
                <w:sz w:val="13"/>
                <w:szCs w:val="13"/>
                <w:highlight w:val="none"/>
                <w:lang w:eastAsia="zh-CN"/>
              </w:rPr>
              <w:t>：</w:t>
            </w:r>
            <w:r>
              <w:rPr>
                <w:rFonts w:hint="eastAsia" w:ascii="仿宋_GB2312" w:hAnsi="宋体" w:eastAsia="仿宋_GB2312" w:cs="宋体"/>
                <w:color w:val="auto"/>
                <w:sz w:val="13"/>
                <w:szCs w:val="13"/>
                <w:highlight w:val="none"/>
              </w:rPr>
              <w:t>违反本办法有下列行为之一的，由城市建设行政主管部门责令限期改正、按测算漏水量月累计征收3—5倍的加价水费，并可按每套便器水箱配件处以30—100元的罚款，最高不超过30000元：（一）将安装有淘汰便器水箱和配件的新建房屋验收交付使用的；（二）未按更新改造计划更换淘汰便器水箱和配件的；（三）在限定的期限内未更换淘汰便器水箱和配件的；（四）对漏水严重的房屋便器水箱和配件未按期进行维修或者更新的。</w:t>
            </w:r>
          </w:p>
        </w:tc>
        <w:tc>
          <w:tcPr>
            <w:tcW w:w="823" w:type="dxa"/>
            <w:tcBorders>
              <w:tl2br w:val="nil"/>
              <w:tr2bl w:val="nil"/>
            </w:tcBorders>
            <w:tcMar>
              <w:top w:w="15" w:type="dxa"/>
              <w:left w:w="15" w:type="dxa"/>
              <w:bottom w:w="15" w:type="dxa"/>
              <w:right w:w="15" w:type="dxa"/>
            </w:tcMar>
            <w:vAlign w:val="center"/>
          </w:tcPr>
          <w:p w14:paraId="4656BFF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从轻情节</w:t>
            </w:r>
          </w:p>
        </w:tc>
        <w:tc>
          <w:tcPr>
            <w:tcW w:w="3437" w:type="dxa"/>
            <w:gridSpan w:val="2"/>
            <w:tcBorders>
              <w:tl2br w:val="nil"/>
              <w:tr2bl w:val="nil"/>
            </w:tcBorders>
            <w:tcMar>
              <w:top w:w="15" w:type="dxa"/>
              <w:left w:w="15" w:type="dxa"/>
              <w:bottom w:w="15" w:type="dxa"/>
              <w:right w:w="15" w:type="dxa"/>
            </w:tcMar>
            <w:vAlign w:val="center"/>
          </w:tcPr>
          <w:p w14:paraId="7071100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rPr>
                <w:rFonts w:ascii="仿宋_GB2312" w:hAnsi="宋体" w:eastAsia="仿宋_GB2312" w:cs="宋体"/>
                <w:color w:val="auto"/>
                <w:sz w:val="13"/>
                <w:szCs w:val="13"/>
                <w:highlight w:val="none"/>
              </w:rPr>
            </w:pPr>
            <w:r>
              <w:rPr>
                <w:rFonts w:hint="eastAsia" w:ascii="仿宋_GB2312" w:hAnsi="宋体" w:eastAsia="仿宋_GB2312" w:cs="宋体"/>
                <w:color w:val="auto"/>
                <w:sz w:val="13"/>
                <w:szCs w:val="13"/>
                <w:highlight w:val="none"/>
              </w:rPr>
              <w:t>安装50套以下的。</w:t>
            </w:r>
          </w:p>
        </w:tc>
        <w:tc>
          <w:tcPr>
            <w:tcW w:w="3058" w:type="dxa"/>
            <w:tcBorders>
              <w:tl2br w:val="nil"/>
              <w:tr2bl w:val="nil"/>
            </w:tcBorders>
            <w:tcMar>
              <w:top w:w="15" w:type="dxa"/>
              <w:left w:w="15" w:type="dxa"/>
              <w:bottom w:w="15" w:type="dxa"/>
              <w:right w:w="15" w:type="dxa"/>
            </w:tcMar>
            <w:vAlign w:val="center"/>
          </w:tcPr>
          <w:p w14:paraId="2C883A7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rPr>
                <w:rFonts w:ascii="仿宋_GB2312" w:hAnsi="宋体" w:eastAsia="仿宋_GB2312" w:cs="宋体"/>
                <w:color w:val="auto"/>
                <w:sz w:val="13"/>
                <w:szCs w:val="13"/>
                <w:highlight w:val="none"/>
              </w:rPr>
            </w:pPr>
            <w:r>
              <w:rPr>
                <w:rFonts w:hint="eastAsia" w:ascii="仿宋_GB2312" w:hAnsi="宋体" w:eastAsia="仿宋_GB2312" w:cs="宋体"/>
                <w:color w:val="auto"/>
                <w:sz w:val="13"/>
                <w:szCs w:val="13"/>
                <w:highlight w:val="none"/>
              </w:rPr>
              <w:t>责令限期改正、按测算漏水量月累计征收3倍的加价水费，并可按每套便器水箱配件处以30元以上50元以下的罚款，最高不超过10000元。</w:t>
            </w:r>
          </w:p>
        </w:tc>
      </w:tr>
      <w:tr w14:paraId="1708847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309" w:hRule="atLeast"/>
          <w:jc w:val="center"/>
        </w:trPr>
        <w:tc>
          <w:tcPr>
            <w:tcW w:w="428" w:type="dxa"/>
            <w:vMerge w:val="continue"/>
            <w:tcBorders>
              <w:tl2br w:val="nil"/>
              <w:tr2bl w:val="nil"/>
            </w:tcBorders>
            <w:vAlign w:val="center"/>
          </w:tcPr>
          <w:p w14:paraId="223E154F">
            <w:pPr>
              <w:pStyle w:val="37"/>
              <w:keepNext w:val="0"/>
              <w:keepLines w:val="0"/>
              <w:pageBreakBefore w:val="0"/>
              <w:widowControl/>
              <w:numPr>
                <w:ilvl w:val="0"/>
                <w:numId w:val="12"/>
              </w:numPr>
              <w:kinsoku/>
              <w:overflowPunct/>
              <w:topLinePunct w:val="0"/>
              <w:autoSpaceDE/>
              <w:autoSpaceDN/>
              <w:bidi w:val="0"/>
              <w:adjustRightInd/>
              <w:snapToGrid/>
              <w:spacing w:beforeAutospacing="0" w:afterAutospacing="0" w:line="260" w:lineRule="exact"/>
              <w:ind w:left="638" w:leftChars="88" w:right="0" w:rightChars="0" w:hanging="453" w:hangingChars="349"/>
              <w:jc w:val="center"/>
              <w:textAlignment w:val="center"/>
              <w:rPr>
                <w:rFonts w:ascii="仿宋_GB2312" w:hAnsi="宋体" w:eastAsia="仿宋_GB2312" w:cs="宋体"/>
                <w:color w:val="auto"/>
                <w:sz w:val="13"/>
                <w:szCs w:val="13"/>
                <w:highlight w:val="none"/>
              </w:rPr>
            </w:pPr>
          </w:p>
        </w:tc>
        <w:tc>
          <w:tcPr>
            <w:tcW w:w="1550" w:type="dxa"/>
            <w:vMerge w:val="continue"/>
            <w:tcBorders>
              <w:tl2br w:val="nil"/>
              <w:tr2bl w:val="nil"/>
            </w:tcBorders>
            <w:vAlign w:val="center"/>
          </w:tcPr>
          <w:p w14:paraId="7BAD8DC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sz w:val="13"/>
                <w:szCs w:val="13"/>
                <w:highlight w:val="none"/>
              </w:rPr>
            </w:pPr>
          </w:p>
        </w:tc>
        <w:tc>
          <w:tcPr>
            <w:tcW w:w="4820" w:type="dxa"/>
            <w:vMerge w:val="continue"/>
            <w:tcBorders>
              <w:tl2br w:val="nil"/>
              <w:tr2bl w:val="nil"/>
            </w:tcBorders>
            <w:vAlign w:val="center"/>
          </w:tcPr>
          <w:p w14:paraId="1690B0F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07AD6F4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一般情节</w:t>
            </w:r>
          </w:p>
        </w:tc>
        <w:tc>
          <w:tcPr>
            <w:tcW w:w="3437" w:type="dxa"/>
            <w:gridSpan w:val="2"/>
            <w:tcBorders>
              <w:tl2br w:val="nil"/>
              <w:tr2bl w:val="nil"/>
            </w:tcBorders>
            <w:tcMar>
              <w:top w:w="15" w:type="dxa"/>
              <w:left w:w="15" w:type="dxa"/>
              <w:bottom w:w="15" w:type="dxa"/>
              <w:right w:w="15" w:type="dxa"/>
            </w:tcMar>
            <w:vAlign w:val="center"/>
          </w:tcPr>
          <w:p w14:paraId="29CA486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rPr>
                <w:rFonts w:ascii="仿宋_GB2312" w:hAnsi="宋体" w:eastAsia="仿宋_GB2312" w:cs="宋体"/>
                <w:color w:val="auto"/>
                <w:sz w:val="13"/>
                <w:szCs w:val="13"/>
                <w:highlight w:val="none"/>
              </w:rPr>
            </w:pPr>
            <w:r>
              <w:rPr>
                <w:rFonts w:hint="eastAsia" w:ascii="仿宋_GB2312" w:hAnsi="宋体" w:eastAsia="仿宋_GB2312" w:cs="宋体"/>
                <w:color w:val="auto"/>
                <w:sz w:val="13"/>
                <w:szCs w:val="13"/>
                <w:highlight w:val="none"/>
              </w:rPr>
              <w:t>安装50套以上100套以下的。</w:t>
            </w:r>
          </w:p>
        </w:tc>
        <w:tc>
          <w:tcPr>
            <w:tcW w:w="3058" w:type="dxa"/>
            <w:tcBorders>
              <w:tl2br w:val="nil"/>
              <w:tr2bl w:val="nil"/>
            </w:tcBorders>
            <w:tcMar>
              <w:top w:w="15" w:type="dxa"/>
              <w:left w:w="15" w:type="dxa"/>
              <w:bottom w:w="15" w:type="dxa"/>
              <w:right w:w="15" w:type="dxa"/>
            </w:tcMar>
            <w:vAlign w:val="center"/>
          </w:tcPr>
          <w:p w14:paraId="5871A55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rPr>
                <w:rFonts w:ascii="仿宋_GB2312" w:hAnsi="宋体" w:eastAsia="仿宋_GB2312" w:cs="宋体"/>
                <w:color w:val="auto"/>
                <w:sz w:val="13"/>
                <w:szCs w:val="13"/>
                <w:highlight w:val="none"/>
              </w:rPr>
            </w:pPr>
            <w:r>
              <w:rPr>
                <w:rFonts w:hint="eastAsia" w:ascii="仿宋_GB2312" w:hAnsi="宋体" w:eastAsia="仿宋_GB2312" w:cs="宋体"/>
                <w:color w:val="auto"/>
                <w:sz w:val="13"/>
                <w:szCs w:val="13"/>
                <w:highlight w:val="none"/>
              </w:rPr>
              <w:t>责令限期改正、按测算漏水量月累计征收4倍的加价水费，并按每套便器水箱配件处以50元以上80元以下的罚款，最高不超过20000元。</w:t>
            </w:r>
          </w:p>
        </w:tc>
      </w:tr>
      <w:tr w14:paraId="16A262D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319" w:hRule="atLeast"/>
          <w:jc w:val="center"/>
        </w:trPr>
        <w:tc>
          <w:tcPr>
            <w:tcW w:w="428" w:type="dxa"/>
            <w:vMerge w:val="continue"/>
            <w:tcBorders>
              <w:tl2br w:val="nil"/>
              <w:tr2bl w:val="nil"/>
            </w:tcBorders>
            <w:vAlign w:val="center"/>
          </w:tcPr>
          <w:p w14:paraId="71168D5B">
            <w:pPr>
              <w:pStyle w:val="37"/>
              <w:keepNext w:val="0"/>
              <w:keepLines w:val="0"/>
              <w:pageBreakBefore w:val="0"/>
              <w:widowControl/>
              <w:numPr>
                <w:ilvl w:val="0"/>
                <w:numId w:val="12"/>
              </w:numPr>
              <w:kinsoku/>
              <w:overflowPunct/>
              <w:topLinePunct w:val="0"/>
              <w:autoSpaceDE/>
              <w:autoSpaceDN/>
              <w:bidi w:val="0"/>
              <w:adjustRightInd/>
              <w:snapToGrid/>
              <w:spacing w:beforeAutospacing="0" w:afterAutospacing="0" w:line="260" w:lineRule="exact"/>
              <w:ind w:left="638" w:leftChars="88" w:right="0" w:rightChars="0" w:hanging="453" w:hangingChars="349"/>
              <w:jc w:val="center"/>
              <w:textAlignment w:val="center"/>
              <w:rPr>
                <w:rFonts w:ascii="仿宋_GB2312" w:hAnsi="宋体" w:eastAsia="仿宋_GB2312" w:cs="宋体"/>
                <w:color w:val="auto"/>
                <w:kern w:val="0"/>
                <w:sz w:val="13"/>
                <w:szCs w:val="13"/>
                <w:highlight w:val="none"/>
              </w:rPr>
            </w:pPr>
          </w:p>
        </w:tc>
        <w:tc>
          <w:tcPr>
            <w:tcW w:w="1550" w:type="dxa"/>
            <w:vMerge w:val="continue"/>
            <w:tcBorders>
              <w:tl2br w:val="nil"/>
              <w:tr2bl w:val="nil"/>
            </w:tcBorders>
            <w:vAlign w:val="center"/>
          </w:tcPr>
          <w:p w14:paraId="487AB3D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kern w:val="0"/>
                <w:sz w:val="13"/>
                <w:szCs w:val="13"/>
                <w:highlight w:val="none"/>
              </w:rPr>
            </w:pPr>
          </w:p>
        </w:tc>
        <w:tc>
          <w:tcPr>
            <w:tcW w:w="4820" w:type="dxa"/>
            <w:vMerge w:val="continue"/>
            <w:tcBorders>
              <w:tl2br w:val="nil"/>
              <w:tr2bl w:val="nil"/>
            </w:tcBorders>
            <w:vAlign w:val="center"/>
          </w:tcPr>
          <w:p w14:paraId="0B13856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kern w:val="0"/>
                <w:sz w:val="13"/>
                <w:szCs w:val="13"/>
                <w:highlight w:val="none"/>
              </w:rPr>
            </w:pPr>
          </w:p>
        </w:tc>
        <w:tc>
          <w:tcPr>
            <w:tcW w:w="823" w:type="dxa"/>
            <w:tcBorders>
              <w:tl2br w:val="nil"/>
              <w:tr2bl w:val="nil"/>
            </w:tcBorders>
            <w:tcMar>
              <w:top w:w="15" w:type="dxa"/>
              <w:left w:w="15" w:type="dxa"/>
              <w:bottom w:w="15" w:type="dxa"/>
              <w:right w:w="15" w:type="dxa"/>
            </w:tcMar>
            <w:vAlign w:val="center"/>
          </w:tcPr>
          <w:p w14:paraId="2729F17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从重情节</w:t>
            </w:r>
          </w:p>
        </w:tc>
        <w:tc>
          <w:tcPr>
            <w:tcW w:w="3437" w:type="dxa"/>
            <w:gridSpan w:val="2"/>
            <w:tcBorders>
              <w:tl2br w:val="nil"/>
              <w:tr2bl w:val="nil"/>
            </w:tcBorders>
            <w:tcMar>
              <w:top w:w="15" w:type="dxa"/>
              <w:left w:w="15" w:type="dxa"/>
              <w:bottom w:w="15" w:type="dxa"/>
              <w:right w:w="15" w:type="dxa"/>
            </w:tcMar>
            <w:vAlign w:val="center"/>
          </w:tcPr>
          <w:p w14:paraId="08EED5F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rPr>
                <w:rFonts w:ascii="仿宋_GB2312" w:hAnsi="宋体" w:eastAsia="仿宋_GB2312" w:cs="宋体"/>
                <w:color w:val="auto"/>
                <w:sz w:val="13"/>
                <w:szCs w:val="13"/>
                <w:highlight w:val="none"/>
              </w:rPr>
            </w:pPr>
            <w:r>
              <w:rPr>
                <w:rFonts w:hint="eastAsia" w:ascii="仿宋_GB2312" w:hAnsi="宋体" w:eastAsia="仿宋_GB2312" w:cs="宋体"/>
                <w:color w:val="auto"/>
                <w:sz w:val="13"/>
                <w:szCs w:val="13"/>
                <w:highlight w:val="none"/>
              </w:rPr>
              <w:t>安装100套以上的。</w:t>
            </w:r>
          </w:p>
        </w:tc>
        <w:tc>
          <w:tcPr>
            <w:tcW w:w="3058" w:type="dxa"/>
            <w:tcBorders>
              <w:tl2br w:val="nil"/>
              <w:tr2bl w:val="nil"/>
            </w:tcBorders>
            <w:tcMar>
              <w:top w:w="15" w:type="dxa"/>
              <w:left w:w="15" w:type="dxa"/>
              <w:bottom w:w="15" w:type="dxa"/>
              <w:right w:w="15" w:type="dxa"/>
            </w:tcMar>
            <w:vAlign w:val="center"/>
          </w:tcPr>
          <w:p w14:paraId="3638EA5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rPr>
                <w:rFonts w:ascii="仿宋_GB2312" w:hAnsi="宋体" w:eastAsia="仿宋_GB2312" w:cs="宋体"/>
                <w:color w:val="auto"/>
                <w:sz w:val="13"/>
                <w:szCs w:val="13"/>
                <w:highlight w:val="none"/>
              </w:rPr>
            </w:pPr>
            <w:r>
              <w:rPr>
                <w:rFonts w:hint="eastAsia" w:ascii="仿宋_GB2312" w:hAnsi="宋体" w:eastAsia="仿宋_GB2312" w:cs="宋体"/>
                <w:color w:val="auto"/>
                <w:sz w:val="13"/>
                <w:szCs w:val="13"/>
                <w:highlight w:val="none"/>
              </w:rPr>
              <w:t>责令限期改正、按测算漏水量月累计征收5倍的加价水费，并按每套便器水箱配件处以80元以上100元以下的罚款，最高不超过30000元。</w:t>
            </w:r>
          </w:p>
        </w:tc>
      </w:tr>
      <w:tr w14:paraId="0ACE4EB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247" w:hRule="atLeast"/>
          <w:jc w:val="center"/>
        </w:trPr>
        <w:tc>
          <w:tcPr>
            <w:tcW w:w="428" w:type="dxa"/>
            <w:vMerge w:val="restart"/>
            <w:tcBorders>
              <w:tl2br w:val="nil"/>
              <w:tr2bl w:val="nil"/>
            </w:tcBorders>
            <w:vAlign w:val="center"/>
          </w:tcPr>
          <w:p w14:paraId="1D1227F9">
            <w:pPr>
              <w:keepNext w:val="0"/>
              <w:keepLines w:val="0"/>
              <w:pageBreakBefore w:val="0"/>
              <w:widowControl/>
              <w:numPr>
                <w:ilvl w:val="0"/>
                <w:numId w:val="11"/>
              </w:numPr>
              <w:suppressLineNumbers w:val="0"/>
              <w:tabs>
                <w:tab w:val="clear" w:pos="397"/>
              </w:tabs>
              <w:kinsoku/>
              <w:overflowPunct/>
              <w:topLinePunct w:val="0"/>
              <w:autoSpaceDE/>
              <w:autoSpaceDN/>
              <w:bidi w:val="0"/>
              <w:adjustRightInd/>
              <w:snapToGrid/>
              <w:spacing w:beforeAutospacing="0" w:afterAutospacing="0" w:line="260" w:lineRule="exact"/>
              <w:ind w:left="638" w:leftChars="88" w:right="0" w:rightChars="0" w:hanging="453" w:hangingChars="349"/>
              <w:jc w:val="center"/>
              <w:textAlignment w:val="center"/>
              <w:rPr>
                <w:rFonts w:hint="default" w:ascii="仿宋_GB2312" w:hAnsi="宋体" w:eastAsia="仿宋_GB2312" w:cs="宋体"/>
                <w:color w:val="auto"/>
                <w:kern w:val="0"/>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360</w:t>
            </w:r>
          </w:p>
        </w:tc>
        <w:tc>
          <w:tcPr>
            <w:tcW w:w="1550" w:type="dxa"/>
            <w:vMerge w:val="restart"/>
            <w:tcBorders>
              <w:tl2br w:val="nil"/>
              <w:tr2bl w:val="nil"/>
            </w:tcBorders>
            <w:vAlign w:val="center"/>
          </w:tcPr>
          <w:p w14:paraId="355C179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kern w:val="0"/>
                <w:sz w:val="13"/>
                <w:szCs w:val="13"/>
                <w:highlight w:val="none"/>
              </w:rPr>
            </w:pPr>
            <w:r>
              <w:rPr>
                <w:rFonts w:hint="eastAsia" w:ascii="仿宋_GB2312" w:hAnsi="宋体" w:eastAsia="仿宋_GB2312" w:cs="宋体"/>
                <w:color w:val="auto"/>
                <w:sz w:val="13"/>
                <w:szCs w:val="13"/>
                <w:highlight w:val="none"/>
              </w:rPr>
              <w:t>未按更新改造计划更换淘汰便器水箱和配件的</w:t>
            </w:r>
          </w:p>
        </w:tc>
        <w:tc>
          <w:tcPr>
            <w:tcW w:w="4820" w:type="dxa"/>
            <w:vMerge w:val="restart"/>
            <w:tcBorders>
              <w:tl2br w:val="nil"/>
              <w:tr2bl w:val="nil"/>
            </w:tcBorders>
            <w:vAlign w:val="center"/>
          </w:tcPr>
          <w:p w14:paraId="6B85984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sz w:val="13"/>
                <w:szCs w:val="13"/>
                <w:highlight w:val="none"/>
                <w:shd w:val="clear" w:color="auto" w:fill="FFFFFF"/>
              </w:rPr>
            </w:pPr>
            <w:r>
              <w:rPr>
                <w:rFonts w:hint="eastAsia" w:ascii="仿宋_GB2312" w:hAnsi="宋体" w:eastAsia="仿宋_GB2312" w:cs="宋体"/>
                <w:color w:val="auto"/>
                <w:sz w:val="13"/>
                <w:szCs w:val="13"/>
                <w:highlight w:val="none"/>
              </w:rPr>
              <w:t>《城市房屋便器水箱应用监督管理办法》</w:t>
            </w:r>
            <w:r>
              <w:rPr>
                <w:rFonts w:hint="eastAsia" w:ascii="仿宋_GB2312" w:hAnsi="宋体" w:eastAsia="仿宋_GB2312" w:cs="宋体"/>
                <w:b/>
                <w:bCs/>
                <w:color w:val="auto"/>
                <w:sz w:val="13"/>
                <w:szCs w:val="13"/>
                <w:highlight w:val="none"/>
              </w:rPr>
              <w:t>第九条</w:t>
            </w:r>
            <w:r>
              <w:rPr>
                <w:rFonts w:hint="eastAsia" w:ascii="仿宋_GB2312" w:hAnsi="宋体" w:eastAsia="仿宋_GB2312" w:cs="宋体"/>
                <w:b/>
                <w:bCs/>
                <w:color w:val="auto"/>
                <w:sz w:val="13"/>
                <w:szCs w:val="13"/>
                <w:highlight w:val="none"/>
                <w:lang w:eastAsia="zh-CN"/>
              </w:rPr>
              <w:t>（二）</w:t>
            </w:r>
            <w:r>
              <w:rPr>
                <w:rFonts w:hint="eastAsia" w:ascii="仿宋_GB2312" w:hAnsi="宋体" w:eastAsia="仿宋_GB2312" w:cs="宋体"/>
                <w:b/>
                <w:bCs/>
                <w:color w:val="auto"/>
                <w:sz w:val="13"/>
                <w:szCs w:val="13"/>
                <w:highlight w:val="none"/>
              </w:rPr>
              <w:t>项</w:t>
            </w:r>
            <w:r>
              <w:rPr>
                <w:rFonts w:hint="eastAsia" w:ascii="仿宋_GB2312" w:hAnsi="宋体" w:eastAsia="仿宋_GB2312" w:cs="宋体"/>
                <w:b/>
                <w:bCs/>
                <w:color w:val="auto"/>
                <w:sz w:val="13"/>
                <w:szCs w:val="13"/>
                <w:highlight w:val="none"/>
                <w:lang w:eastAsia="zh-CN"/>
              </w:rPr>
              <w:t>：</w:t>
            </w:r>
            <w:r>
              <w:rPr>
                <w:rFonts w:hint="eastAsia" w:ascii="仿宋_GB2312" w:hAnsi="宋体" w:eastAsia="仿宋_GB2312" w:cs="宋体"/>
                <w:color w:val="auto"/>
                <w:sz w:val="13"/>
                <w:szCs w:val="13"/>
                <w:highlight w:val="none"/>
              </w:rPr>
              <w:t>违反本办法有下列行为之一的，由城市建设行政主管部门责令限期改正、按测算漏水量月累计征收3—5倍的加价水费，并可按每套便器水箱配件处以30—100元的罚款，最高不超过30000元：（一）将安装有淘汰便器水箱和配件的新建房屋验收交付使用的；（二）未按更新改造计划更换淘汰便器水箱和配件的；（三）在限定的期限内未更换淘汰便器水箱和配件的；（四）对漏水严重的房屋便器水箱和配件未按期进行维修或者更新的。</w:t>
            </w:r>
          </w:p>
        </w:tc>
        <w:tc>
          <w:tcPr>
            <w:tcW w:w="823" w:type="dxa"/>
            <w:tcBorders>
              <w:tl2br w:val="nil"/>
              <w:tr2bl w:val="nil"/>
            </w:tcBorders>
            <w:tcMar>
              <w:top w:w="15" w:type="dxa"/>
              <w:left w:w="15" w:type="dxa"/>
              <w:bottom w:w="15" w:type="dxa"/>
              <w:right w:w="15" w:type="dxa"/>
            </w:tcMar>
            <w:vAlign w:val="center"/>
          </w:tcPr>
          <w:p w14:paraId="1D0062D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从轻情节</w:t>
            </w:r>
          </w:p>
        </w:tc>
        <w:tc>
          <w:tcPr>
            <w:tcW w:w="3437" w:type="dxa"/>
            <w:gridSpan w:val="2"/>
            <w:tcBorders>
              <w:tl2br w:val="nil"/>
              <w:tr2bl w:val="nil"/>
            </w:tcBorders>
            <w:tcMar>
              <w:top w:w="15" w:type="dxa"/>
              <w:left w:w="15" w:type="dxa"/>
              <w:bottom w:w="15" w:type="dxa"/>
              <w:right w:w="15" w:type="dxa"/>
            </w:tcMar>
            <w:vAlign w:val="center"/>
          </w:tcPr>
          <w:p w14:paraId="50D1811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rPr>
                <w:rFonts w:ascii="仿宋_GB2312" w:hAnsi="宋体" w:eastAsia="仿宋_GB2312" w:cs="宋体"/>
                <w:color w:val="auto"/>
                <w:sz w:val="13"/>
                <w:szCs w:val="13"/>
                <w:highlight w:val="none"/>
              </w:rPr>
            </w:pPr>
            <w:r>
              <w:rPr>
                <w:rFonts w:hint="eastAsia" w:ascii="仿宋_GB2312" w:hAnsi="宋体" w:eastAsia="仿宋_GB2312" w:cs="宋体"/>
                <w:color w:val="auto"/>
                <w:sz w:val="13"/>
                <w:szCs w:val="13"/>
                <w:highlight w:val="none"/>
              </w:rPr>
              <w:t>未更换50套（件）以内的；逾期10天以内的。</w:t>
            </w:r>
          </w:p>
        </w:tc>
        <w:tc>
          <w:tcPr>
            <w:tcW w:w="3058" w:type="dxa"/>
            <w:tcBorders>
              <w:tl2br w:val="nil"/>
              <w:tr2bl w:val="nil"/>
            </w:tcBorders>
            <w:tcMar>
              <w:top w:w="15" w:type="dxa"/>
              <w:left w:w="15" w:type="dxa"/>
              <w:bottom w:w="15" w:type="dxa"/>
              <w:right w:w="15" w:type="dxa"/>
            </w:tcMar>
            <w:vAlign w:val="center"/>
          </w:tcPr>
          <w:p w14:paraId="25DA2C1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rPr>
                <w:rFonts w:ascii="仿宋_GB2312" w:hAnsi="宋体" w:eastAsia="仿宋_GB2312" w:cs="宋体"/>
                <w:color w:val="auto"/>
                <w:sz w:val="13"/>
                <w:szCs w:val="13"/>
                <w:highlight w:val="none"/>
              </w:rPr>
            </w:pPr>
            <w:r>
              <w:rPr>
                <w:rFonts w:hint="eastAsia" w:ascii="仿宋_GB2312" w:hAnsi="宋体" w:eastAsia="仿宋_GB2312" w:cs="宋体"/>
                <w:color w:val="auto"/>
                <w:sz w:val="13"/>
                <w:szCs w:val="13"/>
                <w:highlight w:val="none"/>
              </w:rPr>
              <w:t>责令限期改正、按测算漏水量月累计征收3倍的加价水费，并可按每套便器水箱配件处以30元以上50元以下的罚款，最高不超过10000元。</w:t>
            </w:r>
          </w:p>
        </w:tc>
      </w:tr>
      <w:tr w14:paraId="23D3C73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247" w:hRule="atLeast"/>
          <w:jc w:val="center"/>
        </w:trPr>
        <w:tc>
          <w:tcPr>
            <w:tcW w:w="428" w:type="dxa"/>
            <w:vMerge w:val="continue"/>
            <w:tcBorders>
              <w:tl2br w:val="nil"/>
              <w:tr2bl w:val="nil"/>
            </w:tcBorders>
            <w:vAlign w:val="center"/>
          </w:tcPr>
          <w:p w14:paraId="637B5EA7">
            <w:pPr>
              <w:pStyle w:val="37"/>
              <w:keepNext w:val="0"/>
              <w:keepLines w:val="0"/>
              <w:pageBreakBefore w:val="0"/>
              <w:widowControl/>
              <w:numPr>
                <w:ilvl w:val="0"/>
                <w:numId w:val="12"/>
              </w:numPr>
              <w:kinsoku/>
              <w:overflowPunct/>
              <w:topLinePunct w:val="0"/>
              <w:autoSpaceDE/>
              <w:autoSpaceDN/>
              <w:bidi w:val="0"/>
              <w:adjustRightInd/>
              <w:snapToGrid/>
              <w:spacing w:beforeAutospacing="0" w:afterAutospacing="0" w:line="260" w:lineRule="exact"/>
              <w:ind w:left="638" w:leftChars="88" w:right="0" w:rightChars="0" w:hanging="453" w:hangingChars="349"/>
              <w:jc w:val="center"/>
              <w:textAlignment w:val="center"/>
              <w:rPr>
                <w:rFonts w:ascii="仿宋_GB2312" w:hAnsi="宋体" w:eastAsia="仿宋_GB2312" w:cs="宋体"/>
                <w:color w:val="auto"/>
                <w:sz w:val="13"/>
                <w:szCs w:val="13"/>
                <w:highlight w:val="none"/>
              </w:rPr>
            </w:pPr>
          </w:p>
        </w:tc>
        <w:tc>
          <w:tcPr>
            <w:tcW w:w="1550" w:type="dxa"/>
            <w:vMerge w:val="continue"/>
            <w:tcBorders>
              <w:tl2br w:val="nil"/>
              <w:tr2bl w:val="nil"/>
            </w:tcBorders>
            <w:vAlign w:val="center"/>
          </w:tcPr>
          <w:p w14:paraId="31BED71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sz w:val="13"/>
                <w:szCs w:val="13"/>
                <w:highlight w:val="none"/>
              </w:rPr>
            </w:pPr>
          </w:p>
        </w:tc>
        <w:tc>
          <w:tcPr>
            <w:tcW w:w="4820" w:type="dxa"/>
            <w:vMerge w:val="continue"/>
            <w:tcBorders>
              <w:tl2br w:val="nil"/>
              <w:tr2bl w:val="nil"/>
            </w:tcBorders>
            <w:vAlign w:val="center"/>
          </w:tcPr>
          <w:p w14:paraId="5796917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41405F3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一般情节</w:t>
            </w:r>
          </w:p>
        </w:tc>
        <w:tc>
          <w:tcPr>
            <w:tcW w:w="3437" w:type="dxa"/>
            <w:gridSpan w:val="2"/>
            <w:tcBorders>
              <w:tl2br w:val="nil"/>
              <w:tr2bl w:val="nil"/>
            </w:tcBorders>
            <w:tcMar>
              <w:top w:w="15" w:type="dxa"/>
              <w:left w:w="15" w:type="dxa"/>
              <w:bottom w:w="15" w:type="dxa"/>
              <w:right w:w="15" w:type="dxa"/>
            </w:tcMar>
            <w:vAlign w:val="center"/>
          </w:tcPr>
          <w:p w14:paraId="0445537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rPr>
                <w:rFonts w:ascii="仿宋_GB2312" w:hAnsi="宋体" w:eastAsia="仿宋_GB2312" w:cs="宋体"/>
                <w:color w:val="auto"/>
                <w:sz w:val="13"/>
                <w:szCs w:val="13"/>
                <w:highlight w:val="none"/>
              </w:rPr>
            </w:pPr>
            <w:r>
              <w:rPr>
                <w:rFonts w:hint="eastAsia" w:ascii="仿宋_GB2312" w:hAnsi="宋体" w:eastAsia="仿宋_GB2312" w:cs="宋体"/>
                <w:color w:val="auto"/>
                <w:sz w:val="13"/>
                <w:szCs w:val="13"/>
                <w:highlight w:val="none"/>
              </w:rPr>
              <w:t>未更换50套（件）以上100套（件）以下的；逾期10天以上30天以内的。</w:t>
            </w:r>
          </w:p>
        </w:tc>
        <w:tc>
          <w:tcPr>
            <w:tcW w:w="3058" w:type="dxa"/>
            <w:tcBorders>
              <w:tl2br w:val="nil"/>
              <w:tr2bl w:val="nil"/>
            </w:tcBorders>
            <w:tcMar>
              <w:top w:w="15" w:type="dxa"/>
              <w:left w:w="15" w:type="dxa"/>
              <w:bottom w:w="15" w:type="dxa"/>
              <w:right w:w="15" w:type="dxa"/>
            </w:tcMar>
            <w:vAlign w:val="center"/>
          </w:tcPr>
          <w:p w14:paraId="0ABB336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rPr>
                <w:rFonts w:ascii="仿宋_GB2312" w:hAnsi="宋体" w:eastAsia="仿宋_GB2312" w:cs="宋体"/>
                <w:color w:val="auto"/>
                <w:sz w:val="13"/>
                <w:szCs w:val="13"/>
                <w:highlight w:val="none"/>
              </w:rPr>
            </w:pPr>
            <w:r>
              <w:rPr>
                <w:rFonts w:hint="eastAsia" w:ascii="仿宋_GB2312" w:hAnsi="宋体" w:eastAsia="仿宋_GB2312" w:cs="宋体"/>
                <w:color w:val="auto"/>
                <w:sz w:val="13"/>
                <w:szCs w:val="13"/>
                <w:highlight w:val="none"/>
              </w:rPr>
              <w:t>责令限期改正、按测算漏水量月累计征收4倍的加价水费，并按每套便器水箱配件处以50元以上80元以下的罚款，最高不超过20000元。</w:t>
            </w:r>
          </w:p>
        </w:tc>
      </w:tr>
      <w:tr w14:paraId="6A71669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247" w:hRule="atLeast"/>
          <w:jc w:val="center"/>
        </w:trPr>
        <w:tc>
          <w:tcPr>
            <w:tcW w:w="428" w:type="dxa"/>
            <w:vMerge w:val="continue"/>
            <w:tcBorders>
              <w:tl2br w:val="nil"/>
              <w:tr2bl w:val="nil"/>
            </w:tcBorders>
            <w:vAlign w:val="center"/>
          </w:tcPr>
          <w:p w14:paraId="5D1279DA">
            <w:pPr>
              <w:pStyle w:val="37"/>
              <w:keepNext w:val="0"/>
              <w:keepLines w:val="0"/>
              <w:pageBreakBefore w:val="0"/>
              <w:widowControl/>
              <w:numPr>
                <w:ilvl w:val="0"/>
                <w:numId w:val="12"/>
              </w:numPr>
              <w:kinsoku/>
              <w:overflowPunct/>
              <w:topLinePunct w:val="0"/>
              <w:autoSpaceDE/>
              <w:autoSpaceDN/>
              <w:bidi w:val="0"/>
              <w:adjustRightInd/>
              <w:snapToGrid/>
              <w:spacing w:beforeAutospacing="0" w:afterAutospacing="0" w:line="260" w:lineRule="exact"/>
              <w:ind w:left="638" w:leftChars="88" w:right="0" w:rightChars="0" w:hanging="453" w:hangingChars="349"/>
              <w:jc w:val="center"/>
              <w:textAlignment w:val="center"/>
              <w:rPr>
                <w:rFonts w:ascii="仿宋_GB2312" w:hAnsi="宋体" w:eastAsia="仿宋_GB2312" w:cs="宋体"/>
                <w:color w:val="auto"/>
                <w:kern w:val="0"/>
                <w:sz w:val="13"/>
                <w:szCs w:val="13"/>
                <w:highlight w:val="none"/>
              </w:rPr>
            </w:pPr>
          </w:p>
        </w:tc>
        <w:tc>
          <w:tcPr>
            <w:tcW w:w="1550" w:type="dxa"/>
            <w:vMerge w:val="continue"/>
            <w:tcBorders>
              <w:tl2br w:val="nil"/>
              <w:tr2bl w:val="nil"/>
            </w:tcBorders>
            <w:vAlign w:val="center"/>
          </w:tcPr>
          <w:p w14:paraId="48810D4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kern w:val="0"/>
                <w:sz w:val="13"/>
                <w:szCs w:val="13"/>
                <w:highlight w:val="none"/>
              </w:rPr>
            </w:pPr>
          </w:p>
        </w:tc>
        <w:tc>
          <w:tcPr>
            <w:tcW w:w="4820" w:type="dxa"/>
            <w:vMerge w:val="continue"/>
            <w:tcBorders>
              <w:tl2br w:val="nil"/>
              <w:tr2bl w:val="nil"/>
            </w:tcBorders>
            <w:vAlign w:val="center"/>
          </w:tcPr>
          <w:p w14:paraId="1D9DBB0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kern w:val="0"/>
                <w:sz w:val="13"/>
                <w:szCs w:val="13"/>
                <w:highlight w:val="none"/>
              </w:rPr>
            </w:pPr>
          </w:p>
        </w:tc>
        <w:tc>
          <w:tcPr>
            <w:tcW w:w="823" w:type="dxa"/>
            <w:tcBorders>
              <w:tl2br w:val="nil"/>
              <w:tr2bl w:val="nil"/>
            </w:tcBorders>
            <w:tcMar>
              <w:top w:w="15" w:type="dxa"/>
              <w:left w:w="15" w:type="dxa"/>
              <w:bottom w:w="15" w:type="dxa"/>
              <w:right w:w="15" w:type="dxa"/>
            </w:tcMar>
            <w:vAlign w:val="center"/>
          </w:tcPr>
          <w:p w14:paraId="34F5CEB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从重情节</w:t>
            </w:r>
          </w:p>
        </w:tc>
        <w:tc>
          <w:tcPr>
            <w:tcW w:w="3437" w:type="dxa"/>
            <w:gridSpan w:val="2"/>
            <w:tcBorders>
              <w:tl2br w:val="nil"/>
              <w:tr2bl w:val="nil"/>
            </w:tcBorders>
            <w:tcMar>
              <w:top w:w="15" w:type="dxa"/>
              <w:left w:w="15" w:type="dxa"/>
              <w:bottom w:w="15" w:type="dxa"/>
              <w:right w:w="15" w:type="dxa"/>
            </w:tcMar>
            <w:vAlign w:val="center"/>
          </w:tcPr>
          <w:p w14:paraId="3420FC7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rPr>
                <w:rFonts w:ascii="仿宋_GB2312" w:hAnsi="宋体" w:eastAsia="仿宋_GB2312" w:cs="宋体"/>
                <w:color w:val="auto"/>
                <w:sz w:val="13"/>
                <w:szCs w:val="13"/>
                <w:highlight w:val="none"/>
              </w:rPr>
            </w:pPr>
            <w:r>
              <w:rPr>
                <w:rFonts w:hint="eastAsia" w:ascii="仿宋_GB2312" w:hAnsi="宋体" w:eastAsia="仿宋_GB2312" w:cs="宋体"/>
                <w:color w:val="auto"/>
                <w:sz w:val="13"/>
                <w:szCs w:val="13"/>
                <w:highlight w:val="none"/>
              </w:rPr>
              <w:t>未更换100套（件）以上的；逾期30天以上的。</w:t>
            </w:r>
          </w:p>
        </w:tc>
        <w:tc>
          <w:tcPr>
            <w:tcW w:w="3058" w:type="dxa"/>
            <w:tcBorders>
              <w:tl2br w:val="nil"/>
              <w:tr2bl w:val="nil"/>
            </w:tcBorders>
            <w:tcMar>
              <w:top w:w="15" w:type="dxa"/>
              <w:left w:w="15" w:type="dxa"/>
              <w:bottom w:w="15" w:type="dxa"/>
              <w:right w:w="15" w:type="dxa"/>
            </w:tcMar>
            <w:vAlign w:val="center"/>
          </w:tcPr>
          <w:p w14:paraId="587EC35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rPr>
                <w:rFonts w:ascii="仿宋_GB2312" w:hAnsi="宋体" w:eastAsia="仿宋_GB2312" w:cs="宋体"/>
                <w:color w:val="auto"/>
                <w:sz w:val="13"/>
                <w:szCs w:val="13"/>
                <w:highlight w:val="none"/>
              </w:rPr>
            </w:pPr>
            <w:r>
              <w:rPr>
                <w:rFonts w:hint="eastAsia" w:ascii="仿宋_GB2312" w:hAnsi="宋体" w:eastAsia="仿宋_GB2312" w:cs="宋体"/>
                <w:color w:val="auto"/>
                <w:sz w:val="13"/>
                <w:szCs w:val="13"/>
                <w:highlight w:val="none"/>
              </w:rPr>
              <w:t>责令限期改正、按测算漏水量月累计征收5倍的加价水费，并按每套便器水箱配件处以80元以上100元以下的罚款，最高不超过30000元。</w:t>
            </w:r>
          </w:p>
        </w:tc>
      </w:tr>
      <w:tr w14:paraId="0329A2E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247" w:hRule="atLeast"/>
          <w:jc w:val="center"/>
        </w:trPr>
        <w:tc>
          <w:tcPr>
            <w:tcW w:w="428" w:type="dxa"/>
            <w:vMerge w:val="restart"/>
            <w:tcBorders>
              <w:tl2br w:val="nil"/>
              <w:tr2bl w:val="nil"/>
            </w:tcBorders>
            <w:vAlign w:val="center"/>
          </w:tcPr>
          <w:p w14:paraId="60566E1A">
            <w:pPr>
              <w:keepNext w:val="0"/>
              <w:keepLines w:val="0"/>
              <w:pageBreakBefore w:val="0"/>
              <w:widowControl/>
              <w:numPr>
                <w:ilvl w:val="0"/>
                <w:numId w:val="11"/>
              </w:numPr>
              <w:suppressLineNumbers w:val="0"/>
              <w:tabs>
                <w:tab w:val="clear" w:pos="397"/>
              </w:tabs>
              <w:kinsoku/>
              <w:overflowPunct/>
              <w:topLinePunct w:val="0"/>
              <w:autoSpaceDE/>
              <w:autoSpaceDN/>
              <w:bidi w:val="0"/>
              <w:adjustRightInd/>
              <w:snapToGrid/>
              <w:spacing w:beforeAutospacing="0" w:afterAutospacing="0" w:line="260" w:lineRule="exact"/>
              <w:ind w:left="638" w:leftChars="88" w:right="0" w:rightChars="0" w:hanging="453" w:hangingChars="349"/>
              <w:jc w:val="center"/>
              <w:textAlignment w:val="center"/>
              <w:rPr>
                <w:rFonts w:hint="default" w:ascii="仿宋_GB2312" w:hAnsi="宋体" w:eastAsia="仿宋_GB2312" w:cs="宋体"/>
                <w:color w:val="auto"/>
                <w:kern w:val="0"/>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361</w:t>
            </w:r>
          </w:p>
        </w:tc>
        <w:tc>
          <w:tcPr>
            <w:tcW w:w="1550" w:type="dxa"/>
            <w:vMerge w:val="restart"/>
            <w:tcBorders>
              <w:tl2br w:val="nil"/>
              <w:tr2bl w:val="nil"/>
            </w:tcBorders>
            <w:vAlign w:val="center"/>
          </w:tcPr>
          <w:p w14:paraId="13D830E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rPr>
                <w:rFonts w:ascii="仿宋_GB2312" w:hAnsi="宋体" w:eastAsia="仿宋_GB2312" w:cs="宋体"/>
                <w:color w:val="auto"/>
                <w:sz w:val="13"/>
                <w:szCs w:val="13"/>
                <w:highlight w:val="none"/>
              </w:rPr>
            </w:pPr>
            <w:r>
              <w:rPr>
                <w:rFonts w:hint="eastAsia" w:ascii="仿宋_GB2312" w:hAnsi="宋体" w:eastAsia="仿宋_GB2312" w:cs="宋体"/>
                <w:color w:val="auto"/>
                <w:sz w:val="13"/>
                <w:szCs w:val="13"/>
                <w:highlight w:val="none"/>
              </w:rPr>
              <w:t>在限定的期限内未更换淘汰便器水箱和配件的</w:t>
            </w:r>
          </w:p>
        </w:tc>
        <w:tc>
          <w:tcPr>
            <w:tcW w:w="4820" w:type="dxa"/>
            <w:vMerge w:val="restart"/>
            <w:tcBorders>
              <w:tl2br w:val="nil"/>
              <w:tr2bl w:val="nil"/>
            </w:tcBorders>
            <w:vAlign w:val="center"/>
          </w:tcPr>
          <w:p w14:paraId="7B78076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kern w:val="0"/>
                <w:sz w:val="13"/>
                <w:szCs w:val="13"/>
                <w:highlight w:val="none"/>
              </w:rPr>
            </w:pPr>
            <w:r>
              <w:rPr>
                <w:rFonts w:hint="eastAsia" w:ascii="仿宋_GB2312" w:hAnsi="宋体" w:eastAsia="仿宋_GB2312" w:cs="宋体"/>
                <w:color w:val="auto"/>
                <w:sz w:val="13"/>
                <w:szCs w:val="13"/>
                <w:highlight w:val="none"/>
              </w:rPr>
              <w:t>《城市房屋便器水箱应用监督管理办法》</w:t>
            </w:r>
            <w:r>
              <w:rPr>
                <w:rFonts w:hint="eastAsia" w:ascii="仿宋_GB2312" w:hAnsi="宋体" w:eastAsia="仿宋_GB2312" w:cs="宋体"/>
                <w:b/>
                <w:bCs/>
                <w:color w:val="auto"/>
                <w:sz w:val="13"/>
                <w:szCs w:val="13"/>
                <w:highlight w:val="none"/>
              </w:rPr>
              <w:t>第九条</w:t>
            </w:r>
            <w:r>
              <w:rPr>
                <w:rFonts w:hint="eastAsia" w:ascii="仿宋_GB2312" w:hAnsi="宋体" w:eastAsia="仿宋_GB2312" w:cs="宋体"/>
                <w:b/>
                <w:bCs/>
                <w:color w:val="auto"/>
                <w:sz w:val="13"/>
                <w:szCs w:val="13"/>
                <w:highlight w:val="none"/>
                <w:lang w:eastAsia="zh-CN"/>
              </w:rPr>
              <w:t>（三）项：</w:t>
            </w:r>
            <w:r>
              <w:rPr>
                <w:rFonts w:hint="eastAsia" w:ascii="仿宋_GB2312" w:hAnsi="宋体" w:eastAsia="仿宋_GB2312" w:cs="宋体"/>
                <w:color w:val="auto"/>
                <w:sz w:val="13"/>
                <w:szCs w:val="13"/>
                <w:highlight w:val="none"/>
              </w:rPr>
              <w:t>违反本办法有下列行为之一的，由城市建设行政主管部门责令限期改正、按测算漏水量月累计征收3—5倍的加价水费，并可按每套便器水箱配件处以30—100元的罚款，最高不超过30000元：（一）将安装有淘汰便器水箱和配件的新建房屋验收交付使用的；（二）未按更新改造计划更换淘汰便器水箱和配件的；（三）在限定的期限内未更换淘汰便器水箱和配件的；（四）对漏水严重的房屋便器水箱和配件未按期进行维修或者更新的。</w:t>
            </w:r>
          </w:p>
        </w:tc>
        <w:tc>
          <w:tcPr>
            <w:tcW w:w="823" w:type="dxa"/>
            <w:tcBorders>
              <w:tl2br w:val="nil"/>
              <w:tr2bl w:val="nil"/>
            </w:tcBorders>
            <w:tcMar>
              <w:top w:w="15" w:type="dxa"/>
              <w:left w:w="15" w:type="dxa"/>
              <w:bottom w:w="15" w:type="dxa"/>
              <w:right w:w="15" w:type="dxa"/>
            </w:tcMar>
            <w:vAlign w:val="center"/>
          </w:tcPr>
          <w:p w14:paraId="6F46FF8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从轻情节</w:t>
            </w:r>
          </w:p>
        </w:tc>
        <w:tc>
          <w:tcPr>
            <w:tcW w:w="3437" w:type="dxa"/>
            <w:gridSpan w:val="2"/>
            <w:tcBorders>
              <w:tl2br w:val="nil"/>
              <w:tr2bl w:val="nil"/>
            </w:tcBorders>
            <w:tcMar>
              <w:top w:w="15" w:type="dxa"/>
              <w:left w:w="15" w:type="dxa"/>
              <w:bottom w:w="15" w:type="dxa"/>
              <w:right w:w="15" w:type="dxa"/>
            </w:tcMar>
            <w:vAlign w:val="center"/>
          </w:tcPr>
          <w:p w14:paraId="35B57B2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rPr>
                <w:rFonts w:ascii="仿宋_GB2312" w:hAnsi="宋体" w:eastAsia="仿宋_GB2312" w:cs="宋体"/>
                <w:color w:val="auto"/>
                <w:sz w:val="13"/>
                <w:szCs w:val="13"/>
                <w:highlight w:val="none"/>
              </w:rPr>
            </w:pPr>
            <w:r>
              <w:rPr>
                <w:rFonts w:hint="eastAsia" w:ascii="仿宋_GB2312" w:hAnsi="宋体" w:eastAsia="仿宋_GB2312" w:cs="宋体"/>
                <w:color w:val="auto"/>
                <w:sz w:val="13"/>
                <w:szCs w:val="13"/>
                <w:highlight w:val="none"/>
              </w:rPr>
              <w:t>未更换50套（件）以内的；逾期10天以内的。</w:t>
            </w:r>
          </w:p>
        </w:tc>
        <w:tc>
          <w:tcPr>
            <w:tcW w:w="3058" w:type="dxa"/>
            <w:tcBorders>
              <w:tl2br w:val="nil"/>
              <w:tr2bl w:val="nil"/>
            </w:tcBorders>
            <w:tcMar>
              <w:top w:w="15" w:type="dxa"/>
              <w:left w:w="15" w:type="dxa"/>
              <w:bottom w:w="15" w:type="dxa"/>
              <w:right w:w="15" w:type="dxa"/>
            </w:tcMar>
            <w:vAlign w:val="center"/>
          </w:tcPr>
          <w:p w14:paraId="3BA00C0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rPr>
                <w:rFonts w:ascii="仿宋_GB2312" w:hAnsi="宋体" w:eastAsia="仿宋_GB2312" w:cs="宋体"/>
                <w:color w:val="auto"/>
                <w:sz w:val="13"/>
                <w:szCs w:val="13"/>
                <w:highlight w:val="none"/>
              </w:rPr>
            </w:pPr>
            <w:r>
              <w:rPr>
                <w:rFonts w:hint="eastAsia" w:ascii="仿宋_GB2312" w:hAnsi="宋体" w:eastAsia="仿宋_GB2312" w:cs="宋体"/>
                <w:color w:val="auto"/>
                <w:sz w:val="13"/>
                <w:szCs w:val="13"/>
                <w:highlight w:val="none"/>
              </w:rPr>
              <w:t>责令限期改正、按测算漏水量月累计征收3倍的加价水费，并可按每套便器水箱配件处以30元以上50元以下的罚款，最高不超过10000元。</w:t>
            </w:r>
          </w:p>
        </w:tc>
      </w:tr>
      <w:tr w14:paraId="7DA9217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247" w:hRule="atLeast"/>
          <w:jc w:val="center"/>
        </w:trPr>
        <w:tc>
          <w:tcPr>
            <w:tcW w:w="428" w:type="dxa"/>
            <w:vMerge w:val="continue"/>
            <w:tcBorders>
              <w:tl2br w:val="nil"/>
              <w:tr2bl w:val="nil"/>
            </w:tcBorders>
            <w:vAlign w:val="center"/>
          </w:tcPr>
          <w:p w14:paraId="1492ECC2">
            <w:pPr>
              <w:pStyle w:val="37"/>
              <w:keepNext w:val="0"/>
              <w:keepLines w:val="0"/>
              <w:pageBreakBefore w:val="0"/>
              <w:widowControl/>
              <w:numPr>
                <w:ilvl w:val="0"/>
                <w:numId w:val="12"/>
              </w:numPr>
              <w:kinsoku/>
              <w:overflowPunct/>
              <w:topLinePunct w:val="0"/>
              <w:autoSpaceDE/>
              <w:autoSpaceDN/>
              <w:bidi w:val="0"/>
              <w:adjustRightInd/>
              <w:snapToGrid/>
              <w:spacing w:beforeAutospacing="0" w:afterAutospacing="0" w:line="260" w:lineRule="exact"/>
              <w:ind w:left="638" w:leftChars="88" w:right="0" w:rightChars="0" w:hanging="453" w:hangingChars="349"/>
              <w:jc w:val="center"/>
              <w:textAlignment w:val="center"/>
              <w:rPr>
                <w:rFonts w:ascii="仿宋_GB2312" w:hAnsi="宋体" w:eastAsia="仿宋_GB2312" w:cs="宋体"/>
                <w:color w:val="auto"/>
                <w:sz w:val="13"/>
                <w:szCs w:val="13"/>
                <w:highlight w:val="none"/>
              </w:rPr>
            </w:pPr>
          </w:p>
        </w:tc>
        <w:tc>
          <w:tcPr>
            <w:tcW w:w="1550" w:type="dxa"/>
            <w:vMerge w:val="continue"/>
            <w:tcBorders>
              <w:tl2br w:val="nil"/>
              <w:tr2bl w:val="nil"/>
            </w:tcBorders>
            <w:vAlign w:val="center"/>
          </w:tcPr>
          <w:p w14:paraId="368379D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sz w:val="13"/>
                <w:szCs w:val="13"/>
                <w:highlight w:val="none"/>
              </w:rPr>
            </w:pPr>
          </w:p>
        </w:tc>
        <w:tc>
          <w:tcPr>
            <w:tcW w:w="4820" w:type="dxa"/>
            <w:vMerge w:val="continue"/>
            <w:tcBorders>
              <w:tl2br w:val="nil"/>
              <w:tr2bl w:val="nil"/>
            </w:tcBorders>
            <w:vAlign w:val="center"/>
          </w:tcPr>
          <w:p w14:paraId="15CDC44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63D3B72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一般情节</w:t>
            </w:r>
          </w:p>
        </w:tc>
        <w:tc>
          <w:tcPr>
            <w:tcW w:w="3437" w:type="dxa"/>
            <w:gridSpan w:val="2"/>
            <w:tcBorders>
              <w:tl2br w:val="nil"/>
              <w:tr2bl w:val="nil"/>
            </w:tcBorders>
            <w:tcMar>
              <w:top w:w="15" w:type="dxa"/>
              <w:left w:w="15" w:type="dxa"/>
              <w:bottom w:w="15" w:type="dxa"/>
              <w:right w:w="15" w:type="dxa"/>
            </w:tcMar>
            <w:vAlign w:val="center"/>
          </w:tcPr>
          <w:p w14:paraId="3F42F92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rPr>
                <w:rFonts w:ascii="仿宋_GB2312" w:hAnsi="宋体" w:eastAsia="仿宋_GB2312" w:cs="宋体"/>
                <w:color w:val="auto"/>
                <w:sz w:val="13"/>
                <w:szCs w:val="13"/>
                <w:highlight w:val="none"/>
              </w:rPr>
            </w:pPr>
            <w:r>
              <w:rPr>
                <w:rFonts w:hint="eastAsia" w:ascii="仿宋_GB2312" w:hAnsi="宋体" w:eastAsia="仿宋_GB2312" w:cs="宋体"/>
                <w:color w:val="auto"/>
                <w:sz w:val="13"/>
                <w:szCs w:val="13"/>
                <w:highlight w:val="none"/>
              </w:rPr>
              <w:t>未更换50套（件）以上100套（件）以下的；逾期10天以上30天以内的。</w:t>
            </w:r>
          </w:p>
        </w:tc>
        <w:tc>
          <w:tcPr>
            <w:tcW w:w="3058" w:type="dxa"/>
            <w:tcBorders>
              <w:tl2br w:val="nil"/>
              <w:tr2bl w:val="nil"/>
            </w:tcBorders>
            <w:tcMar>
              <w:top w:w="15" w:type="dxa"/>
              <w:left w:w="15" w:type="dxa"/>
              <w:bottom w:w="15" w:type="dxa"/>
              <w:right w:w="15" w:type="dxa"/>
            </w:tcMar>
            <w:vAlign w:val="center"/>
          </w:tcPr>
          <w:p w14:paraId="79213DC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rPr>
                <w:rFonts w:ascii="仿宋_GB2312" w:hAnsi="宋体" w:eastAsia="仿宋_GB2312" w:cs="宋体"/>
                <w:color w:val="auto"/>
                <w:sz w:val="13"/>
                <w:szCs w:val="13"/>
                <w:highlight w:val="none"/>
              </w:rPr>
            </w:pPr>
            <w:r>
              <w:rPr>
                <w:rFonts w:hint="eastAsia" w:ascii="仿宋_GB2312" w:hAnsi="宋体" w:eastAsia="仿宋_GB2312" w:cs="宋体"/>
                <w:color w:val="auto"/>
                <w:sz w:val="13"/>
                <w:szCs w:val="13"/>
                <w:highlight w:val="none"/>
              </w:rPr>
              <w:t>责令限期改正、按测算漏水量月累计征收4倍的加价水费，并按每套便器水箱配件处以50元以上80元以下的罚款，最高不超过20000元。</w:t>
            </w:r>
          </w:p>
        </w:tc>
      </w:tr>
      <w:tr w14:paraId="19DB5EE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247" w:hRule="atLeast"/>
          <w:jc w:val="center"/>
        </w:trPr>
        <w:tc>
          <w:tcPr>
            <w:tcW w:w="428" w:type="dxa"/>
            <w:vMerge w:val="continue"/>
            <w:tcBorders>
              <w:tl2br w:val="nil"/>
              <w:tr2bl w:val="nil"/>
            </w:tcBorders>
            <w:vAlign w:val="center"/>
          </w:tcPr>
          <w:p w14:paraId="181B318D">
            <w:pPr>
              <w:pStyle w:val="37"/>
              <w:keepNext w:val="0"/>
              <w:keepLines w:val="0"/>
              <w:pageBreakBefore w:val="0"/>
              <w:widowControl/>
              <w:numPr>
                <w:ilvl w:val="0"/>
                <w:numId w:val="12"/>
              </w:numPr>
              <w:kinsoku/>
              <w:overflowPunct/>
              <w:topLinePunct w:val="0"/>
              <w:autoSpaceDE/>
              <w:autoSpaceDN/>
              <w:bidi w:val="0"/>
              <w:adjustRightInd/>
              <w:snapToGrid/>
              <w:spacing w:beforeAutospacing="0" w:afterAutospacing="0" w:line="260" w:lineRule="exact"/>
              <w:ind w:left="638" w:leftChars="88" w:right="0" w:rightChars="0" w:hanging="453" w:hangingChars="349"/>
              <w:jc w:val="center"/>
              <w:textAlignment w:val="center"/>
              <w:rPr>
                <w:rFonts w:ascii="仿宋_GB2312" w:hAnsi="宋体" w:eastAsia="仿宋_GB2312" w:cs="宋体"/>
                <w:color w:val="auto"/>
                <w:kern w:val="0"/>
                <w:sz w:val="13"/>
                <w:szCs w:val="13"/>
                <w:highlight w:val="none"/>
              </w:rPr>
            </w:pPr>
          </w:p>
        </w:tc>
        <w:tc>
          <w:tcPr>
            <w:tcW w:w="1550" w:type="dxa"/>
            <w:vMerge w:val="continue"/>
            <w:tcBorders>
              <w:tl2br w:val="nil"/>
              <w:tr2bl w:val="nil"/>
            </w:tcBorders>
            <w:vAlign w:val="center"/>
          </w:tcPr>
          <w:p w14:paraId="2E78EEE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kern w:val="0"/>
                <w:sz w:val="13"/>
                <w:szCs w:val="13"/>
                <w:highlight w:val="none"/>
              </w:rPr>
            </w:pPr>
          </w:p>
        </w:tc>
        <w:tc>
          <w:tcPr>
            <w:tcW w:w="4820" w:type="dxa"/>
            <w:vMerge w:val="continue"/>
            <w:tcBorders>
              <w:tl2br w:val="nil"/>
              <w:tr2bl w:val="nil"/>
            </w:tcBorders>
            <w:vAlign w:val="center"/>
          </w:tcPr>
          <w:p w14:paraId="284125D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kern w:val="0"/>
                <w:sz w:val="13"/>
                <w:szCs w:val="13"/>
                <w:highlight w:val="none"/>
              </w:rPr>
            </w:pPr>
          </w:p>
        </w:tc>
        <w:tc>
          <w:tcPr>
            <w:tcW w:w="823" w:type="dxa"/>
            <w:tcBorders>
              <w:tl2br w:val="nil"/>
              <w:tr2bl w:val="nil"/>
            </w:tcBorders>
            <w:tcMar>
              <w:top w:w="15" w:type="dxa"/>
              <w:left w:w="15" w:type="dxa"/>
              <w:bottom w:w="15" w:type="dxa"/>
              <w:right w:w="15" w:type="dxa"/>
            </w:tcMar>
            <w:vAlign w:val="center"/>
          </w:tcPr>
          <w:p w14:paraId="7AC4B15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从重情节</w:t>
            </w:r>
          </w:p>
        </w:tc>
        <w:tc>
          <w:tcPr>
            <w:tcW w:w="3437" w:type="dxa"/>
            <w:gridSpan w:val="2"/>
            <w:tcBorders>
              <w:tl2br w:val="nil"/>
              <w:tr2bl w:val="nil"/>
            </w:tcBorders>
            <w:tcMar>
              <w:top w:w="15" w:type="dxa"/>
              <w:left w:w="15" w:type="dxa"/>
              <w:bottom w:w="15" w:type="dxa"/>
              <w:right w:w="15" w:type="dxa"/>
            </w:tcMar>
            <w:vAlign w:val="center"/>
          </w:tcPr>
          <w:p w14:paraId="0FE0E19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rPr>
                <w:rFonts w:ascii="仿宋_GB2312" w:hAnsi="宋体" w:eastAsia="仿宋_GB2312" w:cs="宋体"/>
                <w:color w:val="auto"/>
                <w:sz w:val="13"/>
                <w:szCs w:val="13"/>
                <w:highlight w:val="none"/>
              </w:rPr>
            </w:pPr>
            <w:r>
              <w:rPr>
                <w:rFonts w:hint="eastAsia" w:ascii="仿宋_GB2312" w:hAnsi="宋体" w:eastAsia="仿宋_GB2312" w:cs="宋体"/>
                <w:color w:val="auto"/>
                <w:sz w:val="13"/>
                <w:szCs w:val="13"/>
                <w:highlight w:val="none"/>
              </w:rPr>
              <w:t>未更换100套（件）以上的；逾期30天以上的。</w:t>
            </w:r>
          </w:p>
        </w:tc>
        <w:tc>
          <w:tcPr>
            <w:tcW w:w="3058" w:type="dxa"/>
            <w:tcBorders>
              <w:tl2br w:val="nil"/>
              <w:tr2bl w:val="nil"/>
            </w:tcBorders>
            <w:tcMar>
              <w:top w:w="15" w:type="dxa"/>
              <w:left w:w="15" w:type="dxa"/>
              <w:bottom w:w="15" w:type="dxa"/>
              <w:right w:w="15" w:type="dxa"/>
            </w:tcMar>
            <w:vAlign w:val="center"/>
          </w:tcPr>
          <w:p w14:paraId="1BAC079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rPr>
                <w:rFonts w:ascii="仿宋_GB2312" w:hAnsi="宋体" w:eastAsia="仿宋_GB2312" w:cs="宋体"/>
                <w:color w:val="auto"/>
                <w:sz w:val="13"/>
                <w:szCs w:val="13"/>
                <w:highlight w:val="none"/>
              </w:rPr>
            </w:pPr>
            <w:r>
              <w:rPr>
                <w:rFonts w:hint="eastAsia" w:ascii="仿宋_GB2312" w:hAnsi="宋体" w:eastAsia="仿宋_GB2312" w:cs="宋体"/>
                <w:color w:val="auto"/>
                <w:sz w:val="13"/>
                <w:szCs w:val="13"/>
                <w:highlight w:val="none"/>
              </w:rPr>
              <w:t>责令限期改正、按测算漏水量月累计征收5倍的加价水费，并按每套便器水箱配件处以80元以上100元以下的罚款，最高不超过30000元。</w:t>
            </w:r>
          </w:p>
        </w:tc>
      </w:tr>
      <w:tr w14:paraId="6440F76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247" w:hRule="atLeast"/>
          <w:jc w:val="center"/>
        </w:trPr>
        <w:tc>
          <w:tcPr>
            <w:tcW w:w="428" w:type="dxa"/>
            <w:vMerge w:val="restart"/>
            <w:tcBorders>
              <w:tl2br w:val="nil"/>
              <w:tr2bl w:val="nil"/>
            </w:tcBorders>
            <w:vAlign w:val="center"/>
          </w:tcPr>
          <w:p w14:paraId="0E6E9C2C">
            <w:pPr>
              <w:keepNext w:val="0"/>
              <w:keepLines w:val="0"/>
              <w:pageBreakBefore w:val="0"/>
              <w:widowControl/>
              <w:numPr>
                <w:ilvl w:val="0"/>
                <w:numId w:val="11"/>
              </w:numPr>
              <w:suppressLineNumbers w:val="0"/>
              <w:tabs>
                <w:tab w:val="clear" w:pos="397"/>
              </w:tabs>
              <w:kinsoku/>
              <w:overflowPunct/>
              <w:topLinePunct w:val="0"/>
              <w:autoSpaceDE/>
              <w:autoSpaceDN/>
              <w:bidi w:val="0"/>
              <w:adjustRightInd/>
              <w:snapToGrid/>
              <w:spacing w:beforeAutospacing="0" w:afterAutospacing="0" w:line="260" w:lineRule="exact"/>
              <w:ind w:left="638" w:leftChars="88" w:right="0" w:rightChars="0" w:hanging="453" w:hangingChars="349"/>
              <w:jc w:val="center"/>
              <w:textAlignment w:val="center"/>
              <w:rPr>
                <w:rFonts w:hint="default" w:ascii="仿宋_GB2312" w:hAnsi="宋体" w:eastAsia="仿宋_GB2312" w:cs="宋体"/>
                <w:color w:val="auto"/>
                <w:kern w:val="0"/>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362</w:t>
            </w:r>
          </w:p>
        </w:tc>
        <w:tc>
          <w:tcPr>
            <w:tcW w:w="1550" w:type="dxa"/>
            <w:vMerge w:val="restart"/>
            <w:tcBorders>
              <w:tl2br w:val="nil"/>
              <w:tr2bl w:val="nil"/>
            </w:tcBorders>
            <w:vAlign w:val="center"/>
          </w:tcPr>
          <w:p w14:paraId="4FA8AEE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rPr>
                <w:rFonts w:ascii="仿宋_GB2312" w:hAnsi="宋体" w:eastAsia="仿宋_GB2312" w:cs="宋体"/>
                <w:color w:val="auto"/>
                <w:sz w:val="13"/>
                <w:szCs w:val="13"/>
                <w:highlight w:val="none"/>
              </w:rPr>
            </w:pPr>
            <w:r>
              <w:rPr>
                <w:rFonts w:hint="eastAsia" w:ascii="仿宋_GB2312" w:hAnsi="宋体" w:eastAsia="仿宋_GB2312" w:cs="宋体"/>
                <w:color w:val="auto"/>
                <w:sz w:val="13"/>
                <w:szCs w:val="13"/>
                <w:highlight w:val="none"/>
              </w:rPr>
              <w:t>对漏水严重的房屋便器水箱和配件未按期进行维修或者更新的</w:t>
            </w:r>
          </w:p>
        </w:tc>
        <w:tc>
          <w:tcPr>
            <w:tcW w:w="4820" w:type="dxa"/>
            <w:vMerge w:val="restart"/>
            <w:tcBorders>
              <w:tl2br w:val="nil"/>
              <w:tr2bl w:val="nil"/>
            </w:tcBorders>
            <w:vAlign w:val="center"/>
          </w:tcPr>
          <w:p w14:paraId="51A98D1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sz w:val="13"/>
                <w:szCs w:val="13"/>
                <w:highlight w:val="none"/>
                <w:shd w:val="clear" w:color="auto" w:fill="FFFFFF"/>
              </w:rPr>
            </w:pPr>
            <w:r>
              <w:rPr>
                <w:rFonts w:hint="eastAsia" w:ascii="仿宋_GB2312" w:hAnsi="宋体" w:eastAsia="仿宋_GB2312" w:cs="宋体"/>
                <w:color w:val="auto"/>
                <w:sz w:val="13"/>
                <w:szCs w:val="13"/>
                <w:highlight w:val="none"/>
              </w:rPr>
              <w:t>《城市房屋便器水箱应用监督管理办法》</w:t>
            </w:r>
            <w:r>
              <w:rPr>
                <w:rFonts w:hint="eastAsia" w:ascii="仿宋_GB2312" w:hAnsi="宋体" w:eastAsia="仿宋_GB2312" w:cs="宋体"/>
                <w:b/>
                <w:bCs/>
                <w:color w:val="auto"/>
                <w:sz w:val="13"/>
                <w:szCs w:val="13"/>
                <w:highlight w:val="none"/>
              </w:rPr>
              <w:t>第九条</w:t>
            </w:r>
            <w:r>
              <w:rPr>
                <w:rFonts w:hint="eastAsia" w:ascii="仿宋_GB2312" w:hAnsi="宋体" w:eastAsia="仿宋_GB2312" w:cs="宋体"/>
                <w:b/>
                <w:bCs/>
                <w:color w:val="auto"/>
                <w:sz w:val="13"/>
                <w:szCs w:val="13"/>
                <w:highlight w:val="none"/>
                <w:lang w:eastAsia="zh-CN"/>
              </w:rPr>
              <w:t>（四）</w:t>
            </w:r>
            <w:r>
              <w:rPr>
                <w:rFonts w:hint="eastAsia" w:ascii="仿宋_GB2312" w:hAnsi="宋体" w:eastAsia="仿宋_GB2312" w:cs="宋体"/>
                <w:b/>
                <w:bCs/>
                <w:color w:val="auto"/>
                <w:sz w:val="13"/>
                <w:szCs w:val="13"/>
                <w:highlight w:val="none"/>
              </w:rPr>
              <w:t>项</w:t>
            </w:r>
            <w:r>
              <w:rPr>
                <w:rFonts w:hint="eastAsia" w:ascii="仿宋_GB2312" w:hAnsi="宋体" w:eastAsia="仿宋_GB2312" w:cs="宋体"/>
                <w:b/>
                <w:bCs/>
                <w:color w:val="auto"/>
                <w:sz w:val="13"/>
                <w:szCs w:val="13"/>
                <w:highlight w:val="none"/>
                <w:lang w:eastAsia="zh-CN"/>
              </w:rPr>
              <w:t>：</w:t>
            </w:r>
            <w:r>
              <w:rPr>
                <w:rFonts w:hint="eastAsia" w:ascii="仿宋_GB2312" w:hAnsi="宋体" w:eastAsia="仿宋_GB2312" w:cs="宋体"/>
                <w:color w:val="auto"/>
                <w:sz w:val="13"/>
                <w:szCs w:val="13"/>
                <w:highlight w:val="none"/>
              </w:rPr>
              <w:t>违反本办法有下列行为之一的，由城市建设行政主管部门责令限期改正、按测算漏水量月累计征收3—5倍的加价水费，并可按每套便器水箱配件处以30—100元的罚款，最高不超过30000元：（一）将安装有淘汰便器水箱和配件的新建房屋验收交付使用的；（二）未按更新改造计划更换淘汰便器水箱和配件的；（三）在限定的期限内未更换淘汰便器水箱和配件的；（四）对漏水严重的房屋便器水箱和配件未按期进行维修或者更新的。</w:t>
            </w:r>
          </w:p>
        </w:tc>
        <w:tc>
          <w:tcPr>
            <w:tcW w:w="823" w:type="dxa"/>
            <w:tcBorders>
              <w:tl2br w:val="nil"/>
              <w:tr2bl w:val="nil"/>
            </w:tcBorders>
            <w:tcMar>
              <w:top w:w="15" w:type="dxa"/>
              <w:left w:w="15" w:type="dxa"/>
              <w:bottom w:w="15" w:type="dxa"/>
              <w:right w:w="15" w:type="dxa"/>
            </w:tcMar>
            <w:vAlign w:val="center"/>
          </w:tcPr>
          <w:p w14:paraId="641E791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从轻情节</w:t>
            </w:r>
          </w:p>
        </w:tc>
        <w:tc>
          <w:tcPr>
            <w:tcW w:w="3437" w:type="dxa"/>
            <w:gridSpan w:val="2"/>
            <w:tcBorders>
              <w:tl2br w:val="nil"/>
              <w:tr2bl w:val="nil"/>
            </w:tcBorders>
            <w:tcMar>
              <w:top w:w="15" w:type="dxa"/>
              <w:left w:w="15" w:type="dxa"/>
              <w:bottom w:w="15" w:type="dxa"/>
              <w:right w:w="15" w:type="dxa"/>
            </w:tcMar>
            <w:vAlign w:val="center"/>
          </w:tcPr>
          <w:p w14:paraId="69DE873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rPr>
                <w:rFonts w:ascii="仿宋_GB2312" w:hAnsi="宋体" w:eastAsia="仿宋_GB2312" w:cs="宋体"/>
                <w:color w:val="auto"/>
                <w:sz w:val="13"/>
                <w:szCs w:val="13"/>
                <w:highlight w:val="none"/>
              </w:rPr>
            </w:pPr>
            <w:r>
              <w:rPr>
                <w:rFonts w:hint="eastAsia" w:ascii="仿宋_GB2312" w:hAnsi="宋体" w:eastAsia="仿宋_GB2312" w:cs="宋体"/>
                <w:color w:val="auto"/>
                <w:sz w:val="13"/>
                <w:szCs w:val="13"/>
                <w:highlight w:val="none"/>
              </w:rPr>
              <w:t>未维修或更新50套（件）以内的；逾期10天以内的。</w:t>
            </w:r>
          </w:p>
        </w:tc>
        <w:tc>
          <w:tcPr>
            <w:tcW w:w="3058" w:type="dxa"/>
            <w:tcBorders>
              <w:tl2br w:val="nil"/>
              <w:tr2bl w:val="nil"/>
            </w:tcBorders>
            <w:tcMar>
              <w:top w:w="15" w:type="dxa"/>
              <w:left w:w="15" w:type="dxa"/>
              <w:bottom w:w="15" w:type="dxa"/>
              <w:right w:w="15" w:type="dxa"/>
            </w:tcMar>
            <w:vAlign w:val="center"/>
          </w:tcPr>
          <w:p w14:paraId="5DFCE4B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rPr>
                <w:rFonts w:ascii="仿宋_GB2312" w:hAnsi="宋体" w:eastAsia="仿宋_GB2312" w:cs="宋体"/>
                <w:color w:val="auto"/>
                <w:sz w:val="13"/>
                <w:szCs w:val="13"/>
                <w:highlight w:val="none"/>
              </w:rPr>
            </w:pPr>
            <w:r>
              <w:rPr>
                <w:rFonts w:hint="eastAsia" w:ascii="仿宋_GB2312" w:hAnsi="宋体" w:eastAsia="仿宋_GB2312" w:cs="宋体"/>
                <w:color w:val="auto"/>
                <w:sz w:val="13"/>
                <w:szCs w:val="13"/>
                <w:highlight w:val="none"/>
              </w:rPr>
              <w:t>责令限期改正、按测算漏水量月累计征收3倍的加价水费，并可按每套便器水箱配件处以30元以上50元以下的罚款，最高不超过10000元。</w:t>
            </w:r>
          </w:p>
        </w:tc>
      </w:tr>
      <w:tr w14:paraId="65448CA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247" w:hRule="atLeast"/>
          <w:jc w:val="center"/>
        </w:trPr>
        <w:tc>
          <w:tcPr>
            <w:tcW w:w="428" w:type="dxa"/>
            <w:vMerge w:val="continue"/>
            <w:tcBorders>
              <w:tl2br w:val="nil"/>
              <w:tr2bl w:val="nil"/>
            </w:tcBorders>
            <w:vAlign w:val="center"/>
          </w:tcPr>
          <w:p w14:paraId="17CBEDFB">
            <w:pPr>
              <w:keepNext w:val="0"/>
              <w:keepLines w:val="0"/>
              <w:pageBreakBefore w:val="0"/>
              <w:widowControl/>
              <w:kinsoku/>
              <w:overflowPunct/>
              <w:topLinePunct w:val="0"/>
              <w:autoSpaceDE/>
              <w:autoSpaceDN/>
              <w:bidi w:val="0"/>
              <w:adjustRightInd/>
              <w:snapToGrid/>
              <w:spacing w:beforeAutospacing="0" w:afterAutospacing="0" w:line="260" w:lineRule="exact"/>
              <w:ind w:left="638" w:leftChars="88" w:right="0" w:rightChars="0" w:hanging="453" w:hangingChars="349"/>
              <w:jc w:val="center"/>
              <w:textAlignment w:val="center"/>
              <w:rPr>
                <w:rFonts w:ascii="仿宋_GB2312" w:hAnsi="宋体" w:eastAsia="仿宋_GB2312" w:cs="宋体"/>
                <w:color w:val="auto"/>
                <w:sz w:val="13"/>
                <w:szCs w:val="13"/>
                <w:highlight w:val="none"/>
              </w:rPr>
            </w:pPr>
          </w:p>
        </w:tc>
        <w:tc>
          <w:tcPr>
            <w:tcW w:w="1550" w:type="dxa"/>
            <w:vMerge w:val="continue"/>
            <w:tcBorders>
              <w:tl2br w:val="nil"/>
              <w:tr2bl w:val="nil"/>
            </w:tcBorders>
            <w:vAlign w:val="center"/>
          </w:tcPr>
          <w:p w14:paraId="7F33226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sz w:val="13"/>
                <w:szCs w:val="13"/>
                <w:highlight w:val="none"/>
              </w:rPr>
            </w:pPr>
          </w:p>
        </w:tc>
        <w:tc>
          <w:tcPr>
            <w:tcW w:w="4820" w:type="dxa"/>
            <w:vMerge w:val="continue"/>
            <w:tcBorders>
              <w:tl2br w:val="nil"/>
              <w:tr2bl w:val="nil"/>
            </w:tcBorders>
            <w:vAlign w:val="center"/>
          </w:tcPr>
          <w:p w14:paraId="50FAE88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2004726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一般情节</w:t>
            </w:r>
          </w:p>
        </w:tc>
        <w:tc>
          <w:tcPr>
            <w:tcW w:w="3437" w:type="dxa"/>
            <w:gridSpan w:val="2"/>
            <w:tcBorders>
              <w:tl2br w:val="nil"/>
              <w:tr2bl w:val="nil"/>
            </w:tcBorders>
            <w:tcMar>
              <w:top w:w="15" w:type="dxa"/>
              <w:left w:w="15" w:type="dxa"/>
              <w:bottom w:w="15" w:type="dxa"/>
              <w:right w:w="15" w:type="dxa"/>
            </w:tcMar>
            <w:vAlign w:val="center"/>
          </w:tcPr>
          <w:p w14:paraId="506577B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rPr>
                <w:rFonts w:ascii="仿宋_GB2312" w:hAnsi="宋体" w:eastAsia="仿宋_GB2312" w:cs="宋体"/>
                <w:color w:val="auto"/>
                <w:sz w:val="13"/>
                <w:szCs w:val="13"/>
                <w:highlight w:val="none"/>
              </w:rPr>
            </w:pPr>
            <w:r>
              <w:rPr>
                <w:rFonts w:hint="eastAsia" w:ascii="仿宋_GB2312" w:hAnsi="宋体" w:eastAsia="仿宋_GB2312" w:cs="宋体"/>
                <w:color w:val="auto"/>
                <w:sz w:val="13"/>
                <w:szCs w:val="13"/>
                <w:highlight w:val="none"/>
              </w:rPr>
              <w:t>未维修或者更新50套（件）以上100套（件）以下的；逾期10天以上30天以内的。</w:t>
            </w:r>
          </w:p>
        </w:tc>
        <w:tc>
          <w:tcPr>
            <w:tcW w:w="3058" w:type="dxa"/>
            <w:tcBorders>
              <w:tl2br w:val="nil"/>
              <w:tr2bl w:val="nil"/>
            </w:tcBorders>
            <w:tcMar>
              <w:top w:w="15" w:type="dxa"/>
              <w:left w:w="15" w:type="dxa"/>
              <w:bottom w:w="15" w:type="dxa"/>
              <w:right w:w="15" w:type="dxa"/>
            </w:tcMar>
            <w:vAlign w:val="center"/>
          </w:tcPr>
          <w:p w14:paraId="086256D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rPr>
                <w:rFonts w:ascii="仿宋_GB2312" w:hAnsi="宋体" w:eastAsia="仿宋_GB2312" w:cs="宋体"/>
                <w:color w:val="auto"/>
                <w:sz w:val="13"/>
                <w:szCs w:val="13"/>
                <w:highlight w:val="none"/>
              </w:rPr>
            </w:pPr>
            <w:r>
              <w:rPr>
                <w:rFonts w:hint="eastAsia" w:ascii="仿宋_GB2312" w:hAnsi="宋体" w:eastAsia="仿宋_GB2312" w:cs="宋体"/>
                <w:color w:val="auto"/>
                <w:sz w:val="13"/>
                <w:szCs w:val="13"/>
                <w:highlight w:val="none"/>
              </w:rPr>
              <w:t>责令限期改正、按测算漏水量月累计征收4倍的加价水费，并按每套便器水箱配件处以50元以上80元以下的罚款，最高不超过20000元。</w:t>
            </w:r>
          </w:p>
        </w:tc>
      </w:tr>
      <w:tr w14:paraId="3BECA9B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325" w:hRule="atLeast"/>
          <w:jc w:val="center"/>
        </w:trPr>
        <w:tc>
          <w:tcPr>
            <w:tcW w:w="428" w:type="dxa"/>
            <w:vMerge w:val="continue"/>
            <w:tcBorders>
              <w:tl2br w:val="nil"/>
              <w:tr2bl w:val="nil"/>
            </w:tcBorders>
            <w:vAlign w:val="center"/>
          </w:tcPr>
          <w:p w14:paraId="345A0C8D">
            <w:pPr>
              <w:keepNext w:val="0"/>
              <w:keepLines w:val="0"/>
              <w:pageBreakBefore w:val="0"/>
              <w:widowControl/>
              <w:kinsoku/>
              <w:overflowPunct/>
              <w:topLinePunct w:val="0"/>
              <w:autoSpaceDE/>
              <w:autoSpaceDN/>
              <w:bidi w:val="0"/>
              <w:adjustRightInd/>
              <w:snapToGrid/>
              <w:spacing w:beforeAutospacing="0" w:afterAutospacing="0" w:line="260" w:lineRule="exact"/>
              <w:ind w:left="638" w:leftChars="88" w:right="0" w:rightChars="0" w:hanging="453" w:hangingChars="349"/>
              <w:jc w:val="center"/>
              <w:textAlignment w:val="center"/>
              <w:rPr>
                <w:rFonts w:ascii="仿宋_GB2312" w:hAnsi="宋体" w:eastAsia="仿宋_GB2312" w:cs="宋体"/>
                <w:color w:val="auto"/>
                <w:kern w:val="0"/>
                <w:sz w:val="13"/>
                <w:szCs w:val="13"/>
                <w:highlight w:val="none"/>
              </w:rPr>
            </w:pPr>
          </w:p>
        </w:tc>
        <w:tc>
          <w:tcPr>
            <w:tcW w:w="1550" w:type="dxa"/>
            <w:vMerge w:val="continue"/>
            <w:tcBorders>
              <w:tl2br w:val="nil"/>
              <w:tr2bl w:val="nil"/>
            </w:tcBorders>
            <w:vAlign w:val="center"/>
          </w:tcPr>
          <w:p w14:paraId="70877E6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kern w:val="0"/>
                <w:sz w:val="13"/>
                <w:szCs w:val="13"/>
                <w:highlight w:val="none"/>
              </w:rPr>
            </w:pPr>
          </w:p>
        </w:tc>
        <w:tc>
          <w:tcPr>
            <w:tcW w:w="4820" w:type="dxa"/>
            <w:vMerge w:val="continue"/>
            <w:tcBorders>
              <w:tl2br w:val="nil"/>
              <w:tr2bl w:val="nil"/>
            </w:tcBorders>
            <w:vAlign w:val="center"/>
          </w:tcPr>
          <w:p w14:paraId="662F73A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kern w:val="0"/>
                <w:sz w:val="13"/>
                <w:szCs w:val="13"/>
                <w:highlight w:val="none"/>
              </w:rPr>
            </w:pPr>
          </w:p>
        </w:tc>
        <w:tc>
          <w:tcPr>
            <w:tcW w:w="823" w:type="dxa"/>
            <w:tcBorders>
              <w:tl2br w:val="nil"/>
              <w:tr2bl w:val="nil"/>
            </w:tcBorders>
            <w:tcMar>
              <w:top w:w="15" w:type="dxa"/>
              <w:left w:w="15" w:type="dxa"/>
              <w:bottom w:w="15" w:type="dxa"/>
              <w:right w:w="15" w:type="dxa"/>
            </w:tcMar>
            <w:vAlign w:val="center"/>
          </w:tcPr>
          <w:p w14:paraId="74C0C75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从重情节</w:t>
            </w:r>
          </w:p>
        </w:tc>
        <w:tc>
          <w:tcPr>
            <w:tcW w:w="3437" w:type="dxa"/>
            <w:gridSpan w:val="2"/>
            <w:tcBorders>
              <w:tl2br w:val="nil"/>
              <w:tr2bl w:val="nil"/>
            </w:tcBorders>
            <w:tcMar>
              <w:top w:w="15" w:type="dxa"/>
              <w:left w:w="15" w:type="dxa"/>
              <w:bottom w:w="15" w:type="dxa"/>
              <w:right w:w="15" w:type="dxa"/>
            </w:tcMar>
            <w:vAlign w:val="center"/>
          </w:tcPr>
          <w:p w14:paraId="7760F0E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rPr>
                <w:rFonts w:ascii="仿宋_GB2312" w:hAnsi="宋体" w:eastAsia="仿宋_GB2312" w:cs="宋体"/>
                <w:color w:val="auto"/>
                <w:sz w:val="13"/>
                <w:szCs w:val="13"/>
                <w:highlight w:val="none"/>
              </w:rPr>
            </w:pPr>
            <w:r>
              <w:rPr>
                <w:rFonts w:hint="eastAsia" w:ascii="仿宋_GB2312" w:hAnsi="宋体" w:eastAsia="仿宋_GB2312" w:cs="宋体"/>
                <w:color w:val="auto"/>
                <w:sz w:val="13"/>
                <w:szCs w:val="13"/>
                <w:highlight w:val="none"/>
              </w:rPr>
              <w:t>未维修或者更新100套（件）以上的；逾期30天以上的。</w:t>
            </w:r>
          </w:p>
        </w:tc>
        <w:tc>
          <w:tcPr>
            <w:tcW w:w="3058" w:type="dxa"/>
            <w:tcBorders>
              <w:tl2br w:val="nil"/>
              <w:tr2bl w:val="nil"/>
            </w:tcBorders>
            <w:tcMar>
              <w:top w:w="15" w:type="dxa"/>
              <w:left w:w="15" w:type="dxa"/>
              <w:bottom w:w="15" w:type="dxa"/>
              <w:right w:w="15" w:type="dxa"/>
            </w:tcMar>
            <w:vAlign w:val="center"/>
          </w:tcPr>
          <w:p w14:paraId="259EA84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sz w:val="13"/>
                <w:szCs w:val="13"/>
                <w:highlight w:val="none"/>
              </w:rPr>
            </w:pPr>
          </w:p>
          <w:p w14:paraId="15C924B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rPr>
                <w:rFonts w:ascii="仿宋_GB2312" w:hAnsi="宋体" w:eastAsia="仿宋_GB2312" w:cs="宋体"/>
                <w:color w:val="auto"/>
                <w:sz w:val="13"/>
                <w:szCs w:val="13"/>
                <w:highlight w:val="none"/>
              </w:rPr>
            </w:pPr>
            <w:r>
              <w:rPr>
                <w:rFonts w:hint="eastAsia" w:ascii="仿宋_GB2312" w:hAnsi="宋体" w:eastAsia="仿宋_GB2312" w:cs="宋体"/>
                <w:color w:val="auto"/>
                <w:sz w:val="13"/>
                <w:szCs w:val="13"/>
                <w:highlight w:val="none"/>
              </w:rPr>
              <w:t>责令限期改正、按测算漏水量月累计征收5倍的加价水费，并按每套便器水箱配件处以80元以上100元以下的罚款，最高不超过30000元。</w:t>
            </w:r>
          </w:p>
        </w:tc>
      </w:tr>
      <w:tr w14:paraId="6900B1F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325" w:hRule="atLeast"/>
          <w:jc w:val="center"/>
        </w:trPr>
        <w:tc>
          <w:tcPr>
            <w:tcW w:w="428" w:type="dxa"/>
            <w:vMerge w:val="restart"/>
            <w:tcBorders>
              <w:tl2br w:val="nil"/>
              <w:tr2bl w:val="nil"/>
            </w:tcBorders>
            <w:vAlign w:val="center"/>
          </w:tcPr>
          <w:p w14:paraId="2AF82C70">
            <w:pPr>
              <w:keepNext w:val="0"/>
              <w:keepLines w:val="0"/>
              <w:pageBreakBefore w:val="0"/>
              <w:widowControl/>
              <w:numPr>
                <w:ilvl w:val="0"/>
                <w:numId w:val="11"/>
              </w:numPr>
              <w:suppressLineNumbers w:val="0"/>
              <w:tabs>
                <w:tab w:val="clear" w:pos="397"/>
              </w:tabs>
              <w:kinsoku/>
              <w:overflowPunct/>
              <w:topLinePunct w:val="0"/>
              <w:autoSpaceDE/>
              <w:autoSpaceDN/>
              <w:bidi w:val="0"/>
              <w:adjustRightInd/>
              <w:snapToGrid/>
              <w:spacing w:beforeAutospacing="0" w:afterAutospacing="0" w:line="260" w:lineRule="exact"/>
              <w:ind w:left="638" w:leftChars="88" w:right="0" w:rightChars="0" w:hanging="453" w:hangingChars="349"/>
              <w:jc w:val="center"/>
              <w:textAlignment w:val="center"/>
              <w:rPr>
                <w:rFonts w:hint="default" w:ascii="仿宋_GB2312" w:hAnsi="宋体" w:eastAsia="仿宋_GB2312" w:cs="宋体"/>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363</w:t>
            </w:r>
          </w:p>
        </w:tc>
        <w:tc>
          <w:tcPr>
            <w:tcW w:w="1550" w:type="dxa"/>
            <w:vMerge w:val="restart"/>
            <w:tcBorders>
              <w:tl2br w:val="nil"/>
              <w:tr2bl w:val="nil"/>
            </w:tcBorders>
            <w:vAlign w:val="center"/>
          </w:tcPr>
          <w:p w14:paraId="7A472FA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rPr>
                <w:rFonts w:ascii="仿宋_GB2312" w:hAnsi="宋体" w:eastAsia="仿宋_GB2312" w:cs="宋体"/>
                <w:color w:val="auto"/>
                <w:sz w:val="13"/>
                <w:szCs w:val="13"/>
                <w:highlight w:val="none"/>
              </w:rPr>
            </w:pPr>
            <w:r>
              <w:rPr>
                <w:rFonts w:hint="eastAsia" w:ascii="仿宋_GB2312" w:hAnsi="宋体" w:eastAsia="仿宋_GB2312" w:cs="宋体"/>
                <w:color w:val="auto"/>
                <w:sz w:val="13"/>
                <w:szCs w:val="13"/>
                <w:highlight w:val="none"/>
              </w:rPr>
              <w:t>建设单位未对暂时不能开工的建设用地的裸露地面进行覆盖，或者未对超过三个月不能开工的建设用地的裸露地面进行绿化、铺装或者遮盖的</w:t>
            </w:r>
          </w:p>
        </w:tc>
        <w:tc>
          <w:tcPr>
            <w:tcW w:w="4820" w:type="dxa"/>
            <w:vMerge w:val="restart"/>
            <w:tcBorders>
              <w:tl2br w:val="nil"/>
              <w:tr2bl w:val="nil"/>
            </w:tcBorders>
            <w:vAlign w:val="center"/>
          </w:tcPr>
          <w:p w14:paraId="65EFA31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rPr>
                <w:rFonts w:ascii="仿宋_GB2312" w:hAnsi="宋体" w:eastAsia="仿宋_GB2312" w:cs="宋体"/>
                <w:color w:val="auto"/>
                <w:sz w:val="13"/>
                <w:szCs w:val="13"/>
                <w:highlight w:val="none"/>
              </w:rPr>
            </w:pPr>
            <w:r>
              <w:rPr>
                <w:rFonts w:hint="eastAsia" w:ascii="仿宋_GB2312" w:hAnsi="宋体" w:eastAsia="仿宋_GB2312" w:cs="宋体"/>
                <w:color w:val="auto"/>
                <w:sz w:val="13"/>
                <w:szCs w:val="13"/>
                <w:highlight w:val="none"/>
              </w:rPr>
              <w:t>《中华人民共和国大气污染防治法》</w:t>
            </w:r>
            <w:r>
              <w:rPr>
                <w:rFonts w:hint="eastAsia" w:ascii="仿宋_GB2312" w:hAnsi="宋体" w:eastAsia="仿宋_GB2312" w:cs="宋体"/>
                <w:b/>
                <w:bCs/>
                <w:color w:val="auto"/>
                <w:sz w:val="13"/>
                <w:szCs w:val="13"/>
                <w:highlight w:val="none"/>
              </w:rPr>
              <w:t>第一百一十五条</w:t>
            </w:r>
            <w:r>
              <w:rPr>
                <w:rFonts w:hint="eastAsia" w:ascii="仿宋_GB2312" w:hAnsi="宋体" w:eastAsia="仿宋_GB2312" w:cs="宋体"/>
                <w:b/>
                <w:bCs/>
                <w:color w:val="auto"/>
                <w:sz w:val="13"/>
                <w:szCs w:val="13"/>
                <w:highlight w:val="none"/>
                <w:lang w:eastAsia="zh-CN"/>
              </w:rPr>
              <w:t>：</w:t>
            </w:r>
            <w:r>
              <w:rPr>
                <w:rFonts w:hint="eastAsia" w:ascii="仿宋_GB2312" w:hAnsi="宋体" w:eastAsia="仿宋_GB2312" w:cs="宋体"/>
                <w:color w:val="auto"/>
                <w:sz w:val="13"/>
                <w:szCs w:val="13"/>
                <w:highlight w:val="none"/>
              </w:rPr>
              <w:t>施工单位有下列行为之一的，由县级以上人民政府住房城乡建设等主管部门按照职责责令改正，处一万元以上十万元以下的罚款；拒不改正的，责令停工整治：（一）施工工地未设置硬质围挡，或者未采取覆盖、分段作业、择时施工、洒水抑尘、冲洗地面和车辆等有效防尘降尘措施的；（二）建筑土方、工程渣土、建筑垃圾未及时清运，或者未采用密闭式防尘网遮盖的。</w:t>
            </w:r>
          </w:p>
          <w:p w14:paraId="2660F05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0" w:firstLineChars="200"/>
              <w:rPr>
                <w:rFonts w:ascii="仿宋_GB2312" w:hAnsi="宋体" w:eastAsia="仿宋_GB2312" w:cs="宋体"/>
                <w:color w:val="auto"/>
                <w:sz w:val="13"/>
                <w:szCs w:val="13"/>
                <w:highlight w:val="none"/>
              </w:rPr>
            </w:pPr>
            <w:r>
              <w:rPr>
                <w:rFonts w:hint="eastAsia" w:ascii="仿宋_GB2312" w:hAnsi="宋体" w:eastAsia="仿宋_GB2312" w:cs="宋体"/>
                <w:color w:val="auto"/>
                <w:sz w:val="13"/>
                <w:szCs w:val="13"/>
                <w:highlight w:val="none"/>
              </w:rPr>
              <w:t>违反本法规定，建设单位未对暂时不能开工的建设用地的裸露地面进行覆盖，或者未对超过三个月不能开工的建设用地的裸露地面进行绿化、铺装或者遮盖的，由县级以上人民政府住房城乡建设等主管部门依照前款规定予以处罚。</w:t>
            </w:r>
          </w:p>
        </w:tc>
        <w:tc>
          <w:tcPr>
            <w:tcW w:w="823" w:type="dxa"/>
            <w:tcBorders>
              <w:tl2br w:val="nil"/>
              <w:tr2bl w:val="nil"/>
            </w:tcBorders>
            <w:tcMar>
              <w:top w:w="15" w:type="dxa"/>
              <w:left w:w="15" w:type="dxa"/>
              <w:bottom w:w="15" w:type="dxa"/>
              <w:right w:w="15" w:type="dxa"/>
            </w:tcMar>
            <w:vAlign w:val="center"/>
          </w:tcPr>
          <w:p w14:paraId="56C5D64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sz w:val="13"/>
                <w:szCs w:val="13"/>
                <w:highlight w:val="none"/>
                <w:lang w:eastAsia="zh-CN"/>
              </w:rPr>
              <w:t>从轻情节</w:t>
            </w:r>
          </w:p>
        </w:tc>
        <w:tc>
          <w:tcPr>
            <w:tcW w:w="3437" w:type="dxa"/>
            <w:gridSpan w:val="2"/>
            <w:tcBorders>
              <w:tl2br w:val="nil"/>
              <w:tr2bl w:val="nil"/>
            </w:tcBorders>
            <w:tcMar>
              <w:top w:w="15" w:type="dxa"/>
              <w:left w:w="15" w:type="dxa"/>
              <w:bottom w:w="15" w:type="dxa"/>
              <w:right w:w="15" w:type="dxa"/>
            </w:tcMar>
            <w:vAlign w:val="center"/>
          </w:tcPr>
          <w:p w14:paraId="5FD8B81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rPr>
                <w:rFonts w:ascii="仿宋_GB2312" w:hAnsi="宋体" w:eastAsia="仿宋_GB2312" w:cs="宋体"/>
                <w:color w:val="auto"/>
                <w:sz w:val="13"/>
                <w:szCs w:val="13"/>
                <w:highlight w:val="none"/>
              </w:rPr>
            </w:pPr>
            <w:r>
              <w:rPr>
                <w:rFonts w:hint="eastAsia" w:ascii="仿宋_GB2312" w:hAnsi="宋体" w:eastAsia="仿宋_GB2312" w:cs="宋体"/>
                <w:color w:val="auto"/>
                <w:sz w:val="13"/>
                <w:szCs w:val="13"/>
                <w:highlight w:val="none"/>
              </w:rPr>
              <w:t>对暂时不能开工的建设用地的裸露地面进行部分覆盖，或者对超过三个月不能开工的建设用地的裸露地面进行部分绿化、铺装或者遮盖，造成轻度扬尘污染的。</w:t>
            </w:r>
          </w:p>
        </w:tc>
        <w:tc>
          <w:tcPr>
            <w:tcW w:w="3058" w:type="dxa"/>
            <w:tcBorders>
              <w:tl2br w:val="nil"/>
              <w:tr2bl w:val="nil"/>
            </w:tcBorders>
            <w:tcMar>
              <w:top w:w="15" w:type="dxa"/>
              <w:left w:w="15" w:type="dxa"/>
              <w:bottom w:w="15" w:type="dxa"/>
              <w:right w:w="15" w:type="dxa"/>
            </w:tcMar>
            <w:vAlign w:val="center"/>
          </w:tcPr>
          <w:p w14:paraId="315D890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rPr>
                <w:rFonts w:ascii="仿宋_GB2312" w:hAnsi="宋体" w:eastAsia="仿宋_GB2312" w:cs="宋体"/>
                <w:color w:val="auto"/>
                <w:sz w:val="13"/>
                <w:szCs w:val="13"/>
                <w:highlight w:val="none"/>
              </w:rPr>
            </w:pPr>
            <w:r>
              <w:rPr>
                <w:rFonts w:hint="eastAsia" w:ascii="仿宋_GB2312" w:hAnsi="宋体" w:eastAsia="仿宋_GB2312" w:cs="宋体"/>
                <w:color w:val="auto"/>
                <w:sz w:val="13"/>
                <w:szCs w:val="13"/>
                <w:highlight w:val="none"/>
              </w:rPr>
              <w:t>处1万元以上3万元以下的罚款。</w:t>
            </w:r>
          </w:p>
        </w:tc>
      </w:tr>
      <w:tr w14:paraId="1D3BC6C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325" w:hRule="atLeast"/>
          <w:jc w:val="center"/>
        </w:trPr>
        <w:tc>
          <w:tcPr>
            <w:tcW w:w="428" w:type="dxa"/>
            <w:vMerge w:val="continue"/>
            <w:tcBorders>
              <w:tl2br w:val="nil"/>
              <w:tr2bl w:val="nil"/>
            </w:tcBorders>
            <w:vAlign w:val="center"/>
          </w:tcPr>
          <w:p w14:paraId="74540ACD">
            <w:pPr>
              <w:pStyle w:val="37"/>
              <w:keepNext w:val="0"/>
              <w:keepLines w:val="0"/>
              <w:pageBreakBefore w:val="0"/>
              <w:widowControl/>
              <w:numPr>
                <w:ilvl w:val="1"/>
                <w:numId w:val="14"/>
              </w:numPr>
              <w:kinsoku/>
              <w:overflowPunct/>
              <w:topLinePunct w:val="0"/>
              <w:autoSpaceDE/>
              <w:autoSpaceDN/>
              <w:bidi w:val="0"/>
              <w:adjustRightInd/>
              <w:snapToGrid/>
              <w:spacing w:beforeAutospacing="0" w:afterAutospacing="0" w:line="260" w:lineRule="exact"/>
              <w:ind w:left="638" w:leftChars="88" w:right="0" w:rightChars="0" w:hanging="453" w:hangingChars="349"/>
              <w:jc w:val="center"/>
              <w:rPr>
                <w:rFonts w:ascii="仿宋_GB2312" w:hAnsi="宋体" w:eastAsia="仿宋_GB2312" w:cs="宋体"/>
                <w:color w:val="auto"/>
                <w:sz w:val="13"/>
                <w:szCs w:val="13"/>
                <w:highlight w:val="none"/>
              </w:rPr>
            </w:pPr>
          </w:p>
        </w:tc>
        <w:tc>
          <w:tcPr>
            <w:tcW w:w="1550" w:type="dxa"/>
            <w:vMerge w:val="continue"/>
            <w:tcBorders>
              <w:tl2br w:val="nil"/>
              <w:tr2bl w:val="nil"/>
            </w:tcBorders>
            <w:vAlign w:val="center"/>
          </w:tcPr>
          <w:p w14:paraId="2C225D7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rPr>
                <w:rFonts w:ascii="仿宋_GB2312" w:hAnsi="宋体" w:eastAsia="仿宋_GB2312" w:cs="宋体"/>
                <w:color w:val="auto"/>
                <w:sz w:val="13"/>
                <w:szCs w:val="13"/>
                <w:highlight w:val="none"/>
              </w:rPr>
            </w:pPr>
          </w:p>
        </w:tc>
        <w:tc>
          <w:tcPr>
            <w:tcW w:w="4820" w:type="dxa"/>
            <w:vMerge w:val="continue"/>
            <w:tcBorders>
              <w:tl2br w:val="nil"/>
              <w:tr2bl w:val="nil"/>
            </w:tcBorders>
            <w:vAlign w:val="center"/>
          </w:tcPr>
          <w:p w14:paraId="76C8C91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rPr>
                <w:rFonts w:ascii="仿宋_GB2312" w:hAnsi="宋体" w:eastAsia="仿宋_GB2312" w:cs="宋体"/>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2AC8747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sz w:val="13"/>
                <w:szCs w:val="13"/>
                <w:highlight w:val="none"/>
                <w:lang w:eastAsia="zh-CN"/>
              </w:rPr>
              <w:t>一般情节</w:t>
            </w:r>
          </w:p>
        </w:tc>
        <w:tc>
          <w:tcPr>
            <w:tcW w:w="3437" w:type="dxa"/>
            <w:gridSpan w:val="2"/>
            <w:tcBorders>
              <w:tl2br w:val="nil"/>
              <w:tr2bl w:val="nil"/>
            </w:tcBorders>
            <w:tcMar>
              <w:top w:w="15" w:type="dxa"/>
              <w:left w:w="15" w:type="dxa"/>
              <w:bottom w:w="15" w:type="dxa"/>
              <w:right w:w="15" w:type="dxa"/>
            </w:tcMar>
            <w:vAlign w:val="center"/>
          </w:tcPr>
          <w:p w14:paraId="049977E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rPr>
                <w:rFonts w:ascii="仿宋_GB2312" w:hAnsi="宋体" w:eastAsia="仿宋_GB2312" w:cs="宋体"/>
                <w:color w:val="auto"/>
                <w:sz w:val="13"/>
                <w:szCs w:val="13"/>
                <w:highlight w:val="none"/>
              </w:rPr>
            </w:pPr>
            <w:r>
              <w:rPr>
                <w:rFonts w:hint="eastAsia" w:ascii="仿宋_GB2312" w:hAnsi="宋体" w:eastAsia="仿宋_GB2312" w:cs="宋体"/>
                <w:color w:val="auto"/>
                <w:sz w:val="13"/>
                <w:szCs w:val="13"/>
                <w:highlight w:val="none"/>
              </w:rPr>
              <w:t>对暂时不能开工的建设用地的裸露地面未进行覆盖，或者对超过三个月不能开工的建设用地的裸露地面未进行绿化、铺装或者遮盖，造成扬尘污染的。</w:t>
            </w:r>
          </w:p>
        </w:tc>
        <w:tc>
          <w:tcPr>
            <w:tcW w:w="3058" w:type="dxa"/>
            <w:tcBorders>
              <w:tl2br w:val="nil"/>
              <w:tr2bl w:val="nil"/>
            </w:tcBorders>
            <w:tcMar>
              <w:top w:w="15" w:type="dxa"/>
              <w:left w:w="15" w:type="dxa"/>
              <w:bottom w:w="15" w:type="dxa"/>
              <w:right w:w="15" w:type="dxa"/>
            </w:tcMar>
            <w:vAlign w:val="center"/>
          </w:tcPr>
          <w:p w14:paraId="7752EDF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rPr>
                <w:rFonts w:ascii="仿宋_GB2312" w:hAnsi="宋体" w:eastAsia="仿宋_GB2312" w:cs="宋体"/>
                <w:color w:val="auto"/>
                <w:sz w:val="13"/>
                <w:szCs w:val="13"/>
                <w:highlight w:val="none"/>
              </w:rPr>
            </w:pPr>
            <w:r>
              <w:rPr>
                <w:rFonts w:hint="eastAsia" w:ascii="仿宋_GB2312" w:hAnsi="宋体" w:eastAsia="仿宋_GB2312" w:cs="宋体"/>
                <w:color w:val="auto"/>
                <w:sz w:val="13"/>
                <w:szCs w:val="13"/>
                <w:highlight w:val="none"/>
              </w:rPr>
              <w:t>处3万元以上5万元以下的罚款。</w:t>
            </w:r>
          </w:p>
        </w:tc>
      </w:tr>
      <w:tr w14:paraId="24C0213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560" w:hRule="atLeast"/>
          <w:jc w:val="center"/>
        </w:trPr>
        <w:tc>
          <w:tcPr>
            <w:tcW w:w="428" w:type="dxa"/>
            <w:vMerge w:val="continue"/>
            <w:tcBorders>
              <w:tl2br w:val="nil"/>
              <w:tr2bl w:val="nil"/>
            </w:tcBorders>
            <w:vAlign w:val="center"/>
          </w:tcPr>
          <w:p w14:paraId="308A42C8">
            <w:pPr>
              <w:pStyle w:val="37"/>
              <w:keepNext w:val="0"/>
              <w:keepLines w:val="0"/>
              <w:pageBreakBefore w:val="0"/>
              <w:widowControl/>
              <w:numPr>
                <w:ilvl w:val="1"/>
                <w:numId w:val="14"/>
              </w:numPr>
              <w:kinsoku/>
              <w:overflowPunct/>
              <w:topLinePunct w:val="0"/>
              <w:autoSpaceDE/>
              <w:autoSpaceDN/>
              <w:bidi w:val="0"/>
              <w:adjustRightInd/>
              <w:snapToGrid/>
              <w:spacing w:beforeAutospacing="0" w:afterAutospacing="0" w:line="260" w:lineRule="exact"/>
              <w:ind w:left="638" w:leftChars="88" w:right="0" w:rightChars="0" w:hanging="453" w:hangingChars="349"/>
              <w:jc w:val="center"/>
              <w:rPr>
                <w:rFonts w:ascii="仿宋_GB2312" w:hAnsi="宋体" w:eastAsia="仿宋_GB2312" w:cs="宋体"/>
                <w:color w:val="auto"/>
                <w:sz w:val="13"/>
                <w:szCs w:val="13"/>
                <w:highlight w:val="none"/>
              </w:rPr>
            </w:pPr>
          </w:p>
        </w:tc>
        <w:tc>
          <w:tcPr>
            <w:tcW w:w="1550" w:type="dxa"/>
            <w:vMerge w:val="continue"/>
            <w:tcBorders>
              <w:tl2br w:val="nil"/>
              <w:tr2bl w:val="nil"/>
            </w:tcBorders>
            <w:vAlign w:val="center"/>
          </w:tcPr>
          <w:p w14:paraId="66BEB03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rPr>
                <w:rFonts w:ascii="仿宋_GB2312" w:hAnsi="宋体" w:eastAsia="仿宋_GB2312" w:cs="宋体"/>
                <w:color w:val="auto"/>
                <w:sz w:val="13"/>
                <w:szCs w:val="13"/>
                <w:highlight w:val="none"/>
              </w:rPr>
            </w:pPr>
          </w:p>
        </w:tc>
        <w:tc>
          <w:tcPr>
            <w:tcW w:w="4820" w:type="dxa"/>
            <w:vMerge w:val="continue"/>
            <w:tcBorders>
              <w:tl2br w:val="nil"/>
              <w:tr2bl w:val="nil"/>
            </w:tcBorders>
            <w:vAlign w:val="center"/>
          </w:tcPr>
          <w:p w14:paraId="1D8607C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rPr>
                <w:rFonts w:ascii="仿宋_GB2312" w:hAnsi="宋体" w:eastAsia="仿宋_GB2312" w:cs="宋体"/>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4FDF371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sz w:val="13"/>
                <w:szCs w:val="13"/>
                <w:highlight w:val="none"/>
                <w:lang w:eastAsia="zh-CN"/>
              </w:rPr>
              <w:t>从重情节</w:t>
            </w:r>
          </w:p>
        </w:tc>
        <w:tc>
          <w:tcPr>
            <w:tcW w:w="3437" w:type="dxa"/>
            <w:gridSpan w:val="2"/>
            <w:tcBorders>
              <w:tl2br w:val="nil"/>
              <w:tr2bl w:val="nil"/>
            </w:tcBorders>
            <w:tcMar>
              <w:top w:w="15" w:type="dxa"/>
              <w:left w:w="15" w:type="dxa"/>
              <w:bottom w:w="15" w:type="dxa"/>
              <w:right w:w="15" w:type="dxa"/>
            </w:tcMar>
            <w:vAlign w:val="center"/>
          </w:tcPr>
          <w:p w14:paraId="6FC453B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rPr>
                <w:rFonts w:ascii="仿宋_GB2312" w:hAnsi="宋体" w:eastAsia="仿宋_GB2312" w:cs="宋体"/>
                <w:color w:val="auto"/>
                <w:sz w:val="13"/>
                <w:szCs w:val="13"/>
                <w:highlight w:val="none"/>
              </w:rPr>
            </w:pPr>
            <w:r>
              <w:rPr>
                <w:rFonts w:hint="eastAsia" w:ascii="仿宋_GB2312" w:hAnsi="宋体" w:eastAsia="仿宋_GB2312" w:cs="宋体"/>
                <w:color w:val="auto"/>
                <w:sz w:val="13"/>
                <w:szCs w:val="13"/>
                <w:highlight w:val="none"/>
              </w:rPr>
              <w:t>（1）对暂时不能开工的建设用地的裸露地面未进行覆盖，或者对超过三个月不能开工的建设用地的裸露地面未进行绿化、铺装或者遮盖，造成严重扬尘污染的；（2）拒不改正或经整改后再次出现扬尘污染的；（3）被责令改正，已被处以十万元以下罚款后仍未改正的。</w:t>
            </w:r>
          </w:p>
        </w:tc>
        <w:tc>
          <w:tcPr>
            <w:tcW w:w="3058" w:type="dxa"/>
            <w:tcBorders>
              <w:tl2br w:val="nil"/>
              <w:tr2bl w:val="nil"/>
            </w:tcBorders>
            <w:tcMar>
              <w:top w:w="15" w:type="dxa"/>
              <w:left w:w="15" w:type="dxa"/>
              <w:bottom w:w="15" w:type="dxa"/>
              <w:right w:w="15" w:type="dxa"/>
            </w:tcMar>
            <w:vAlign w:val="center"/>
          </w:tcPr>
          <w:p w14:paraId="0E3F678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rPr>
                <w:rFonts w:ascii="仿宋_GB2312" w:hAnsi="宋体" w:eastAsia="仿宋_GB2312" w:cs="宋体"/>
                <w:color w:val="auto"/>
                <w:sz w:val="13"/>
                <w:szCs w:val="13"/>
                <w:highlight w:val="none"/>
              </w:rPr>
            </w:pPr>
            <w:r>
              <w:rPr>
                <w:rFonts w:hint="eastAsia" w:ascii="仿宋_GB2312" w:hAnsi="宋体" w:eastAsia="仿宋_GB2312" w:cs="宋体"/>
                <w:color w:val="auto"/>
                <w:sz w:val="13"/>
                <w:szCs w:val="13"/>
                <w:highlight w:val="none"/>
              </w:rPr>
              <w:t>处5万元以上10万元以下罚款。</w:t>
            </w:r>
          </w:p>
        </w:tc>
      </w:tr>
      <w:tr w14:paraId="3DA2AA2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363" w:hRule="atLeast"/>
          <w:jc w:val="center"/>
        </w:trPr>
        <w:tc>
          <w:tcPr>
            <w:tcW w:w="428" w:type="dxa"/>
            <w:vMerge w:val="restart"/>
            <w:tcBorders>
              <w:tl2br w:val="nil"/>
              <w:tr2bl w:val="nil"/>
            </w:tcBorders>
            <w:vAlign w:val="center"/>
          </w:tcPr>
          <w:p w14:paraId="6B960F64">
            <w:pPr>
              <w:keepNext w:val="0"/>
              <w:keepLines w:val="0"/>
              <w:pageBreakBefore w:val="0"/>
              <w:widowControl/>
              <w:numPr>
                <w:ilvl w:val="0"/>
                <w:numId w:val="11"/>
              </w:numPr>
              <w:suppressLineNumbers w:val="0"/>
              <w:tabs>
                <w:tab w:val="clear" w:pos="397"/>
              </w:tabs>
              <w:kinsoku/>
              <w:overflowPunct/>
              <w:topLinePunct w:val="0"/>
              <w:autoSpaceDE/>
              <w:autoSpaceDN/>
              <w:bidi w:val="0"/>
              <w:adjustRightInd/>
              <w:snapToGrid/>
              <w:spacing w:beforeAutospacing="0" w:afterAutospacing="0" w:line="260" w:lineRule="exact"/>
              <w:ind w:left="638" w:leftChars="88" w:right="0" w:rightChars="0" w:hanging="453" w:hangingChars="349"/>
              <w:jc w:val="center"/>
              <w:textAlignment w:val="center"/>
              <w:rPr>
                <w:rFonts w:hint="default" w:ascii="仿宋_GB2312" w:hAnsi="宋体" w:eastAsia="仿宋_GB2312" w:cs="宋体"/>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364</w:t>
            </w:r>
          </w:p>
        </w:tc>
        <w:tc>
          <w:tcPr>
            <w:tcW w:w="1550" w:type="dxa"/>
            <w:vMerge w:val="restart"/>
            <w:tcBorders>
              <w:tl2br w:val="nil"/>
              <w:tr2bl w:val="nil"/>
            </w:tcBorders>
            <w:vAlign w:val="center"/>
          </w:tcPr>
          <w:p w14:paraId="00245C9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rPr>
                <w:rFonts w:ascii="仿宋_GB2312" w:hAnsi="宋体" w:eastAsia="仿宋_GB2312" w:cs="宋体"/>
                <w:color w:val="auto"/>
                <w:sz w:val="13"/>
                <w:szCs w:val="13"/>
                <w:highlight w:val="none"/>
              </w:rPr>
            </w:pPr>
            <w:r>
              <w:rPr>
                <w:rFonts w:hint="eastAsia" w:ascii="仿宋_GB2312" w:hAnsi="宋体" w:eastAsia="仿宋_GB2312" w:cs="宋体"/>
                <w:color w:val="auto"/>
                <w:sz w:val="13"/>
                <w:szCs w:val="13"/>
                <w:highlight w:val="none"/>
              </w:rPr>
              <w:t>城镇污水处理设施维护运营单位或者污泥处理单位对污泥流向、用途、用量等未进行跟踪、记录，或者处理后的污泥不符合国家有关标准的</w:t>
            </w:r>
          </w:p>
          <w:p w14:paraId="365BEF7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0" w:firstLineChars="200"/>
              <w:rPr>
                <w:rFonts w:ascii="仿宋_GB2312" w:hAnsi="宋体" w:eastAsia="仿宋_GB2312" w:cs="宋体"/>
                <w:color w:val="auto"/>
                <w:sz w:val="13"/>
                <w:szCs w:val="13"/>
                <w:highlight w:val="none"/>
              </w:rPr>
            </w:pPr>
          </w:p>
        </w:tc>
        <w:tc>
          <w:tcPr>
            <w:tcW w:w="4820" w:type="dxa"/>
            <w:vMerge w:val="restart"/>
            <w:tcBorders>
              <w:tl2br w:val="nil"/>
              <w:tr2bl w:val="nil"/>
            </w:tcBorders>
            <w:vAlign w:val="center"/>
          </w:tcPr>
          <w:p w14:paraId="7C8282B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sz w:val="13"/>
                <w:szCs w:val="13"/>
                <w:highlight w:val="none"/>
              </w:rPr>
            </w:pPr>
            <w:r>
              <w:rPr>
                <w:rFonts w:hint="eastAsia" w:ascii="仿宋_GB2312" w:hAnsi="宋体" w:eastAsia="仿宋_GB2312" w:cs="宋体"/>
                <w:color w:val="auto"/>
                <w:sz w:val="13"/>
                <w:szCs w:val="13"/>
                <w:highlight w:val="none"/>
              </w:rPr>
              <w:t>《中华人民共和国固体废物污染环境防治法》</w:t>
            </w:r>
            <w:r>
              <w:rPr>
                <w:rFonts w:hint="eastAsia" w:ascii="仿宋_GB2312" w:hAnsi="宋体" w:eastAsia="仿宋_GB2312" w:cs="宋体"/>
                <w:b/>
                <w:bCs/>
                <w:color w:val="auto"/>
                <w:sz w:val="13"/>
                <w:szCs w:val="13"/>
                <w:highlight w:val="none"/>
              </w:rPr>
              <w:t>第一百零八条第一款</w:t>
            </w:r>
            <w:r>
              <w:rPr>
                <w:rFonts w:hint="eastAsia" w:ascii="仿宋_GB2312" w:hAnsi="宋体" w:eastAsia="仿宋_GB2312" w:cs="宋体"/>
                <w:b/>
                <w:bCs/>
                <w:color w:val="auto"/>
                <w:sz w:val="13"/>
                <w:szCs w:val="13"/>
                <w:highlight w:val="none"/>
                <w:lang w:eastAsia="zh-CN"/>
              </w:rPr>
              <w:t>：</w:t>
            </w:r>
            <w:r>
              <w:rPr>
                <w:rFonts w:hint="eastAsia" w:ascii="仿宋_GB2312" w:hAnsi="宋体" w:eastAsia="仿宋_GB2312" w:cs="宋体"/>
                <w:color w:val="auto"/>
                <w:sz w:val="13"/>
                <w:szCs w:val="13"/>
                <w:highlight w:val="none"/>
              </w:rPr>
              <w:t>违反本法规定，城镇污水处理设施维护运营单位或者污泥处理单位对污泥流向、用途、用量等未进行跟踪、记录，或者处理后的污泥不符合国家有关标准的，由城镇排水主管部门责令改正，给予警告；造成严重后果的，处十万元以上二十万元以下的罚款；拒不改正的，城镇排水主管部门可以指定有治理能力的单位代为治理，所需费用由违法者承担。</w:t>
            </w:r>
          </w:p>
        </w:tc>
        <w:tc>
          <w:tcPr>
            <w:tcW w:w="823" w:type="dxa"/>
            <w:tcBorders>
              <w:tl2br w:val="nil"/>
              <w:tr2bl w:val="nil"/>
            </w:tcBorders>
            <w:tcMar>
              <w:top w:w="15" w:type="dxa"/>
              <w:left w:w="15" w:type="dxa"/>
              <w:bottom w:w="15" w:type="dxa"/>
              <w:right w:w="15" w:type="dxa"/>
            </w:tcMar>
            <w:vAlign w:val="center"/>
          </w:tcPr>
          <w:p w14:paraId="6E2B3CB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从轻情节</w:t>
            </w:r>
          </w:p>
        </w:tc>
        <w:tc>
          <w:tcPr>
            <w:tcW w:w="3437" w:type="dxa"/>
            <w:gridSpan w:val="2"/>
            <w:tcBorders>
              <w:tl2br w:val="nil"/>
              <w:tr2bl w:val="nil"/>
            </w:tcBorders>
            <w:tcMar>
              <w:top w:w="15" w:type="dxa"/>
              <w:left w:w="15" w:type="dxa"/>
              <w:bottom w:w="15" w:type="dxa"/>
              <w:right w:w="15" w:type="dxa"/>
            </w:tcMar>
            <w:vAlign w:val="center"/>
          </w:tcPr>
          <w:p w14:paraId="6770A47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初次违法，危害后果轻微，积极采取改正措施消除影响的。</w:t>
            </w:r>
          </w:p>
        </w:tc>
        <w:tc>
          <w:tcPr>
            <w:tcW w:w="3058" w:type="dxa"/>
            <w:tcBorders>
              <w:tl2br w:val="nil"/>
              <w:tr2bl w:val="nil"/>
            </w:tcBorders>
            <w:tcMar>
              <w:top w:w="15" w:type="dxa"/>
              <w:left w:w="15" w:type="dxa"/>
              <w:bottom w:w="15" w:type="dxa"/>
              <w:right w:w="15" w:type="dxa"/>
            </w:tcMar>
            <w:vAlign w:val="center"/>
          </w:tcPr>
          <w:p w14:paraId="3BCDAA1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sz w:val="13"/>
                <w:szCs w:val="13"/>
                <w:highlight w:val="none"/>
              </w:rPr>
              <w:t>责令改正，给予警告。</w:t>
            </w:r>
          </w:p>
        </w:tc>
      </w:tr>
      <w:tr w14:paraId="66D07DF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317" w:hRule="atLeast"/>
          <w:jc w:val="center"/>
        </w:trPr>
        <w:tc>
          <w:tcPr>
            <w:tcW w:w="428" w:type="dxa"/>
            <w:vMerge w:val="continue"/>
            <w:tcBorders>
              <w:tl2br w:val="nil"/>
              <w:tr2bl w:val="nil"/>
            </w:tcBorders>
            <w:vAlign w:val="center"/>
          </w:tcPr>
          <w:p w14:paraId="4E510F27">
            <w:pPr>
              <w:pStyle w:val="37"/>
              <w:keepNext w:val="0"/>
              <w:keepLines w:val="0"/>
              <w:pageBreakBefore w:val="0"/>
              <w:widowControl/>
              <w:numPr>
                <w:ilvl w:val="0"/>
                <w:numId w:val="14"/>
              </w:numPr>
              <w:kinsoku/>
              <w:overflowPunct/>
              <w:topLinePunct w:val="0"/>
              <w:autoSpaceDE/>
              <w:autoSpaceDN/>
              <w:bidi w:val="0"/>
              <w:adjustRightInd/>
              <w:snapToGrid/>
              <w:spacing w:beforeAutospacing="0" w:afterAutospacing="0" w:line="260" w:lineRule="exact"/>
              <w:ind w:left="638" w:leftChars="88" w:right="0" w:rightChars="0" w:hanging="453" w:hangingChars="349"/>
              <w:jc w:val="center"/>
              <w:textAlignment w:val="center"/>
              <w:rPr>
                <w:rFonts w:ascii="仿宋_GB2312" w:hAnsi="宋体" w:eastAsia="仿宋_GB2312" w:cs="宋体"/>
                <w:color w:val="auto"/>
                <w:sz w:val="13"/>
                <w:szCs w:val="13"/>
                <w:highlight w:val="none"/>
              </w:rPr>
            </w:pPr>
          </w:p>
        </w:tc>
        <w:tc>
          <w:tcPr>
            <w:tcW w:w="1550" w:type="dxa"/>
            <w:vMerge w:val="continue"/>
            <w:tcBorders>
              <w:tl2br w:val="nil"/>
              <w:tr2bl w:val="nil"/>
            </w:tcBorders>
            <w:vAlign w:val="center"/>
          </w:tcPr>
          <w:p w14:paraId="2CDA9DA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sz w:val="13"/>
                <w:szCs w:val="13"/>
                <w:highlight w:val="none"/>
              </w:rPr>
            </w:pPr>
          </w:p>
        </w:tc>
        <w:tc>
          <w:tcPr>
            <w:tcW w:w="4820" w:type="dxa"/>
            <w:vMerge w:val="continue"/>
            <w:tcBorders>
              <w:tl2br w:val="nil"/>
              <w:tr2bl w:val="nil"/>
            </w:tcBorders>
            <w:vAlign w:val="center"/>
          </w:tcPr>
          <w:p w14:paraId="54F61EF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2AA0DC8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一般情节</w:t>
            </w:r>
          </w:p>
        </w:tc>
        <w:tc>
          <w:tcPr>
            <w:tcW w:w="3437" w:type="dxa"/>
            <w:gridSpan w:val="2"/>
            <w:tcBorders>
              <w:tl2br w:val="nil"/>
              <w:tr2bl w:val="nil"/>
            </w:tcBorders>
            <w:tcMar>
              <w:top w:w="15" w:type="dxa"/>
              <w:left w:w="15" w:type="dxa"/>
              <w:bottom w:w="15" w:type="dxa"/>
              <w:right w:w="15" w:type="dxa"/>
            </w:tcMar>
            <w:vAlign w:val="center"/>
          </w:tcPr>
          <w:p w14:paraId="1DBD445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造成严重危害后果，不具有</w:t>
            </w:r>
            <w:r>
              <w:rPr>
                <w:rFonts w:hint="eastAsia" w:ascii="仿宋_GB2312" w:hAnsi="宋体" w:eastAsia="仿宋_GB2312" w:cs="宋体"/>
                <w:color w:val="auto"/>
                <w:kern w:val="0"/>
                <w:sz w:val="13"/>
                <w:szCs w:val="13"/>
                <w:highlight w:val="none"/>
                <w:lang w:eastAsia="zh-CN"/>
              </w:rPr>
              <w:t>从重情节</w:t>
            </w:r>
            <w:r>
              <w:rPr>
                <w:rFonts w:hint="eastAsia" w:ascii="仿宋_GB2312" w:hAnsi="宋体" w:eastAsia="仿宋_GB2312" w:cs="宋体"/>
                <w:color w:val="auto"/>
                <w:kern w:val="0"/>
                <w:sz w:val="13"/>
                <w:szCs w:val="13"/>
                <w:highlight w:val="none"/>
              </w:rPr>
              <w:t>的。</w:t>
            </w:r>
          </w:p>
        </w:tc>
        <w:tc>
          <w:tcPr>
            <w:tcW w:w="3058" w:type="dxa"/>
            <w:tcBorders>
              <w:tl2br w:val="nil"/>
              <w:tr2bl w:val="nil"/>
            </w:tcBorders>
            <w:tcMar>
              <w:top w:w="15" w:type="dxa"/>
              <w:left w:w="15" w:type="dxa"/>
              <w:bottom w:w="15" w:type="dxa"/>
              <w:right w:w="15" w:type="dxa"/>
            </w:tcMar>
            <w:vAlign w:val="center"/>
          </w:tcPr>
          <w:p w14:paraId="1EAC0FA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sz w:val="13"/>
                <w:szCs w:val="13"/>
                <w:highlight w:val="none"/>
              </w:rPr>
              <w:t>责令改正，给予警告；</w:t>
            </w:r>
            <w:r>
              <w:rPr>
                <w:rFonts w:hint="eastAsia" w:ascii="仿宋_GB2312" w:hAnsi="宋体" w:eastAsia="仿宋_GB2312" w:cs="宋体"/>
                <w:color w:val="auto"/>
                <w:kern w:val="0"/>
                <w:sz w:val="13"/>
                <w:szCs w:val="13"/>
                <w:highlight w:val="none"/>
              </w:rPr>
              <w:t>处10万元以上15万元以下罚款。</w:t>
            </w:r>
          </w:p>
        </w:tc>
      </w:tr>
      <w:tr w14:paraId="36FE2C2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325" w:hRule="atLeast"/>
          <w:jc w:val="center"/>
        </w:trPr>
        <w:tc>
          <w:tcPr>
            <w:tcW w:w="428" w:type="dxa"/>
            <w:vMerge w:val="continue"/>
            <w:tcBorders>
              <w:tl2br w:val="nil"/>
              <w:tr2bl w:val="nil"/>
            </w:tcBorders>
            <w:vAlign w:val="center"/>
          </w:tcPr>
          <w:p w14:paraId="21892474">
            <w:pPr>
              <w:pStyle w:val="37"/>
              <w:keepNext w:val="0"/>
              <w:keepLines w:val="0"/>
              <w:pageBreakBefore w:val="0"/>
              <w:widowControl/>
              <w:numPr>
                <w:ilvl w:val="0"/>
                <w:numId w:val="14"/>
              </w:numPr>
              <w:kinsoku/>
              <w:overflowPunct/>
              <w:topLinePunct w:val="0"/>
              <w:autoSpaceDE/>
              <w:autoSpaceDN/>
              <w:bidi w:val="0"/>
              <w:adjustRightInd/>
              <w:snapToGrid/>
              <w:spacing w:beforeAutospacing="0" w:afterAutospacing="0" w:line="260" w:lineRule="exact"/>
              <w:ind w:left="638" w:leftChars="88" w:right="0" w:rightChars="0" w:hanging="453" w:hangingChars="349"/>
              <w:jc w:val="center"/>
              <w:textAlignment w:val="center"/>
              <w:rPr>
                <w:rFonts w:ascii="仿宋_GB2312" w:hAnsi="宋体" w:eastAsia="仿宋_GB2312" w:cs="宋体"/>
                <w:color w:val="auto"/>
                <w:kern w:val="0"/>
                <w:sz w:val="13"/>
                <w:szCs w:val="13"/>
                <w:highlight w:val="none"/>
              </w:rPr>
            </w:pPr>
          </w:p>
        </w:tc>
        <w:tc>
          <w:tcPr>
            <w:tcW w:w="1550" w:type="dxa"/>
            <w:vMerge w:val="continue"/>
            <w:tcBorders>
              <w:tl2br w:val="nil"/>
              <w:tr2bl w:val="nil"/>
            </w:tcBorders>
            <w:vAlign w:val="center"/>
          </w:tcPr>
          <w:p w14:paraId="62DC484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kern w:val="0"/>
                <w:sz w:val="13"/>
                <w:szCs w:val="13"/>
                <w:highlight w:val="none"/>
              </w:rPr>
            </w:pPr>
          </w:p>
        </w:tc>
        <w:tc>
          <w:tcPr>
            <w:tcW w:w="4820" w:type="dxa"/>
            <w:vMerge w:val="continue"/>
            <w:tcBorders>
              <w:tl2br w:val="nil"/>
              <w:tr2bl w:val="nil"/>
            </w:tcBorders>
            <w:vAlign w:val="center"/>
          </w:tcPr>
          <w:p w14:paraId="00EFF0D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kern w:val="0"/>
                <w:sz w:val="13"/>
                <w:szCs w:val="13"/>
                <w:highlight w:val="none"/>
              </w:rPr>
            </w:pPr>
          </w:p>
        </w:tc>
        <w:tc>
          <w:tcPr>
            <w:tcW w:w="823" w:type="dxa"/>
            <w:tcBorders>
              <w:tl2br w:val="nil"/>
              <w:tr2bl w:val="nil"/>
            </w:tcBorders>
            <w:tcMar>
              <w:top w:w="15" w:type="dxa"/>
              <w:left w:w="15" w:type="dxa"/>
              <w:bottom w:w="15" w:type="dxa"/>
              <w:right w:w="15" w:type="dxa"/>
            </w:tcMar>
            <w:vAlign w:val="center"/>
          </w:tcPr>
          <w:p w14:paraId="723D7B5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从重情节</w:t>
            </w:r>
          </w:p>
        </w:tc>
        <w:tc>
          <w:tcPr>
            <w:tcW w:w="3437" w:type="dxa"/>
            <w:gridSpan w:val="2"/>
            <w:tcBorders>
              <w:tl2br w:val="nil"/>
              <w:tr2bl w:val="nil"/>
            </w:tcBorders>
            <w:tcMar>
              <w:top w:w="15" w:type="dxa"/>
              <w:left w:w="15" w:type="dxa"/>
              <w:bottom w:w="15" w:type="dxa"/>
              <w:right w:w="15" w:type="dxa"/>
            </w:tcMar>
            <w:vAlign w:val="center"/>
          </w:tcPr>
          <w:p w14:paraId="0AF6F49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造成严重危害后果，经责令停止违法行为后，继续实施违法行为的</w:t>
            </w:r>
            <w:r>
              <w:rPr>
                <w:rFonts w:hint="eastAsia" w:ascii="仿宋_GB2312" w:hAnsi="宋体" w:eastAsia="仿宋_GB2312" w:cs="宋体"/>
                <w:color w:val="auto"/>
                <w:kern w:val="0"/>
                <w:sz w:val="13"/>
                <w:szCs w:val="13"/>
                <w:highlight w:val="none"/>
                <w:lang w:eastAsia="zh-CN"/>
              </w:rPr>
              <w:t>，</w:t>
            </w:r>
            <w:r>
              <w:rPr>
                <w:rFonts w:hint="eastAsia" w:ascii="仿宋_GB2312" w:hAnsi="宋体" w:eastAsia="仿宋_GB2312" w:cs="宋体"/>
                <w:color w:val="auto"/>
                <w:kern w:val="0"/>
                <w:sz w:val="13"/>
                <w:szCs w:val="13"/>
                <w:highlight w:val="none"/>
                <w:lang w:val="en-US" w:eastAsia="zh-CN"/>
              </w:rPr>
              <w:t>或</w:t>
            </w:r>
            <w:r>
              <w:rPr>
                <w:rFonts w:hint="eastAsia" w:ascii="仿宋_GB2312" w:hAnsi="宋体" w:eastAsia="仿宋_GB2312" w:cs="宋体"/>
                <w:color w:val="auto"/>
                <w:kern w:val="0"/>
                <w:sz w:val="13"/>
                <w:szCs w:val="13"/>
                <w:highlight w:val="none"/>
              </w:rPr>
              <w:t>造成严重危害后果，曾因此被查处过，再次实施违法行为的。</w:t>
            </w:r>
          </w:p>
        </w:tc>
        <w:tc>
          <w:tcPr>
            <w:tcW w:w="3058" w:type="dxa"/>
            <w:tcBorders>
              <w:tl2br w:val="nil"/>
              <w:tr2bl w:val="nil"/>
            </w:tcBorders>
            <w:tcMar>
              <w:top w:w="15" w:type="dxa"/>
              <w:left w:w="15" w:type="dxa"/>
              <w:bottom w:w="15" w:type="dxa"/>
              <w:right w:w="15" w:type="dxa"/>
            </w:tcMar>
            <w:vAlign w:val="center"/>
          </w:tcPr>
          <w:p w14:paraId="59D6D13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sz w:val="13"/>
                <w:szCs w:val="13"/>
                <w:highlight w:val="none"/>
              </w:rPr>
              <w:t>责令改正，给予警告；</w:t>
            </w:r>
            <w:r>
              <w:rPr>
                <w:rFonts w:hint="eastAsia" w:ascii="仿宋_GB2312" w:hAnsi="宋体" w:eastAsia="仿宋_GB2312" w:cs="宋体"/>
                <w:color w:val="auto"/>
                <w:kern w:val="0"/>
                <w:sz w:val="13"/>
                <w:szCs w:val="13"/>
                <w:highlight w:val="none"/>
              </w:rPr>
              <w:t>处15万元以上20万元以下罚款。</w:t>
            </w:r>
          </w:p>
        </w:tc>
      </w:tr>
      <w:tr w14:paraId="748ACCE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341" w:hRule="atLeast"/>
          <w:jc w:val="center"/>
        </w:trPr>
        <w:tc>
          <w:tcPr>
            <w:tcW w:w="428" w:type="dxa"/>
            <w:vMerge w:val="restart"/>
            <w:tcBorders>
              <w:tl2br w:val="nil"/>
              <w:tr2bl w:val="nil"/>
            </w:tcBorders>
            <w:vAlign w:val="center"/>
          </w:tcPr>
          <w:p w14:paraId="640D213D">
            <w:pPr>
              <w:keepNext w:val="0"/>
              <w:keepLines w:val="0"/>
              <w:pageBreakBefore w:val="0"/>
              <w:widowControl/>
              <w:numPr>
                <w:ilvl w:val="0"/>
                <w:numId w:val="11"/>
              </w:numPr>
              <w:suppressLineNumbers w:val="0"/>
              <w:tabs>
                <w:tab w:val="clear" w:pos="397"/>
              </w:tabs>
              <w:kinsoku/>
              <w:overflowPunct/>
              <w:topLinePunct w:val="0"/>
              <w:autoSpaceDE/>
              <w:autoSpaceDN/>
              <w:bidi w:val="0"/>
              <w:adjustRightInd/>
              <w:snapToGrid/>
              <w:spacing w:beforeAutospacing="0" w:afterAutospacing="0" w:line="260" w:lineRule="exact"/>
              <w:ind w:left="638" w:leftChars="88" w:right="0" w:rightChars="0" w:hanging="453" w:hangingChars="349"/>
              <w:jc w:val="center"/>
              <w:textAlignment w:val="center"/>
              <w:rPr>
                <w:rFonts w:hint="default" w:ascii="仿宋_GB2312" w:hAnsi="宋体" w:eastAsia="仿宋_GB2312" w:cs="宋体"/>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365</w:t>
            </w:r>
          </w:p>
        </w:tc>
        <w:tc>
          <w:tcPr>
            <w:tcW w:w="1550" w:type="dxa"/>
            <w:vMerge w:val="restart"/>
            <w:tcBorders>
              <w:tl2br w:val="nil"/>
              <w:tr2bl w:val="nil"/>
            </w:tcBorders>
            <w:vAlign w:val="center"/>
          </w:tcPr>
          <w:p w14:paraId="2553B85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rPr>
                <w:rFonts w:ascii="仿宋_GB2312" w:hAnsi="宋体" w:eastAsia="仿宋_GB2312" w:cs="宋体"/>
                <w:color w:val="auto"/>
                <w:sz w:val="13"/>
                <w:szCs w:val="13"/>
                <w:highlight w:val="none"/>
              </w:rPr>
            </w:pPr>
            <w:r>
              <w:rPr>
                <w:rFonts w:hint="eastAsia" w:ascii="仿宋_GB2312" w:hAnsi="宋体" w:eastAsia="仿宋_GB2312" w:cs="宋体"/>
                <w:color w:val="auto"/>
                <w:sz w:val="13"/>
                <w:szCs w:val="13"/>
                <w:highlight w:val="none"/>
              </w:rPr>
              <w:t>擅自倾倒、堆放、丢弃、遗撒城镇污水处理设施产生的污泥和处理后的污泥的</w:t>
            </w:r>
          </w:p>
        </w:tc>
        <w:tc>
          <w:tcPr>
            <w:tcW w:w="4820" w:type="dxa"/>
            <w:vMerge w:val="restart"/>
            <w:tcBorders>
              <w:tl2br w:val="nil"/>
              <w:tr2bl w:val="nil"/>
            </w:tcBorders>
            <w:vAlign w:val="center"/>
          </w:tcPr>
          <w:p w14:paraId="0B40C63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sz w:val="13"/>
                <w:szCs w:val="13"/>
                <w:highlight w:val="none"/>
              </w:rPr>
            </w:pPr>
            <w:r>
              <w:rPr>
                <w:rFonts w:hint="eastAsia" w:ascii="仿宋_GB2312" w:hAnsi="宋体" w:eastAsia="仿宋_GB2312" w:cs="宋体"/>
                <w:color w:val="auto"/>
                <w:sz w:val="13"/>
                <w:szCs w:val="13"/>
                <w:highlight w:val="none"/>
              </w:rPr>
              <w:t>《中华人民共和国固体废物污染环境防治法》</w:t>
            </w:r>
            <w:r>
              <w:rPr>
                <w:rFonts w:hint="eastAsia" w:ascii="仿宋_GB2312" w:hAnsi="宋体" w:eastAsia="仿宋_GB2312" w:cs="宋体"/>
                <w:b/>
                <w:bCs/>
                <w:color w:val="auto"/>
                <w:sz w:val="13"/>
                <w:szCs w:val="13"/>
                <w:highlight w:val="none"/>
              </w:rPr>
              <w:t>第一百零八条第二款</w:t>
            </w:r>
            <w:r>
              <w:rPr>
                <w:rFonts w:hint="eastAsia" w:ascii="仿宋_GB2312" w:hAnsi="宋体" w:eastAsia="仿宋_GB2312" w:cs="宋体"/>
                <w:b/>
                <w:bCs/>
                <w:color w:val="auto"/>
                <w:sz w:val="13"/>
                <w:szCs w:val="13"/>
                <w:highlight w:val="none"/>
                <w:lang w:eastAsia="zh-CN"/>
              </w:rPr>
              <w:t>：</w:t>
            </w:r>
            <w:r>
              <w:rPr>
                <w:rFonts w:hint="eastAsia" w:ascii="仿宋_GB2312" w:hAnsi="宋体" w:eastAsia="仿宋_GB2312" w:cs="宋体"/>
                <w:color w:val="auto"/>
                <w:sz w:val="13"/>
                <w:szCs w:val="13"/>
                <w:highlight w:val="none"/>
              </w:rPr>
              <w:t>违反本法规定，擅自倾倒、堆放、丢弃、遗撒城镇污水处理设施产生的污泥和处理后的污泥的，由城镇排水主管部门责令改正，处二十万元以上二百万元以下的罚款，对直接负责的主管人员和其他直接责任人员处二万元以上十万元以下的罚款；造成严重后果的，处二百万元以上五百万元以下的罚款，对直接负责的主管人员和其他直接责任人员处五万元以上五十万元以下的罚款；拒不改正的，城镇排水主管部门可以指定有治理能力的单位代为治理，所需费用由违法者承担。</w:t>
            </w:r>
          </w:p>
        </w:tc>
        <w:tc>
          <w:tcPr>
            <w:tcW w:w="823" w:type="dxa"/>
            <w:tcBorders>
              <w:tl2br w:val="nil"/>
              <w:tr2bl w:val="nil"/>
            </w:tcBorders>
            <w:tcMar>
              <w:top w:w="15" w:type="dxa"/>
              <w:left w:w="15" w:type="dxa"/>
              <w:bottom w:w="15" w:type="dxa"/>
              <w:right w:w="15" w:type="dxa"/>
            </w:tcMar>
            <w:vAlign w:val="center"/>
          </w:tcPr>
          <w:p w14:paraId="44D405E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从轻情节</w:t>
            </w:r>
          </w:p>
        </w:tc>
        <w:tc>
          <w:tcPr>
            <w:tcW w:w="3437" w:type="dxa"/>
            <w:gridSpan w:val="2"/>
            <w:tcBorders>
              <w:tl2br w:val="nil"/>
              <w:tr2bl w:val="nil"/>
            </w:tcBorders>
            <w:tcMar>
              <w:top w:w="15" w:type="dxa"/>
              <w:left w:w="15" w:type="dxa"/>
              <w:bottom w:w="15" w:type="dxa"/>
              <w:right w:w="15" w:type="dxa"/>
            </w:tcMar>
            <w:vAlign w:val="center"/>
          </w:tcPr>
          <w:p w14:paraId="3EBAC7E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初次违法，危害后果轻微，积极采取改正措施消除影响的。</w:t>
            </w:r>
          </w:p>
        </w:tc>
        <w:tc>
          <w:tcPr>
            <w:tcW w:w="3058" w:type="dxa"/>
            <w:tcBorders>
              <w:tl2br w:val="nil"/>
              <w:tr2bl w:val="nil"/>
            </w:tcBorders>
            <w:tcMar>
              <w:top w:w="15" w:type="dxa"/>
              <w:left w:w="15" w:type="dxa"/>
              <w:bottom w:w="15" w:type="dxa"/>
              <w:right w:w="15" w:type="dxa"/>
            </w:tcMar>
            <w:vAlign w:val="center"/>
          </w:tcPr>
          <w:p w14:paraId="4ECAF85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sz w:val="13"/>
                <w:szCs w:val="13"/>
                <w:highlight w:val="none"/>
              </w:rPr>
              <w:t>责令改正，处20万元以上100万元以下的罚款，对直接负责的主管人员和其他直接责任人员处2万元以上5万元以下的罚款。</w:t>
            </w:r>
          </w:p>
        </w:tc>
      </w:tr>
      <w:tr w14:paraId="4508524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372" w:hRule="atLeast"/>
          <w:jc w:val="center"/>
        </w:trPr>
        <w:tc>
          <w:tcPr>
            <w:tcW w:w="428" w:type="dxa"/>
            <w:vMerge w:val="continue"/>
            <w:tcBorders>
              <w:tl2br w:val="nil"/>
              <w:tr2bl w:val="nil"/>
            </w:tcBorders>
            <w:vAlign w:val="center"/>
          </w:tcPr>
          <w:p w14:paraId="57ED43E6">
            <w:pPr>
              <w:pStyle w:val="37"/>
              <w:keepNext w:val="0"/>
              <w:keepLines w:val="0"/>
              <w:pageBreakBefore w:val="0"/>
              <w:widowControl/>
              <w:numPr>
                <w:ilvl w:val="0"/>
                <w:numId w:val="14"/>
              </w:numPr>
              <w:kinsoku/>
              <w:overflowPunct/>
              <w:topLinePunct w:val="0"/>
              <w:autoSpaceDE/>
              <w:autoSpaceDN/>
              <w:bidi w:val="0"/>
              <w:adjustRightInd/>
              <w:snapToGrid/>
              <w:spacing w:beforeAutospacing="0" w:afterAutospacing="0" w:line="260" w:lineRule="exact"/>
              <w:ind w:left="638" w:leftChars="88" w:right="0" w:rightChars="0" w:hanging="453" w:hangingChars="349"/>
              <w:jc w:val="center"/>
              <w:textAlignment w:val="center"/>
              <w:rPr>
                <w:rFonts w:ascii="仿宋_GB2312" w:hAnsi="宋体" w:eastAsia="仿宋_GB2312" w:cs="宋体"/>
                <w:color w:val="auto"/>
                <w:sz w:val="13"/>
                <w:szCs w:val="13"/>
                <w:highlight w:val="none"/>
              </w:rPr>
            </w:pPr>
          </w:p>
        </w:tc>
        <w:tc>
          <w:tcPr>
            <w:tcW w:w="1550" w:type="dxa"/>
            <w:vMerge w:val="continue"/>
            <w:tcBorders>
              <w:tl2br w:val="nil"/>
              <w:tr2bl w:val="nil"/>
            </w:tcBorders>
            <w:vAlign w:val="center"/>
          </w:tcPr>
          <w:p w14:paraId="360B3A8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sz w:val="13"/>
                <w:szCs w:val="13"/>
                <w:highlight w:val="none"/>
              </w:rPr>
            </w:pPr>
          </w:p>
        </w:tc>
        <w:tc>
          <w:tcPr>
            <w:tcW w:w="4820" w:type="dxa"/>
            <w:vMerge w:val="continue"/>
            <w:tcBorders>
              <w:tl2br w:val="nil"/>
              <w:tr2bl w:val="nil"/>
            </w:tcBorders>
            <w:vAlign w:val="center"/>
          </w:tcPr>
          <w:p w14:paraId="1197B10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2D78707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一般情节</w:t>
            </w:r>
          </w:p>
        </w:tc>
        <w:tc>
          <w:tcPr>
            <w:tcW w:w="3437" w:type="dxa"/>
            <w:gridSpan w:val="2"/>
            <w:tcBorders>
              <w:tl2br w:val="nil"/>
              <w:tr2bl w:val="nil"/>
            </w:tcBorders>
            <w:tcMar>
              <w:top w:w="15" w:type="dxa"/>
              <w:left w:w="15" w:type="dxa"/>
              <w:bottom w:w="15" w:type="dxa"/>
              <w:right w:w="15" w:type="dxa"/>
            </w:tcMar>
            <w:vAlign w:val="center"/>
          </w:tcPr>
          <w:p w14:paraId="028AC6C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不具有从轻、</w:t>
            </w:r>
            <w:r>
              <w:rPr>
                <w:rFonts w:hint="eastAsia" w:ascii="仿宋_GB2312" w:hAnsi="宋体" w:eastAsia="仿宋_GB2312" w:cs="宋体"/>
                <w:color w:val="auto"/>
                <w:kern w:val="0"/>
                <w:sz w:val="13"/>
                <w:szCs w:val="13"/>
                <w:highlight w:val="none"/>
                <w:lang w:eastAsia="zh-CN"/>
              </w:rPr>
              <w:t>从重情节</w:t>
            </w:r>
            <w:r>
              <w:rPr>
                <w:rFonts w:hint="eastAsia" w:ascii="仿宋_GB2312" w:hAnsi="宋体" w:eastAsia="仿宋_GB2312" w:cs="宋体"/>
                <w:color w:val="auto"/>
                <w:kern w:val="0"/>
                <w:sz w:val="13"/>
                <w:szCs w:val="13"/>
                <w:highlight w:val="none"/>
              </w:rPr>
              <w:t>的。</w:t>
            </w:r>
          </w:p>
        </w:tc>
        <w:tc>
          <w:tcPr>
            <w:tcW w:w="3058" w:type="dxa"/>
            <w:tcBorders>
              <w:tl2br w:val="nil"/>
              <w:tr2bl w:val="nil"/>
            </w:tcBorders>
            <w:tcMar>
              <w:top w:w="15" w:type="dxa"/>
              <w:left w:w="15" w:type="dxa"/>
              <w:bottom w:w="15" w:type="dxa"/>
              <w:right w:w="15" w:type="dxa"/>
            </w:tcMar>
            <w:vAlign w:val="center"/>
          </w:tcPr>
          <w:p w14:paraId="58561C7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sz w:val="13"/>
                <w:szCs w:val="13"/>
                <w:highlight w:val="none"/>
              </w:rPr>
              <w:t>责令改正，处100万元以上200万元以下的罚款，对直接负责的主管人员和其他直接责任人员处5万元以上10万元以下的罚款。</w:t>
            </w:r>
          </w:p>
        </w:tc>
      </w:tr>
      <w:tr w14:paraId="7675501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261" w:hRule="atLeast"/>
          <w:jc w:val="center"/>
        </w:trPr>
        <w:tc>
          <w:tcPr>
            <w:tcW w:w="428" w:type="dxa"/>
            <w:vMerge w:val="continue"/>
            <w:tcBorders>
              <w:tl2br w:val="nil"/>
              <w:tr2bl w:val="nil"/>
            </w:tcBorders>
            <w:vAlign w:val="center"/>
          </w:tcPr>
          <w:p w14:paraId="34D7901B">
            <w:pPr>
              <w:pStyle w:val="37"/>
              <w:keepNext w:val="0"/>
              <w:keepLines w:val="0"/>
              <w:pageBreakBefore w:val="0"/>
              <w:widowControl/>
              <w:numPr>
                <w:ilvl w:val="0"/>
                <w:numId w:val="14"/>
              </w:numPr>
              <w:kinsoku/>
              <w:overflowPunct/>
              <w:topLinePunct w:val="0"/>
              <w:autoSpaceDE/>
              <w:autoSpaceDN/>
              <w:bidi w:val="0"/>
              <w:adjustRightInd/>
              <w:snapToGrid/>
              <w:spacing w:beforeAutospacing="0" w:afterAutospacing="0" w:line="260" w:lineRule="exact"/>
              <w:ind w:left="638" w:leftChars="88" w:right="0" w:rightChars="0" w:hanging="453" w:hangingChars="349"/>
              <w:jc w:val="center"/>
              <w:textAlignment w:val="center"/>
              <w:rPr>
                <w:rFonts w:ascii="仿宋_GB2312" w:hAnsi="宋体" w:eastAsia="仿宋_GB2312" w:cs="宋体"/>
                <w:color w:val="auto"/>
                <w:kern w:val="0"/>
                <w:sz w:val="13"/>
                <w:szCs w:val="13"/>
                <w:highlight w:val="none"/>
              </w:rPr>
            </w:pPr>
          </w:p>
        </w:tc>
        <w:tc>
          <w:tcPr>
            <w:tcW w:w="1550" w:type="dxa"/>
            <w:vMerge w:val="continue"/>
            <w:tcBorders>
              <w:tl2br w:val="nil"/>
              <w:tr2bl w:val="nil"/>
            </w:tcBorders>
            <w:vAlign w:val="center"/>
          </w:tcPr>
          <w:p w14:paraId="6E5857E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kern w:val="0"/>
                <w:sz w:val="13"/>
                <w:szCs w:val="13"/>
                <w:highlight w:val="none"/>
              </w:rPr>
            </w:pPr>
          </w:p>
        </w:tc>
        <w:tc>
          <w:tcPr>
            <w:tcW w:w="4820" w:type="dxa"/>
            <w:vMerge w:val="continue"/>
            <w:tcBorders>
              <w:tl2br w:val="nil"/>
              <w:tr2bl w:val="nil"/>
            </w:tcBorders>
            <w:vAlign w:val="center"/>
          </w:tcPr>
          <w:p w14:paraId="0DE8D08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kern w:val="0"/>
                <w:sz w:val="13"/>
                <w:szCs w:val="13"/>
                <w:highlight w:val="none"/>
              </w:rPr>
            </w:pPr>
          </w:p>
        </w:tc>
        <w:tc>
          <w:tcPr>
            <w:tcW w:w="823" w:type="dxa"/>
            <w:vMerge w:val="restart"/>
            <w:tcBorders>
              <w:tl2br w:val="nil"/>
              <w:tr2bl w:val="nil"/>
            </w:tcBorders>
            <w:tcMar>
              <w:top w:w="15" w:type="dxa"/>
              <w:left w:w="15" w:type="dxa"/>
              <w:bottom w:w="15" w:type="dxa"/>
              <w:right w:w="15" w:type="dxa"/>
            </w:tcMar>
            <w:vAlign w:val="center"/>
          </w:tcPr>
          <w:p w14:paraId="53DDA28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从重情节</w:t>
            </w:r>
          </w:p>
        </w:tc>
        <w:tc>
          <w:tcPr>
            <w:tcW w:w="3437" w:type="dxa"/>
            <w:gridSpan w:val="2"/>
            <w:tcBorders>
              <w:tl2br w:val="nil"/>
              <w:tr2bl w:val="nil"/>
            </w:tcBorders>
            <w:tcMar>
              <w:top w:w="15" w:type="dxa"/>
              <w:left w:w="15" w:type="dxa"/>
              <w:bottom w:w="15" w:type="dxa"/>
              <w:right w:w="15" w:type="dxa"/>
            </w:tcMar>
            <w:vAlign w:val="center"/>
          </w:tcPr>
          <w:p w14:paraId="33E2665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造成严重危害后果的。</w:t>
            </w:r>
          </w:p>
        </w:tc>
        <w:tc>
          <w:tcPr>
            <w:tcW w:w="3058" w:type="dxa"/>
            <w:tcBorders>
              <w:tl2br w:val="nil"/>
              <w:tr2bl w:val="nil"/>
            </w:tcBorders>
            <w:tcMar>
              <w:top w:w="15" w:type="dxa"/>
              <w:left w:w="15" w:type="dxa"/>
              <w:bottom w:w="15" w:type="dxa"/>
              <w:right w:w="15" w:type="dxa"/>
            </w:tcMar>
            <w:vAlign w:val="center"/>
          </w:tcPr>
          <w:p w14:paraId="311DD5F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sz w:val="13"/>
                <w:szCs w:val="13"/>
                <w:highlight w:val="none"/>
              </w:rPr>
              <w:t>责令改正，处200万元以上350万元以下的罚款，对直接负责的主管人员和其他直接责任人员处10万元以上30万元以下的罚款。</w:t>
            </w:r>
          </w:p>
        </w:tc>
      </w:tr>
      <w:tr w14:paraId="780924E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325" w:hRule="atLeast"/>
          <w:jc w:val="center"/>
        </w:trPr>
        <w:tc>
          <w:tcPr>
            <w:tcW w:w="428" w:type="dxa"/>
            <w:vMerge w:val="continue"/>
            <w:tcBorders>
              <w:tl2br w:val="nil"/>
              <w:tr2bl w:val="nil"/>
            </w:tcBorders>
            <w:vAlign w:val="center"/>
          </w:tcPr>
          <w:p w14:paraId="10AEADB9">
            <w:pPr>
              <w:pStyle w:val="37"/>
              <w:keepNext w:val="0"/>
              <w:keepLines w:val="0"/>
              <w:pageBreakBefore w:val="0"/>
              <w:widowControl/>
              <w:numPr>
                <w:ilvl w:val="0"/>
                <w:numId w:val="14"/>
              </w:numPr>
              <w:kinsoku/>
              <w:overflowPunct/>
              <w:topLinePunct w:val="0"/>
              <w:autoSpaceDE/>
              <w:autoSpaceDN/>
              <w:bidi w:val="0"/>
              <w:adjustRightInd/>
              <w:snapToGrid/>
              <w:spacing w:beforeAutospacing="0" w:afterAutospacing="0" w:line="260" w:lineRule="exact"/>
              <w:ind w:left="638" w:leftChars="88" w:right="0" w:rightChars="0" w:hanging="453" w:hangingChars="349"/>
              <w:jc w:val="center"/>
              <w:textAlignment w:val="center"/>
              <w:rPr>
                <w:rFonts w:ascii="仿宋_GB2312" w:hAnsi="宋体" w:eastAsia="仿宋_GB2312" w:cs="宋体"/>
                <w:color w:val="auto"/>
                <w:sz w:val="13"/>
                <w:szCs w:val="13"/>
                <w:highlight w:val="none"/>
              </w:rPr>
            </w:pPr>
          </w:p>
        </w:tc>
        <w:tc>
          <w:tcPr>
            <w:tcW w:w="1550" w:type="dxa"/>
            <w:vMerge w:val="continue"/>
            <w:tcBorders>
              <w:tl2br w:val="nil"/>
              <w:tr2bl w:val="nil"/>
            </w:tcBorders>
            <w:vAlign w:val="center"/>
          </w:tcPr>
          <w:p w14:paraId="7C43F30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sz w:val="13"/>
                <w:szCs w:val="13"/>
                <w:highlight w:val="none"/>
              </w:rPr>
            </w:pPr>
          </w:p>
        </w:tc>
        <w:tc>
          <w:tcPr>
            <w:tcW w:w="4820" w:type="dxa"/>
            <w:vMerge w:val="continue"/>
            <w:tcBorders>
              <w:tl2br w:val="nil"/>
              <w:tr2bl w:val="nil"/>
            </w:tcBorders>
            <w:vAlign w:val="center"/>
          </w:tcPr>
          <w:p w14:paraId="06025E7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sz w:val="13"/>
                <w:szCs w:val="13"/>
                <w:highlight w:val="none"/>
              </w:rPr>
            </w:pPr>
          </w:p>
        </w:tc>
        <w:tc>
          <w:tcPr>
            <w:tcW w:w="823" w:type="dxa"/>
            <w:vMerge w:val="continue"/>
            <w:tcBorders>
              <w:tl2br w:val="nil"/>
              <w:tr2bl w:val="nil"/>
            </w:tcBorders>
            <w:tcMar>
              <w:top w:w="15" w:type="dxa"/>
              <w:left w:w="15" w:type="dxa"/>
              <w:bottom w:w="15" w:type="dxa"/>
              <w:right w:w="15" w:type="dxa"/>
            </w:tcMar>
            <w:vAlign w:val="center"/>
          </w:tcPr>
          <w:p w14:paraId="38B44B4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sz w:val="13"/>
                <w:szCs w:val="13"/>
                <w:highlight w:val="none"/>
              </w:rPr>
            </w:pPr>
          </w:p>
        </w:tc>
        <w:tc>
          <w:tcPr>
            <w:tcW w:w="3437" w:type="dxa"/>
            <w:gridSpan w:val="2"/>
            <w:tcBorders>
              <w:tl2br w:val="nil"/>
              <w:tr2bl w:val="nil"/>
            </w:tcBorders>
            <w:tcMar>
              <w:top w:w="15" w:type="dxa"/>
              <w:left w:w="15" w:type="dxa"/>
              <w:bottom w:w="15" w:type="dxa"/>
              <w:right w:w="15" w:type="dxa"/>
            </w:tcMar>
            <w:vAlign w:val="center"/>
          </w:tcPr>
          <w:p w14:paraId="5C719CB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造成严重危害后果，且经责令停止违法行为后，继续实施违法行为的</w:t>
            </w:r>
            <w:r>
              <w:rPr>
                <w:rFonts w:hint="eastAsia" w:ascii="仿宋_GB2312" w:hAnsi="宋体" w:eastAsia="仿宋_GB2312" w:cs="宋体"/>
                <w:color w:val="auto"/>
                <w:kern w:val="0"/>
                <w:sz w:val="13"/>
                <w:szCs w:val="13"/>
                <w:highlight w:val="none"/>
                <w:lang w:eastAsia="zh-CN"/>
              </w:rPr>
              <w:t>，</w:t>
            </w:r>
            <w:r>
              <w:rPr>
                <w:rFonts w:hint="eastAsia" w:ascii="仿宋_GB2312" w:hAnsi="宋体" w:eastAsia="仿宋_GB2312" w:cs="宋体"/>
                <w:color w:val="auto"/>
                <w:kern w:val="0"/>
                <w:sz w:val="13"/>
                <w:szCs w:val="13"/>
                <w:highlight w:val="none"/>
                <w:lang w:val="en-US" w:eastAsia="zh-CN"/>
              </w:rPr>
              <w:t>或</w:t>
            </w:r>
            <w:r>
              <w:rPr>
                <w:rFonts w:hint="eastAsia" w:ascii="仿宋_GB2312" w:hAnsi="宋体" w:eastAsia="仿宋_GB2312" w:cs="宋体"/>
                <w:color w:val="auto"/>
                <w:kern w:val="0"/>
                <w:sz w:val="13"/>
                <w:szCs w:val="13"/>
                <w:highlight w:val="none"/>
              </w:rPr>
              <w:t>造成严重危害后果，且曾因此被查处过，再次实施违法行为的。</w:t>
            </w:r>
          </w:p>
        </w:tc>
        <w:tc>
          <w:tcPr>
            <w:tcW w:w="3058" w:type="dxa"/>
            <w:tcBorders>
              <w:tl2br w:val="nil"/>
              <w:tr2bl w:val="nil"/>
            </w:tcBorders>
            <w:tcMar>
              <w:top w:w="15" w:type="dxa"/>
              <w:left w:w="15" w:type="dxa"/>
              <w:bottom w:w="15" w:type="dxa"/>
              <w:right w:w="15" w:type="dxa"/>
            </w:tcMar>
            <w:vAlign w:val="center"/>
          </w:tcPr>
          <w:p w14:paraId="3E1E0B1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sz w:val="13"/>
                <w:szCs w:val="13"/>
                <w:highlight w:val="none"/>
              </w:rPr>
              <w:t>责令改正，处350万元以上500万元以下的罚款，对直接负责的主管人员和其他直接责任人员处30万元以上50万元以下的罚款。</w:t>
            </w:r>
          </w:p>
        </w:tc>
      </w:tr>
      <w:tr w14:paraId="09B40CA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1017" w:hRule="atLeast"/>
          <w:jc w:val="center"/>
        </w:trPr>
        <w:tc>
          <w:tcPr>
            <w:tcW w:w="428" w:type="dxa"/>
            <w:vMerge w:val="restart"/>
            <w:tcBorders>
              <w:tl2br w:val="nil"/>
              <w:tr2bl w:val="nil"/>
            </w:tcBorders>
            <w:vAlign w:val="center"/>
          </w:tcPr>
          <w:p w14:paraId="67F569AD">
            <w:pPr>
              <w:pStyle w:val="37"/>
              <w:keepNext w:val="0"/>
              <w:keepLines w:val="0"/>
              <w:pageBreakBefore w:val="0"/>
              <w:widowControl/>
              <w:numPr>
                <w:ilvl w:val="0"/>
                <w:numId w:val="11"/>
              </w:numPr>
              <w:tabs>
                <w:tab w:val="clear" w:pos="397"/>
              </w:tabs>
              <w:kinsoku/>
              <w:overflowPunct/>
              <w:topLinePunct w:val="0"/>
              <w:autoSpaceDE/>
              <w:autoSpaceDN/>
              <w:bidi w:val="0"/>
              <w:adjustRightInd/>
              <w:snapToGrid/>
              <w:spacing w:beforeAutospacing="0" w:afterAutospacing="0" w:line="260" w:lineRule="exact"/>
              <w:ind w:left="638" w:leftChars="88" w:right="0" w:rightChars="0" w:hanging="453" w:hangingChars="349"/>
              <w:jc w:val="center"/>
              <w:textAlignment w:val="center"/>
              <w:rPr>
                <w:rFonts w:hint="default" w:ascii="仿宋_GB2312" w:hAnsi="宋体" w:eastAsia="仿宋_GB2312" w:cs="宋体"/>
                <w:color w:val="auto"/>
                <w:kern w:val="0"/>
                <w:sz w:val="13"/>
                <w:szCs w:val="13"/>
                <w:highlight w:val="none"/>
                <w:lang w:val="en-US" w:eastAsia="zh-CN"/>
              </w:rPr>
            </w:pPr>
            <w:r>
              <w:rPr>
                <w:rFonts w:hint="eastAsia" w:ascii="仿宋_GB2312" w:hAnsi="宋体" w:eastAsia="仿宋_GB2312" w:cs="宋体"/>
                <w:color w:val="auto"/>
                <w:kern w:val="0"/>
                <w:sz w:val="13"/>
                <w:szCs w:val="13"/>
                <w:highlight w:val="none"/>
                <w:lang w:val="en-US" w:eastAsia="zh-CN"/>
              </w:rPr>
              <w:t>366</w:t>
            </w:r>
          </w:p>
        </w:tc>
        <w:tc>
          <w:tcPr>
            <w:tcW w:w="1550" w:type="dxa"/>
            <w:vMerge w:val="restart"/>
            <w:tcBorders>
              <w:tl2br w:val="nil"/>
              <w:tr2bl w:val="nil"/>
            </w:tcBorders>
            <w:vAlign w:val="center"/>
          </w:tcPr>
          <w:p w14:paraId="69D6B22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kern w:val="0"/>
                <w:sz w:val="13"/>
                <w:szCs w:val="13"/>
                <w:highlight w:val="none"/>
              </w:rPr>
            </w:pPr>
            <w:r>
              <w:rPr>
                <w:rFonts w:hint="eastAsia" w:ascii="仿宋_GB2312" w:hAnsi="宋体" w:eastAsia="仿宋_GB2312" w:cs="宋体"/>
                <w:color w:val="auto"/>
                <w:sz w:val="13"/>
                <w:szCs w:val="13"/>
                <w:highlight w:val="none"/>
              </w:rPr>
              <w:t>随意倾倒、抛撒、堆放或者焚烧生活垃圾的</w:t>
            </w:r>
          </w:p>
        </w:tc>
        <w:tc>
          <w:tcPr>
            <w:tcW w:w="4820" w:type="dxa"/>
            <w:vMerge w:val="restart"/>
            <w:tcBorders>
              <w:tl2br w:val="nil"/>
              <w:tr2bl w:val="nil"/>
            </w:tcBorders>
            <w:vAlign w:val="bottom"/>
          </w:tcPr>
          <w:p w14:paraId="4145C0F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hint="eastAsia" w:ascii="仿宋_GB2312" w:hAnsi="宋体" w:eastAsia="仿宋_GB2312" w:cs="宋体"/>
                <w:b/>
                <w:bCs/>
                <w:color w:val="auto"/>
                <w:sz w:val="13"/>
                <w:szCs w:val="13"/>
                <w:highlight w:val="none"/>
                <w:lang w:eastAsia="zh-CN"/>
              </w:rPr>
            </w:pPr>
            <w:r>
              <w:rPr>
                <w:rFonts w:hint="eastAsia" w:ascii="仿宋_GB2312" w:hAnsi="宋体" w:eastAsia="仿宋_GB2312" w:cs="宋体"/>
                <w:color w:val="auto"/>
                <w:sz w:val="13"/>
                <w:szCs w:val="13"/>
                <w:highlight w:val="none"/>
              </w:rPr>
              <w:t>《中华人民共和国固体废物污染环境防治法》</w:t>
            </w:r>
            <w:r>
              <w:rPr>
                <w:rFonts w:hint="eastAsia" w:ascii="仿宋_GB2312" w:hAnsi="宋体" w:eastAsia="仿宋_GB2312" w:cs="宋体"/>
                <w:b/>
                <w:bCs/>
                <w:color w:val="auto"/>
                <w:sz w:val="13"/>
                <w:szCs w:val="13"/>
                <w:highlight w:val="none"/>
              </w:rPr>
              <w:t>第一百一十一条第一款</w:t>
            </w:r>
            <w:r>
              <w:rPr>
                <w:rFonts w:hint="eastAsia" w:ascii="仿宋_GB2312" w:hAnsi="宋体" w:eastAsia="仿宋_GB2312" w:cs="宋体"/>
                <w:b/>
                <w:bCs/>
                <w:color w:val="auto"/>
                <w:sz w:val="13"/>
                <w:szCs w:val="13"/>
                <w:highlight w:val="none"/>
                <w:lang w:eastAsia="zh-CN"/>
              </w:rPr>
              <w:t>（</w:t>
            </w:r>
            <w:r>
              <w:rPr>
                <w:rFonts w:hint="eastAsia" w:ascii="仿宋_GB2312" w:hAnsi="宋体" w:eastAsia="仿宋_GB2312" w:cs="宋体"/>
                <w:b/>
                <w:bCs/>
                <w:color w:val="auto"/>
                <w:sz w:val="13"/>
                <w:szCs w:val="13"/>
                <w:highlight w:val="none"/>
                <w:lang w:val="en-US" w:eastAsia="zh-CN"/>
              </w:rPr>
              <w:t>一</w:t>
            </w:r>
            <w:r>
              <w:rPr>
                <w:rFonts w:hint="eastAsia" w:ascii="仿宋_GB2312" w:hAnsi="宋体" w:eastAsia="仿宋_GB2312" w:cs="宋体"/>
                <w:b/>
                <w:bCs/>
                <w:color w:val="auto"/>
                <w:sz w:val="13"/>
                <w:szCs w:val="13"/>
                <w:highlight w:val="none"/>
                <w:lang w:eastAsia="zh-CN"/>
              </w:rPr>
              <w:t>）</w:t>
            </w:r>
            <w:r>
              <w:rPr>
                <w:rFonts w:hint="eastAsia" w:ascii="仿宋_GB2312" w:hAnsi="宋体" w:eastAsia="仿宋_GB2312" w:cs="宋体"/>
                <w:b/>
                <w:bCs/>
                <w:color w:val="auto"/>
                <w:sz w:val="13"/>
                <w:szCs w:val="13"/>
                <w:highlight w:val="none"/>
              </w:rPr>
              <w:t>项、第一百一十一条第二款</w:t>
            </w:r>
            <w:r>
              <w:rPr>
                <w:rFonts w:hint="eastAsia" w:ascii="仿宋_GB2312" w:hAnsi="宋体" w:eastAsia="仿宋_GB2312" w:cs="宋体"/>
                <w:b/>
                <w:bCs/>
                <w:color w:val="auto"/>
                <w:sz w:val="13"/>
                <w:szCs w:val="13"/>
                <w:highlight w:val="none"/>
                <w:lang w:eastAsia="zh-CN"/>
              </w:rPr>
              <w:t>：</w:t>
            </w:r>
          </w:p>
          <w:p w14:paraId="3E769B3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s="宋体"/>
                <w:color w:val="auto"/>
                <w:sz w:val="13"/>
                <w:szCs w:val="13"/>
                <w:highlight w:val="none"/>
              </w:rPr>
            </w:pPr>
            <w:r>
              <w:rPr>
                <w:rFonts w:hint="eastAsia" w:ascii="仿宋_GB2312" w:hAnsi="宋体" w:eastAsia="仿宋_GB2312" w:cs="宋体"/>
                <w:color w:val="auto"/>
                <w:sz w:val="13"/>
                <w:szCs w:val="13"/>
                <w:highlight w:val="none"/>
              </w:rPr>
              <w:t>违反本法规定，有下列行为之一，由县级以上地方人民政府环境卫生主管部门责令改正，处以罚款，没收违法所得：（一）随意倾倒、抛撒、堆放或者焚烧生活垃圾的；（二）擅自关闭、闲置或者拆除生活垃圾处理设施、场所的；（三）工程施工单位未编制建筑垃圾处理方案报备案，或者未及时清运施工过程中产生的固体废物的；（四）工程施工单位擅自倾倒、抛撒或者堆放工程施工过程中产生的建筑垃圾，或者未按照规定对施工过程中产生的固体废物进行利用或者处置的；（五）产生、收集厨余垃圾的单位和其他生产经营者未将厨余垃圾交由具备相应资质条件的单位进行无害化处理的；（六）畜禽养殖场、养殖小区利用未经无害化处理的厨余垃圾饲喂畜禽的；（七）在运输过程中沿途丢弃、遗撒生活垃圾的。</w:t>
            </w:r>
          </w:p>
          <w:p w14:paraId="2165EBD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0" w:firstLineChars="200"/>
              <w:jc w:val="left"/>
              <w:textAlignment w:val="center"/>
              <w:rPr>
                <w:rFonts w:ascii="仿宋_GB2312" w:hAnsi="宋体" w:eastAsia="仿宋_GB2312" w:cs="宋体"/>
                <w:color w:val="auto"/>
                <w:kern w:val="0"/>
                <w:sz w:val="13"/>
                <w:szCs w:val="13"/>
                <w:highlight w:val="none"/>
              </w:rPr>
            </w:pPr>
            <w:r>
              <w:rPr>
                <w:rFonts w:hint="eastAsia" w:ascii="仿宋_GB2312" w:hAnsi="宋体" w:eastAsia="仿宋_GB2312" w:cs="宋体"/>
                <w:color w:val="auto"/>
                <w:sz w:val="13"/>
                <w:szCs w:val="13"/>
                <w:highlight w:val="none"/>
              </w:rPr>
              <w:t>单位有前款第一项、第七项行为之一，处五万元以上五十万元以下的罚款；单位有前款第二项、第三项、第四项、第五项、第六项行为之一，处十万元以上一百万元以下的罚款；个人有前款第一项、第五项、第七项行为之一，处一百元以上五百元以下的罚款。</w:t>
            </w:r>
          </w:p>
        </w:tc>
        <w:tc>
          <w:tcPr>
            <w:tcW w:w="823" w:type="dxa"/>
            <w:vMerge w:val="restart"/>
            <w:tcBorders>
              <w:tl2br w:val="nil"/>
              <w:tr2bl w:val="nil"/>
            </w:tcBorders>
            <w:tcMar>
              <w:top w:w="15" w:type="dxa"/>
              <w:left w:w="15" w:type="dxa"/>
              <w:bottom w:w="15" w:type="dxa"/>
              <w:right w:w="15" w:type="dxa"/>
            </w:tcMar>
            <w:vAlign w:val="center"/>
          </w:tcPr>
          <w:p w14:paraId="7A3A7E7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从轻情节</w:t>
            </w:r>
          </w:p>
        </w:tc>
        <w:tc>
          <w:tcPr>
            <w:tcW w:w="3437" w:type="dxa"/>
            <w:gridSpan w:val="2"/>
            <w:tcBorders>
              <w:tl2br w:val="nil"/>
              <w:tr2bl w:val="nil"/>
            </w:tcBorders>
            <w:tcMar>
              <w:top w:w="15" w:type="dxa"/>
              <w:left w:w="15" w:type="dxa"/>
              <w:bottom w:w="15" w:type="dxa"/>
              <w:right w:w="15" w:type="dxa"/>
            </w:tcMar>
            <w:vAlign w:val="center"/>
          </w:tcPr>
          <w:p w14:paraId="6A57D6F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kern w:val="0"/>
                <w:sz w:val="13"/>
                <w:szCs w:val="13"/>
                <w:highlight w:val="none"/>
              </w:rPr>
            </w:pPr>
            <w:r>
              <w:rPr>
                <w:rFonts w:hint="eastAsia" w:ascii="仿宋_GB2312" w:hAnsi="宋体" w:eastAsia="仿宋_GB2312" w:cs="宋体"/>
                <w:color w:val="auto"/>
                <w:kern w:val="0"/>
                <w:sz w:val="13"/>
                <w:szCs w:val="13"/>
                <w:highlight w:val="none"/>
              </w:rPr>
              <w:t>单位倾倒、抛洒、堆放或者焚烧生活垃圾</w:t>
            </w:r>
            <w:r>
              <w:rPr>
                <w:rFonts w:hint="eastAsia" w:ascii="仿宋_GB2312" w:hAnsi="宋体" w:eastAsia="仿宋_GB2312" w:cs="宋体"/>
                <w:color w:val="auto"/>
                <w:kern w:val="0"/>
                <w:sz w:val="13"/>
                <w:szCs w:val="13"/>
                <w:highlight w:val="none"/>
                <w:lang w:val="en-US" w:eastAsia="zh-CN"/>
              </w:rPr>
              <w:t>1</w:t>
            </w:r>
            <w:r>
              <w:rPr>
                <w:rFonts w:hint="eastAsia" w:ascii="仿宋_GB2312" w:hAnsi="宋体" w:eastAsia="仿宋_GB2312" w:cs="宋体"/>
                <w:color w:val="auto"/>
                <w:kern w:val="0"/>
                <w:sz w:val="13"/>
                <w:szCs w:val="13"/>
                <w:highlight w:val="none"/>
              </w:rPr>
              <w:t>吨以下</w:t>
            </w:r>
            <w:r>
              <w:rPr>
                <w:rFonts w:hint="eastAsia" w:ascii="仿宋_GB2312" w:hAnsi="宋体" w:eastAsia="仿宋_GB2312" w:cs="宋体"/>
                <w:color w:val="auto"/>
                <w:kern w:val="0"/>
                <w:sz w:val="13"/>
                <w:szCs w:val="13"/>
                <w:highlight w:val="none"/>
                <w:lang w:eastAsia="zh-CN"/>
              </w:rPr>
              <w:t>，</w:t>
            </w:r>
            <w:r>
              <w:rPr>
                <w:rFonts w:hint="eastAsia" w:ascii="仿宋_GB2312" w:hAnsi="宋体" w:eastAsia="仿宋_GB2312" w:cs="宋体"/>
                <w:color w:val="auto"/>
                <w:kern w:val="0"/>
                <w:sz w:val="13"/>
                <w:szCs w:val="13"/>
                <w:highlight w:val="none"/>
                <w:lang w:val="en-US" w:eastAsia="zh-CN"/>
              </w:rPr>
              <w:t>个人</w:t>
            </w:r>
            <w:r>
              <w:rPr>
                <w:rFonts w:hint="eastAsia" w:ascii="仿宋_GB2312" w:hAnsi="宋体" w:eastAsia="仿宋_GB2312" w:cs="宋体"/>
                <w:color w:val="auto"/>
                <w:kern w:val="0"/>
                <w:sz w:val="13"/>
                <w:szCs w:val="13"/>
                <w:highlight w:val="none"/>
              </w:rPr>
              <w:t>倾倒、抛洒、堆放或者焚烧生活垃圾污染路面10平方米以下</w:t>
            </w:r>
            <w:r>
              <w:rPr>
                <w:rFonts w:hint="eastAsia" w:ascii="仿宋_GB2312" w:hAnsi="宋体" w:eastAsia="仿宋_GB2312" w:cs="宋体"/>
                <w:color w:val="auto"/>
                <w:kern w:val="0"/>
                <w:sz w:val="13"/>
                <w:szCs w:val="13"/>
                <w:highlight w:val="none"/>
                <w:lang w:val="en-US" w:eastAsia="zh-CN"/>
              </w:rPr>
              <w:t>的</w:t>
            </w:r>
            <w:r>
              <w:rPr>
                <w:rFonts w:hint="eastAsia" w:ascii="仿宋_GB2312" w:hAnsi="宋体" w:eastAsia="仿宋_GB2312" w:cs="宋体"/>
                <w:color w:val="auto"/>
                <w:kern w:val="0"/>
                <w:sz w:val="13"/>
                <w:szCs w:val="13"/>
                <w:highlight w:val="none"/>
              </w:rPr>
              <w:t>。</w:t>
            </w:r>
          </w:p>
        </w:tc>
        <w:tc>
          <w:tcPr>
            <w:tcW w:w="3058" w:type="dxa"/>
            <w:tcBorders>
              <w:tl2br w:val="nil"/>
              <w:tr2bl w:val="nil"/>
            </w:tcBorders>
            <w:tcMar>
              <w:top w:w="15" w:type="dxa"/>
              <w:left w:w="15" w:type="dxa"/>
              <w:bottom w:w="15" w:type="dxa"/>
              <w:right w:w="15" w:type="dxa"/>
            </w:tcMar>
            <w:vAlign w:val="center"/>
          </w:tcPr>
          <w:p w14:paraId="0E0F197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hint="default" w:ascii="仿宋_GB2312" w:hAnsi="宋体" w:eastAsia="仿宋_GB2312" w:cs="宋体"/>
                <w:color w:val="auto"/>
                <w:sz w:val="13"/>
                <w:szCs w:val="13"/>
                <w:highlight w:val="none"/>
                <w:lang w:val="en-US" w:eastAsia="zh-CN"/>
              </w:rPr>
            </w:pPr>
            <w:r>
              <w:rPr>
                <w:rFonts w:hint="eastAsia" w:ascii="仿宋_GB2312" w:hAnsi="宋体" w:eastAsia="仿宋_GB2312" w:cs="宋体"/>
                <w:color w:val="auto"/>
                <w:sz w:val="13"/>
                <w:szCs w:val="13"/>
                <w:highlight w:val="none"/>
              </w:rPr>
              <w:t>责令改正，</w:t>
            </w:r>
            <w:r>
              <w:rPr>
                <w:rFonts w:hint="eastAsia" w:ascii="仿宋_GB2312" w:hAnsi="宋体" w:eastAsia="仿宋_GB2312" w:cs="宋体"/>
                <w:color w:val="auto"/>
                <w:kern w:val="0"/>
                <w:sz w:val="13"/>
                <w:szCs w:val="13"/>
                <w:highlight w:val="none"/>
              </w:rPr>
              <w:t>没收违法所得</w:t>
            </w:r>
            <w:r>
              <w:rPr>
                <w:rFonts w:hint="eastAsia" w:ascii="仿宋_GB2312" w:hAnsi="宋体" w:eastAsia="仿宋_GB2312" w:cs="宋体"/>
                <w:color w:val="auto"/>
                <w:kern w:val="0"/>
                <w:sz w:val="13"/>
                <w:szCs w:val="13"/>
                <w:highlight w:val="none"/>
                <w:lang w:eastAsia="zh-CN"/>
              </w:rPr>
              <w:t>，</w:t>
            </w:r>
            <w:r>
              <w:rPr>
                <w:rFonts w:hint="eastAsia" w:ascii="仿宋_GB2312" w:hAnsi="宋体" w:eastAsia="仿宋_GB2312" w:cs="宋体"/>
                <w:color w:val="auto"/>
                <w:kern w:val="0"/>
                <w:sz w:val="13"/>
                <w:szCs w:val="13"/>
                <w:highlight w:val="none"/>
              </w:rPr>
              <w:t>对单位处以</w:t>
            </w:r>
            <w:r>
              <w:rPr>
                <w:rFonts w:hint="eastAsia" w:ascii="仿宋_GB2312" w:hAnsi="宋体" w:eastAsia="仿宋_GB2312" w:cs="宋体"/>
                <w:color w:val="auto"/>
                <w:kern w:val="0"/>
                <w:sz w:val="13"/>
                <w:szCs w:val="13"/>
                <w:highlight w:val="none"/>
                <w:lang w:val="en-US" w:eastAsia="zh-CN"/>
              </w:rPr>
              <w:t>5万元罚款，对个人处以100元罚款。</w:t>
            </w:r>
          </w:p>
        </w:tc>
      </w:tr>
      <w:tr w14:paraId="28B0EB2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990" w:hRule="atLeast"/>
          <w:jc w:val="center"/>
        </w:trPr>
        <w:tc>
          <w:tcPr>
            <w:tcW w:w="428" w:type="dxa"/>
            <w:vMerge w:val="continue"/>
            <w:tcBorders>
              <w:tl2br w:val="nil"/>
              <w:tr2bl w:val="nil"/>
            </w:tcBorders>
            <w:vAlign w:val="center"/>
          </w:tcPr>
          <w:p w14:paraId="1638ECF4">
            <w:pPr>
              <w:pStyle w:val="37"/>
              <w:keepNext w:val="0"/>
              <w:keepLines w:val="0"/>
              <w:pageBreakBefore w:val="0"/>
              <w:widowControl/>
              <w:numPr>
                <w:ilvl w:val="0"/>
                <w:numId w:val="14"/>
              </w:numPr>
              <w:kinsoku/>
              <w:overflowPunct/>
              <w:topLinePunct w:val="0"/>
              <w:autoSpaceDE/>
              <w:autoSpaceDN/>
              <w:bidi w:val="0"/>
              <w:adjustRightInd/>
              <w:snapToGrid/>
              <w:spacing w:beforeAutospacing="0" w:afterAutospacing="0" w:line="260" w:lineRule="exact"/>
              <w:ind w:left="638" w:leftChars="88" w:right="0" w:rightChars="0" w:hanging="453" w:hangingChars="349"/>
              <w:jc w:val="center"/>
              <w:textAlignment w:val="center"/>
              <w:rPr>
                <w:rFonts w:ascii="仿宋_GB2312" w:hAnsi="宋体" w:eastAsia="仿宋_GB2312" w:cs="宋体"/>
                <w:color w:val="auto"/>
                <w:sz w:val="13"/>
                <w:szCs w:val="13"/>
                <w:highlight w:val="none"/>
              </w:rPr>
            </w:pPr>
          </w:p>
        </w:tc>
        <w:tc>
          <w:tcPr>
            <w:tcW w:w="1550" w:type="dxa"/>
            <w:vMerge w:val="continue"/>
            <w:tcBorders>
              <w:tl2br w:val="nil"/>
              <w:tr2bl w:val="nil"/>
            </w:tcBorders>
            <w:vAlign w:val="center"/>
          </w:tcPr>
          <w:p w14:paraId="38BB2FA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宋体"/>
                <w:color w:val="auto"/>
                <w:sz w:val="13"/>
                <w:szCs w:val="13"/>
                <w:highlight w:val="none"/>
              </w:rPr>
            </w:pPr>
          </w:p>
        </w:tc>
        <w:tc>
          <w:tcPr>
            <w:tcW w:w="4820" w:type="dxa"/>
            <w:vMerge w:val="continue"/>
            <w:tcBorders>
              <w:tl2br w:val="nil"/>
              <w:tr2bl w:val="nil"/>
            </w:tcBorders>
            <w:vAlign w:val="center"/>
          </w:tcPr>
          <w:p w14:paraId="60A2093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宋体"/>
                <w:color w:val="auto"/>
                <w:sz w:val="13"/>
                <w:szCs w:val="13"/>
                <w:highlight w:val="none"/>
              </w:rPr>
            </w:pPr>
          </w:p>
        </w:tc>
        <w:tc>
          <w:tcPr>
            <w:tcW w:w="823" w:type="dxa"/>
            <w:vMerge w:val="continue"/>
            <w:tcBorders>
              <w:tl2br w:val="nil"/>
              <w:tr2bl w:val="nil"/>
            </w:tcBorders>
            <w:tcMar>
              <w:top w:w="15" w:type="dxa"/>
              <w:left w:w="15" w:type="dxa"/>
              <w:bottom w:w="15" w:type="dxa"/>
              <w:right w:w="15" w:type="dxa"/>
            </w:tcMar>
            <w:vAlign w:val="center"/>
          </w:tcPr>
          <w:p w14:paraId="318CC13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宋体"/>
                <w:color w:val="auto"/>
                <w:kern w:val="0"/>
                <w:sz w:val="13"/>
                <w:szCs w:val="13"/>
                <w:highlight w:val="none"/>
              </w:rPr>
            </w:pPr>
          </w:p>
        </w:tc>
        <w:tc>
          <w:tcPr>
            <w:tcW w:w="3437" w:type="dxa"/>
            <w:gridSpan w:val="2"/>
            <w:tcBorders>
              <w:tl2br w:val="nil"/>
              <w:tr2bl w:val="nil"/>
            </w:tcBorders>
            <w:tcMar>
              <w:top w:w="15" w:type="dxa"/>
              <w:left w:w="15" w:type="dxa"/>
              <w:bottom w:w="15" w:type="dxa"/>
              <w:right w:w="15" w:type="dxa"/>
            </w:tcMar>
            <w:vAlign w:val="center"/>
          </w:tcPr>
          <w:p w14:paraId="7589A93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s="宋体"/>
                <w:color w:val="auto"/>
                <w:kern w:val="0"/>
                <w:sz w:val="13"/>
                <w:szCs w:val="13"/>
                <w:highlight w:val="none"/>
              </w:rPr>
            </w:pPr>
            <w:r>
              <w:rPr>
                <w:rFonts w:hint="eastAsia" w:ascii="仿宋_GB2312" w:hAnsi="宋体" w:eastAsia="仿宋_GB2312" w:cs="宋体"/>
                <w:color w:val="auto"/>
                <w:kern w:val="0"/>
                <w:sz w:val="13"/>
                <w:szCs w:val="13"/>
                <w:highlight w:val="none"/>
              </w:rPr>
              <w:t>单位倾倒、抛洒、堆放或者焚烧生活垃圾</w:t>
            </w:r>
            <w:r>
              <w:rPr>
                <w:rFonts w:hint="eastAsia" w:ascii="仿宋_GB2312" w:hAnsi="宋体" w:eastAsia="仿宋_GB2312" w:cs="宋体"/>
                <w:color w:val="auto"/>
                <w:kern w:val="0"/>
                <w:sz w:val="13"/>
                <w:szCs w:val="13"/>
                <w:highlight w:val="none"/>
                <w:lang w:val="en-US" w:eastAsia="zh-CN"/>
              </w:rPr>
              <w:t>1</w:t>
            </w:r>
            <w:r>
              <w:rPr>
                <w:rFonts w:hint="eastAsia" w:ascii="仿宋_GB2312" w:hAnsi="宋体" w:eastAsia="仿宋_GB2312" w:cs="宋体"/>
                <w:color w:val="auto"/>
                <w:kern w:val="0"/>
                <w:sz w:val="13"/>
                <w:szCs w:val="13"/>
                <w:highlight w:val="none"/>
              </w:rPr>
              <w:t>吨以上</w:t>
            </w:r>
            <w:r>
              <w:rPr>
                <w:rFonts w:hint="eastAsia" w:ascii="仿宋_GB2312" w:hAnsi="宋体" w:eastAsia="仿宋_GB2312" w:cs="宋体"/>
                <w:color w:val="auto"/>
                <w:kern w:val="0"/>
                <w:sz w:val="13"/>
                <w:szCs w:val="13"/>
                <w:highlight w:val="none"/>
                <w:lang w:val="en-US" w:eastAsia="zh-CN"/>
              </w:rPr>
              <w:t>3</w:t>
            </w:r>
            <w:r>
              <w:rPr>
                <w:rFonts w:hint="eastAsia" w:ascii="仿宋_GB2312" w:hAnsi="宋体" w:eastAsia="仿宋_GB2312" w:cs="宋体"/>
                <w:color w:val="auto"/>
                <w:kern w:val="0"/>
                <w:sz w:val="13"/>
                <w:szCs w:val="13"/>
                <w:highlight w:val="none"/>
              </w:rPr>
              <w:t>吨以下的</w:t>
            </w:r>
            <w:r>
              <w:rPr>
                <w:rFonts w:hint="eastAsia" w:ascii="仿宋_GB2312" w:hAnsi="宋体" w:eastAsia="仿宋_GB2312" w:cs="宋体"/>
                <w:color w:val="auto"/>
                <w:kern w:val="0"/>
                <w:sz w:val="13"/>
                <w:szCs w:val="13"/>
                <w:highlight w:val="none"/>
                <w:lang w:eastAsia="zh-CN"/>
              </w:rPr>
              <w:t>，</w:t>
            </w:r>
            <w:r>
              <w:rPr>
                <w:rFonts w:hint="eastAsia" w:ascii="仿宋_GB2312" w:hAnsi="宋体" w:eastAsia="仿宋_GB2312" w:cs="宋体"/>
                <w:color w:val="auto"/>
                <w:kern w:val="0"/>
                <w:sz w:val="13"/>
                <w:szCs w:val="13"/>
                <w:highlight w:val="none"/>
                <w:lang w:val="en-US" w:eastAsia="zh-CN"/>
              </w:rPr>
              <w:t>个人</w:t>
            </w:r>
            <w:r>
              <w:rPr>
                <w:rFonts w:hint="eastAsia" w:ascii="仿宋_GB2312" w:hAnsi="宋体" w:eastAsia="仿宋_GB2312" w:cs="宋体"/>
                <w:color w:val="auto"/>
                <w:kern w:val="0"/>
                <w:sz w:val="13"/>
                <w:szCs w:val="13"/>
                <w:highlight w:val="none"/>
              </w:rPr>
              <w:t>倾倒、抛洒、堆放或者焚烧生活垃圾污染路面10平方米以上20平方米以下的。</w:t>
            </w:r>
          </w:p>
        </w:tc>
        <w:tc>
          <w:tcPr>
            <w:tcW w:w="3058" w:type="dxa"/>
            <w:tcBorders>
              <w:tl2br w:val="nil"/>
              <w:tr2bl w:val="nil"/>
            </w:tcBorders>
            <w:tcMar>
              <w:top w:w="15" w:type="dxa"/>
              <w:left w:w="15" w:type="dxa"/>
              <w:bottom w:w="15" w:type="dxa"/>
              <w:right w:w="15" w:type="dxa"/>
            </w:tcMar>
            <w:vAlign w:val="center"/>
          </w:tcPr>
          <w:p w14:paraId="3AE4DC2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center"/>
              <w:textAlignment w:val="center"/>
              <w:rPr>
                <w:rFonts w:ascii="仿宋_GB2312" w:hAnsi="宋体" w:eastAsia="仿宋_GB2312" w:cs="宋体"/>
                <w:color w:val="auto"/>
                <w:kern w:val="0"/>
                <w:sz w:val="13"/>
                <w:szCs w:val="13"/>
                <w:highlight w:val="none"/>
              </w:rPr>
            </w:pPr>
            <w:r>
              <w:rPr>
                <w:rFonts w:hint="eastAsia" w:ascii="仿宋_GB2312" w:hAnsi="宋体" w:eastAsia="仿宋_GB2312" w:cs="宋体"/>
                <w:color w:val="auto"/>
                <w:kern w:val="0"/>
                <w:sz w:val="13"/>
                <w:szCs w:val="13"/>
                <w:highlight w:val="none"/>
              </w:rPr>
              <w:t>责令改正，没收违法所得，对单位处以</w:t>
            </w:r>
            <w:r>
              <w:rPr>
                <w:rFonts w:hint="eastAsia" w:ascii="仿宋_GB2312" w:hAnsi="宋体" w:eastAsia="仿宋_GB2312" w:cs="宋体"/>
                <w:color w:val="auto"/>
                <w:kern w:val="0"/>
                <w:sz w:val="13"/>
                <w:szCs w:val="13"/>
                <w:highlight w:val="none"/>
                <w:lang w:val="en-US" w:eastAsia="zh-CN"/>
              </w:rPr>
              <w:t>5</w:t>
            </w:r>
            <w:r>
              <w:rPr>
                <w:rFonts w:hint="eastAsia" w:ascii="仿宋_GB2312" w:hAnsi="宋体" w:eastAsia="仿宋_GB2312" w:cs="宋体"/>
                <w:color w:val="auto"/>
                <w:kern w:val="0"/>
                <w:sz w:val="13"/>
                <w:szCs w:val="13"/>
                <w:highlight w:val="none"/>
              </w:rPr>
              <w:t>万元以上</w:t>
            </w:r>
            <w:r>
              <w:rPr>
                <w:rFonts w:hint="eastAsia" w:ascii="仿宋_GB2312" w:hAnsi="宋体" w:eastAsia="仿宋_GB2312" w:cs="宋体"/>
                <w:color w:val="auto"/>
                <w:kern w:val="0"/>
                <w:sz w:val="13"/>
                <w:szCs w:val="13"/>
                <w:highlight w:val="none"/>
                <w:lang w:val="en-US" w:eastAsia="zh-CN"/>
              </w:rPr>
              <w:t>1</w:t>
            </w:r>
            <w:r>
              <w:rPr>
                <w:rFonts w:hint="eastAsia" w:ascii="仿宋_GB2312" w:hAnsi="宋体" w:eastAsia="仿宋_GB2312" w:cs="宋体"/>
                <w:color w:val="auto"/>
                <w:kern w:val="0"/>
                <w:sz w:val="13"/>
                <w:szCs w:val="13"/>
                <w:highlight w:val="none"/>
              </w:rPr>
              <w:t>0万元以下罚款，对个人处以</w:t>
            </w:r>
            <w:r>
              <w:rPr>
                <w:rFonts w:hint="eastAsia" w:ascii="仿宋_GB2312" w:hAnsi="宋体" w:eastAsia="仿宋_GB2312" w:cs="宋体"/>
                <w:color w:val="auto"/>
                <w:kern w:val="0"/>
                <w:sz w:val="13"/>
                <w:szCs w:val="13"/>
                <w:highlight w:val="none"/>
                <w:lang w:val="en-US" w:eastAsia="zh-CN"/>
              </w:rPr>
              <w:t>15</w:t>
            </w:r>
            <w:r>
              <w:rPr>
                <w:rFonts w:hint="eastAsia" w:ascii="仿宋_GB2312" w:hAnsi="宋体" w:eastAsia="仿宋_GB2312" w:cs="宋体"/>
                <w:color w:val="auto"/>
                <w:kern w:val="0"/>
                <w:sz w:val="13"/>
                <w:szCs w:val="13"/>
                <w:highlight w:val="none"/>
              </w:rPr>
              <w:t>0元罚款。</w:t>
            </w:r>
          </w:p>
        </w:tc>
      </w:tr>
      <w:tr w14:paraId="55761E2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166" w:hRule="atLeast"/>
          <w:jc w:val="center"/>
        </w:trPr>
        <w:tc>
          <w:tcPr>
            <w:tcW w:w="428" w:type="dxa"/>
            <w:vMerge w:val="continue"/>
            <w:tcBorders>
              <w:tl2br w:val="nil"/>
              <w:tr2bl w:val="nil"/>
            </w:tcBorders>
            <w:vAlign w:val="center"/>
          </w:tcPr>
          <w:p w14:paraId="69FB753A">
            <w:pPr>
              <w:pStyle w:val="37"/>
              <w:keepNext w:val="0"/>
              <w:keepLines w:val="0"/>
              <w:pageBreakBefore w:val="0"/>
              <w:widowControl/>
              <w:numPr>
                <w:ilvl w:val="0"/>
                <w:numId w:val="14"/>
              </w:numPr>
              <w:kinsoku/>
              <w:overflowPunct/>
              <w:topLinePunct w:val="0"/>
              <w:autoSpaceDE/>
              <w:autoSpaceDN/>
              <w:bidi w:val="0"/>
              <w:adjustRightInd/>
              <w:snapToGrid/>
              <w:spacing w:beforeAutospacing="0" w:afterAutospacing="0" w:line="260" w:lineRule="exact"/>
              <w:ind w:left="638" w:leftChars="88" w:right="0" w:rightChars="0" w:hanging="453" w:hangingChars="349"/>
              <w:jc w:val="center"/>
              <w:textAlignment w:val="center"/>
              <w:rPr>
                <w:rFonts w:ascii="仿宋_GB2312" w:hAnsi="宋体" w:eastAsia="仿宋_GB2312" w:cs="宋体"/>
                <w:color w:val="auto"/>
                <w:sz w:val="13"/>
                <w:szCs w:val="13"/>
                <w:highlight w:val="none"/>
              </w:rPr>
            </w:pPr>
          </w:p>
        </w:tc>
        <w:tc>
          <w:tcPr>
            <w:tcW w:w="1550" w:type="dxa"/>
            <w:vMerge w:val="continue"/>
            <w:tcBorders>
              <w:tl2br w:val="nil"/>
              <w:tr2bl w:val="nil"/>
            </w:tcBorders>
            <w:vAlign w:val="center"/>
          </w:tcPr>
          <w:p w14:paraId="56A1B53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宋体"/>
                <w:color w:val="auto"/>
                <w:sz w:val="13"/>
                <w:szCs w:val="13"/>
                <w:highlight w:val="none"/>
              </w:rPr>
            </w:pPr>
          </w:p>
        </w:tc>
        <w:tc>
          <w:tcPr>
            <w:tcW w:w="4820" w:type="dxa"/>
            <w:vMerge w:val="continue"/>
            <w:tcBorders>
              <w:tl2br w:val="nil"/>
              <w:tr2bl w:val="nil"/>
            </w:tcBorders>
            <w:vAlign w:val="center"/>
          </w:tcPr>
          <w:p w14:paraId="446EA55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宋体"/>
                <w:color w:val="auto"/>
                <w:sz w:val="13"/>
                <w:szCs w:val="13"/>
                <w:highlight w:val="none"/>
              </w:rPr>
            </w:pPr>
          </w:p>
        </w:tc>
        <w:tc>
          <w:tcPr>
            <w:tcW w:w="823" w:type="dxa"/>
            <w:vMerge w:val="restart"/>
            <w:tcBorders>
              <w:tl2br w:val="nil"/>
              <w:tr2bl w:val="nil"/>
            </w:tcBorders>
            <w:tcMar>
              <w:top w:w="15" w:type="dxa"/>
              <w:left w:w="15" w:type="dxa"/>
              <w:bottom w:w="15" w:type="dxa"/>
              <w:right w:w="15" w:type="dxa"/>
            </w:tcMar>
            <w:vAlign w:val="center"/>
          </w:tcPr>
          <w:p w14:paraId="64DB549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宋体"/>
                <w:color w:val="auto"/>
                <w:kern w:val="0"/>
                <w:sz w:val="13"/>
                <w:szCs w:val="13"/>
                <w:highlight w:val="none"/>
                <w:lang w:val="en-US" w:eastAsia="zh-CN"/>
              </w:rPr>
            </w:pPr>
            <w:r>
              <w:rPr>
                <w:rFonts w:hint="eastAsia" w:ascii="仿宋_GB2312" w:hAnsi="宋体" w:eastAsia="仿宋_GB2312" w:cs="宋体"/>
                <w:color w:val="auto"/>
                <w:kern w:val="0"/>
                <w:sz w:val="13"/>
                <w:szCs w:val="13"/>
                <w:highlight w:val="none"/>
                <w:lang w:eastAsia="zh-CN"/>
              </w:rPr>
              <w:t>一般情节</w:t>
            </w:r>
          </w:p>
        </w:tc>
        <w:tc>
          <w:tcPr>
            <w:tcW w:w="3437" w:type="dxa"/>
            <w:gridSpan w:val="2"/>
            <w:tcBorders>
              <w:tl2br w:val="nil"/>
              <w:tr2bl w:val="nil"/>
            </w:tcBorders>
            <w:tcMar>
              <w:top w:w="15" w:type="dxa"/>
              <w:left w:w="15" w:type="dxa"/>
              <w:bottom w:w="15" w:type="dxa"/>
              <w:right w:w="15" w:type="dxa"/>
            </w:tcMar>
            <w:vAlign w:val="center"/>
          </w:tcPr>
          <w:p w14:paraId="589501B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hint="eastAsia" w:ascii="仿宋_GB2312" w:hAnsi="宋体" w:eastAsia="仿宋_GB2312" w:cs="宋体"/>
                <w:color w:val="auto"/>
                <w:kern w:val="0"/>
                <w:sz w:val="13"/>
                <w:szCs w:val="13"/>
                <w:highlight w:val="none"/>
                <w:lang w:eastAsia="zh-CN"/>
              </w:rPr>
            </w:pPr>
            <w:r>
              <w:rPr>
                <w:rFonts w:hint="eastAsia" w:ascii="仿宋_GB2312" w:hAnsi="宋体" w:eastAsia="仿宋_GB2312" w:cs="宋体"/>
                <w:color w:val="auto"/>
                <w:kern w:val="0"/>
                <w:sz w:val="13"/>
                <w:szCs w:val="13"/>
                <w:highlight w:val="none"/>
              </w:rPr>
              <w:t>单位倾倒、抛洒、堆放或者焚烧生活垃圾</w:t>
            </w:r>
            <w:r>
              <w:rPr>
                <w:rFonts w:hint="eastAsia" w:ascii="仿宋_GB2312" w:hAnsi="宋体" w:eastAsia="仿宋_GB2312" w:cs="宋体"/>
                <w:color w:val="auto"/>
                <w:kern w:val="0"/>
                <w:sz w:val="13"/>
                <w:szCs w:val="13"/>
                <w:highlight w:val="none"/>
                <w:lang w:val="en-US" w:eastAsia="zh-CN"/>
              </w:rPr>
              <w:t>3</w:t>
            </w:r>
            <w:r>
              <w:rPr>
                <w:rFonts w:hint="eastAsia" w:ascii="仿宋_GB2312" w:hAnsi="宋体" w:eastAsia="仿宋_GB2312" w:cs="宋体"/>
                <w:color w:val="auto"/>
                <w:kern w:val="0"/>
                <w:sz w:val="13"/>
                <w:szCs w:val="13"/>
                <w:highlight w:val="none"/>
              </w:rPr>
              <w:t>吨以上</w:t>
            </w:r>
            <w:r>
              <w:rPr>
                <w:rFonts w:hint="eastAsia" w:ascii="仿宋_GB2312" w:hAnsi="宋体" w:eastAsia="仿宋_GB2312" w:cs="宋体"/>
                <w:color w:val="auto"/>
                <w:kern w:val="0"/>
                <w:sz w:val="13"/>
                <w:szCs w:val="13"/>
                <w:highlight w:val="none"/>
                <w:lang w:val="en-US" w:eastAsia="zh-CN"/>
              </w:rPr>
              <w:t>5</w:t>
            </w:r>
            <w:r>
              <w:rPr>
                <w:rFonts w:hint="eastAsia" w:ascii="仿宋_GB2312" w:hAnsi="宋体" w:eastAsia="仿宋_GB2312" w:cs="宋体"/>
                <w:color w:val="auto"/>
                <w:kern w:val="0"/>
                <w:sz w:val="13"/>
                <w:szCs w:val="13"/>
                <w:highlight w:val="none"/>
              </w:rPr>
              <w:t>吨以下的</w:t>
            </w:r>
            <w:r>
              <w:rPr>
                <w:rFonts w:hint="eastAsia" w:ascii="仿宋_GB2312" w:hAnsi="宋体" w:eastAsia="仿宋_GB2312" w:cs="宋体"/>
                <w:color w:val="auto"/>
                <w:kern w:val="0"/>
                <w:sz w:val="13"/>
                <w:szCs w:val="13"/>
                <w:highlight w:val="none"/>
                <w:lang w:eastAsia="zh-CN"/>
              </w:rPr>
              <w:t>，</w:t>
            </w:r>
            <w:r>
              <w:rPr>
                <w:rFonts w:hint="eastAsia" w:ascii="仿宋_GB2312" w:hAnsi="宋体" w:eastAsia="仿宋_GB2312" w:cs="宋体"/>
                <w:color w:val="auto"/>
                <w:kern w:val="0"/>
                <w:sz w:val="13"/>
                <w:szCs w:val="13"/>
                <w:highlight w:val="none"/>
                <w:lang w:val="en-US" w:eastAsia="zh-CN"/>
              </w:rPr>
              <w:t>个人</w:t>
            </w:r>
            <w:r>
              <w:rPr>
                <w:rFonts w:hint="eastAsia" w:ascii="仿宋_GB2312" w:hAnsi="宋体" w:eastAsia="仿宋_GB2312" w:cs="宋体"/>
                <w:color w:val="auto"/>
                <w:kern w:val="0"/>
                <w:sz w:val="13"/>
                <w:szCs w:val="13"/>
                <w:highlight w:val="none"/>
              </w:rPr>
              <w:t>倾倒、抛洒、堆放或者焚烧生活垃圾污染路面</w:t>
            </w:r>
            <w:r>
              <w:rPr>
                <w:rFonts w:hint="eastAsia" w:ascii="仿宋_GB2312" w:hAnsi="宋体" w:eastAsia="仿宋_GB2312" w:cs="宋体"/>
                <w:color w:val="auto"/>
                <w:kern w:val="0"/>
                <w:sz w:val="13"/>
                <w:szCs w:val="13"/>
                <w:highlight w:val="none"/>
                <w:lang w:val="en-US" w:eastAsia="zh-CN"/>
              </w:rPr>
              <w:t>2</w:t>
            </w:r>
            <w:r>
              <w:rPr>
                <w:rFonts w:hint="eastAsia" w:ascii="仿宋_GB2312" w:hAnsi="宋体" w:eastAsia="仿宋_GB2312" w:cs="宋体"/>
                <w:color w:val="auto"/>
                <w:kern w:val="0"/>
                <w:sz w:val="13"/>
                <w:szCs w:val="13"/>
                <w:highlight w:val="none"/>
              </w:rPr>
              <w:t>0平方米以上</w:t>
            </w:r>
            <w:r>
              <w:rPr>
                <w:rFonts w:hint="eastAsia" w:ascii="仿宋_GB2312" w:hAnsi="宋体" w:eastAsia="仿宋_GB2312" w:cs="宋体"/>
                <w:color w:val="auto"/>
                <w:kern w:val="0"/>
                <w:sz w:val="13"/>
                <w:szCs w:val="13"/>
                <w:highlight w:val="none"/>
                <w:lang w:val="en-US" w:eastAsia="zh-CN"/>
              </w:rPr>
              <w:t>3</w:t>
            </w:r>
            <w:r>
              <w:rPr>
                <w:rFonts w:hint="eastAsia" w:ascii="仿宋_GB2312" w:hAnsi="宋体" w:eastAsia="仿宋_GB2312" w:cs="宋体"/>
                <w:color w:val="auto"/>
                <w:kern w:val="0"/>
                <w:sz w:val="13"/>
                <w:szCs w:val="13"/>
                <w:highlight w:val="none"/>
              </w:rPr>
              <w:t>0平方米以下的</w:t>
            </w:r>
            <w:r>
              <w:rPr>
                <w:rFonts w:hint="eastAsia" w:ascii="仿宋_GB2312" w:hAnsi="宋体" w:eastAsia="仿宋_GB2312" w:cs="宋体"/>
                <w:color w:val="auto"/>
                <w:kern w:val="0"/>
                <w:sz w:val="13"/>
                <w:szCs w:val="13"/>
                <w:highlight w:val="none"/>
                <w:lang w:eastAsia="zh-CN"/>
              </w:rPr>
              <w:t>。</w:t>
            </w:r>
          </w:p>
        </w:tc>
        <w:tc>
          <w:tcPr>
            <w:tcW w:w="3058" w:type="dxa"/>
            <w:tcBorders>
              <w:tl2br w:val="nil"/>
              <w:tr2bl w:val="nil"/>
            </w:tcBorders>
            <w:tcMar>
              <w:top w:w="15" w:type="dxa"/>
              <w:left w:w="15" w:type="dxa"/>
              <w:bottom w:w="15" w:type="dxa"/>
              <w:right w:w="15" w:type="dxa"/>
            </w:tcMar>
            <w:vAlign w:val="center"/>
          </w:tcPr>
          <w:p w14:paraId="613285B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center"/>
              <w:textAlignment w:val="center"/>
              <w:rPr>
                <w:rFonts w:ascii="仿宋_GB2312" w:hAnsi="宋体" w:eastAsia="仿宋_GB2312" w:cs="宋体"/>
                <w:color w:val="auto"/>
                <w:kern w:val="0"/>
                <w:sz w:val="13"/>
                <w:szCs w:val="13"/>
                <w:highlight w:val="none"/>
              </w:rPr>
            </w:pPr>
            <w:r>
              <w:rPr>
                <w:rFonts w:hint="eastAsia" w:ascii="仿宋_GB2312" w:hAnsi="宋体" w:eastAsia="仿宋_GB2312" w:cs="宋体"/>
                <w:color w:val="auto"/>
                <w:sz w:val="13"/>
                <w:szCs w:val="13"/>
                <w:highlight w:val="none"/>
              </w:rPr>
              <w:t>责令改正</w:t>
            </w:r>
            <w:r>
              <w:rPr>
                <w:rFonts w:hint="eastAsia" w:ascii="仿宋_GB2312" w:hAnsi="宋体" w:eastAsia="仿宋_GB2312" w:cs="宋体"/>
                <w:color w:val="auto"/>
                <w:kern w:val="0"/>
                <w:sz w:val="13"/>
                <w:szCs w:val="13"/>
                <w:highlight w:val="none"/>
              </w:rPr>
              <w:t>，</w:t>
            </w:r>
            <w:r>
              <w:rPr>
                <w:rFonts w:hint="eastAsia" w:ascii="仿宋_GB2312" w:hAnsi="宋体" w:eastAsia="仿宋_GB2312" w:cs="宋体"/>
                <w:color w:val="auto"/>
                <w:sz w:val="13"/>
                <w:szCs w:val="13"/>
                <w:highlight w:val="none"/>
              </w:rPr>
              <w:t>没收违法所得，</w:t>
            </w:r>
            <w:r>
              <w:rPr>
                <w:rFonts w:hint="eastAsia" w:ascii="仿宋_GB2312" w:hAnsi="宋体" w:eastAsia="仿宋_GB2312" w:cs="宋体"/>
                <w:color w:val="auto"/>
                <w:kern w:val="0"/>
                <w:sz w:val="13"/>
                <w:szCs w:val="13"/>
                <w:highlight w:val="none"/>
              </w:rPr>
              <w:t>对单位处以</w:t>
            </w:r>
            <w:r>
              <w:rPr>
                <w:rFonts w:hint="eastAsia" w:ascii="仿宋_GB2312" w:hAnsi="宋体" w:eastAsia="仿宋_GB2312" w:cs="宋体"/>
                <w:color w:val="auto"/>
                <w:kern w:val="0"/>
                <w:sz w:val="13"/>
                <w:szCs w:val="13"/>
                <w:highlight w:val="none"/>
                <w:lang w:val="en-US" w:eastAsia="zh-CN"/>
              </w:rPr>
              <w:t>1</w:t>
            </w:r>
            <w:r>
              <w:rPr>
                <w:rFonts w:hint="eastAsia" w:ascii="仿宋_GB2312" w:hAnsi="宋体" w:eastAsia="仿宋_GB2312" w:cs="宋体"/>
                <w:color w:val="auto"/>
                <w:kern w:val="0"/>
                <w:sz w:val="13"/>
                <w:szCs w:val="13"/>
                <w:highlight w:val="none"/>
              </w:rPr>
              <w:t>0万元以上</w:t>
            </w:r>
            <w:r>
              <w:rPr>
                <w:rFonts w:hint="eastAsia" w:ascii="仿宋_GB2312" w:hAnsi="宋体" w:eastAsia="仿宋_GB2312" w:cs="宋体"/>
                <w:color w:val="auto"/>
                <w:kern w:val="0"/>
                <w:sz w:val="13"/>
                <w:szCs w:val="13"/>
                <w:highlight w:val="none"/>
                <w:lang w:val="en-US" w:eastAsia="zh-CN"/>
              </w:rPr>
              <w:t>2</w:t>
            </w:r>
            <w:r>
              <w:rPr>
                <w:rFonts w:hint="eastAsia" w:ascii="仿宋_GB2312" w:hAnsi="宋体" w:eastAsia="仿宋_GB2312" w:cs="宋体"/>
                <w:color w:val="auto"/>
                <w:kern w:val="0"/>
                <w:sz w:val="13"/>
                <w:szCs w:val="13"/>
                <w:highlight w:val="none"/>
              </w:rPr>
              <w:t>0万元以下罚款，对个人处以</w:t>
            </w:r>
            <w:r>
              <w:rPr>
                <w:rFonts w:hint="eastAsia" w:ascii="仿宋_GB2312" w:hAnsi="宋体" w:eastAsia="仿宋_GB2312" w:cs="宋体"/>
                <w:color w:val="auto"/>
                <w:kern w:val="0"/>
                <w:sz w:val="13"/>
                <w:szCs w:val="13"/>
                <w:highlight w:val="none"/>
                <w:lang w:val="en-US" w:eastAsia="zh-CN"/>
              </w:rPr>
              <w:t>2</w:t>
            </w:r>
            <w:r>
              <w:rPr>
                <w:rFonts w:hint="eastAsia" w:ascii="仿宋_GB2312" w:hAnsi="宋体" w:eastAsia="仿宋_GB2312" w:cs="宋体"/>
                <w:color w:val="auto"/>
                <w:kern w:val="0"/>
                <w:sz w:val="13"/>
                <w:szCs w:val="13"/>
                <w:highlight w:val="none"/>
              </w:rPr>
              <w:t>00元罚款</w:t>
            </w:r>
            <w:r>
              <w:rPr>
                <w:rFonts w:hint="eastAsia" w:ascii="仿宋_GB2312" w:hAnsi="宋体" w:eastAsia="仿宋_GB2312" w:cs="宋体"/>
                <w:color w:val="auto"/>
                <w:sz w:val="13"/>
                <w:szCs w:val="13"/>
                <w:highlight w:val="none"/>
              </w:rPr>
              <w:t>。</w:t>
            </w:r>
          </w:p>
        </w:tc>
      </w:tr>
      <w:tr w14:paraId="22C0CEF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134" w:hRule="atLeast"/>
          <w:jc w:val="center"/>
        </w:trPr>
        <w:tc>
          <w:tcPr>
            <w:tcW w:w="428" w:type="dxa"/>
            <w:vMerge w:val="continue"/>
            <w:tcBorders>
              <w:tl2br w:val="nil"/>
              <w:tr2bl w:val="nil"/>
            </w:tcBorders>
            <w:vAlign w:val="center"/>
          </w:tcPr>
          <w:p w14:paraId="2BF90B1B">
            <w:pPr>
              <w:pStyle w:val="37"/>
              <w:keepNext w:val="0"/>
              <w:keepLines w:val="0"/>
              <w:pageBreakBefore w:val="0"/>
              <w:widowControl/>
              <w:numPr>
                <w:ilvl w:val="0"/>
                <w:numId w:val="14"/>
              </w:numPr>
              <w:kinsoku/>
              <w:overflowPunct/>
              <w:topLinePunct w:val="0"/>
              <w:autoSpaceDE/>
              <w:autoSpaceDN/>
              <w:bidi w:val="0"/>
              <w:adjustRightInd/>
              <w:snapToGrid/>
              <w:spacing w:beforeAutospacing="0" w:afterAutospacing="0" w:line="260" w:lineRule="exact"/>
              <w:ind w:left="638" w:leftChars="88" w:right="0" w:rightChars="0" w:hanging="453" w:hangingChars="349"/>
              <w:jc w:val="center"/>
              <w:textAlignment w:val="center"/>
              <w:rPr>
                <w:rFonts w:ascii="仿宋_GB2312" w:hAnsi="宋体" w:eastAsia="仿宋_GB2312" w:cs="宋体"/>
                <w:color w:val="auto"/>
                <w:sz w:val="13"/>
                <w:szCs w:val="13"/>
                <w:highlight w:val="none"/>
              </w:rPr>
            </w:pPr>
          </w:p>
        </w:tc>
        <w:tc>
          <w:tcPr>
            <w:tcW w:w="1550" w:type="dxa"/>
            <w:vMerge w:val="continue"/>
            <w:tcBorders>
              <w:tl2br w:val="nil"/>
              <w:tr2bl w:val="nil"/>
            </w:tcBorders>
            <w:vAlign w:val="center"/>
          </w:tcPr>
          <w:p w14:paraId="76C5AEB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宋体"/>
                <w:color w:val="auto"/>
                <w:sz w:val="13"/>
                <w:szCs w:val="13"/>
                <w:highlight w:val="none"/>
              </w:rPr>
            </w:pPr>
          </w:p>
        </w:tc>
        <w:tc>
          <w:tcPr>
            <w:tcW w:w="4820" w:type="dxa"/>
            <w:vMerge w:val="continue"/>
            <w:tcBorders>
              <w:tl2br w:val="nil"/>
              <w:tr2bl w:val="nil"/>
            </w:tcBorders>
            <w:vAlign w:val="center"/>
          </w:tcPr>
          <w:p w14:paraId="4E02A3A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宋体"/>
                <w:color w:val="auto"/>
                <w:sz w:val="13"/>
                <w:szCs w:val="13"/>
                <w:highlight w:val="none"/>
              </w:rPr>
            </w:pPr>
          </w:p>
        </w:tc>
        <w:tc>
          <w:tcPr>
            <w:tcW w:w="823" w:type="dxa"/>
            <w:vMerge w:val="continue"/>
            <w:tcBorders>
              <w:tl2br w:val="nil"/>
              <w:tr2bl w:val="nil"/>
            </w:tcBorders>
            <w:tcMar>
              <w:top w:w="15" w:type="dxa"/>
              <w:left w:w="15" w:type="dxa"/>
              <w:bottom w:w="15" w:type="dxa"/>
              <w:right w:w="15" w:type="dxa"/>
            </w:tcMar>
            <w:vAlign w:val="center"/>
          </w:tcPr>
          <w:p w14:paraId="0294ABD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kern w:val="0"/>
                <w:sz w:val="13"/>
                <w:szCs w:val="13"/>
                <w:highlight w:val="none"/>
                <w:lang w:eastAsia="zh-CN"/>
              </w:rPr>
            </w:pPr>
          </w:p>
        </w:tc>
        <w:tc>
          <w:tcPr>
            <w:tcW w:w="3437" w:type="dxa"/>
            <w:gridSpan w:val="2"/>
            <w:tcBorders>
              <w:tl2br w:val="nil"/>
              <w:tr2bl w:val="nil"/>
            </w:tcBorders>
            <w:tcMar>
              <w:top w:w="15" w:type="dxa"/>
              <w:left w:w="15" w:type="dxa"/>
              <w:bottom w:w="15" w:type="dxa"/>
              <w:right w:w="15" w:type="dxa"/>
            </w:tcMar>
            <w:vAlign w:val="center"/>
          </w:tcPr>
          <w:p w14:paraId="17F6BEE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hint="eastAsia" w:ascii="仿宋_GB2312" w:hAnsi="宋体" w:eastAsia="仿宋_GB2312" w:cs="宋体"/>
                <w:color w:val="auto"/>
                <w:kern w:val="0"/>
                <w:sz w:val="13"/>
                <w:szCs w:val="13"/>
                <w:highlight w:val="none"/>
              </w:rPr>
            </w:pPr>
            <w:r>
              <w:rPr>
                <w:rFonts w:hint="eastAsia" w:ascii="仿宋_GB2312" w:hAnsi="宋体" w:eastAsia="仿宋_GB2312" w:cs="宋体"/>
                <w:color w:val="auto"/>
                <w:kern w:val="0"/>
                <w:sz w:val="13"/>
                <w:szCs w:val="13"/>
                <w:highlight w:val="none"/>
              </w:rPr>
              <w:t>单位倾倒、抛洒、堆放或者焚烧生活垃圾</w:t>
            </w:r>
            <w:r>
              <w:rPr>
                <w:rFonts w:hint="eastAsia" w:ascii="仿宋_GB2312" w:hAnsi="宋体" w:eastAsia="仿宋_GB2312" w:cs="宋体"/>
                <w:color w:val="auto"/>
                <w:kern w:val="0"/>
                <w:sz w:val="13"/>
                <w:szCs w:val="13"/>
                <w:highlight w:val="none"/>
                <w:lang w:val="en-US" w:eastAsia="zh-CN"/>
              </w:rPr>
              <w:t>5</w:t>
            </w:r>
            <w:r>
              <w:rPr>
                <w:rFonts w:hint="eastAsia" w:ascii="仿宋_GB2312" w:hAnsi="宋体" w:eastAsia="仿宋_GB2312" w:cs="宋体"/>
                <w:color w:val="auto"/>
                <w:kern w:val="0"/>
                <w:sz w:val="13"/>
                <w:szCs w:val="13"/>
                <w:highlight w:val="none"/>
              </w:rPr>
              <w:t>吨以上</w:t>
            </w:r>
            <w:r>
              <w:rPr>
                <w:rFonts w:hint="eastAsia" w:ascii="仿宋_GB2312" w:hAnsi="宋体" w:eastAsia="仿宋_GB2312" w:cs="宋体"/>
                <w:color w:val="auto"/>
                <w:kern w:val="0"/>
                <w:sz w:val="13"/>
                <w:szCs w:val="13"/>
                <w:highlight w:val="none"/>
                <w:lang w:val="en-US" w:eastAsia="zh-CN"/>
              </w:rPr>
              <w:t>7</w:t>
            </w:r>
            <w:r>
              <w:rPr>
                <w:rFonts w:hint="eastAsia" w:ascii="仿宋_GB2312" w:hAnsi="宋体" w:eastAsia="仿宋_GB2312" w:cs="宋体"/>
                <w:color w:val="auto"/>
                <w:kern w:val="0"/>
                <w:sz w:val="13"/>
                <w:szCs w:val="13"/>
                <w:highlight w:val="none"/>
              </w:rPr>
              <w:t>吨以下的</w:t>
            </w:r>
            <w:r>
              <w:rPr>
                <w:rFonts w:hint="eastAsia" w:ascii="仿宋_GB2312" w:hAnsi="宋体" w:eastAsia="仿宋_GB2312" w:cs="宋体"/>
                <w:color w:val="auto"/>
                <w:kern w:val="0"/>
                <w:sz w:val="13"/>
                <w:szCs w:val="13"/>
                <w:highlight w:val="none"/>
                <w:lang w:eastAsia="zh-CN"/>
              </w:rPr>
              <w:t>，</w:t>
            </w:r>
            <w:r>
              <w:rPr>
                <w:rFonts w:hint="eastAsia" w:ascii="仿宋_GB2312" w:hAnsi="宋体" w:eastAsia="仿宋_GB2312" w:cs="宋体"/>
                <w:color w:val="auto"/>
                <w:kern w:val="0"/>
                <w:sz w:val="13"/>
                <w:szCs w:val="13"/>
                <w:highlight w:val="none"/>
                <w:lang w:val="en-US" w:eastAsia="zh-CN"/>
              </w:rPr>
              <w:t>个人</w:t>
            </w:r>
            <w:r>
              <w:rPr>
                <w:rFonts w:hint="eastAsia" w:ascii="仿宋_GB2312" w:hAnsi="宋体" w:eastAsia="仿宋_GB2312" w:cs="宋体"/>
                <w:color w:val="auto"/>
                <w:kern w:val="0"/>
                <w:sz w:val="13"/>
                <w:szCs w:val="13"/>
                <w:highlight w:val="none"/>
              </w:rPr>
              <w:t>倾倒、抛洒、堆放或者焚烧生活垃圾污染路面</w:t>
            </w:r>
            <w:r>
              <w:rPr>
                <w:rFonts w:hint="eastAsia" w:ascii="仿宋_GB2312" w:hAnsi="宋体" w:eastAsia="仿宋_GB2312" w:cs="宋体"/>
                <w:color w:val="auto"/>
                <w:kern w:val="0"/>
                <w:sz w:val="13"/>
                <w:szCs w:val="13"/>
                <w:highlight w:val="none"/>
                <w:lang w:val="en-US" w:eastAsia="zh-CN"/>
              </w:rPr>
              <w:t>3</w:t>
            </w:r>
            <w:r>
              <w:rPr>
                <w:rFonts w:hint="eastAsia" w:ascii="仿宋_GB2312" w:hAnsi="宋体" w:eastAsia="仿宋_GB2312" w:cs="宋体"/>
                <w:color w:val="auto"/>
                <w:kern w:val="0"/>
                <w:sz w:val="13"/>
                <w:szCs w:val="13"/>
                <w:highlight w:val="none"/>
              </w:rPr>
              <w:t>0平方米以上</w:t>
            </w:r>
            <w:r>
              <w:rPr>
                <w:rFonts w:hint="eastAsia" w:ascii="仿宋_GB2312" w:hAnsi="宋体" w:eastAsia="仿宋_GB2312" w:cs="宋体"/>
                <w:color w:val="auto"/>
                <w:kern w:val="0"/>
                <w:sz w:val="13"/>
                <w:szCs w:val="13"/>
                <w:highlight w:val="none"/>
                <w:lang w:val="en-US" w:eastAsia="zh-CN"/>
              </w:rPr>
              <w:t>4</w:t>
            </w:r>
            <w:r>
              <w:rPr>
                <w:rFonts w:hint="eastAsia" w:ascii="仿宋_GB2312" w:hAnsi="宋体" w:eastAsia="仿宋_GB2312" w:cs="宋体"/>
                <w:color w:val="auto"/>
                <w:kern w:val="0"/>
                <w:sz w:val="13"/>
                <w:szCs w:val="13"/>
                <w:highlight w:val="none"/>
              </w:rPr>
              <w:t>0平方米以下的。</w:t>
            </w:r>
          </w:p>
        </w:tc>
        <w:tc>
          <w:tcPr>
            <w:tcW w:w="3058" w:type="dxa"/>
            <w:tcBorders>
              <w:tl2br w:val="nil"/>
              <w:tr2bl w:val="nil"/>
            </w:tcBorders>
            <w:tcMar>
              <w:top w:w="15" w:type="dxa"/>
              <w:left w:w="15" w:type="dxa"/>
              <w:bottom w:w="15" w:type="dxa"/>
              <w:right w:w="15" w:type="dxa"/>
            </w:tcMar>
            <w:vAlign w:val="center"/>
          </w:tcPr>
          <w:p w14:paraId="341C36D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center"/>
              <w:textAlignment w:val="center"/>
              <w:rPr>
                <w:rFonts w:ascii="仿宋_GB2312" w:hAnsi="宋体" w:eastAsia="仿宋_GB2312" w:cs="宋体"/>
                <w:color w:val="auto"/>
                <w:kern w:val="0"/>
                <w:sz w:val="13"/>
                <w:szCs w:val="13"/>
                <w:highlight w:val="none"/>
              </w:rPr>
            </w:pPr>
            <w:r>
              <w:rPr>
                <w:rFonts w:hint="eastAsia" w:ascii="仿宋_GB2312" w:hAnsi="宋体" w:eastAsia="仿宋_GB2312" w:cs="宋体"/>
                <w:color w:val="auto"/>
                <w:kern w:val="0"/>
                <w:sz w:val="13"/>
                <w:szCs w:val="13"/>
                <w:highlight w:val="none"/>
              </w:rPr>
              <w:t>责令改正，没收违法所得，对单位处以</w:t>
            </w:r>
            <w:r>
              <w:rPr>
                <w:rFonts w:hint="eastAsia" w:ascii="仿宋_GB2312" w:hAnsi="宋体" w:eastAsia="仿宋_GB2312" w:cs="宋体"/>
                <w:color w:val="auto"/>
                <w:kern w:val="0"/>
                <w:sz w:val="13"/>
                <w:szCs w:val="13"/>
                <w:highlight w:val="none"/>
                <w:lang w:val="en-US" w:eastAsia="zh-CN"/>
              </w:rPr>
              <w:t>2</w:t>
            </w:r>
            <w:r>
              <w:rPr>
                <w:rFonts w:hint="eastAsia" w:ascii="仿宋_GB2312" w:hAnsi="宋体" w:eastAsia="仿宋_GB2312" w:cs="宋体"/>
                <w:color w:val="auto"/>
                <w:kern w:val="0"/>
                <w:sz w:val="13"/>
                <w:szCs w:val="13"/>
                <w:highlight w:val="none"/>
              </w:rPr>
              <w:t>0万元以上</w:t>
            </w:r>
            <w:r>
              <w:rPr>
                <w:rFonts w:hint="eastAsia" w:ascii="仿宋_GB2312" w:hAnsi="宋体" w:eastAsia="仿宋_GB2312" w:cs="宋体"/>
                <w:color w:val="auto"/>
                <w:kern w:val="0"/>
                <w:sz w:val="13"/>
                <w:szCs w:val="13"/>
                <w:highlight w:val="none"/>
                <w:lang w:val="en-US" w:eastAsia="zh-CN"/>
              </w:rPr>
              <w:t>3</w:t>
            </w:r>
            <w:r>
              <w:rPr>
                <w:rFonts w:hint="eastAsia" w:ascii="仿宋_GB2312" w:hAnsi="宋体" w:eastAsia="仿宋_GB2312" w:cs="宋体"/>
                <w:color w:val="auto"/>
                <w:kern w:val="0"/>
                <w:sz w:val="13"/>
                <w:szCs w:val="13"/>
                <w:highlight w:val="none"/>
              </w:rPr>
              <w:t>0万元以下罚款，对个人处以</w:t>
            </w:r>
            <w:r>
              <w:rPr>
                <w:rFonts w:hint="eastAsia" w:ascii="仿宋_GB2312" w:hAnsi="宋体" w:eastAsia="仿宋_GB2312" w:cs="宋体"/>
                <w:color w:val="auto"/>
                <w:kern w:val="0"/>
                <w:sz w:val="13"/>
                <w:szCs w:val="13"/>
                <w:highlight w:val="none"/>
                <w:lang w:val="en-US" w:eastAsia="zh-CN"/>
              </w:rPr>
              <w:t>3</w:t>
            </w:r>
            <w:r>
              <w:rPr>
                <w:rFonts w:hint="eastAsia" w:ascii="仿宋_GB2312" w:hAnsi="宋体" w:eastAsia="仿宋_GB2312" w:cs="宋体"/>
                <w:color w:val="auto"/>
                <w:kern w:val="0"/>
                <w:sz w:val="13"/>
                <w:szCs w:val="13"/>
                <w:highlight w:val="none"/>
              </w:rPr>
              <w:t>00元罚款。</w:t>
            </w:r>
          </w:p>
        </w:tc>
      </w:tr>
      <w:tr w14:paraId="570151C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144" w:hRule="atLeast"/>
          <w:jc w:val="center"/>
        </w:trPr>
        <w:tc>
          <w:tcPr>
            <w:tcW w:w="428" w:type="dxa"/>
            <w:vMerge w:val="continue"/>
            <w:tcBorders>
              <w:tl2br w:val="nil"/>
              <w:tr2bl w:val="nil"/>
            </w:tcBorders>
            <w:vAlign w:val="center"/>
          </w:tcPr>
          <w:p w14:paraId="744AE217">
            <w:pPr>
              <w:pStyle w:val="37"/>
              <w:keepNext w:val="0"/>
              <w:keepLines w:val="0"/>
              <w:pageBreakBefore w:val="0"/>
              <w:widowControl/>
              <w:numPr>
                <w:ilvl w:val="0"/>
                <w:numId w:val="14"/>
              </w:numPr>
              <w:kinsoku/>
              <w:overflowPunct/>
              <w:topLinePunct w:val="0"/>
              <w:autoSpaceDE/>
              <w:autoSpaceDN/>
              <w:bidi w:val="0"/>
              <w:adjustRightInd/>
              <w:snapToGrid/>
              <w:spacing w:beforeAutospacing="0" w:afterAutospacing="0" w:line="260" w:lineRule="exact"/>
              <w:ind w:left="638" w:leftChars="88" w:right="0" w:rightChars="0" w:hanging="453" w:hangingChars="349"/>
              <w:jc w:val="center"/>
              <w:textAlignment w:val="center"/>
              <w:rPr>
                <w:rFonts w:ascii="仿宋_GB2312" w:hAnsi="宋体" w:eastAsia="仿宋_GB2312" w:cs="宋体"/>
                <w:color w:val="auto"/>
                <w:kern w:val="0"/>
                <w:sz w:val="13"/>
                <w:szCs w:val="13"/>
                <w:highlight w:val="none"/>
              </w:rPr>
            </w:pPr>
          </w:p>
        </w:tc>
        <w:tc>
          <w:tcPr>
            <w:tcW w:w="1550" w:type="dxa"/>
            <w:vMerge w:val="continue"/>
            <w:tcBorders>
              <w:tl2br w:val="nil"/>
              <w:tr2bl w:val="nil"/>
            </w:tcBorders>
            <w:vAlign w:val="center"/>
          </w:tcPr>
          <w:p w14:paraId="2FF1A54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kern w:val="0"/>
                <w:sz w:val="13"/>
                <w:szCs w:val="13"/>
                <w:highlight w:val="none"/>
              </w:rPr>
            </w:pPr>
          </w:p>
        </w:tc>
        <w:tc>
          <w:tcPr>
            <w:tcW w:w="4820" w:type="dxa"/>
            <w:vMerge w:val="continue"/>
            <w:tcBorders>
              <w:tl2br w:val="nil"/>
              <w:tr2bl w:val="nil"/>
            </w:tcBorders>
            <w:vAlign w:val="center"/>
          </w:tcPr>
          <w:p w14:paraId="5977071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kern w:val="0"/>
                <w:sz w:val="13"/>
                <w:szCs w:val="13"/>
                <w:highlight w:val="none"/>
              </w:rPr>
            </w:pPr>
          </w:p>
        </w:tc>
        <w:tc>
          <w:tcPr>
            <w:tcW w:w="823" w:type="dxa"/>
            <w:vMerge w:val="restart"/>
            <w:tcBorders>
              <w:tl2br w:val="nil"/>
              <w:tr2bl w:val="nil"/>
            </w:tcBorders>
            <w:tcMar>
              <w:top w:w="15" w:type="dxa"/>
              <w:left w:w="15" w:type="dxa"/>
              <w:bottom w:w="15" w:type="dxa"/>
              <w:right w:w="15" w:type="dxa"/>
            </w:tcMar>
            <w:vAlign w:val="center"/>
          </w:tcPr>
          <w:p w14:paraId="6209172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kern w:val="0"/>
                <w:sz w:val="13"/>
                <w:szCs w:val="13"/>
                <w:highlight w:val="none"/>
                <w:lang w:eastAsia="zh-CN"/>
              </w:rPr>
            </w:pPr>
            <w:r>
              <w:rPr>
                <w:rFonts w:hint="eastAsia" w:ascii="仿宋_GB2312" w:hAnsi="宋体" w:eastAsia="仿宋_GB2312" w:cs="宋体"/>
                <w:color w:val="auto"/>
                <w:kern w:val="0"/>
                <w:sz w:val="13"/>
                <w:szCs w:val="13"/>
                <w:highlight w:val="none"/>
                <w:lang w:eastAsia="zh-CN"/>
              </w:rPr>
              <w:t>从重情节</w:t>
            </w:r>
          </w:p>
        </w:tc>
        <w:tc>
          <w:tcPr>
            <w:tcW w:w="3437" w:type="dxa"/>
            <w:gridSpan w:val="2"/>
            <w:tcBorders>
              <w:tl2br w:val="nil"/>
              <w:tr2bl w:val="nil"/>
            </w:tcBorders>
            <w:tcMar>
              <w:top w:w="15" w:type="dxa"/>
              <w:left w:w="15" w:type="dxa"/>
              <w:bottom w:w="15" w:type="dxa"/>
              <w:right w:w="15" w:type="dxa"/>
            </w:tcMar>
            <w:vAlign w:val="center"/>
          </w:tcPr>
          <w:p w14:paraId="0658BD3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hint="eastAsia" w:ascii="仿宋_GB2312" w:hAnsi="宋体" w:eastAsia="仿宋_GB2312" w:cs="宋体"/>
                <w:color w:val="auto"/>
                <w:kern w:val="0"/>
                <w:sz w:val="13"/>
                <w:szCs w:val="13"/>
                <w:highlight w:val="none"/>
                <w:lang w:val="en-US" w:eastAsia="zh-CN" w:bidi="ar-SA"/>
              </w:rPr>
            </w:pPr>
            <w:r>
              <w:rPr>
                <w:rFonts w:hint="eastAsia" w:ascii="仿宋_GB2312" w:hAnsi="宋体" w:eastAsia="仿宋_GB2312" w:cs="宋体"/>
                <w:color w:val="auto"/>
                <w:kern w:val="0"/>
                <w:sz w:val="13"/>
                <w:szCs w:val="13"/>
                <w:highlight w:val="none"/>
              </w:rPr>
              <w:t>单位倾倒、抛洒、堆放或者焚烧生活垃圾7吨以上9吨以下的</w:t>
            </w:r>
            <w:r>
              <w:rPr>
                <w:rFonts w:hint="eastAsia" w:ascii="仿宋_GB2312" w:hAnsi="宋体" w:eastAsia="仿宋_GB2312" w:cs="宋体"/>
                <w:color w:val="auto"/>
                <w:kern w:val="0"/>
                <w:sz w:val="13"/>
                <w:szCs w:val="13"/>
                <w:highlight w:val="none"/>
                <w:lang w:eastAsia="zh-CN"/>
              </w:rPr>
              <w:t>，</w:t>
            </w:r>
            <w:r>
              <w:rPr>
                <w:rFonts w:hint="eastAsia" w:ascii="仿宋_GB2312" w:hAnsi="宋体" w:eastAsia="仿宋_GB2312" w:cs="宋体"/>
                <w:color w:val="auto"/>
                <w:kern w:val="0"/>
                <w:sz w:val="13"/>
                <w:szCs w:val="13"/>
                <w:highlight w:val="none"/>
                <w:lang w:val="en-US" w:eastAsia="zh-CN"/>
              </w:rPr>
              <w:t>个人</w:t>
            </w:r>
            <w:r>
              <w:rPr>
                <w:rFonts w:hint="eastAsia" w:ascii="仿宋_GB2312" w:hAnsi="宋体" w:eastAsia="仿宋_GB2312" w:cs="宋体"/>
                <w:color w:val="auto"/>
                <w:kern w:val="0"/>
                <w:sz w:val="13"/>
                <w:szCs w:val="13"/>
                <w:highlight w:val="none"/>
              </w:rPr>
              <w:t>倾倒、抛洒、堆放或者焚烧生活垃圾污染路面</w:t>
            </w:r>
            <w:r>
              <w:rPr>
                <w:rFonts w:hint="eastAsia" w:ascii="仿宋_GB2312" w:hAnsi="宋体" w:eastAsia="仿宋_GB2312" w:cs="宋体"/>
                <w:color w:val="auto"/>
                <w:kern w:val="0"/>
                <w:sz w:val="13"/>
                <w:szCs w:val="13"/>
                <w:highlight w:val="none"/>
                <w:lang w:val="en-US" w:eastAsia="zh-CN"/>
              </w:rPr>
              <w:t>4</w:t>
            </w:r>
            <w:r>
              <w:rPr>
                <w:rFonts w:hint="eastAsia" w:ascii="仿宋_GB2312" w:hAnsi="宋体" w:eastAsia="仿宋_GB2312" w:cs="宋体"/>
                <w:color w:val="auto"/>
                <w:kern w:val="0"/>
                <w:sz w:val="13"/>
                <w:szCs w:val="13"/>
                <w:highlight w:val="none"/>
              </w:rPr>
              <w:t>0平方米以上</w:t>
            </w:r>
            <w:r>
              <w:rPr>
                <w:rFonts w:hint="eastAsia" w:ascii="仿宋_GB2312" w:hAnsi="宋体" w:eastAsia="仿宋_GB2312" w:cs="宋体"/>
                <w:color w:val="auto"/>
                <w:kern w:val="0"/>
                <w:sz w:val="13"/>
                <w:szCs w:val="13"/>
                <w:highlight w:val="none"/>
                <w:lang w:val="en-US" w:eastAsia="zh-CN"/>
              </w:rPr>
              <w:t>5</w:t>
            </w:r>
            <w:r>
              <w:rPr>
                <w:rFonts w:hint="eastAsia" w:ascii="仿宋_GB2312" w:hAnsi="宋体" w:eastAsia="仿宋_GB2312" w:cs="宋体"/>
                <w:color w:val="auto"/>
                <w:kern w:val="0"/>
                <w:sz w:val="13"/>
                <w:szCs w:val="13"/>
                <w:highlight w:val="none"/>
              </w:rPr>
              <w:t>0平方米以下的。</w:t>
            </w:r>
          </w:p>
        </w:tc>
        <w:tc>
          <w:tcPr>
            <w:tcW w:w="3058" w:type="dxa"/>
            <w:tcBorders>
              <w:tl2br w:val="nil"/>
              <w:tr2bl w:val="nil"/>
            </w:tcBorders>
            <w:tcMar>
              <w:top w:w="15" w:type="dxa"/>
              <w:left w:w="15" w:type="dxa"/>
              <w:bottom w:w="15" w:type="dxa"/>
              <w:right w:w="15" w:type="dxa"/>
            </w:tcMar>
            <w:vAlign w:val="center"/>
          </w:tcPr>
          <w:p w14:paraId="603CB39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hint="eastAsia" w:ascii="仿宋_GB2312" w:hAnsi="宋体" w:eastAsia="仿宋_GB2312" w:cs="宋体"/>
                <w:color w:val="auto"/>
                <w:kern w:val="2"/>
                <w:sz w:val="13"/>
                <w:szCs w:val="13"/>
                <w:highlight w:val="none"/>
                <w:lang w:val="en-US" w:eastAsia="zh-CN" w:bidi="ar-SA"/>
              </w:rPr>
            </w:pPr>
            <w:r>
              <w:rPr>
                <w:rFonts w:hint="eastAsia" w:ascii="仿宋_GB2312" w:hAnsi="宋体" w:eastAsia="仿宋_GB2312" w:cs="宋体"/>
                <w:color w:val="auto"/>
                <w:sz w:val="13"/>
                <w:szCs w:val="13"/>
                <w:highlight w:val="none"/>
              </w:rPr>
              <w:t>责令改正</w:t>
            </w:r>
            <w:r>
              <w:rPr>
                <w:rFonts w:hint="eastAsia" w:ascii="仿宋_GB2312" w:hAnsi="宋体" w:eastAsia="仿宋_GB2312" w:cs="宋体"/>
                <w:color w:val="auto"/>
                <w:kern w:val="0"/>
                <w:sz w:val="13"/>
                <w:szCs w:val="13"/>
                <w:highlight w:val="none"/>
              </w:rPr>
              <w:t>，</w:t>
            </w:r>
            <w:r>
              <w:rPr>
                <w:rFonts w:hint="eastAsia" w:ascii="仿宋_GB2312" w:hAnsi="宋体" w:eastAsia="仿宋_GB2312" w:cs="宋体"/>
                <w:color w:val="auto"/>
                <w:sz w:val="13"/>
                <w:szCs w:val="13"/>
                <w:highlight w:val="none"/>
              </w:rPr>
              <w:t>没收违法所得，</w:t>
            </w:r>
            <w:r>
              <w:rPr>
                <w:rFonts w:hint="eastAsia" w:ascii="仿宋_GB2312" w:hAnsi="宋体" w:eastAsia="仿宋_GB2312" w:cs="宋体"/>
                <w:color w:val="auto"/>
                <w:kern w:val="0"/>
                <w:sz w:val="13"/>
                <w:szCs w:val="13"/>
                <w:highlight w:val="none"/>
              </w:rPr>
              <w:t>对单位处以30万元以上40万元以下罚款，对个人处以400元罚款</w:t>
            </w:r>
            <w:r>
              <w:rPr>
                <w:rFonts w:hint="eastAsia" w:ascii="仿宋_GB2312" w:hAnsi="宋体" w:eastAsia="仿宋_GB2312" w:cs="宋体"/>
                <w:color w:val="auto"/>
                <w:sz w:val="13"/>
                <w:szCs w:val="13"/>
                <w:highlight w:val="none"/>
              </w:rPr>
              <w:t>。</w:t>
            </w:r>
          </w:p>
        </w:tc>
      </w:tr>
      <w:tr w14:paraId="620EDD6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181" w:hRule="atLeast"/>
          <w:jc w:val="center"/>
        </w:trPr>
        <w:tc>
          <w:tcPr>
            <w:tcW w:w="428" w:type="dxa"/>
            <w:vMerge w:val="continue"/>
            <w:tcBorders>
              <w:tl2br w:val="nil"/>
              <w:tr2bl w:val="nil"/>
            </w:tcBorders>
            <w:vAlign w:val="center"/>
          </w:tcPr>
          <w:p w14:paraId="2D082CA5">
            <w:pPr>
              <w:pStyle w:val="37"/>
              <w:keepNext w:val="0"/>
              <w:keepLines w:val="0"/>
              <w:pageBreakBefore w:val="0"/>
              <w:widowControl/>
              <w:numPr>
                <w:ilvl w:val="0"/>
                <w:numId w:val="14"/>
              </w:numPr>
              <w:kinsoku/>
              <w:overflowPunct/>
              <w:topLinePunct w:val="0"/>
              <w:autoSpaceDE/>
              <w:autoSpaceDN/>
              <w:bidi w:val="0"/>
              <w:adjustRightInd/>
              <w:snapToGrid/>
              <w:spacing w:beforeAutospacing="0" w:afterAutospacing="0" w:line="260" w:lineRule="exact"/>
              <w:ind w:left="638" w:leftChars="88" w:right="0" w:rightChars="0" w:hanging="453" w:hangingChars="349"/>
              <w:jc w:val="center"/>
              <w:textAlignment w:val="center"/>
              <w:rPr>
                <w:rFonts w:ascii="仿宋_GB2312" w:hAnsi="宋体" w:eastAsia="仿宋_GB2312" w:cs="宋体"/>
                <w:color w:val="auto"/>
                <w:kern w:val="0"/>
                <w:sz w:val="13"/>
                <w:szCs w:val="13"/>
                <w:highlight w:val="none"/>
              </w:rPr>
            </w:pPr>
          </w:p>
        </w:tc>
        <w:tc>
          <w:tcPr>
            <w:tcW w:w="1550" w:type="dxa"/>
            <w:vMerge w:val="continue"/>
            <w:tcBorders>
              <w:tl2br w:val="nil"/>
              <w:tr2bl w:val="nil"/>
            </w:tcBorders>
            <w:vAlign w:val="center"/>
          </w:tcPr>
          <w:p w14:paraId="5BCC854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kern w:val="0"/>
                <w:sz w:val="13"/>
                <w:szCs w:val="13"/>
                <w:highlight w:val="none"/>
              </w:rPr>
            </w:pPr>
          </w:p>
        </w:tc>
        <w:tc>
          <w:tcPr>
            <w:tcW w:w="4820" w:type="dxa"/>
            <w:vMerge w:val="continue"/>
            <w:tcBorders>
              <w:tl2br w:val="nil"/>
              <w:tr2bl w:val="nil"/>
            </w:tcBorders>
            <w:vAlign w:val="center"/>
          </w:tcPr>
          <w:p w14:paraId="0AD7DD2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kern w:val="0"/>
                <w:sz w:val="13"/>
                <w:szCs w:val="13"/>
                <w:highlight w:val="none"/>
              </w:rPr>
            </w:pPr>
          </w:p>
        </w:tc>
        <w:tc>
          <w:tcPr>
            <w:tcW w:w="823" w:type="dxa"/>
            <w:vMerge w:val="continue"/>
            <w:tcBorders>
              <w:tl2br w:val="nil"/>
              <w:tr2bl w:val="nil"/>
            </w:tcBorders>
            <w:tcMar>
              <w:top w:w="15" w:type="dxa"/>
              <w:left w:w="15" w:type="dxa"/>
              <w:bottom w:w="15" w:type="dxa"/>
              <w:right w:w="15" w:type="dxa"/>
            </w:tcMar>
            <w:vAlign w:val="center"/>
          </w:tcPr>
          <w:p w14:paraId="4375A98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hint="eastAsia" w:ascii="仿宋_GB2312" w:hAnsi="宋体" w:eastAsia="仿宋_GB2312" w:cs="宋体"/>
                <w:color w:val="auto"/>
                <w:kern w:val="0"/>
                <w:sz w:val="13"/>
                <w:szCs w:val="13"/>
                <w:highlight w:val="none"/>
                <w:lang w:eastAsia="zh-CN"/>
              </w:rPr>
            </w:pPr>
          </w:p>
        </w:tc>
        <w:tc>
          <w:tcPr>
            <w:tcW w:w="3437" w:type="dxa"/>
            <w:gridSpan w:val="2"/>
            <w:tcBorders>
              <w:tl2br w:val="nil"/>
              <w:tr2bl w:val="nil"/>
            </w:tcBorders>
            <w:tcMar>
              <w:top w:w="15" w:type="dxa"/>
              <w:left w:w="15" w:type="dxa"/>
              <w:bottom w:w="15" w:type="dxa"/>
              <w:right w:w="15" w:type="dxa"/>
            </w:tcMar>
            <w:vAlign w:val="center"/>
          </w:tcPr>
          <w:p w14:paraId="6C3A302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hint="eastAsia" w:ascii="仿宋_GB2312" w:hAnsi="宋体" w:eastAsia="仿宋_GB2312" w:cs="宋体"/>
                <w:color w:val="auto"/>
                <w:kern w:val="0"/>
                <w:sz w:val="13"/>
                <w:szCs w:val="13"/>
                <w:highlight w:val="none"/>
                <w:lang w:val="en-US" w:eastAsia="zh-CN" w:bidi="ar-SA"/>
              </w:rPr>
            </w:pPr>
            <w:r>
              <w:rPr>
                <w:rFonts w:hint="eastAsia" w:ascii="仿宋_GB2312" w:hAnsi="宋体" w:eastAsia="仿宋_GB2312" w:cs="宋体"/>
                <w:color w:val="auto"/>
                <w:kern w:val="0"/>
                <w:sz w:val="13"/>
                <w:szCs w:val="13"/>
                <w:highlight w:val="none"/>
              </w:rPr>
              <w:t>单位倾倒、抛洒、堆放或者焚烧生活垃圾9吨以上的</w:t>
            </w:r>
            <w:r>
              <w:rPr>
                <w:rFonts w:hint="eastAsia" w:ascii="仿宋_GB2312" w:hAnsi="宋体" w:eastAsia="仿宋_GB2312" w:cs="宋体"/>
                <w:color w:val="auto"/>
                <w:kern w:val="0"/>
                <w:sz w:val="13"/>
                <w:szCs w:val="13"/>
                <w:highlight w:val="none"/>
                <w:lang w:eastAsia="zh-CN"/>
              </w:rPr>
              <w:t>，</w:t>
            </w:r>
            <w:r>
              <w:rPr>
                <w:rFonts w:hint="eastAsia" w:ascii="仿宋_GB2312" w:hAnsi="宋体" w:eastAsia="仿宋_GB2312" w:cs="宋体"/>
                <w:color w:val="auto"/>
                <w:kern w:val="0"/>
                <w:sz w:val="13"/>
                <w:szCs w:val="13"/>
                <w:highlight w:val="none"/>
                <w:lang w:val="en-US" w:eastAsia="zh-CN"/>
              </w:rPr>
              <w:t>个人</w:t>
            </w:r>
            <w:r>
              <w:rPr>
                <w:rFonts w:hint="eastAsia" w:ascii="仿宋_GB2312" w:hAnsi="宋体" w:eastAsia="仿宋_GB2312" w:cs="宋体"/>
                <w:color w:val="auto"/>
                <w:kern w:val="0"/>
                <w:sz w:val="13"/>
                <w:szCs w:val="13"/>
                <w:highlight w:val="none"/>
              </w:rPr>
              <w:t>倾倒、抛洒、堆放或者焚烧生活垃圾污染路面</w:t>
            </w:r>
            <w:r>
              <w:rPr>
                <w:rFonts w:hint="eastAsia" w:ascii="仿宋_GB2312" w:hAnsi="宋体" w:eastAsia="仿宋_GB2312" w:cs="宋体"/>
                <w:color w:val="auto"/>
                <w:kern w:val="0"/>
                <w:sz w:val="13"/>
                <w:szCs w:val="13"/>
                <w:highlight w:val="none"/>
                <w:lang w:val="en-US" w:eastAsia="zh-CN"/>
              </w:rPr>
              <w:t>5</w:t>
            </w:r>
            <w:r>
              <w:rPr>
                <w:rFonts w:hint="eastAsia" w:ascii="仿宋_GB2312" w:hAnsi="宋体" w:eastAsia="仿宋_GB2312" w:cs="宋体"/>
                <w:color w:val="auto"/>
                <w:kern w:val="0"/>
                <w:sz w:val="13"/>
                <w:szCs w:val="13"/>
                <w:highlight w:val="none"/>
              </w:rPr>
              <w:t>0平方米以下的。</w:t>
            </w:r>
          </w:p>
        </w:tc>
        <w:tc>
          <w:tcPr>
            <w:tcW w:w="3058" w:type="dxa"/>
            <w:tcBorders>
              <w:tl2br w:val="nil"/>
              <w:tr2bl w:val="nil"/>
            </w:tcBorders>
            <w:tcMar>
              <w:top w:w="15" w:type="dxa"/>
              <w:left w:w="15" w:type="dxa"/>
              <w:bottom w:w="15" w:type="dxa"/>
              <w:right w:w="15" w:type="dxa"/>
            </w:tcMar>
            <w:vAlign w:val="center"/>
          </w:tcPr>
          <w:p w14:paraId="35EAE36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center"/>
              <w:textAlignment w:val="center"/>
              <w:rPr>
                <w:rFonts w:hint="eastAsia" w:ascii="仿宋_GB2312" w:hAnsi="宋体" w:eastAsia="仿宋_GB2312" w:cs="宋体"/>
                <w:color w:val="auto"/>
                <w:kern w:val="0"/>
                <w:sz w:val="13"/>
                <w:szCs w:val="13"/>
                <w:highlight w:val="none"/>
                <w:lang w:val="en-US" w:eastAsia="zh-CN" w:bidi="ar-SA"/>
              </w:rPr>
            </w:pPr>
            <w:r>
              <w:rPr>
                <w:rFonts w:hint="eastAsia" w:ascii="仿宋_GB2312" w:hAnsi="宋体" w:eastAsia="仿宋_GB2312" w:cs="宋体"/>
                <w:color w:val="auto"/>
                <w:sz w:val="13"/>
                <w:szCs w:val="13"/>
                <w:highlight w:val="none"/>
              </w:rPr>
              <w:t>责令改正</w:t>
            </w:r>
            <w:r>
              <w:rPr>
                <w:rFonts w:hint="eastAsia" w:ascii="仿宋_GB2312" w:hAnsi="宋体" w:eastAsia="仿宋_GB2312" w:cs="宋体"/>
                <w:color w:val="auto"/>
                <w:kern w:val="0"/>
                <w:sz w:val="13"/>
                <w:szCs w:val="13"/>
                <w:highlight w:val="none"/>
              </w:rPr>
              <w:t>，</w:t>
            </w:r>
            <w:r>
              <w:rPr>
                <w:rFonts w:hint="eastAsia" w:ascii="仿宋_GB2312" w:hAnsi="宋体" w:eastAsia="仿宋_GB2312" w:cs="宋体"/>
                <w:color w:val="auto"/>
                <w:sz w:val="13"/>
                <w:szCs w:val="13"/>
                <w:highlight w:val="none"/>
              </w:rPr>
              <w:t>没收违法所得，</w:t>
            </w:r>
            <w:r>
              <w:rPr>
                <w:rFonts w:hint="eastAsia" w:ascii="仿宋_GB2312" w:hAnsi="宋体" w:eastAsia="仿宋_GB2312" w:cs="宋体"/>
                <w:color w:val="auto"/>
                <w:kern w:val="0"/>
                <w:sz w:val="13"/>
                <w:szCs w:val="13"/>
                <w:highlight w:val="none"/>
              </w:rPr>
              <w:t>对单位处以40万元以上50万元以下罚款，对个人处以500元罚款</w:t>
            </w:r>
            <w:r>
              <w:rPr>
                <w:rFonts w:hint="eastAsia" w:ascii="仿宋_GB2312" w:hAnsi="宋体" w:eastAsia="仿宋_GB2312" w:cs="宋体"/>
                <w:color w:val="auto"/>
                <w:sz w:val="13"/>
                <w:szCs w:val="13"/>
                <w:highlight w:val="none"/>
              </w:rPr>
              <w:t>。</w:t>
            </w:r>
          </w:p>
        </w:tc>
      </w:tr>
      <w:tr w14:paraId="116EE51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303" w:hRule="atLeast"/>
          <w:jc w:val="center"/>
        </w:trPr>
        <w:tc>
          <w:tcPr>
            <w:tcW w:w="428" w:type="dxa"/>
            <w:vMerge w:val="restart"/>
            <w:tcBorders>
              <w:tl2br w:val="nil"/>
              <w:tr2bl w:val="nil"/>
            </w:tcBorders>
            <w:vAlign w:val="center"/>
          </w:tcPr>
          <w:p w14:paraId="6495FB7F">
            <w:pPr>
              <w:pStyle w:val="37"/>
              <w:keepNext w:val="0"/>
              <w:keepLines w:val="0"/>
              <w:pageBreakBefore w:val="0"/>
              <w:widowControl/>
              <w:numPr>
                <w:ilvl w:val="0"/>
                <w:numId w:val="11"/>
              </w:numPr>
              <w:tabs>
                <w:tab w:val="clear" w:pos="397"/>
              </w:tabs>
              <w:kinsoku/>
              <w:overflowPunct/>
              <w:topLinePunct w:val="0"/>
              <w:autoSpaceDE/>
              <w:autoSpaceDN/>
              <w:bidi w:val="0"/>
              <w:adjustRightInd/>
              <w:snapToGrid/>
              <w:spacing w:beforeAutospacing="0" w:afterAutospacing="0" w:line="260" w:lineRule="exact"/>
              <w:ind w:left="638" w:leftChars="88" w:right="0" w:rightChars="0" w:hanging="453" w:hangingChars="349"/>
              <w:jc w:val="center"/>
              <w:textAlignment w:val="center"/>
              <w:rPr>
                <w:rFonts w:hint="default" w:ascii="仿宋_GB2312" w:hAnsi="宋体" w:eastAsia="仿宋_GB2312" w:cs="宋体"/>
                <w:color w:val="auto"/>
                <w:kern w:val="0"/>
                <w:sz w:val="13"/>
                <w:szCs w:val="13"/>
                <w:highlight w:val="none"/>
                <w:lang w:val="en-US" w:eastAsia="zh-CN"/>
              </w:rPr>
            </w:pPr>
            <w:r>
              <w:rPr>
                <w:rFonts w:hint="eastAsia" w:ascii="仿宋_GB2312" w:hAnsi="宋体" w:eastAsia="仿宋_GB2312" w:cs="宋体"/>
                <w:color w:val="auto"/>
                <w:kern w:val="0"/>
                <w:sz w:val="13"/>
                <w:szCs w:val="13"/>
                <w:highlight w:val="none"/>
                <w:lang w:val="en-US" w:eastAsia="zh-CN"/>
              </w:rPr>
              <w:t>367</w:t>
            </w:r>
          </w:p>
        </w:tc>
        <w:tc>
          <w:tcPr>
            <w:tcW w:w="1550" w:type="dxa"/>
            <w:vMerge w:val="restart"/>
            <w:tcBorders>
              <w:tl2br w:val="nil"/>
              <w:tr2bl w:val="nil"/>
            </w:tcBorders>
            <w:vAlign w:val="center"/>
          </w:tcPr>
          <w:p w14:paraId="41F7494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kern w:val="0"/>
                <w:sz w:val="13"/>
                <w:szCs w:val="13"/>
                <w:highlight w:val="none"/>
              </w:rPr>
            </w:pPr>
            <w:r>
              <w:rPr>
                <w:rFonts w:hint="eastAsia" w:ascii="仿宋_GB2312" w:hAnsi="宋体" w:eastAsia="仿宋_GB2312" w:cs="宋体"/>
                <w:color w:val="auto"/>
                <w:sz w:val="13"/>
                <w:szCs w:val="13"/>
                <w:highlight w:val="none"/>
              </w:rPr>
              <w:t>擅自关闭、闲置或者拆除生活垃圾处理设施、场所的</w:t>
            </w:r>
          </w:p>
        </w:tc>
        <w:tc>
          <w:tcPr>
            <w:tcW w:w="4820" w:type="dxa"/>
            <w:vMerge w:val="restart"/>
            <w:tcBorders>
              <w:tl2br w:val="nil"/>
              <w:tr2bl w:val="nil"/>
            </w:tcBorders>
            <w:vAlign w:val="center"/>
          </w:tcPr>
          <w:p w14:paraId="1325229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hint="eastAsia" w:ascii="仿宋_GB2312" w:hAnsi="宋体" w:eastAsia="仿宋_GB2312" w:cs="宋体"/>
                <w:b/>
                <w:bCs/>
                <w:color w:val="auto"/>
                <w:sz w:val="13"/>
                <w:szCs w:val="13"/>
                <w:highlight w:val="none"/>
                <w:lang w:eastAsia="zh-CN"/>
              </w:rPr>
            </w:pPr>
            <w:r>
              <w:rPr>
                <w:rFonts w:hint="eastAsia" w:ascii="仿宋_GB2312" w:hAnsi="宋体" w:eastAsia="仿宋_GB2312" w:cs="宋体"/>
                <w:color w:val="auto"/>
                <w:sz w:val="13"/>
                <w:szCs w:val="13"/>
                <w:highlight w:val="none"/>
              </w:rPr>
              <w:t>《中华人民共和国固体废物污染环境防治法》</w:t>
            </w:r>
            <w:r>
              <w:rPr>
                <w:rFonts w:hint="eastAsia" w:ascii="仿宋_GB2312" w:hAnsi="宋体" w:eastAsia="仿宋_GB2312" w:cs="宋体"/>
                <w:b/>
                <w:bCs/>
                <w:color w:val="auto"/>
                <w:sz w:val="13"/>
                <w:szCs w:val="13"/>
                <w:highlight w:val="none"/>
              </w:rPr>
              <w:t>第一百一十一条第一款</w:t>
            </w:r>
            <w:r>
              <w:rPr>
                <w:rFonts w:hint="eastAsia" w:ascii="仿宋_GB2312" w:hAnsi="宋体" w:eastAsia="仿宋_GB2312" w:cs="宋体"/>
                <w:b/>
                <w:bCs/>
                <w:color w:val="auto"/>
                <w:sz w:val="13"/>
                <w:szCs w:val="13"/>
                <w:highlight w:val="none"/>
                <w:lang w:eastAsia="zh-CN"/>
              </w:rPr>
              <w:t>（</w:t>
            </w:r>
            <w:r>
              <w:rPr>
                <w:rFonts w:hint="eastAsia" w:ascii="仿宋_GB2312" w:hAnsi="宋体" w:eastAsia="仿宋_GB2312" w:cs="宋体"/>
                <w:b/>
                <w:bCs/>
                <w:color w:val="auto"/>
                <w:sz w:val="13"/>
                <w:szCs w:val="13"/>
                <w:highlight w:val="none"/>
                <w:lang w:val="en-US" w:eastAsia="zh-CN"/>
              </w:rPr>
              <w:t>一</w:t>
            </w:r>
            <w:r>
              <w:rPr>
                <w:rFonts w:hint="eastAsia" w:ascii="仿宋_GB2312" w:hAnsi="宋体" w:eastAsia="仿宋_GB2312" w:cs="宋体"/>
                <w:b/>
                <w:bCs/>
                <w:color w:val="auto"/>
                <w:sz w:val="13"/>
                <w:szCs w:val="13"/>
                <w:highlight w:val="none"/>
                <w:lang w:eastAsia="zh-CN"/>
              </w:rPr>
              <w:t>）</w:t>
            </w:r>
            <w:r>
              <w:rPr>
                <w:rFonts w:hint="eastAsia" w:ascii="仿宋_GB2312" w:hAnsi="宋体" w:eastAsia="仿宋_GB2312" w:cs="宋体"/>
                <w:b/>
                <w:bCs/>
                <w:color w:val="auto"/>
                <w:sz w:val="13"/>
                <w:szCs w:val="13"/>
                <w:highlight w:val="none"/>
              </w:rPr>
              <w:t>项、第一百一十一条第二款</w:t>
            </w:r>
            <w:r>
              <w:rPr>
                <w:rFonts w:hint="eastAsia" w:ascii="仿宋_GB2312" w:hAnsi="宋体" w:eastAsia="仿宋_GB2312" w:cs="宋体"/>
                <w:b/>
                <w:bCs/>
                <w:color w:val="auto"/>
                <w:sz w:val="13"/>
                <w:szCs w:val="13"/>
                <w:highlight w:val="none"/>
                <w:lang w:eastAsia="zh-CN"/>
              </w:rPr>
              <w:t>：</w:t>
            </w:r>
          </w:p>
          <w:p w14:paraId="2CC91E7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s="宋体"/>
                <w:color w:val="auto"/>
                <w:sz w:val="13"/>
                <w:szCs w:val="13"/>
                <w:highlight w:val="none"/>
              </w:rPr>
            </w:pPr>
            <w:r>
              <w:rPr>
                <w:rFonts w:hint="eastAsia" w:ascii="仿宋_GB2312" w:hAnsi="宋体" w:eastAsia="仿宋_GB2312" w:cs="宋体"/>
                <w:color w:val="auto"/>
                <w:sz w:val="13"/>
                <w:szCs w:val="13"/>
                <w:highlight w:val="none"/>
              </w:rPr>
              <w:t>违反本法规定，有下列行为之一，由县级以上地方人民政府环境卫生主管部门责令改正，处以罚款，没收违法所得：（一）随意倾倒、抛撒、堆放或者焚烧生活垃圾的；（二）擅自关闭、闲置或者拆除生活垃圾处理设施、场所的；（三）工程施工单位未编制建筑垃圾处理方案报备案，或者未及时清运施工过程中产生的固体废物的；（四）工程施工单位擅自倾倒、抛撒或者堆放工程施工过程中产生的建筑垃圾，或者未按照规定对施工过程中产生的固体废物进行利用或者处置的；（五）产生、收集厨余垃圾的单位和其他生产经营者未将厨余垃圾交由具备相应资质条件的单位进行无害化处理的；（六）畜禽养殖场、养殖小区利用未经无害化处理的厨余垃圾饲喂畜禽的；（七）在运输过程中沿途丢弃、遗撒生活垃圾的。</w:t>
            </w:r>
          </w:p>
          <w:p w14:paraId="7B045D9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kern w:val="0"/>
                <w:sz w:val="13"/>
                <w:szCs w:val="13"/>
                <w:highlight w:val="none"/>
              </w:rPr>
            </w:pPr>
            <w:r>
              <w:rPr>
                <w:rFonts w:hint="eastAsia" w:ascii="仿宋_GB2312" w:hAnsi="宋体" w:eastAsia="仿宋_GB2312" w:cs="宋体"/>
                <w:color w:val="auto"/>
                <w:sz w:val="13"/>
                <w:szCs w:val="13"/>
                <w:highlight w:val="none"/>
              </w:rPr>
              <w:t>单位有前款第一项、第七项行为之一，处五万元以上五十万元以下的罚款；单位有前款第二项、第三项、第四项、第五项、第六项行为之一，处十万元以上一百万元以下的罚款；个人有前款第一项、第五项、第七项行为之一，处一百元以上五百元以下的罚款。</w:t>
            </w:r>
          </w:p>
        </w:tc>
        <w:tc>
          <w:tcPr>
            <w:tcW w:w="823" w:type="dxa"/>
            <w:vMerge w:val="restart"/>
            <w:tcBorders>
              <w:tl2br w:val="nil"/>
              <w:tr2bl w:val="nil"/>
            </w:tcBorders>
            <w:tcMar>
              <w:top w:w="15" w:type="dxa"/>
              <w:left w:w="15" w:type="dxa"/>
              <w:bottom w:w="15" w:type="dxa"/>
              <w:right w:w="15" w:type="dxa"/>
            </w:tcMar>
            <w:vAlign w:val="center"/>
          </w:tcPr>
          <w:p w14:paraId="4AD3C3F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kern w:val="0"/>
                <w:sz w:val="13"/>
                <w:szCs w:val="13"/>
                <w:highlight w:val="none"/>
                <w:lang w:eastAsia="zh-CN"/>
              </w:rPr>
            </w:pPr>
            <w:r>
              <w:rPr>
                <w:rFonts w:hint="eastAsia" w:ascii="仿宋_GB2312" w:hAnsi="宋体" w:eastAsia="仿宋_GB2312" w:cs="宋体"/>
                <w:color w:val="auto"/>
                <w:kern w:val="0"/>
                <w:sz w:val="13"/>
                <w:szCs w:val="13"/>
                <w:highlight w:val="none"/>
                <w:lang w:eastAsia="zh-CN"/>
              </w:rPr>
              <w:t>从轻情节</w:t>
            </w:r>
          </w:p>
        </w:tc>
        <w:tc>
          <w:tcPr>
            <w:tcW w:w="3437" w:type="dxa"/>
            <w:gridSpan w:val="2"/>
            <w:tcBorders>
              <w:tl2br w:val="nil"/>
              <w:tr2bl w:val="nil"/>
            </w:tcBorders>
            <w:tcMar>
              <w:top w:w="15" w:type="dxa"/>
              <w:left w:w="15" w:type="dxa"/>
              <w:bottom w:w="15" w:type="dxa"/>
              <w:right w:w="15" w:type="dxa"/>
            </w:tcMar>
            <w:vAlign w:val="center"/>
          </w:tcPr>
          <w:p w14:paraId="1A2E1C6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rPr>
                <w:rFonts w:hint="eastAsia" w:ascii="仿宋_GB2312" w:hAnsi="宋体" w:eastAsia="仿宋_GB2312" w:cs="宋体"/>
                <w:color w:val="auto"/>
                <w:kern w:val="0"/>
                <w:sz w:val="13"/>
                <w:szCs w:val="13"/>
                <w:highlight w:val="none"/>
                <w:lang w:val="en-US" w:eastAsia="zh-CN"/>
              </w:rPr>
            </w:pPr>
            <w:r>
              <w:rPr>
                <w:rFonts w:hint="eastAsia" w:ascii="仿宋_GB2312" w:hAnsi="宋体" w:eastAsia="仿宋_GB2312" w:cs="宋体"/>
                <w:color w:val="auto"/>
                <w:kern w:val="0"/>
                <w:sz w:val="13"/>
                <w:szCs w:val="13"/>
                <w:highlight w:val="none"/>
              </w:rPr>
              <w:t>未经批准擅自关闭、闲置城市生活垃圾处置设施、场所1日以内的。</w:t>
            </w:r>
          </w:p>
        </w:tc>
        <w:tc>
          <w:tcPr>
            <w:tcW w:w="3058" w:type="dxa"/>
            <w:tcBorders>
              <w:tl2br w:val="nil"/>
              <w:tr2bl w:val="nil"/>
            </w:tcBorders>
            <w:tcMar>
              <w:top w:w="15" w:type="dxa"/>
              <w:left w:w="15" w:type="dxa"/>
              <w:bottom w:w="15" w:type="dxa"/>
              <w:right w:w="15" w:type="dxa"/>
            </w:tcMar>
            <w:vAlign w:val="center"/>
          </w:tcPr>
          <w:p w14:paraId="69B92D7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rPr>
                <w:rFonts w:hint="eastAsia" w:ascii="仿宋_GB2312" w:hAnsi="宋体" w:eastAsia="仿宋_GB2312" w:cs="宋体"/>
                <w:color w:val="auto"/>
                <w:kern w:val="0"/>
                <w:sz w:val="13"/>
                <w:szCs w:val="13"/>
                <w:highlight w:val="none"/>
                <w:lang w:val="en-US" w:eastAsia="zh-CN"/>
              </w:rPr>
            </w:pPr>
            <w:r>
              <w:rPr>
                <w:rFonts w:hint="eastAsia" w:ascii="仿宋_GB2312" w:hAnsi="宋体" w:eastAsia="仿宋_GB2312" w:cs="宋体"/>
                <w:color w:val="auto"/>
                <w:kern w:val="0"/>
                <w:sz w:val="13"/>
                <w:szCs w:val="13"/>
                <w:highlight w:val="none"/>
              </w:rPr>
              <w:t>责令改正，对单位处以10万元以上20万元以下罚款，没收违法所得。</w:t>
            </w:r>
          </w:p>
        </w:tc>
      </w:tr>
      <w:tr w14:paraId="341E374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137" w:hRule="atLeast"/>
          <w:jc w:val="center"/>
        </w:trPr>
        <w:tc>
          <w:tcPr>
            <w:tcW w:w="428" w:type="dxa"/>
            <w:vMerge w:val="continue"/>
            <w:tcBorders>
              <w:tl2br w:val="nil"/>
              <w:tr2bl w:val="nil"/>
            </w:tcBorders>
            <w:vAlign w:val="center"/>
          </w:tcPr>
          <w:p w14:paraId="3F34A3B2">
            <w:pPr>
              <w:pStyle w:val="37"/>
              <w:keepNext w:val="0"/>
              <w:keepLines w:val="0"/>
              <w:pageBreakBefore w:val="0"/>
              <w:widowControl/>
              <w:numPr>
                <w:ilvl w:val="0"/>
                <w:numId w:val="14"/>
              </w:numPr>
              <w:kinsoku/>
              <w:overflowPunct/>
              <w:topLinePunct w:val="0"/>
              <w:autoSpaceDE/>
              <w:autoSpaceDN/>
              <w:bidi w:val="0"/>
              <w:adjustRightInd/>
              <w:snapToGrid/>
              <w:spacing w:beforeAutospacing="0" w:afterAutospacing="0" w:line="260" w:lineRule="exact"/>
              <w:ind w:left="638" w:leftChars="88" w:right="0" w:rightChars="0" w:hanging="453" w:hangingChars="349"/>
              <w:jc w:val="center"/>
              <w:textAlignment w:val="center"/>
              <w:rPr>
                <w:rFonts w:ascii="仿宋_GB2312" w:hAnsi="宋体" w:eastAsia="仿宋_GB2312" w:cs="宋体"/>
                <w:color w:val="auto"/>
                <w:kern w:val="0"/>
                <w:sz w:val="13"/>
                <w:szCs w:val="13"/>
                <w:highlight w:val="none"/>
              </w:rPr>
            </w:pPr>
          </w:p>
        </w:tc>
        <w:tc>
          <w:tcPr>
            <w:tcW w:w="1550" w:type="dxa"/>
            <w:vMerge w:val="continue"/>
            <w:tcBorders>
              <w:tl2br w:val="nil"/>
              <w:tr2bl w:val="nil"/>
            </w:tcBorders>
            <w:vAlign w:val="center"/>
          </w:tcPr>
          <w:p w14:paraId="34A4B60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kern w:val="0"/>
                <w:sz w:val="13"/>
                <w:szCs w:val="13"/>
                <w:highlight w:val="none"/>
              </w:rPr>
            </w:pPr>
          </w:p>
        </w:tc>
        <w:tc>
          <w:tcPr>
            <w:tcW w:w="4820" w:type="dxa"/>
            <w:vMerge w:val="continue"/>
            <w:tcBorders>
              <w:tl2br w:val="nil"/>
              <w:tr2bl w:val="nil"/>
            </w:tcBorders>
            <w:vAlign w:val="center"/>
          </w:tcPr>
          <w:p w14:paraId="58E0DC6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hint="eastAsia" w:ascii="仿宋_GB2312" w:hAnsi="宋体" w:eastAsia="仿宋_GB2312" w:cs="宋体"/>
                <w:color w:val="auto"/>
                <w:sz w:val="13"/>
                <w:szCs w:val="13"/>
                <w:highlight w:val="none"/>
              </w:rPr>
            </w:pPr>
          </w:p>
        </w:tc>
        <w:tc>
          <w:tcPr>
            <w:tcW w:w="823" w:type="dxa"/>
            <w:vMerge w:val="continue"/>
            <w:tcBorders>
              <w:tl2br w:val="nil"/>
              <w:tr2bl w:val="nil"/>
            </w:tcBorders>
            <w:tcMar>
              <w:top w:w="15" w:type="dxa"/>
              <w:left w:w="15" w:type="dxa"/>
              <w:bottom w:w="15" w:type="dxa"/>
              <w:right w:w="15" w:type="dxa"/>
            </w:tcMar>
            <w:vAlign w:val="center"/>
          </w:tcPr>
          <w:p w14:paraId="237E32D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kern w:val="0"/>
                <w:sz w:val="13"/>
                <w:szCs w:val="13"/>
                <w:highlight w:val="none"/>
                <w:lang w:eastAsia="zh-CN"/>
              </w:rPr>
            </w:pPr>
          </w:p>
        </w:tc>
        <w:tc>
          <w:tcPr>
            <w:tcW w:w="3437" w:type="dxa"/>
            <w:gridSpan w:val="2"/>
            <w:tcBorders>
              <w:tl2br w:val="nil"/>
              <w:tr2bl w:val="nil"/>
            </w:tcBorders>
            <w:tcMar>
              <w:top w:w="15" w:type="dxa"/>
              <w:left w:w="15" w:type="dxa"/>
              <w:bottom w:w="15" w:type="dxa"/>
              <w:right w:w="15" w:type="dxa"/>
            </w:tcMar>
            <w:vAlign w:val="center"/>
          </w:tcPr>
          <w:p w14:paraId="10A2270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rPr>
                <w:rFonts w:hint="eastAsia" w:ascii="仿宋_GB2312" w:hAnsi="宋体" w:eastAsia="仿宋_GB2312" w:cs="宋体"/>
                <w:color w:val="auto"/>
                <w:kern w:val="0"/>
                <w:sz w:val="13"/>
                <w:szCs w:val="13"/>
                <w:highlight w:val="none"/>
              </w:rPr>
            </w:pPr>
            <w:r>
              <w:rPr>
                <w:rFonts w:hint="eastAsia" w:ascii="仿宋_GB2312" w:hAnsi="宋体" w:eastAsia="仿宋_GB2312" w:cs="宋体"/>
                <w:color w:val="auto"/>
                <w:kern w:val="0"/>
                <w:sz w:val="13"/>
                <w:szCs w:val="13"/>
                <w:highlight w:val="none"/>
              </w:rPr>
              <w:t>未经批准擅自关闭、闲置城市生活垃圾处置设施、场所1日以上3日以下的。</w:t>
            </w:r>
          </w:p>
        </w:tc>
        <w:tc>
          <w:tcPr>
            <w:tcW w:w="3058" w:type="dxa"/>
            <w:tcBorders>
              <w:tl2br w:val="nil"/>
              <w:tr2bl w:val="nil"/>
            </w:tcBorders>
            <w:tcMar>
              <w:top w:w="15" w:type="dxa"/>
              <w:left w:w="15" w:type="dxa"/>
              <w:bottom w:w="15" w:type="dxa"/>
              <w:right w:w="15" w:type="dxa"/>
            </w:tcMar>
            <w:vAlign w:val="center"/>
          </w:tcPr>
          <w:p w14:paraId="7C4C2B4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rPr>
                <w:rFonts w:hint="eastAsia" w:ascii="仿宋_GB2312" w:hAnsi="宋体" w:eastAsia="仿宋_GB2312" w:cs="宋体"/>
                <w:color w:val="auto"/>
                <w:kern w:val="0"/>
                <w:sz w:val="13"/>
                <w:szCs w:val="13"/>
                <w:highlight w:val="none"/>
              </w:rPr>
            </w:pPr>
            <w:r>
              <w:rPr>
                <w:rFonts w:hint="eastAsia" w:ascii="仿宋_GB2312" w:hAnsi="宋体" w:eastAsia="仿宋_GB2312" w:cs="宋体"/>
                <w:color w:val="auto"/>
                <w:kern w:val="0"/>
                <w:sz w:val="13"/>
                <w:szCs w:val="13"/>
                <w:highlight w:val="none"/>
              </w:rPr>
              <w:t>责令改正，对单位处以20万元以上30万元以下罚款，没收违法所得。</w:t>
            </w:r>
          </w:p>
        </w:tc>
      </w:tr>
      <w:tr w14:paraId="4F7E8E8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163" w:hRule="atLeast"/>
          <w:jc w:val="center"/>
        </w:trPr>
        <w:tc>
          <w:tcPr>
            <w:tcW w:w="428" w:type="dxa"/>
            <w:vMerge w:val="continue"/>
            <w:tcBorders>
              <w:tl2br w:val="nil"/>
              <w:tr2bl w:val="nil"/>
            </w:tcBorders>
            <w:vAlign w:val="center"/>
          </w:tcPr>
          <w:p w14:paraId="45CA9705">
            <w:pPr>
              <w:pStyle w:val="37"/>
              <w:keepNext w:val="0"/>
              <w:keepLines w:val="0"/>
              <w:pageBreakBefore w:val="0"/>
              <w:widowControl/>
              <w:numPr>
                <w:ilvl w:val="0"/>
                <w:numId w:val="14"/>
              </w:numPr>
              <w:kinsoku/>
              <w:overflowPunct/>
              <w:topLinePunct w:val="0"/>
              <w:autoSpaceDE/>
              <w:autoSpaceDN/>
              <w:bidi w:val="0"/>
              <w:adjustRightInd/>
              <w:snapToGrid/>
              <w:spacing w:beforeAutospacing="0" w:afterAutospacing="0" w:line="260" w:lineRule="exact"/>
              <w:ind w:left="638" w:leftChars="88" w:right="0" w:rightChars="0" w:hanging="453" w:hangingChars="349"/>
              <w:jc w:val="center"/>
              <w:textAlignment w:val="center"/>
              <w:rPr>
                <w:rFonts w:ascii="仿宋_GB2312" w:hAnsi="宋体" w:eastAsia="仿宋_GB2312" w:cs="宋体"/>
                <w:color w:val="auto"/>
                <w:kern w:val="0"/>
                <w:sz w:val="13"/>
                <w:szCs w:val="13"/>
                <w:highlight w:val="none"/>
              </w:rPr>
            </w:pPr>
          </w:p>
        </w:tc>
        <w:tc>
          <w:tcPr>
            <w:tcW w:w="1550" w:type="dxa"/>
            <w:vMerge w:val="continue"/>
            <w:tcBorders>
              <w:tl2br w:val="nil"/>
              <w:tr2bl w:val="nil"/>
            </w:tcBorders>
            <w:vAlign w:val="center"/>
          </w:tcPr>
          <w:p w14:paraId="3A19188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kern w:val="0"/>
                <w:sz w:val="13"/>
                <w:szCs w:val="13"/>
                <w:highlight w:val="none"/>
              </w:rPr>
            </w:pPr>
          </w:p>
        </w:tc>
        <w:tc>
          <w:tcPr>
            <w:tcW w:w="4820" w:type="dxa"/>
            <w:vMerge w:val="continue"/>
            <w:tcBorders>
              <w:tl2br w:val="nil"/>
              <w:tr2bl w:val="nil"/>
            </w:tcBorders>
            <w:vAlign w:val="center"/>
          </w:tcPr>
          <w:p w14:paraId="6BD2958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hint="eastAsia" w:ascii="仿宋_GB2312" w:hAnsi="宋体" w:eastAsia="仿宋_GB2312" w:cs="宋体"/>
                <w:color w:val="auto"/>
                <w:sz w:val="13"/>
                <w:szCs w:val="13"/>
                <w:highlight w:val="none"/>
              </w:rPr>
            </w:pPr>
          </w:p>
        </w:tc>
        <w:tc>
          <w:tcPr>
            <w:tcW w:w="823" w:type="dxa"/>
            <w:vMerge w:val="continue"/>
            <w:tcBorders>
              <w:tl2br w:val="nil"/>
              <w:tr2bl w:val="nil"/>
            </w:tcBorders>
            <w:tcMar>
              <w:top w:w="15" w:type="dxa"/>
              <w:left w:w="15" w:type="dxa"/>
              <w:bottom w:w="15" w:type="dxa"/>
              <w:right w:w="15" w:type="dxa"/>
            </w:tcMar>
            <w:vAlign w:val="center"/>
          </w:tcPr>
          <w:p w14:paraId="533C8D6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kern w:val="0"/>
                <w:sz w:val="13"/>
                <w:szCs w:val="13"/>
                <w:highlight w:val="none"/>
                <w:lang w:eastAsia="zh-CN"/>
              </w:rPr>
            </w:pPr>
          </w:p>
        </w:tc>
        <w:tc>
          <w:tcPr>
            <w:tcW w:w="3437" w:type="dxa"/>
            <w:gridSpan w:val="2"/>
            <w:tcBorders>
              <w:tl2br w:val="nil"/>
              <w:tr2bl w:val="nil"/>
            </w:tcBorders>
            <w:tcMar>
              <w:top w:w="15" w:type="dxa"/>
              <w:left w:w="15" w:type="dxa"/>
              <w:bottom w:w="15" w:type="dxa"/>
              <w:right w:w="15" w:type="dxa"/>
            </w:tcMar>
            <w:vAlign w:val="center"/>
          </w:tcPr>
          <w:p w14:paraId="368A4AA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rPr>
                <w:rFonts w:hint="eastAsia" w:ascii="仿宋_GB2312" w:hAnsi="宋体" w:eastAsia="仿宋_GB2312" w:cs="宋体"/>
                <w:color w:val="auto"/>
                <w:kern w:val="0"/>
                <w:sz w:val="13"/>
                <w:szCs w:val="13"/>
                <w:highlight w:val="none"/>
              </w:rPr>
            </w:pPr>
            <w:r>
              <w:rPr>
                <w:rFonts w:hint="eastAsia" w:ascii="仿宋_GB2312" w:hAnsi="宋体" w:eastAsia="仿宋_GB2312" w:cs="宋体"/>
                <w:color w:val="auto"/>
                <w:kern w:val="0"/>
                <w:sz w:val="13"/>
                <w:szCs w:val="13"/>
                <w:highlight w:val="none"/>
              </w:rPr>
              <w:t>未经批准擅自关闭、闲置城市生活垃圾处置设施、场所3日以上5日以下的。</w:t>
            </w:r>
          </w:p>
        </w:tc>
        <w:tc>
          <w:tcPr>
            <w:tcW w:w="3058" w:type="dxa"/>
            <w:tcBorders>
              <w:tl2br w:val="nil"/>
              <w:tr2bl w:val="nil"/>
            </w:tcBorders>
            <w:tcMar>
              <w:top w:w="15" w:type="dxa"/>
              <w:left w:w="15" w:type="dxa"/>
              <w:bottom w:w="15" w:type="dxa"/>
              <w:right w:w="15" w:type="dxa"/>
            </w:tcMar>
            <w:vAlign w:val="center"/>
          </w:tcPr>
          <w:p w14:paraId="6E501AB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rPr>
                <w:rFonts w:hint="eastAsia" w:ascii="仿宋_GB2312" w:hAnsi="宋体" w:eastAsia="仿宋_GB2312" w:cs="宋体"/>
                <w:color w:val="auto"/>
                <w:kern w:val="0"/>
                <w:sz w:val="13"/>
                <w:szCs w:val="13"/>
                <w:highlight w:val="none"/>
              </w:rPr>
            </w:pPr>
            <w:r>
              <w:rPr>
                <w:rFonts w:hint="eastAsia" w:ascii="仿宋_GB2312" w:hAnsi="宋体" w:eastAsia="仿宋_GB2312" w:cs="宋体"/>
                <w:color w:val="auto"/>
                <w:kern w:val="0"/>
                <w:sz w:val="13"/>
                <w:szCs w:val="13"/>
                <w:highlight w:val="none"/>
              </w:rPr>
              <w:t>责令改正，对单位处以30万元以上40万元以下罚款，没收违法所得。</w:t>
            </w:r>
          </w:p>
        </w:tc>
      </w:tr>
      <w:tr w14:paraId="1A5241F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531" w:hRule="atLeast"/>
          <w:jc w:val="center"/>
        </w:trPr>
        <w:tc>
          <w:tcPr>
            <w:tcW w:w="428" w:type="dxa"/>
            <w:vMerge w:val="continue"/>
            <w:tcBorders>
              <w:tl2br w:val="nil"/>
              <w:tr2bl w:val="nil"/>
            </w:tcBorders>
            <w:vAlign w:val="center"/>
          </w:tcPr>
          <w:p w14:paraId="42F9F12D">
            <w:pPr>
              <w:pStyle w:val="37"/>
              <w:keepNext w:val="0"/>
              <w:keepLines w:val="0"/>
              <w:pageBreakBefore w:val="0"/>
              <w:widowControl/>
              <w:numPr>
                <w:ilvl w:val="0"/>
                <w:numId w:val="14"/>
              </w:numPr>
              <w:kinsoku/>
              <w:overflowPunct/>
              <w:topLinePunct w:val="0"/>
              <w:autoSpaceDE/>
              <w:autoSpaceDN/>
              <w:bidi w:val="0"/>
              <w:adjustRightInd/>
              <w:snapToGrid/>
              <w:spacing w:beforeAutospacing="0" w:afterAutospacing="0" w:line="260" w:lineRule="exact"/>
              <w:ind w:left="638" w:leftChars="88" w:right="0" w:rightChars="0" w:hanging="453" w:hangingChars="349"/>
              <w:jc w:val="center"/>
              <w:textAlignment w:val="center"/>
              <w:rPr>
                <w:rFonts w:ascii="仿宋_GB2312" w:hAnsi="宋体" w:eastAsia="仿宋_GB2312" w:cs="宋体"/>
                <w:color w:val="auto"/>
                <w:kern w:val="0"/>
                <w:sz w:val="13"/>
                <w:szCs w:val="13"/>
                <w:highlight w:val="none"/>
              </w:rPr>
            </w:pPr>
          </w:p>
        </w:tc>
        <w:tc>
          <w:tcPr>
            <w:tcW w:w="1550" w:type="dxa"/>
            <w:vMerge w:val="continue"/>
            <w:tcBorders>
              <w:tl2br w:val="nil"/>
              <w:tr2bl w:val="nil"/>
            </w:tcBorders>
            <w:vAlign w:val="center"/>
          </w:tcPr>
          <w:p w14:paraId="2A0FA8A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kern w:val="0"/>
                <w:sz w:val="13"/>
                <w:szCs w:val="13"/>
                <w:highlight w:val="none"/>
              </w:rPr>
            </w:pPr>
          </w:p>
        </w:tc>
        <w:tc>
          <w:tcPr>
            <w:tcW w:w="4820" w:type="dxa"/>
            <w:vMerge w:val="continue"/>
            <w:tcBorders>
              <w:tl2br w:val="nil"/>
              <w:tr2bl w:val="nil"/>
            </w:tcBorders>
            <w:vAlign w:val="center"/>
          </w:tcPr>
          <w:p w14:paraId="4E90E00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kern w:val="0"/>
                <w:sz w:val="13"/>
                <w:szCs w:val="13"/>
                <w:highlight w:val="none"/>
              </w:rPr>
            </w:pPr>
          </w:p>
        </w:tc>
        <w:tc>
          <w:tcPr>
            <w:tcW w:w="823" w:type="dxa"/>
            <w:vMerge w:val="restart"/>
            <w:tcBorders>
              <w:tl2br w:val="nil"/>
              <w:tr2bl w:val="nil"/>
            </w:tcBorders>
            <w:tcMar>
              <w:top w:w="15" w:type="dxa"/>
              <w:left w:w="15" w:type="dxa"/>
              <w:bottom w:w="15" w:type="dxa"/>
              <w:right w:w="15" w:type="dxa"/>
            </w:tcMar>
            <w:vAlign w:val="center"/>
          </w:tcPr>
          <w:p w14:paraId="6D17E46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kern w:val="0"/>
                <w:sz w:val="13"/>
                <w:szCs w:val="13"/>
                <w:highlight w:val="none"/>
                <w:lang w:eastAsia="zh-CN"/>
              </w:rPr>
            </w:pPr>
            <w:r>
              <w:rPr>
                <w:rFonts w:hint="eastAsia" w:ascii="仿宋_GB2312" w:hAnsi="宋体" w:eastAsia="仿宋_GB2312" w:cs="宋体"/>
                <w:color w:val="auto"/>
                <w:kern w:val="0"/>
                <w:sz w:val="13"/>
                <w:szCs w:val="13"/>
                <w:highlight w:val="none"/>
                <w:lang w:eastAsia="zh-CN"/>
              </w:rPr>
              <w:t>一般情节</w:t>
            </w:r>
          </w:p>
        </w:tc>
        <w:tc>
          <w:tcPr>
            <w:tcW w:w="3437" w:type="dxa"/>
            <w:gridSpan w:val="2"/>
            <w:tcBorders>
              <w:tl2br w:val="nil"/>
              <w:tr2bl w:val="nil"/>
            </w:tcBorders>
            <w:tcMar>
              <w:top w:w="15" w:type="dxa"/>
              <w:left w:w="15" w:type="dxa"/>
              <w:bottom w:w="15" w:type="dxa"/>
              <w:right w:w="15" w:type="dxa"/>
            </w:tcMar>
            <w:vAlign w:val="center"/>
          </w:tcPr>
          <w:p w14:paraId="0D70BFD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rPr>
                <w:rFonts w:hint="eastAsia" w:ascii="仿宋_GB2312" w:hAnsi="宋体" w:eastAsia="仿宋_GB2312" w:cs="宋体"/>
                <w:color w:val="auto"/>
                <w:kern w:val="0"/>
                <w:sz w:val="13"/>
                <w:szCs w:val="13"/>
                <w:highlight w:val="none"/>
                <w:lang w:val="en-US" w:eastAsia="zh-CN"/>
              </w:rPr>
            </w:pPr>
            <w:r>
              <w:rPr>
                <w:rFonts w:hint="eastAsia" w:ascii="仿宋_GB2312" w:hAnsi="宋体" w:eastAsia="仿宋_GB2312" w:cs="宋体"/>
                <w:color w:val="auto"/>
                <w:kern w:val="0"/>
                <w:sz w:val="13"/>
                <w:szCs w:val="13"/>
                <w:highlight w:val="none"/>
              </w:rPr>
              <w:t>未经批准擅自关闭、闲置城市生活垃圾处置设施、场所5日以上7日以下的。</w:t>
            </w:r>
          </w:p>
        </w:tc>
        <w:tc>
          <w:tcPr>
            <w:tcW w:w="3058" w:type="dxa"/>
            <w:tcBorders>
              <w:tl2br w:val="nil"/>
              <w:tr2bl w:val="nil"/>
            </w:tcBorders>
            <w:tcMar>
              <w:top w:w="15" w:type="dxa"/>
              <w:left w:w="15" w:type="dxa"/>
              <w:bottom w:w="15" w:type="dxa"/>
              <w:right w:w="15" w:type="dxa"/>
            </w:tcMar>
            <w:vAlign w:val="center"/>
          </w:tcPr>
          <w:p w14:paraId="4B03691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rPr>
                <w:rFonts w:hint="eastAsia" w:ascii="仿宋_GB2312" w:hAnsi="宋体" w:eastAsia="仿宋_GB2312" w:cs="宋体"/>
                <w:color w:val="auto"/>
                <w:kern w:val="0"/>
                <w:sz w:val="13"/>
                <w:szCs w:val="13"/>
                <w:highlight w:val="none"/>
                <w:lang w:val="en-US" w:eastAsia="zh-CN"/>
              </w:rPr>
            </w:pPr>
            <w:r>
              <w:rPr>
                <w:rFonts w:hint="eastAsia" w:ascii="仿宋_GB2312" w:hAnsi="宋体" w:eastAsia="仿宋_GB2312" w:cs="宋体"/>
                <w:color w:val="auto"/>
                <w:kern w:val="0"/>
                <w:sz w:val="13"/>
                <w:szCs w:val="13"/>
                <w:highlight w:val="none"/>
              </w:rPr>
              <w:t>责令改正，对单位处以40万元以上50万元以下罚款，没收违法所得。</w:t>
            </w:r>
          </w:p>
        </w:tc>
      </w:tr>
      <w:tr w14:paraId="1381FC7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241" w:hRule="atLeast"/>
          <w:jc w:val="center"/>
        </w:trPr>
        <w:tc>
          <w:tcPr>
            <w:tcW w:w="428" w:type="dxa"/>
            <w:vMerge w:val="continue"/>
            <w:tcBorders>
              <w:tl2br w:val="nil"/>
              <w:tr2bl w:val="nil"/>
            </w:tcBorders>
            <w:vAlign w:val="center"/>
          </w:tcPr>
          <w:p w14:paraId="27B7AF32">
            <w:pPr>
              <w:pStyle w:val="37"/>
              <w:keepNext w:val="0"/>
              <w:keepLines w:val="0"/>
              <w:pageBreakBefore w:val="0"/>
              <w:widowControl/>
              <w:numPr>
                <w:ilvl w:val="0"/>
                <w:numId w:val="14"/>
              </w:numPr>
              <w:kinsoku/>
              <w:overflowPunct/>
              <w:topLinePunct w:val="0"/>
              <w:autoSpaceDE/>
              <w:autoSpaceDN/>
              <w:bidi w:val="0"/>
              <w:adjustRightInd/>
              <w:snapToGrid/>
              <w:spacing w:beforeAutospacing="0" w:afterAutospacing="0" w:line="260" w:lineRule="exact"/>
              <w:ind w:left="638" w:leftChars="88" w:right="0" w:rightChars="0" w:hanging="453" w:hangingChars="349"/>
              <w:jc w:val="center"/>
              <w:textAlignment w:val="center"/>
              <w:rPr>
                <w:rFonts w:ascii="仿宋_GB2312" w:hAnsi="宋体" w:eastAsia="仿宋_GB2312" w:cs="宋体"/>
                <w:color w:val="auto"/>
                <w:kern w:val="0"/>
                <w:sz w:val="13"/>
                <w:szCs w:val="13"/>
                <w:highlight w:val="none"/>
              </w:rPr>
            </w:pPr>
          </w:p>
        </w:tc>
        <w:tc>
          <w:tcPr>
            <w:tcW w:w="1550" w:type="dxa"/>
            <w:vMerge w:val="continue"/>
            <w:tcBorders>
              <w:tl2br w:val="nil"/>
              <w:tr2bl w:val="nil"/>
            </w:tcBorders>
            <w:vAlign w:val="center"/>
          </w:tcPr>
          <w:p w14:paraId="7DEA435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kern w:val="0"/>
                <w:sz w:val="13"/>
                <w:szCs w:val="13"/>
                <w:highlight w:val="none"/>
              </w:rPr>
            </w:pPr>
          </w:p>
        </w:tc>
        <w:tc>
          <w:tcPr>
            <w:tcW w:w="4820" w:type="dxa"/>
            <w:vMerge w:val="continue"/>
            <w:tcBorders>
              <w:tl2br w:val="nil"/>
              <w:tr2bl w:val="nil"/>
            </w:tcBorders>
            <w:vAlign w:val="center"/>
          </w:tcPr>
          <w:p w14:paraId="6CE5FFE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kern w:val="0"/>
                <w:sz w:val="13"/>
                <w:szCs w:val="13"/>
                <w:highlight w:val="none"/>
              </w:rPr>
            </w:pPr>
          </w:p>
        </w:tc>
        <w:tc>
          <w:tcPr>
            <w:tcW w:w="823" w:type="dxa"/>
            <w:vMerge w:val="continue"/>
            <w:tcBorders>
              <w:tl2br w:val="nil"/>
              <w:tr2bl w:val="nil"/>
            </w:tcBorders>
            <w:tcMar>
              <w:top w:w="15" w:type="dxa"/>
              <w:left w:w="15" w:type="dxa"/>
              <w:bottom w:w="15" w:type="dxa"/>
              <w:right w:w="15" w:type="dxa"/>
            </w:tcMar>
            <w:vAlign w:val="center"/>
          </w:tcPr>
          <w:p w14:paraId="0725D69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kern w:val="0"/>
                <w:sz w:val="13"/>
                <w:szCs w:val="13"/>
                <w:highlight w:val="none"/>
                <w:lang w:eastAsia="zh-CN"/>
              </w:rPr>
            </w:pPr>
          </w:p>
        </w:tc>
        <w:tc>
          <w:tcPr>
            <w:tcW w:w="3437" w:type="dxa"/>
            <w:gridSpan w:val="2"/>
            <w:tcBorders>
              <w:tl2br w:val="nil"/>
              <w:tr2bl w:val="nil"/>
            </w:tcBorders>
            <w:tcMar>
              <w:top w:w="15" w:type="dxa"/>
              <w:left w:w="15" w:type="dxa"/>
              <w:bottom w:w="15" w:type="dxa"/>
              <w:right w:w="15" w:type="dxa"/>
            </w:tcMar>
            <w:vAlign w:val="center"/>
          </w:tcPr>
          <w:p w14:paraId="1EA8066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rPr>
                <w:rFonts w:hint="eastAsia" w:ascii="仿宋_GB2312" w:hAnsi="宋体" w:eastAsia="仿宋_GB2312" w:cs="宋体"/>
                <w:color w:val="auto"/>
                <w:kern w:val="0"/>
                <w:sz w:val="13"/>
                <w:szCs w:val="13"/>
                <w:highlight w:val="none"/>
              </w:rPr>
            </w:pPr>
            <w:r>
              <w:rPr>
                <w:rFonts w:hint="eastAsia" w:ascii="仿宋_GB2312" w:hAnsi="宋体" w:eastAsia="仿宋_GB2312" w:cs="宋体"/>
                <w:color w:val="auto"/>
                <w:kern w:val="0"/>
                <w:sz w:val="13"/>
                <w:szCs w:val="13"/>
                <w:highlight w:val="none"/>
              </w:rPr>
              <w:t>未经批准擅自关闭、闲置城市生活垃圾处置设施、场所7日以上9日以下的。</w:t>
            </w:r>
          </w:p>
        </w:tc>
        <w:tc>
          <w:tcPr>
            <w:tcW w:w="3058" w:type="dxa"/>
            <w:tcBorders>
              <w:tl2br w:val="nil"/>
              <w:tr2bl w:val="nil"/>
            </w:tcBorders>
            <w:tcMar>
              <w:top w:w="15" w:type="dxa"/>
              <w:left w:w="15" w:type="dxa"/>
              <w:bottom w:w="15" w:type="dxa"/>
              <w:right w:w="15" w:type="dxa"/>
            </w:tcMar>
            <w:vAlign w:val="center"/>
          </w:tcPr>
          <w:p w14:paraId="580191C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rPr>
                <w:rFonts w:hint="eastAsia" w:ascii="仿宋_GB2312" w:hAnsi="宋体" w:eastAsia="仿宋_GB2312" w:cs="宋体"/>
                <w:color w:val="auto"/>
                <w:kern w:val="0"/>
                <w:sz w:val="13"/>
                <w:szCs w:val="13"/>
                <w:highlight w:val="none"/>
              </w:rPr>
            </w:pPr>
            <w:r>
              <w:rPr>
                <w:rFonts w:hint="eastAsia" w:ascii="仿宋_GB2312" w:hAnsi="宋体" w:eastAsia="仿宋_GB2312" w:cs="宋体"/>
                <w:color w:val="auto"/>
                <w:kern w:val="0"/>
                <w:sz w:val="13"/>
                <w:szCs w:val="13"/>
                <w:highlight w:val="none"/>
              </w:rPr>
              <w:t>责令改正，对单位处以50万元以上60万元以下罚款，没收违法所得。</w:t>
            </w:r>
          </w:p>
        </w:tc>
      </w:tr>
      <w:tr w14:paraId="4D34268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328" w:hRule="atLeast"/>
          <w:jc w:val="center"/>
        </w:trPr>
        <w:tc>
          <w:tcPr>
            <w:tcW w:w="428" w:type="dxa"/>
            <w:vMerge w:val="continue"/>
            <w:tcBorders>
              <w:tl2br w:val="nil"/>
              <w:tr2bl w:val="nil"/>
            </w:tcBorders>
            <w:vAlign w:val="center"/>
          </w:tcPr>
          <w:p w14:paraId="57E0C1FA">
            <w:pPr>
              <w:pStyle w:val="37"/>
              <w:keepNext w:val="0"/>
              <w:keepLines w:val="0"/>
              <w:pageBreakBefore w:val="0"/>
              <w:widowControl/>
              <w:numPr>
                <w:ilvl w:val="0"/>
                <w:numId w:val="14"/>
              </w:numPr>
              <w:kinsoku/>
              <w:overflowPunct/>
              <w:topLinePunct w:val="0"/>
              <w:autoSpaceDE/>
              <w:autoSpaceDN/>
              <w:bidi w:val="0"/>
              <w:adjustRightInd/>
              <w:snapToGrid/>
              <w:spacing w:beforeAutospacing="0" w:afterAutospacing="0" w:line="260" w:lineRule="exact"/>
              <w:ind w:left="638" w:leftChars="88" w:right="0" w:rightChars="0" w:hanging="453" w:hangingChars="349"/>
              <w:jc w:val="center"/>
              <w:textAlignment w:val="center"/>
              <w:rPr>
                <w:rFonts w:ascii="仿宋_GB2312" w:hAnsi="宋体" w:eastAsia="仿宋_GB2312" w:cs="宋体"/>
                <w:color w:val="auto"/>
                <w:kern w:val="0"/>
                <w:sz w:val="13"/>
                <w:szCs w:val="13"/>
                <w:highlight w:val="none"/>
              </w:rPr>
            </w:pPr>
          </w:p>
        </w:tc>
        <w:tc>
          <w:tcPr>
            <w:tcW w:w="1550" w:type="dxa"/>
            <w:vMerge w:val="continue"/>
            <w:tcBorders>
              <w:tl2br w:val="nil"/>
              <w:tr2bl w:val="nil"/>
            </w:tcBorders>
            <w:vAlign w:val="center"/>
          </w:tcPr>
          <w:p w14:paraId="06F5FB1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kern w:val="0"/>
                <w:sz w:val="13"/>
                <w:szCs w:val="13"/>
                <w:highlight w:val="none"/>
              </w:rPr>
            </w:pPr>
          </w:p>
        </w:tc>
        <w:tc>
          <w:tcPr>
            <w:tcW w:w="4820" w:type="dxa"/>
            <w:vMerge w:val="continue"/>
            <w:tcBorders>
              <w:tl2br w:val="nil"/>
              <w:tr2bl w:val="nil"/>
            </w:tcBorders>
            <w:vAlign w:val="center"/>
          </w:tcPr>
          <w:p w14:paraId="4FE0DF0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kern w:val="0"/>
                <w:sz w:val="13"/>
                <w:szCs w:val="13"/>
                <w:highlight w:val="none"/>
              </w:rPr>
            </w:pPr>
          </w:p>
        </w:tc>
        <w:tc>
          <w:tcPr>
            <w:tcW w:w="823" w:type="dxa"/>
            <w:vMerge w:val="continue"/>
            <w:tcBorders>
              <w:tl2br w:val="nil"/>
              <w:tr2bl w:val="nil"/>
            </w:tcBorders>
            <w:tcMar>
              <w:top w:w="15" w:type="dxa"/>
              <w:left w:w="15" w:type="dxa"/>
              <w:bottom w:w="15" w:type="dxa"/>
              <w:right w:w="15" w:type="dxa"/>
            </w:tcMar>
            <w:vAlign w:val="center"/>
          </w:tcPr>
          <w:p w14:paraId="5025C36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kern w:val="0"/>
                <w:sz w:val="13"/>
                <w:szCs w:val="13"/>
                <w:highlight w:val="none"/>
                <w:lang w:eastAsia="zh-CN"/>
              </w:rPr>
            </w:pPr>
          </w:p>
        </w:tc>
        <w:tc>
          <w:tcPr>
            <w:tcW w:w="3437" w:type="dxa"/>
            <w:gridSpan w:val="2"/>
            <w:tcBorders>
              <w:tl2br w:val="nil"/>
              <w:tr2bl w:val="nil"/>
            </w:tcBorders>
            <w:tcMar>
              <w:top w:w="15" w:type="dxa"/>
              <w:left w:w="15" w:type="dxa"/>
              <w:bottom w:w="15" w:type="dxa"/>
              <w:right w:w="15" w:type="dxa"/>
            </w:tcMar>
            <w:vAlign w:val="center"/>
          </w:tcPr>
          <w:p w14:paraId="36D1E3D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rPr>
                <w:rFonts w:hint="eastAsia" w:ascii="仿宋_GB2312" w:hAnsi="宋体" w:eastAsia="仿宋_GB2312" w:cs="宋体"/>
                <w:color w:val="auto"/>
                <w:kern w:val="0"/>
                <w:sz w:val="13"/>
                <w:szCs w:val="13"/>
                <w:highlight w:val="none"/>
              </w:rPr>
            </w:pPr>
            <w:r>
              <w:rPr>
                <w:rFonts w:hint="eastAsia" w:ascii="仿宋_GB2312" w:hAnsi="宋体" w:eastAsia="仿宋_GB2312" w:cs="宋体"/>
                <w:color w:val="auto"/>
                <w:kern w:val="0"/>
                <w:sz w:val="13"/>
                <w:szCs w:val="13"/>
                <w:highlight w:val="none"/>
              </w:rPr>
              <w:t>未经批准擅自关闭、闲置城市生活垃圾处置设施、场所9日以上11日以下的。</w:t>
            </w:r>
          </w:p>
        </w:tc>
        <w:tc>
          <w:tcPr>
            <w:tcW w:w="3058" w:type="dxa"/>
            <w:tcBorders>
              <w:tl2br w:val="nil"/>
              <w:tr2bl w:val="nil"/>
            </w:tcBorders>
            <w:tcMar>
              <w:top w:w="15" w:type="dxa"/>
              <w:left w:w="15" w:type="dxa"/>
              <w:bottom w:w="15" w:type="dxa"/>
              <w:right w:w="15" w:type="dxa"/>
            </w:tcMar>
            <w:vAlign w:val="center"/>
          </w:tcPr>
          <w:p w14:paraId="6371893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rPr>
                <w:rFonts w:hint="eastAsia" w:ascii="仿宋_GB2312" w:hAnsi="宋体" w:eastAsia="仿宋_GB2312" w:cs="宋体"/>
                <w:color w:val="auto"/>
                <w:kern w:val="0"/>
                <w:sz w:val="13"/>
                <w:szCs w:val="13"/>
                <w:highlight w:val="none"/>
              </w:rPr>
            </w:pPr>
            <w:r>
              <w:rPr>
                <w:rFonts w:hint="eastAsia" w:ascii="仿宋_GB2312" w:hAnsi="宋体" w:eastAsia="仿宋_GB2312" w:cs="宋体"/>
                <w:color w:val="auto"/>
                <w:kern w:val="0"/>
                <w:sz w:val="13"/>
                <w:szCs w:val="13"/>
                <w:highlight w:val="none"/>
              </w:rPr>
              <w:t>责令改正，对单位处以60万元以上70万元以下罚款，没收违法所得。</w:t>
            </w:r>
          </w:p>
        </w:tc>
      </w:tr>
      <w:tr w14:paraId="51C9E8E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497" w:hRule="atLeast"/>
          <w:jc w:val="center"/>
        </w:trPr>
        <w:tc>
          <w:tcPr>
            <w:tcW w:w="428" w:type="dxa"/>
            <w:vMerge w:val="continue"/>
            <w:tcBorders>
              <w:tl2br w:val="nil"/>
              <w:tr2bl w:val="nil"/>
            </w:tcBorders>
            <w:vAlign w:val="center"/>
          </w:tcPr>
          <w:p w14:paraId="12DB8433">
            <w:pPr>
              <w:pStyle w:val="37"/>
              <w:keepNext w:val="0"/>
              <w:keepLines w:val="0"/>
              <w:pageBreakBefore w:val="0"/>
              <w:widowControl/>
              <w:numPr>
                <w:ilvl w:val="0"/>
                <w:numId w:val="14"/>
              </w:numPr>
              <w:kinsoku/>
              <w:overflowPunct/>
              <w:topLinePunct w:val="0"/>
              <w:autoSpaceDE/>
              <w:autoSpaceDN/>
              <w:bidi w:val="0"/>
              <w:adjustRightInd/>
              <w:snapToGrid/>
              <w:spacing w:beforeAutospacing="0" w:afterAutospacing="0" w:line="260" w:lineRule="exact"/>
              <w:ind w:left="638" w:leftChars="88" w:right="0" w:rightChars="0" w:hanging="453" w:hangingChars="349"/>
              <w:jc w:val="center"/>
              <w:textAlignment w:val="center"/>
              <w:rPr>
                <w:rFonts w:ascii="仿宋_GB2312" w:hAnsi="宋体" w:eastAsia="仿宋_GB2312" w:cs="宋体"/>
                <w:color w:val="auto"/>
                <w:kern w:val="0"/>
                <w:sz w:val="13"/>
                <w:szCs w:val="13"/>
                <w:highlight w:val="none"/>
              </w:rPr>
            </w:pPr>
          </w:p>
        </w:tc>
        <w:tc>
          <w:tcPr>
            <w:tcW w:w="1550" w:type="dxa"/>
            <w:vMerge w:val="continue"/>
            <w:tcBorders>
              <w:tl2br w:val="nil"/>
              <w:tr2bl w:val="nil"/>
            </w:tcBorders>
            <w:vAlign w:val="center"/>
          </w:tcPr>
          <w:p w14:paraId="086640F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kern w:val="0"/>
                <w:sz w:val="13"/>
                <w:szCs w:val="13"/>
                <w:highlight w:val="none"/>
              </w:rPr>
            </w:pPr>
          </w:p>
        </w:tc>
        <w:tc>
          <w:tcPr>
            <w:tcW w:w="4820" w:type="dxa"/>
            <w:vMerge w:val="continue"/>
            <w:tcBorders>
              <w:tl2br w:val="nil"/>
              <w:tr2bl w:val="nil"/>
            </w:tcBorders>
            <w:vAlign w:val="center"/>
          </w:tcPr>
          <w:p w14:paraId="37DE7D9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kern w:val="0"/>
                <w:sz w:val="13"/>
                <w:szCs w:val="13"/>
                <w:highlight w:val="none"/>
              </w:rPr>
            </w:pPr>
          </w:p>
        </w:tc>
        <w:tc>
          <w:tcPr>
            <w:tcW w:w="823" w:type="dxa"/>
            <w:vMerge w:val="restart"/>
            <w:tcBorders>
              <w:tl2br w:val="nil"/>
              <w:tr2bl w:val="nil"/>
            </w:tcBorders>
            <w:tcMar>
              <w:top w:w="15" w:type="dxa"/>
              <w:left w:w="15" w:type="dxa"/>
              <w:bottom w:w="15" w:type="dxa"/>
              <w:right w:w="15" w:type="dxa"/>
            </w:tcMar>
            <w:vAlign w:val="center"/>
          </w:tcPr>
          <w:p w14:paraId="5E88CC0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kern w:val="0"/>
                <w:sz w:val="13"/>
                <w:szCs w:val="13"/>
                <w:highlight w:val="none"/>
                <w:lang w:eastAsia="zh-CN"/>
              </w:rPr>
            </w:pPr>
            <w:r>
              <w:rPr>
                <w:rFonts w:hint="eastAsia" w:ascii="仿宋_GB2312" w:hAnsi="宋体" w:eastAsia="仿宋_GB2312" w:cs="宋体"/>
                <w:color w:val="auto"/>
                <w:kern w:val="0"/>
                <w:sz w:val="13"/>
                <w:szCs w:val="13"/>
                <w:highlight w:val="none"/>
                <w:lang w:eastAsia="zh-CN"/>
              </w:rPr>
              <w:t>从重情节</w:t>
            </w:r>
          </w:p>
        </w:tc>
        <w:tc>
          <w:tcPr>
            <w:tcW w:w="3437" w:type="dxa"/>
            <w:gridSpan w:val="2"/>
            <w:tcBorders>
              <w:tl2br w:val="nil"/>
              <w:tr2bl w:val="nil"/>
            </w:tcBorders>
            <w:tcMar>
              <w:top w:w="15" w:type="dxa"/>
              <w:left w:w="15" w:type="dxa"/>
              <w:bottom w:w="15" w:type="dxa"/>
              <w:right w:w="15" w:type="dxa"/>
            </w:tcMar>
            <w:vAlign w:val="center"/>
          </w:tcPr>
          <w:p w14:paraId="00E22B4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rPr>
                <w:rFonts w:hint="eastAsia" w:ascii="仿宋_GB2312" w:hAnsi="宋体" w:eastAsia="仿宋_GB2312" w:cs="宋体"/>
                <w:color w:val="auto"/>
                <w:kern w:val="0"/>
                <w:sz w:val="13"/>
                <w:szCs w:val="13"/>
                <w:highlight w:val="none"/>
                <w:lang w:val="en-US" w:eastAsia="zh-CN"/>
              </w:rPr>
            </w:pPr>
            <w:r>
              <w:rPr>
                <w:rFonts w:hint="eastAsia" w:ascii="仿宋_GB2312" w:hAnsi="宋体" w:eastAsia="仿宋_GB2312" w:cs="宋体"/>
                <w:color w:val="auto"/>
                <w:kern w:val="0"/>
                <w:sz w:val="13"/>
                <w:szCs w:val="13"/>
                <w:highlight w:val="none"/>
              </w:rPr>
              <w:t>未经批准擅自关闭、闲置城市生活垃圾处置设施、场所11日以上13日以下的。</w:t>
            </w:r>
          </w:p>
        </w:tc>
        <w:tc>
          <w:tcPr>
            <w:tcW w:w="3058" w:type="dxa"/>
            <w:tcBorders>
              <w:tl2br w:val="nil"/>
              <w:tr2bl w:val="nil"/>
            </w:tcBorders>
            <w:tcMar>
              <w:top w:w="15" w:type="dxa"/>
              <w:left w:w="15" w:type="dxa"/>
              <w:bottom w:w="15" w:type="dxa"/>
              <w:right w:w="15" w:type="dxa"/>
            </w:tcMar>
            <w:vAlign w:val="center"/>
          </w:tcPr>
          <w:p w14:paraId="29B0D6E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rPr>
                <w:rFonts w:hint="eastAsia" w:ascii="仿宋_GB2312" w:hAnsi="宋体" w:eastAsia="仿宋_GB2312" w:cs="宋体"/>
                <w:color w:val="auto"/>
                <w:kern w:val="0"/>
                <w:sz w:val="13"/>
                <w:szCs w:val="13"/>
                <w:highlight w:val="none"/>
                <w:lang w:val="en-US" w:eastAsia="zh-CN"/>
              </w:rPr>
            </w:pPr>
            <w:r>
              <w:rPr>
                <w:rFonts w:hint="eastAsia" w:ascii="仿宋_GB2312" w:hAnsi="宋体" w:eastAsia="仿宋_GB2312" w:cs="宋体"/>
                <w:color w:val="auto"/>
                <w:kern w:val="0"/>
                <w:sz w:val="13"/>
                <w:szCs w:val="13"/>
                <w:highlight w:val="none"/>
              </w:rPr>
              <w:t>责令改正，对单位处以70万元以上80万元以下罚款，没收违法所得。</w:t>
            </w:r>
          </w:p>
        </w:tc>
      </w:tr>
      <w:tr w14:paraId="39FAB88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484" w:hRule="atLeast"/>
          <w:jc w:val="center"/>
        </w:trPr>
        <w:tc>
          <w:tcPr>
            <w:tcW w:w="428" w:type="dxa"/>
            <w:vMerge w:val="continue"/>
            <w:tcBorders>
              <w:tl2br w:val="nil"/>
              <w:tr2bl w:val="nil"/>
            </w:tcBorders>
            <w:vAlign w:val="center"/>
          </w:tcPr>
          <w:p w14:paraId="21A97F6A">
            <w:pPr>
              <w:pStyle w:val="37"/>
              <w:keepNext w:val="0"/>
              <w:keepLines w:val="0"/>
              <w:pageBreakBefore w:val="0"/>
              <w:widowControl/>
              <w:numPr>
                <w:ilvl w:val="0"/>
                <w:numId w:val="14"/>
              </w:numPr>
              <w:kinsoku/>
              <w:overflowPunct/>
              <w:topLinePunct w:val="0"/>
              <w:autoSpaceDE/>
              <w:autoSpaceDN/>
              <w:bidi w:val="0"/>
              <w:adjustRightInd/>
              <w:snapToGrid/>
              <w:spacing w:beforeAutospacing="0" w:afterAutospacing="0" w:line="260" w:lineRule="exact"/>
              <w:ind w:left="638" w:leftChars="88" w:right="0" w:rightChars="0" w:hanging="453" w:hangingChars="349"/>
              <w:jc w:val="center"/>
              <w:textAlignment w:val="center"/>
              <w:rPr>
                <w:rFonts w:ascii="仿宋_GB2312" w:hAnsi="宋体" w:eastAsia="仿宋_GB2312" w:cs="宋体"/>
                <w:color w:val="auto"/>
                <w:kern w:val="0"/>
                <w:sz w:val="13"/>
                <w:szCs w:val="13"/>
                <w:highlight w:val="none"/>
              </w:rPr>
            </w:pPr>
          </w:p>
        </w:tc>
        <w:tc>
          <w:tcPr>
            <w:tcW w:w="1550" w:type="dxa"/>
            <w:vMerge w:val="continue"/>
            <w:tcBorders>
              <w:tl2br w:val="nil"/>
              <w:tr2bl w:val="nil"/>
            </w:tcBorders>
            <w:vAlign w:val="center"/>
          </w:tcPr>
          <w:p w14:paraId="5129B59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kern w:val="0"/>
                <w:sz w:val="13"/>
                <w:szCs w:val="13"/>
                <w:highlight w:val="none"/>
              </w:rPr>
            </w:pPr>
          </w:p>
        </w:tc>
        <w:tc>
          <w:tcPr>
            <w:tcW w:w="4820" w:type="dxa"/>
            <w:vMerge w:val="continue"/>
            <w:tcBorders>
              <w:tl2br w:val="nil"/>
              <w:tr2bl w:val="nil"/>
            </w:tcBorders>
            <w:vAlign w:val="center"/>
          </w:tcPr>
          <w:p w14:paraId="14FB24D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kern w:val="0"/>
                <w:sz w:val="13"/>
                <w:szCs w:val="13"/>
                <w:highlight w:val="none"/>
              </w:rPr>
            </w:pPr>
          </w:p>
        </w:tc>
        <w:tc>
          <w:tcPr>
            <w:tcW w:w="823" w:type="dxa"/>
            <w:vMerge w:val="continue"/>
            <w:tcBorders>
              <w:tl2br w:val="nil"/>
              <w:tr2bl w:val="nil"/>
            </w:tcBorders>
            <w:tcMar>
              <w:top w:w="15" w:type="dxa"/>
              <w:left w:w="15" w:type="dxa"/>
              <w:bottom w:w="15" w:type="dxa"/>
              <w:right w:w="15" w:type="dxa"/>
            </w:tcMar>
            <w:vAlign w:val="center"/>
          </w:tcPr>
          <w:p w14:paraId="3798F5B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kern w:val="0"/>
                <w:sz w:val="13"/>
                <w:szCs w:val="13"/>
                <w:highlight w:val="none"/>
                <w:lang w:eastAsia="zh-CN"/>
              </w:rPr>
            </w:pPr>
          </w:p>
        </w:tc>
        <w:tc>
          <w:tcPr>
            <w:tcW w:w="3437" w:type="dxa"/>
            <w:gridSpan w:val="2"/>
            <w:tcBorders>
              <w:tl2br w:val="nil"/>
              <w:tr2bl w:val="nil"/>
            </w:tcBorders>
            <w:tcMar>
              <w:top w:w="15" w:type="dxa"/>
              <w:left w:w="15" w:type="dxa"/>
              <w:bottom w:w="15" w:type="dxa"/>
              <w:right w:w="15" w:type="dxa"/>
            </w:tcMar>
            <w:vAlign w:val="center"/>
          </w:tcPr>
          <w:p w14:paraId="43D4E44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rPr>
                <w:rFonts w:hint="eastAsia" w:ascii="仿宋_GB2312" w:hAnsi="宋体" w:eastAsia="仿宋_GB2312" w:cs="宋体"/>
                <w:color w:val="auto"/>
                <w:kern w:val="0"/>
                <w:sz w:val="13"/>
                <w:szCs w:val="13"/>
                <w:highlight w:val="none"/>
              </w:rPr>
            </w:pPr>
            <w:r>
              <w:rPr>
                <w:rFonts w:hint="eastAsia" w:ascii="仿宋_GB2312" w:hAnsi="宋体" w:eastAsia="仿宋_GB2312" w:cs="宋体"/>
                <w:color w:val="auto"/>
                <w:kern w:val="0"/>
                <w:sz w:val="13"/>
                <w:szCs w:val="13"/>
                <w:highlight w:val="none"/>
              </w:rPr>
              <w:t>未经批准擅自关闭、闲置城市生活垃圾处置设施、场所13日以上15日以下的。</w:t>
            </w:r>
          </w:p>
        </w:tc>
        <w:tc>
          <w:tcPr>
            <w:tcW w:w="3058" w:type="dxa"/>
            <w:tcBorders>
              <w:tl2br w:val="nil"/>
              <w:tr2bl w:val="nil"/>
            </w:tcBorders>
            <w:tcMar>
              <w:top w:w="15" w:type="dxa"/>
              <w:left w:w="15" w:type="dxa"/>
              <w:bottom w:w="15" w:type="dxa"/>
              <w:right w:w="15" w:type="dxa"/>
            </w:tcMar>
            <w:vAlign w:val="center"/>
          </w:tcPr>
          <w:p w14:paraId="6197511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rPr>
                <w:rFonts w:hint="eastAsia" w:ascii="仿宋_GB2312" w:hAnsi="宋体" w:eastAsia="仿宋_GB2312" w:cs="宋体"/>
                <w:color w:val="auto"/>
                <w:kern w:val="0"/>
                <w:sz w:val="13"/>
                <w:szCs w:val="13"/>
                <w:highlight w:val="none"/>
              </w:rPr>
            </w:pPr>
            <w:r>
              <w:rPr>
                <w:rFonts w:hint="eastAsia" w:ascii="仿宋_GB2312" w:hAnsi="宋体" w:eastAsia="仿宋_GB2312" w:cs="宋体"/>
                <w:color w:val="auto"/>
                <w:kern w:val="0"/>
                <w:sz w:val="13"/>
                <w:szCs w:val="13"/>
                <w:highlight w:val="none"/>
              </w:rPr>
              <w:t>责令改正，对单位处以80万元以上90万元以下罚款，没收违法所得。</w:t>
            </w:r>
          </w:p>
        </w:tc>
      </w:tr>
      <w:tr w14:paraId="64DB797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479" w:hRule="atLeast"/>
          <w:jc w:val="center"/>
        </w:trPr>
        <w:tc>
          <w:tcPr>
            <w:tcW w:w="428" w:type="dxa"/>
            <w:vMerge w:val="continue"/>
            <w:tcBorders>
              <w:tl2br w:val="nil"/>
              <w:tr2bl w:val="nil"/>
            </w:tcBorders>
            <w:vAlign w:val="center"/>
          </w:tcPr>
          <w:p w14:paraId="45106D66">
            <w:pPr>
              <w:pStyle w:val="37"/>
              <w:keepNext w:val="0"/>
              <w:keepLines w:val="0"/>
              <w:pageBreakBefore w:val="0"/>
              <w:widowControl/>
              <w:numPr>
                <w:ilvl w:val="0"/>
                <w:numId w:val="14"/>
              </w:numPr>
              <w:kinsoku/>
              <w:overflowPunct/>
              <w:topLinePunct w:val="0"/>
              <w:autoSpaceDE/>
              <w:autoSpaceDN/>
              <w:bidi w:val="0"/>
              <w:adjustRightInd/>
              <w:snapToGrid/>
              <w:spacing w:beforeAutospacing="0" w:afterAutospacing="0" w:line="260" w:lineRule="exact"/>
              <w:ind w:left="638" w:leftChars="88" w:right="0" w:rightChars="0" w:hanging="453" w:hangingChars="349"/>
              <w:jc w:val="center"/>
              <w:textAlignment w:val="center"/>
              <w:rPr>
                <w:rFonts w:ascii="仿宋_GB2312" w:hAnsi="宋体" w:eastAsia="仿宋_GB2312" w:cs="宋体"/>
                <w:color w:val="auto"/>
                <w:kern w:val="0"/>
                <w:sz w:val="13"/>
                <w:szCs w:val="13"/>
                <w:highlight w:val="none"/>
              </w:rPr>
            </w:pPr>
          </w:p>
        </w:tc>
        <w:tc>
          <w:tcPr>
            <w:tcW w:w="1550" w:type="dxa"/>
            <w:vMerge w:val="continue"/>
            <w:tcBorders>
              <w:tl2br w:val="nil"/>
              <w:tr2bl w:val="nil"/>
            </w:tcBorders>
            <w:vAlign w:val="center"/>
          </w:tcPr>
          <w:p w14:paraId="144FA5A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kern w:val="0"/>
                <w:sz w:val="13"/>
                <w:szCs w:val="13"/>
                <w:highlight w:val="none"/>
              </w:rPr>
            </w:pPr>
          </w:p>
        </w:tc>
        <w:tc>
          <w:tcPr>
            <w:tcW w:w="4820" w:type="dxa"/>
            <w:vMerge w:val="continue"/>
            <w:tcBorders>
              <w:tl2br w:val="nil"/>
              <w:tr2bl w:val="nil"/>
            </w:tcBorders>
            <w:vAlign w:val="center"/>
          </w:tcPr>
          <w:p w14:paraId="4C32FD0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kern w:val="0"/>
                <w:sz w:val="13"/>
                <w:szCs w:val="13"/>
                <w:highlight w:val="none"/>
              </w:rPr>
            </w:pPr>
          </w:p>
        </w:tc>
        <w:tc>
          <w:tcPr>
            <w:tcW w:w="823" w:type="dxa"/>
            <w:vMerge w:val="continue"/>
            <w:tcBorders>
              <w:tl2br w:val="nil"/>
              <w:tr2bl w:val="nil"/>
            </w:tcBorders>
            <w:tcMar>
              <w:top w:w="15" w:type="dxa"/>
              <w:left w:w="15" w:type="dxa"/>
              <w:bottom w:w="15" w:type="dxa"/>
              <w:right w:w="15" w:type="dxa"/>
            </w:tcMar>
            <w:vAlign w:val="center"/>
          </w:tcPr>
          <w:p w14:paraId="601C32E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kern w:val="0"/>
                <w:sz w:val="13"/>
                <w:szCs w:val="13"/>
                <w:highlight w:val="none"/>
                <w:lang w:eastAsia="zh-CN"/>
              </w:rPr>
            </w:pPr>
          </w:p>
        </w:tc>
        <w:tc>
          <w:tcPr>
            <w:tcW w:w="3437" w:type="dxa"/>
            <w:gridSpan w:val="2"/>
            <w:tcBorders>
              <w:tl2br w:val="nil"/>
              <w:tr2bl w:val="nil"/>
            </w:tcBorders>
            <w:tcMar>
              <w:top w:w="15" w:type="dxa"/>
              <w:left w:w="15" w:type="dxa"/>
              <w:bottom w:w="15" w:type="dxa"/>
              <w:right w:w="15" w:type="dxa"/>
            </w:tcMar>
            <w:vAlign w:val="center"/>
          </w:tcPr>
          <w:p w14:paraId="5E23139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rPr>
                <w:rFonts w:hint="eastAsia" w:ascii="仿宋_GB2312" w:hAnsi="宋体" w:eastAsia="仿宋_GB2312" w:cs="宋体"/>
                <w:color w:val="auto"/>
                <w:kern w:val="0"/>
                <w:sz w:val="13"/>
                <w:szCs w:val="13"/>
                <w:highlight w:val="none"/>
              </w:rPr>
            </w:pPr>
            <w:r>
              <w:rPr>
                <w:rFonts w:hint="eastAsia" w:ascii="仿宋_GB2312" w:hAnsi="宋体" w:eastAsia="仿宋_GB2312" w:cs="宋体"/>
                <w:color w:val="auto"/>
                <w:kern w:val="0"/>
                <w:sz w:val="13"/>
                <w:szCs w:val="13"/>
                <w:highlight w:val="none"/>
              </w:rPr>
              <w:t>未经批准擅自关闭、闲置城市生活垃圾处置设施、场所15日以上的。</w:t>
            </w:r>
          </w:p>
        </w:tc>
        <w:tc>
          <w:tcPr>
            <w:tcW w:w="3058" w:type="dxa"/>
            <w:tcBorders>
              <w:tl2br w:val="nil"/>
              <w:tr2bl w:val="nil"/>
            </w:tcBorders>
            <w:tcMar>
              <w:top w:w="15" w:type="dxa"/>
              <w:left w:w="15" w:type="dxa"/>
              <w:bottom w:w="15" w:type="dxa"/>
              <w:right w:w="15" w:type="dxa"/>
            </w:tcMar>
            <w:vAlign w:val="center"/>
          </w:tcPr>
          <w:p w14:paraId="73C2378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rPr>
                <w:rFonts w:hint="eastAsia" w:ascii="仿宋_GB2312" w:hAnsi="宋体" w:eastAsia="仿宋_GB2312" w:cs="宋体"/>
                <w:color w:val="auto"/>
                <w:kern w:val="0"/>
                <w:sz w:val="13"/>
                <w:szCs w:val="13"/>
                <w:highlight w:val="none"/>
              </w:rPr>
            </w:pPr>
            <w:r>
              <w:rPr>
                <w:rFonts w:hint="eastAsia" w:ascii="仿宋_GB2312" w:hAnsi="宋体" w:eastAsia="仿宋_GB2312" w:cs="宋体"/>
                <w:color w:val="auto"/>
                <w:kern w:val="0"/>
                <w:sz w:val="13"/>
                <w:szCs w:val="13"/>
                <w:highlight w:val="none"/>
              </w:rPr>
              <w:t>责令改正，对单位处以90万元以上100万元以下罚款，没收违法所得。</w:t>
            </w:r>
          </w:p>
        </w:tc>
      </w:tr>
      <w:tr w14:paraId="794714F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900" w:hRule="atLeast"/>
          <w:jc w:val="center"/>
        </w:trPr>
        <w:tc>
          <w:tcPr>
            <w:tcW w:w="428" w:type="dxa"/>
            <w:vMerge w:val="restart"/>
            <w:tcBorders>
              <w:tl2br w:val="nil"/>
              <w:tr2bl w:val="nil"/>
            </w:tcBorders>
            <w:vAlign w:val="center"/>
          </w:tcPr>
          <w:p w14:paraId="3A0892CE">
            <w:pPr>
              <w:keepNext w:val="0"/>
              <w:keepLines w:val="0"/>
              <w:pageBreakBefore w:val="0"/>
              <w:widowControl/>
              <w:numPr>
                <w:ilvl w:val="0"/>
                <w:numId w:val="11"/>
              </w:numPr>
              <w:suppressLineNumbers w:val="0"/>
              <w:tabs>
                <w:tab w:val="clear" w:pos="397"/>
              </w:tabs>
              <w:kinsoku/>
              <w:overflowPunct/>
              <w:topLinePunct w:val="0"/>
              <w:autoSpaceDE/>
              <w:autoSpaceDN/>
              <w:bidi w:val="0"/>
              <w:adjustRightInd/>
              <w:snapToGrid/>
              <w:spacing w:beforeAutospacing="0" w:afterAutospacing="0" w:line="260" w:lineRule="exact"/>
              <w:ind w:left="638" w:leftChars="88" w:right="0" w:rightChars="0" w:hanging="453" w:hangingChars="349"/>
              <w:jc w:val="center"/>
              <w:textAlignment w:val="center"/>
              <w:rPr>
                <w:rFonts w:hint="default" w:ascii="仿宋_GB2312" w:hAnsi="宋体" w:eastAsia="仿宋_GB2312" w:cs="宋体"/>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368</w:t>
            </w:r>
          </w:p>
        </w:tc>
        <w:tc>
          <w:tcPr>
            <w:tcW w:w="1550" w:type="dxa"/>
            <w:vMerge w:val="restart"/>
            <w:tcBorders>
              <w:tl2br w:val="nil"/>
              <w:tr2bl w:val="nil"/>
            </w:tcBorders>
            <w:vAlign w:val="center"/>
          </w:tcPr>
          <w:p w14:paraId="66C17CA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rPr>
                <w:rFonts w:ascii="仿宋_GB2312" w:hAnsi="宋体" w:eastAsia="仿宋_GB2312" w:cs="宋体"/>
                <w:color w:val="auto"/>
                <w:sz w:val="13"/>
                <w:szCs w:val="13"/>
                <w:highlight w:val="none"/>
              </w:rPr>
            </w:pPr>
            <w:r>
              <w:rPr>
                <w:rFonts w:hint="eastAsia" w:ascii="仿宋_GB2312" w:hAnsi="宋体" w:eastAsia="仿宋_GB2312" w:cs="宋体"/>
                <w:color w:val="auto"/>
                <w:sz w:val="13"/>
                <w:szCs w:val="13"/>
                <w:highlight w:val="none"/>
              </w:rPr>
              <w:t>工程施工单位未编制建筑垃圾处理方案报备案的</w:t>
            </w:r>
          </w:p>
          <w:p w14:paraId="017A5FF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0" w:firstLineChars="200"/>
              <w:rPr>
                <w:rFonts w:ascii="仿宋_GB2312" w:hAnsi="宋体" w:eastAsia="仿宋_GB2312" w:cs="宋体"/>
                <w:color w:val="auto"/>
                <w:sz w:val="13"/>
                <w:szCs w:val="13"/>
                <w:highlight w:val="none"/>
              </w:rPr>
            </w:pPr>
          </w:p>
        </w:tc>
        <w:tc>
          <w:tcPr>
            <w:tcW w:w="4820" w:type="dxa"/>
            <w:vMerge w:val="restart"/>
            <w:tcBorders>
              <w:tl2br w:val="nil"/>
              <w:tr2bl w:val="nil"/>
            </w:tcBorders>
            <w:vAlign w:val="center"/>
          </w:tcPr>
          <w:p w14:paraId="43DAF4B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hint="eastAsia" w:ascii="仿宋_GB2312" w:hAnsi="宋体" w:eastAsia="仿宋_GB2312" w:cs="宋体"/>
                <w:b/>
                <w:bCs/>
                <w:color w:val="auto"/>
                <w:sz w:val="13"/>
                <w:szCs w:val="13"/>
                <w:highlight w:val="none"/>
                <w:lang w:eastAsia="zh-CN"/>
              </w:rPr>
            </w:pPr>
            <w:r>
              <w:rPr>
                <w:rFonts w:hint="eastAsia" w:ascii="仿宋_GB2312" w:hAnsi="宋体" w:eastAsia="仿宋_GB2312" w:cs="宋体"/>
                <w:color w:val="auto"/>
                <w:sz w:val="13"/>
                <w:szCs w:val="13"/>
                <w:highlight w:val="none"/>
              </w:rPr>
              <w:t>《中华人民共和国固体废物污染环境防治法》</w:t>
            </w:r>
            <w:r>
              <w:rPr>
                <w:rFonts w:hint="eastAsia" w:ascii="仿宋_GB2312" w:hAnsi="宋体" w:eastAsia="仿宋_GB2312" w:cs="宋体"/>
                <w:b/>
                <w:bCs/>
                <w:color w:val="auto"/>
                <w:sz w:val="13"/>
                <w:szCs w:val="13"/>
                <w:highlight w:val="none"/>
              </w:rPr>
              <w:t>第一百一十一条第一款</w:t>
            </w:r>
            <w:r>
              <w:rPr>
                <w:rFonts w:hint="eastAsia" w:ascii="仿宋_GB2312" w:hAnsi="宋体" w:eastAsia="仿宋_GB2312" w:cs="宋体"/>
                <w:b/>
                <w:bCs/>
                <w:color w:val="auto"/>
                <w:sz w:val="13"/>
                <w:szCs w:val="13"/>
                <w:highlight w:val="none"/>
                <w:lang w:eastAsia="zh-CN"/>
              </w:rPr>
              <w:t>（三）</w:t>
            </w:r>
            <w:r>
              <w:rPr>
                <w:rFonts w:hint="eastAsia" w:ascii="仿宋_GB2312" w:hAnsi="宋体" w:eastAsia="仿宋_GB2312" w:cs="宋体"/>
                <w:b/>
                <w:bCs/>
                <w:color w:val="auto"/>
                <w:sz w:val="13"/>
                <w:szCs w:val="13"/>
                <w:highlight w:val="none"/>
              </w:rPr>
              <w:t>项、第一百一十一条第二款</w:t>
            </w:r>
            <w:r>
              <w:rPr>
                <w:rFonts w:hint="eastAsia" w:ascii="仿宋_GB2312" w:hAnsi="宋体" w:eastAsia="仿宋_GB2312" w:cs="宋体"/>
                <w:b/>
                <w:bCs/>
                <w:color w:val="auto"/>
                <w:sz w:val="13"/>
                <w:szCs w:val="13"/>
                <w:highlight w:val="none"/>
                <w:lang w:eastAsia="zh-CN"/>
              </w:rPr>
              <w:t>：</w:t>
            </w:r>
          </w:p>
          <w:p w14:paraId="1285F59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rPr>
                <w:rFonts w:ascii="仿宋_GB2312" w:hAnsi="宋体" w:eastAsia="仿宋_GB2312" w:cs="宋体"/>
                <w:color w:val="auto"/>
                <w:sz w:val="13"/>
                <w:szCs w:val="13"/>
                <w:highlight w:val="none"/>
              </w:rPr>
            </w:pPr>
            <w:r>
              <w:rPr>
                <w:rFonts w:hint="eastAsia" w:ascii="仿宋_GB2312" w:hAnsi="宋体" w:eastAsia="仿宋_GB2312" w:cs="宋体"/>
                <w:color w:val="auto"/>
                <w:sz w:val="13"/>
                <w:szCs w:val="13"/>
                <w:highlight w:val="none"/>
              </w:rPr>
              <w:t>违反本法规定，有下列行为之一，由县级以上地方人民政府环境卫生主管部门责令改正，处以罚款，没收违法所得：（一）随意倾倒、抛撒、堆放或者焚烧生活垃圾的；（二）擅自关闭、闲置或者拆除生活垃圾处理设施、场所的；（三）工程施工单位未编制建筑垃圾处理方案报备案，或者未及时清运施工过程中产生的固体废物的；（四）工程施工单位擅自倾倒、抛撒或者堆放工程施工过程中产生的建筑垃圾，或者未按照规定对施工过程中产生的固体废物进行利用或者处置的；（五）产生、收集厨余垃圾的单位和其他生产经营者未将厨余垃圾交由具备相应资质条件的单位进行无害化处理的；（六）畜禽养殖场、养殖小区利用未经无害化处理的厨余垃圾饲喂畜禽的；（七）在运输过程中沿途丢弃、遗撒生活垃圾的。</w:t>
            </w:r>
          </w:p>
          <w:p w14:paraId="6358550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0" w:firstLineChars="200"/>
              <w:rPr>
                <w:rFonts w:ascii="仿宋_GB2312" w:hAnsi="宋体" w:eastAsia="仿宋_GB2312" w:cs="宋体"/>
                <w:color w:val="auto"/>
                <w:sz w:val="13"/>
                <w:szCs w:val="13"/>
                <w:highlight w:val="none"/>
              </w:rPr>
            </w:pPr>
            <w:r>
              <w:rPr>
                <w:rFonts w:hint="eastAsia" w:ascii="仿宋_GB2312" w:hAnsi="宋体" w:eastAsia="仿宋_GB2312" w:cs="宋体"/>
                <w:color w:val="auto"/>
                <w:sz w:val="13"/>
                <w:szCs w:val="13"/>
                <w:highlight w:val="none"/>
              </w:rPr>
              <w:t>单位有前款第一项、第七项行为之一，处五万元以上五十万元以下的罚款；单位有前款第二项、第三项、第四项、第五项、第六项行为之一，处十万元以上一百万元以下的罚款；个人有前款第一项、第五项、第七项行为之一，处一百元以上五百元以下的罚款。</w:t>
            </w:r>
          </w:p>
        </w:tc>
        <w:tc>
          <w:tcPr>
            <w:tcW w:w="823" w:type="dxa"/>
            <w:tcBorders>
              <w:tl2br w:val="nil"/>
              <w:tr2bl w:val="nil"/>
            </w:tcBorders>
            <w:tcMar>
              <w:top w:w="15" w:type="dxa"/>
              <w:left w:w="15" w:type="dxa"/>
              <w:bottom w:w="15" w:type="dxa"/>
              <w:right w:w="15" w:type="dxa"/>
            </w:tcMar>
            <w:vAlign w:val="center"/>
          </w:tcPr>
          <w:p w14:paraId="23700A4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从轻情节</w:t>
            </w:r>
          </w:p>
        </w:tc>
        <w:tc>
          <w:tcPr>
            <w:tcW w:w="3437" w:type="dxa"/>
            <w:gridSpan w:val="2"/>
            <w:tcBorders>
              <w:tl2br w:val="nil"/>
              <w:tr2bl w:val="nil"/>
            </w:tcBorders>
            <w:tcMar>
              <w:top w:w="15" w:type="dxa"/>
              <w:left w:w="15" w:type="dxa"/>
              <w:bottom w:w="15" w:type="dxa"/>
              <w:right w:w="15" w:type="dxa"/>
            </w:tcMar>
            <w:vAlign w:val="center"/>
          </w:tcPr>
          <w:p w14:paraId="3A8898B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初次违法，危害后果轻微，主动采取措施消除或减轻违法行为危害后果。</w:t>
            </w:r>
          </w:p>
        </w:tc>
        <w:tc>
          <w:tcPr>
            <w:tcW w:w="3058" w:type="dxa"/>
            <w:tcBorders>
              <w:tl2br w:val="nil"/>
              <w:tr2bl w:val="nil"/>
            </w:tcBorders>
            <w:tcMar>
              <w:top w:w="15" w:type="dxa"/>
              <w:left w:w="15" w:type="dxa"/>
              <w:bottom w:w="15" w:type="dxa"/>
              <w:right w:w="15" w:type="dxa"/>
            </w:tcMar>
            <w:vAlign w:val="center"/>
          </w:tcPr>
          <w:p w14:paraId="06E4134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责令改正，</w:t>
            </w:r>
            <w:r>
              <w:rPr>
                <w:rFonts w:hint="eastAsia" w:ascii="仿宋_GB2312" w:hAnsi="宋体" w:eastAsia="仿宋_GB2312" w:cs="宋体"/>
                <w:color w:val="auto"/>
                <w:sz w:val="13"/>
                <w:szCs w:val="13"/>
                <w:highlight w:val="none"/>
              </w:rPr>
              <w:t>对单位处10万元以上40万元以下的罚款</w:t>
            </w:r>
            <w:r>
              <w:rPr>
                <w:rFonts w:hint="eastAsia" w:ascii="仿宋_GB2312" w:hAnsi="宋体" w:eastAsia="仿宋_GB2312" w:cs="宋体"/>
                <w:color w:val="auto"/>
                <w:kern w:val="0"/>
                <w:sz w:val="13"/>
                <w:szCs w:val="13"/>
                <w:highlight w:val="none"/>
              </w:rPr>
              <w:t>，没收违法所得。</w:t>
            </w:r>
          </w:p>
          <w:p w14:paraId="4FAD123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sz w:val="13"/>
                <w:szCs w:val="13"/>
                <w:highlight w:val="none"/>
              </w:rPr>
            </w:pPr>
          </w:p>
        </w:tc>
      </w:tr>
      <w:tr w14:paraId="21B88C7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816" w:hRule="atLeast"/>
          <w:jc w:val="center"/>
        </w:trPr>
        <w:tc>
          <w:tcPr>
            <w:tcW w:w="428" w:type="dxa"/>
            <w:vMerge w:val="continue"/>
            <w:tcBorders>
              <w:tl2br w:val="nil"/>
              <w:tr2bl w:val="nil"/>
            </w:tcBorders>
            <w:vAlign w:val="center"/>
          </w:tcPr>
          <w:p w14:paraId="58DACC85">
            <w:pPr>
              <w:pStyle w:val="37"/>
              <w:keepNext w:val="0"/>
              <w:keepLines w:val="0"/>
              <w:pageBreakBefore w:val="0"/>
              <w:widowControl/>
              <w:numPr>
                <w:ilvl w:val="0"/>
                <w:numId w:val="14"/>
              </w:numPr>
              <w:kinsoku/>
              <w:overflowPunct/>
              <w:topLinePunct w:val="0"/>
              <w:autoSpaceDE/>
              <w:autoSpaceDN/>
              <w:bidi w:val="0"/>
              <w:adjustRightInd/>
              <w:snapToGrid/>
              <w:spacing w:beforeAutospacing="0" w:afterAutospacing="0" w:line="260" w:lineRule="exact"/>
              <w:ind w:left="638" w:leftChars="88" w:right="0" w:rightChars="0" w:hanging="453" w:hangingChars="349"/>
              <w:jc w:val="center"/>
              <w:textAlignment w:val="center"/>
              <w:rPr>
                <w:rFonts w:ascii="仿宋_GB2312" w:hAnsi="宋体" w:eastAsia="仿宋_GB2312" w:cs="宋体"/>
                <w:color w:val="auto"/>
                <w:sz w:val="13"/>
                <w:szCs w:val="13"/>
                <w:highlight w:val="none"/>
              </w:rPr>
            </w:pPr>
          </w:p>
        </w:tc>
        <w:tc>
          <w:tcPr>
            <w:tcW w:w="1550" w:type="dxa"/>
            <w:vMerge w:val="continue"/>
            <w:tcBorders>
              <w:tl2br w:val="nil"/>
              <w:tr2bl w:val="nil"/>
            </w:tcBorders>
            <w:vAlign w:val="center"/>
          </w:tcPr>
          <w:p w14:paraId="687F704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sz w:val="13"/>
                <w:szCs w:val="13"/>
                <w:highlight w:val="none"/>
              </w:rPr>
            </w:pPr>
          </w:p>
        </w:tc>
        <w:tc>
          <w:tcPr>
            <w:tcW w:w="4820" w:type="dxa"/>
            <w:vMerge w:val="continue"/>
            <w:tcBorders>
              <w:tl2br w:val="nil"/>
              <w:tr2bl w:val="nil"/>
            </w:tcBorders>
            <w:vAlign w:val="center"/>
          </w:tcPr>
          <w:p w14:paraId="1A67C18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20679EF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一般情节</w:t>
            </w:r>
          </w:p>
        </w:tc>
        <w:tc>
          <w:tcPr>
            <w:tcW w:w="3437" w:type="dxa"/>
            <w:gridSpan w:val="2"/>
            <w:tcBorders>
              <w:tl2br w:val="nil"/>
              <w:tr2bl w:val="nil"/>
            </w:tcBorders>
            <w:tcMar>
              <w:top w:w="15" w:type="dxa"/>
              <w:left w:w="15" w:type="dxa"/>
              <w:bottom w:w="15" w:type="dxa"/>
              <w:right w:w="15" w:type="dxa"/>
            </w:tcMar>
            <w:vAlign w:val="center"/>
          </w:tcPr>
          <w:p w14:paraId="03ACF22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不具有从轻、</w:t>
            </w:r>
            <w:r>
              <w:rPr>
                <w:rFonts w:hint="eastAsia" w:ascii="仿宋_GB2312" w:hAnsi="宋体" w:eastAsia="仿宋_GB2312" w:cs="宋体"/>
                <w:color w:val="auto"/>
                <w:kern w:val="0"/>
                <w:sz w:val="13"/>
                <w:szCs w:val="13"/>
                <w:highlight w:val="none"/>
                <w:lang w:eastAsia="zh-CN"/>
              </w:rPr>
              <w:t>从重情节</w:t>
            </w:r>
            <w:r>
              <w:rPr>
                <w:rFonts w:hint="eastAsia" w:ascii="仿宋_GB2312" w:hAnsi="宋体" w:eastAsia="仿宋_GB2312" w:cs="宋体"/>
                <w:color w:val="auto"/>
                <w:kern w:val="0"/>
                <w:sz w:val="13"/>
                <w:szCs w:val="13"/>
                <w:highlight w:val="none"/>
              </w:rPr>
              <w:t>的。</w:t>
            </w:r>
          </w:p>
        </w:tc>
        <w:tc>
          <w:tcPr>
            <w:tcW w:w="3058" w:type="dxa"/>
            <w:tcBorders>
              <w:tl2br w:val="nil"/>
              <w:tr2bl w:val="nil"/>
            </w:tcBorders>
            <w:tcMar>
              <w:top w:w="15" w:type="dxa"/>
              <w:left w:w="15" w:type="dxa"/>
              <w:bottom w:w="15" w:type="dxa"/>
              <w:right w:w="15" w:type="dxa"/>
            </w:tcMar>
            <w:vAlign w:val="center"/>
          </w:tcPr>
          <w:p w14:paraId="06B326E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责令改正，</w:t>
            </w:r>
            <w:r>
              <w:rPr>
                <w:rFonts w:hint="eastAsia" w:ascii="仿宋_GB2312" w:hAnsi="宋体" w:eastAsia="仿宋_GB2312" w:cs="宋体"/>
                <w:color w:val="auto"/>
                <w:sz w:val="13"/>
                <w:szCs w:val="13"/>
                <w:highlight w:val="none"/>
              </w:rPr>
              <w:t>对单位处40万元以上70万元以下的罚款</w:t>
            </w:r>
            <w:r>
              <w:rPr>
                <w:rFonts w:hint="eastAsia" w:ascii="仿宋_GB2312" w:hAnsi="宋体" w:eastAsia="仿宋_GB2312" w:cs="宋体"/>
                <w:color w:val="auto"/>
                <w:kern w:val="0"/>
                <w:sz w:val="13"/>
                <w:szCs w:val="13"/>
                <w:highlight w:val="none"/>
              </w:rPr>
              <w:t>，没收违法所得。</w:t>
            </w:r>
          </w:p>
        </w:tc>
      </w:tr>
      <w:tr w14:paraId="1F3083C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325" w:hRule="atLeast"/>
          <w:jc w:val="center"/>
        </w:trPr>
        <w:tc>
          <w:tcPr>
            <w:tcW w:w="428" w:type="dxa"/>
            <w:vMerge w:val="continue"/>
            <w:tcBorders>
              <w:tl2br w:val="nil"/>
              <w:tr2bl w:val="nil"/>
            </w:tcBorders>
            <w:vAlign w:val="center"/>
          </w:tcPr>
          <w:p w14:paraId="789436F9">
            <w:pPr>
              <w:pStyle w:val="37"/>
              <w:keepNext w:val="0"/>
              <w:keepLines w:val="0"/>
              <w:pageBreakBefore w:val="0"/>
              <w:widowControl/>
              <w:numPr>
                <w:ilvl w:val="0"/>
                <w:numId w:val="14"/>
              </w:numPr>
              <w:kinsoku/>
              <w:overflowPunct/>
              <w:topLinePunct w:val="0"/>
              <w:autoSpaceDE/>
              <w:autoSpaceDN/>
              <w:bidi w:val="0"/>
              <w:adjustRightInd/>
              <w:snapToGrid/>
              <w:spacing w:beforeAutospacing="0" w:afterAutospacing="0" w:line="260" w:lineRule="exact"/>
              <w:ind w:left="638" w:leftChars="88" w:right="0" w:rightChars="0" w:hanging="453" w:hangingChars="349"/>
              <w:jc w:val="center"/>
              <w:textAlignment w:val="center"/>
              <w:rPr>
                <w:rFonts w:ascii="仿宋_GB2312" w:hAnsi="宋体" w:eastAsia="仿宋_GB2312" w:cs="宋体"/>
                <w:color w:val="auto"/>
                <w:kern w:val="0"/>
                <w:sz w:val="13"/>
                <w:szCs w:val="13"/>
                <w:highlight w:val="none"/>
              </w:rPr>
            </w:pPr>
          </w:p>
        </w:tc>
        <w:tc>
          <w:tcPr>
            <w:tcW w:w="1550" w:type="dxa"/>
            <w:vMerge w:val="continue"/>
            <w:tcBorders>
              <w:tl2br w:val="nil"/>
              <w:tr2bl w:val="nil"/>
            </w:tcBorders>
            <w:vAlign w:val="center"/>
          </w:tcPr>
          <w:p w14:paraId="4337FDC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kern w:val="0"/>
                <w:sz w:val="13"/>
                <w:szCs w:val="13"/>
                <w:highlight w:val="none"/>
              </w:rPr>
            </w:pPr>
          </w:p>
        </w:tc>
        <w:tc>
          <w:tcPr>
            <w:tcW w:w="4820" w:type="dxa"/>
            <w:vMerge w:val="continue"/>
            <w:tcBorders>
              <w:tl2br w:val="nil"/>
              <w:tr2bl w:val="nil"/>
            </w:tcBorders>
            <w:vAlign w:val="center"/>
          </w:tcPr>
          <w:p w14:paraId="5F86060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kern w:val="0"/>
                <w:sz w:val="13"/>
                <w:szCs w:val="13"/>
                <w:highlight w:val="none"/>
              </w:rPr>
            </w:pPr>
          </w:p>
        </w:tc>
        <w:tc>
          <w:tcPr>
            <w:tcW w:w="823" w:type="dxa"/>
            <w:tcBorders>
              <w:tl2br w:val="nil"/>
              <w:tr2bl w:val="nil"/>
            </w:tcBorders>
            <w:tcMar>
              <w:top w:w="15" w:type="dxa"/>
              <w:left w:w="15" w:type="dxa"/>
              <w:bottom w:w="15" w:type="dxa"/>
              <w:right w:w="15" w:type="dxa"/>
            </w:tcMar>
            <w:vAlign w:val="center"/>
          </w:tcPr>
          <w:p w14:paraId="7BF0F55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从重情节</w:t>
            </w:r>
          </w:p>
        </w:tc>
        <w:tc>
          <w:tcPr>
            <w:tcW w:w="3437" w:type="dxa"/>
            <w:gridSpan w:val="2"/>
            <w:tcBorders>
              <w:tl2br w:val="nil"/>
              <w:tr2bl w:val="nil"/>
            </w:tcBorders>
            <w:tcMar>
              <w:top w:w="15" w:type="dxa"/>
              <w:left w:w="15" w:type="dxa"/>
              <w:bottom w:w="15" w:type="dxa"/>
              <w:right w:w="15" w:type="dxa"/>
            </w:tcMar>
            <w:vAlign w:val="center"/>
          </w:tcPr>
          <w:p w14:paraId="0C508DD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经责令改正后，仍不</w:t>
            </w:r>
            <w:r>
              <w:rPr>
                <w:rFonts w:hint="eastAsia" w:ascii="仿宋_GB2312" w:hAnsi="宋体" w:eastAsia="仿宋_GB2312" w:cs="宋体"/>
                <w:color w:val="auto"/>
                <w:sz w:val="13"/>
                <w:szCs w:val="13"/>
                <w:highlight w:val="none"/>
              </w:rPr>
              <w:t>编制建筑垃圾处理方案报备案</w:t>
            </w:r>
            <w:r>
              <w:rPr>
                <w:rFonts w:hint="eastAsia" w:ascii="仿宋_GB2312" w:hAnsi="宋体" w:eastAsia="仿宋_GB2312" w:cs="宋体"/>
                <w:color w:val="auto"/>
                <w:kern w:val="0"/>
                <w:sz w:val="13"/>
                <w:szCs w:val="13"/>
                <w:highlight w:val="none"/>
              </w:rPr>
              <w:t>的</w:t>
            </w:r>
            <w:r>
              <w:rPr>
                <w:rFonts w:hint="eastAsia" w:ascii="仿宋_GB2312" w:hAnsi="宋体" w:eastAsia="仿宋_GB2312" w:cs="宋体"/>
                <w:color w:val="auto"/>
                <w:kern w:val="0"/>
                <w:sz w:val="13"/>
                <w:szCs w:val="13"/>
                <w:highlight w:val="none"/>
                <w:lang w:eastAsia="zh-CN"/>
              </w:rPr>
              <w:t>，</w:t>
            </w:r>
            <w:r>
              <w:rPr>
                <w:rFonts w:hint="eastAsia" w:ascii="仿宋_GB2312" w:hAnsi="宋体" w:eastAsia="仿宋_GB2312" w:cs="宋体"/>
                <w:color w:val="auto"/>
                <w:kern w:val="0"/>
                <w:sz w:val="13"/>
                <w:szCs w:val="13"/>
                <w:highlight w:val="none"/>
                <w:lang w:val="en-US" w:eastAsia="zh-CN"/>
              </w:rPr>
              <w:t>或</w:t>
            </w:r>
            <w:r>
              <w:rPr>
                <w:rFonts w:hint="eastAsia" w:ascii="仿宋_GB2312" w:hAnsi="宋体" w:eastAsia="仿宋_GB2312" w:cs="宋体"/>
                <w:color w:val="auto"/>
                <w:kern w:val="0"/>
                <w:sz w:val="13"/>
                <w:szCs w:val="13"/>
                <w:highlight w:val="none"/>
              </w:rPr>
              <w:t>曾因实施该违法行为被查处，再次实施该违法行为的</w:t>
            </w:r>
            <w:r>
              <w:rPr>
                <w:rFonts w:hint="eastAsia" w:ascii="仿宋_GB2312" w:hAnsi="宋体" w:eastAsia="仿宋_GB2312" w:cs="宋体"/>
                <w:color w:val="auto"/>
                <w:kern w:val="0"/>
                <w:sz w:val="13"/>
                <w:szCs w:val="13"/>
                <w:highlight w:val="none"/>
                <w:lang w:eastAsia="zh-CN"/>
              </w:rPr>
              <w:t>，</w:t>
            </w:r>
            <w:r>
              <w:rPr>
                <w:rFonts w:hint="eastAsia" w:ascii="仿宋_GB2312" w:hAnsi="宋体" w:eastAsia="仿宋_GB2312" w:cs="宋体"/>
                <w:color w:val="auto"/>
                <w:kern w:val="0"/>
                <w:sz w:val="13"/>
                <w:szCs w:val="13"/>
                <w:highlight w:val="none"/>
                <w:lang w:val="en-US" w:eastAsia="zh-CN"/>
              </w:rPr>
              <w:t>或</w:t>
            </w:r>
            <w:r>
              <w:rPr>
                <w:rFonts w:hint="eastAsia" w:ascii="仿宋_GB2312" w:hAnsi="宋体" w:eastAsia="仿宋_GB2312" w:cs="宋体"/>
                <w:color w:val="auto"/>
                <w:kern w:val="0"/>
                <w:sz w:val="13"/>
                <w:szCs w:val="13"/>
                <w:highlight w:val="none"/>
              </w:rPr>
              <w:t>造成重大社会影响或危害后果的。</w:t>
            </w:r>
          </w:p>
        </w:tc>
        <w:tc>
          <w:tcPr>
            <w:tcW w:w="3058" w:type="dxa"/>
            <w:tcBorders>
              <w:tl2br w:val="nil"/>
              <w:tr2bl w:val="nil"/>
            </w:tcBorders>
            <w:tcMar>
              <w:top w:w="15" w:type="dxa"/>
              <w:left w:w="15" w:type="dxa"/>
              <w:bottom w:w="15" w:type="dxa"/>
              <w:right w:w="15" w:type="dxa"/>
            </w:tcMar>
            <w:vAlign w:val="center"/>
          </w:tcPr>
          <w:p w14:paraId="6DB02ED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责令改正，</w:t>
            </w:r>
            <w:r>
              <w:rPr>
                <w:rFonts w:hint="eastAsia" w:ascii="仿宋_GB2312" w:hAnsi="宋体" w:eastAsia="仿宋_GB2312" w:cs="宋体"/>
                <w:color w:val="auto"/>
                <w:sz w:val="13"/>
                <w:szCs w:val="13"/>
                <w:highlight w:val="none"/>
              </w:rPr>
              <w:t>对单位处70万元以上100万元以下的罚款</w:t>
            </w:r>
            <w:r>
              <w:rPr>
                <w:rFonts w:hint="eastAsia" w:ascii="仿宋_GB2312" w:hAnsi="宋体" w:eastAsia="仿宋_GB2312" w:cs="宋体"/>
                <w:color w:val="auto"/>
                <w:kern w:val="0"/>
                <w:sz w:val="13"/>
                <w:szCs w:val="13"/>
                <w:highlight w:val="none"/>
              </w:rPr>
              <w:t>，没收违法所得。</w:t>
            </w:r>
          </w:p>
        </w:tc>
      </w:tr>
      <w:tr w14:paraId="50AF25F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273" w:hRule="atLeast"/>
          <w:jc w:val="center"/>
        </w:trPr>
        <w:tc>
          <w:tcPr>
            <w:tcW w:w="428" w:type="dxa"/>
            <w:vMerge w:val="restart"/>
            <w:tcBorders>
              <w:tl2br w:val="nil"/>
              <w:tr2bl w:val="nil"/>
            </w:tcBorders>
            <w:vAlign w:val="center"/>
          </w:tcPr>
          <w:p w14:paraId="0D0AA1B4">
            <w:pPr>
              <w:keepNext w:val="0"/>
              <w:keepLines w:val="0"/>
              <w:pageBreakBefore w:val="0"/>
              <w:widowControl/>
              <w:numPr>
                <w:ilvl w:val="0"/>
                <w:numId w:val="11"/>
              </w:numPr>
              <w:suppressLineNumbers w:val="0"/>
              <w:tabs>
                <w:tab w:val="clear" w:pos="397"/>
              </w:tabs>
              <w:kinsoku/>
              <w:overflowPunct/>
              <w:topLinePunct w:val="0"/>
              <w:autoSpaceDE/>
              <w:autoSpaceDN/>
              <w:bidi w:val="0"/>
              <w:adjustRightInd/>
              <w:snapToGrid/>
              <w:spacing w:beforeAutospacing="0" w:afterAutospacing="0" w:line="260" w:lineRule="exact"/>
              <w:ind w:left="638" w:leftChars="88" w:right="0" w:rightChars="0" w:hanging="453" w:hangingChars="349"/>
              <w:jc w:val="center"/>
              <w:textAlignment w:val="center"/>
              <w:rPr>
                <w:rFonts w:hint="default" w:ascii="仿宋_GB2312" w:hAnsi="宋体" w:eastAsia="仿宋_GB2312" w:cs="宋体"/>
                <w:color w:val="auto"/>
                <w:kern w:val="0"/>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369</w:t>
            </w:r>
          </w:p>
        </w:tc>
        <w:tc>
          <w:tcPr>
            <w:tcW w:w="1550" w:type="dxa"/>
            <w:vMerge w:val="restart"/>
            <w:tcBorders>
              <w:tl2br w:val="nil"/>
              <w:tr2bl w:val="nil"/>
            </w:tcBorders>
            <w:vAlign w:val="center"/>
          </w:tcPr>
          <w:p w14:paraId="34FDD4E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rPr>
                <w:rFonts w:ascii="仿宋_GB2312" w:hAnsi="宋体" w:eastAsia="仿宋_GB2312" w:cs="宋体"/>
                <w:color w:val="auto"/>
                <w:sz w:val="13"/>
                <w:szCs w:val="13"/>
                <w:highlight w:val="none"/>
              </w:rPr>
            </w:pPr>
            <w:r>
              <w:rPr>
                <w:rFonts w:hint="eastAsia" w:ascii="仿宋_GB2312" w:hAnsi="宋体" w:eastAsia="仿宋_GB2312" w:cs="宋体"/>
                <w:color w:val="auto"/>
                <w:sz w:val="13"/>
                <w:szCs w:val="13"/>
                <w:highlight w:val="none"/>
              </w:rPr>
              <w:t>工程施工单位未及时清运施工过程中产生的固体废物的</w:t>
            </w:r>
          </w:p>
        </w:tc>
        <w:tc>
          <w:tcPr>
            <w:tcW w:w="4820" w:type="dxa"/>
            <w:vMerge w:val="restart"/>
            <w:tcBorders>
              <w:tl2br w:val="nil"/>
              <w:tr2bl w:val="nil"/>
            </w:tcBorders>
            <w:vAlign w:val="center"/>
          </w:tcPr>
          <w:p w14:paraId="681C377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sz w:val="13"/>
                <w:szCs w:val="13"/>
                <w:highlight w:val="none"/>
              </w:rPr>
            </w:pPr>
            <w:r>
              <w:rPr>
                <w:rFonts w:hint="eastAsia" w:ascii="仿宋_GB2312" w:hAnsi="宋体" w:eastAsia="仿宋_GB2312" w:cs="宋体"/>
                <w:color w:val="auto"/>
                <w:sz w:val="13"/>
                <w:szCs w:val="13"/>
                <w:highlight w:val="none"/>
              </w:rPr>
              <w:t>《中华人民共和国固体废物污染环境防治法》</w:t>
            </w:r>
            <w:r>
              <w:rPr>
                <w:rFonts w:hint="eastAsia" w:ascii="仿宋_GB2312" w:hAnsi="宋体" w:eastAsia="仿宋_GB2312" w:cs="宋体"/>
                <w:b/>
                <w:bCs/>
                <w:color w:val="auto"/>
                <w:sz w:val="13"/>
                <w:szCs w:val="13"/>
                <w:highlight w:val="none"/>
              </w:rPr>
              <w:t>第一百一十一条第一款</w:t>
            </w:r>
            <w:r>
              <w:rPr>
                <w:rFonts w:hint="eastAsia" w:ascii="仿宋_GB2312" w:hAnsi="宋体" w:eastAsia="仿宋_GB2312" w:cs="宋体"/>
                <w:b/>
                <w:bCs/>
                <w:color w:val="auto"/>
                <w:sz w:val="13"/>
                <w:szCs w:val="13"/>
                <w:highlight w:val="none"/>
                <w:lang w:eastAsia="zh-CN"/>
              </w:rPr>
              <w:t>（三）</w:t>
            </w:r>
            <w:r>
              <w:rPr>
                <w:rFonts w:hint="eastAsia" w:ascii="仿宋_GB2312" w:hAnsi="宋体" w:eastAsia="仿宋_GB2312" w:cs="宋体"/>
                <w:b/>
                <w:bCs/>
                <w:color w:val="auto"/>
                <w:sz w:val="13"/>
                <w:szCs w:val="13"/>
                <w:highlight w:val="none"/>
              </w:rPr>
              <w:t>项、第一百一十一条第二款</w:t>
            </w:r>
            <w:r>
              <w:rPr>
                <w:rFonts w:hint="eastAsia" w:ascii="仿宋_GB2312" w:hAnsi="宋体" w:eastAsia="仿宋_GB2312" w:cs="宋体"/>
                <w:b/>
                <w:bCs/>
                <w:color w:val="auto"/>
                <w:sz w:val="13"/>
                <w:szCs w:val="13"/>
                <w:highlight w:val="none"/>
                <w:lang w:eastAsia="zh-CN"/>
              </w:rPr>
              <w:t>：</w:t>
            </w:r>
            <w:r>
              <w:rPr>
                <w:rFonts w:hint="eastAsia" w:ascii="仿宋_GB2312" w:hAnsi="宋体" w:eastAsia="仿宋_GB2312" w:cs="宋体"/>
                <w:color w:val="auto"/>
                <w:sz w:val="13"/>
                <w:szCs w:val="13"/>
                <w:highlight w:val="none"/>
              </w:rPr>
              <w:t>违反本法规定，有下列行为之一，由县级以上地方人民政府环境卫生主管部门责令改正，处以罚款，没收违法所得：（一）随意倾倒、抛撒、堆放或者焚烧生活垃圾的；（二）擅自关闭、闲置或者拆除生活垃圾处理设施、场所的；（三）工程施工单位未编制建筑垃圾处理方案报备案，或者未及时清运施工过程中产生的固体废物的；（四）工程施工单位擅自倾倒、抛撒或者堆放工程施工过程中产生的建筑垃圾，或者未按照规定对施工过程中产生的固体废物进行利用或者处置的；（五）产生、收集厨余垃圾的单位和其他生产经营者未将厨余垃圾交由具备相应资质条件的单位进行无害化处理的；（六）畜禽养殖场、养殖小区利用未经无害化处理的厨余垃圾饲喂畜禽的；（七）在运输过程中沿途丢弃、遗撒生活垃圾的。</w:t>
            </w:r>
          </w:p>
          <w:p w14:paraId="03D8951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0" w:firstLineChars="200"/>
              <w:rPr>
                <w:rFonts w:ascii="仿宋_GB2312" w:hAnsi="宋体" w:eastAsia="仿宋_GB2312" w:cs="宋体"/>
                <w:color w:val="auto"/>
                <w:sz w:val="13"/>
                <w:szCs w:val="13"/>
                <w:highlight w:val="none"/>
              </w:rPr>
            </w:pPr>
            <w:r>
              <w:rPr>
                <w:rFonts w:hint="eastAsia" w:ascii="仿宋_GB2312" w:hAnsi="宋体" w:eastAsia="仿宋_GB2312" w:cs="宋体"/>
                <w:color w:val="auto"/>
                <w:sz w:val="13"/>
                <w:szCs w:val="13"/>
                <w:highlight w:val="none"/>
              </w:rPr>
              <w:t>单位有前款第一项、第七项行为之一，处五万元以上五十万元以下的罚款；单位有前款第二项、第三项、第四项、第五项、第六项行为之一，处十万元以上一百万元以下的罚款；个人有前款第一项、第五项、第七项行为之一，处一百元以上五百元以下的罚款。</w:t>
            </w:r>
          </w:p>
        </w:tc>
        <w:tc>
          <w:tcPr>
            <w:tcW w:w="823" w:type="dxa"/>
            <w:vMerge w:val="restart"/>
            <w:tcBorders>
              <w:tl2br w:val="nil"/>
              <w:tr2bl w:val="nil"/>
            </w:tcBorders>
            <w:tcMar>
              <w:top w:w="15" w:type="dxa"/>
              <w:left w:w="15" w:type="dxa"/>
              <w:bottom w:w="15" w:type="dxa"/>
              <w:right w:w="15" w:type="dxa"/>
            </w:tcMar>
            <w:vAlign w:val="center"/>
          </w:tcPr>
          <w:p w14:paraId="20DDD6A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从轻情节</w:t>
            </w:r>
          </w:p>
        </w:tc>
        <w:tc>
          <w:tcPr>
            <w:tcW w:w="3437" w:type="dxa"/>
            <w:gridSpan w:val="2"/>
            <w:tcBorders>
              <w:tl2br w:val="nil"/>
              <w:tr2bl w:val="nil"/>
            </w:tcBorders>
            <w:tcMar>
              <w:top w:w="15" w:type="dxa"/>
              <w:left w:w="15" w:type="dxa"/>
              <w:bottom w:w="15" w:type="dxa"/>
              <w:right w:w="15" w:type="dxa"/>
            </w:tcMar>
            <w:vAlign w:val="center"/>
          </w:tcPr>
          <w:p w14:paraId="35F34DD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kern w:val="0"/>
                <w:sz w:val="13"/>
                <w:szCs w:val="13"/>
                <w:highlight w:val="none"/>
              </w:rPr>
            </w:pPr>
            <w:r>
              <w:rPr>
                <w:rFonts w:hint="eastAsia" w:ascii="仿宋_GB2312" w:hAnsi="宋体" w:eastAsia="仿宋_GB2312" w:cs="宋体"/>
                <w:color w:val="auto"/>
                <w:kern w:val="0"/>
                <w:sz w:val="13"/>
                <w:szCs w:val="13"/>
                <w:highlight w:val="none"/>
              </w:rPr>
              <w:t>未及时清运工程</w:t>
            </w:r>
            <w:r>
              <w:rPr>
                <w:rFonts w:hint="eastAsia" w:ascii="仿宋_GB2312" w:hAnsi="宋体" w:eastAsia="仿宋_GB2312" w:cs="宋体"/>
                <w:color w:val="auto"/>
                <w:sz w:val="13"/>
                <w:szCs w:val="13"/>
                <w:highlight w:val="none"/>
              </w:rPr>
              <w:t>施工过程中产生的固体废物2</w:t>
            </w:r>
            <w:r>
              <w:rPr>
                <w:rFonts w:hint="eastAsia" w:ascii="仿宋_GB2312" w:hAnsi="宋体" w:eastAsia="仿宋_GB2312" w:cs="宋体"/>
                <w:color w:val="auto"/>
                <w:kern w:val="0"/>
                <w:sz w:val="13"/>
                <w:szCs w:val="13"/>
                <w:highlight w:val="none"/>
              </w:rPr>
              <w:t>0吨以下的。</w:t>
            </w:r>
          </w:p>
        </w:tc>
        <w:tc>
          <w:tcPr>
            <w:tcW w:w="3058" w:type="dxa"/>
            <w:tcBorders>
              <w:tl2br w:val="nil"/>
              <w:tr2bl w:val="nil"/>
            </w:tcBorders>
            <w:tcMar>
              <w:top w:w="15" w:type="dxa"/>
              <w:left w:w="15" w:type="dxa"/>
              <w:bottom w:w="15" w:type="dxa"/>
              <w:right w:w="15" w:type="dxa"/>
            </w:tcMar>
            <w:vAlign w:val="center"/>
          </w:tcPr>
          <w:p w14:paraId="76B5F1C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责令改正，对单位处以10万元以上20万元以下罚款，没收违法所得。</w:t>
            </w:r>
          </w:p>
        </w:tc>
      </w:tr>
      <w:tr w14:paraId="234B945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273" w:hRule="atLeast"/>
          <w:jc w:val="center"/>
        </w:trPr>
        <w:tc>
          <w:tcPr>
            <w:tcW w:w="428" w:type="dxa"/>
            <w:vMerge w:val="continue"/>
            <w:tcBorders>
              <w:tl2br w:val="nil"/>
              <w:tr2bl w:val="nil"/>
            </w:tcBorders>
            <w:vAlign w:val="center"/>
          </w:tcPr>
          <w:p w14:paraId="1B7C87D9">
            <w:pPr>
              <w:pStyle w:val="37"/>
              <w:keepNext w:val="0"/>
              <w:keepLines w:val="0"/>
              <w:pageBreakBefore w:val="0"/>
              <w:widowControl/>
              <w:numPr>
                <w:ilvl w:val="0"/>
                <w:numId w:val="14"/>
              </w:numPr>
              <w:kinsoku/>
              <w:overflowPunct/>
              <w:topLinePunct w:val="0"/>
              <w:autoSpaceDE/>
              <w:autoSpaceDN/>
              <w:bidi w:val="0"/>
              <w:adjustRightInd/>
              <w:snapToGrid/>
              <w:spacing w:beforeAutospacing="0" w:afterAutospacing="0" w:line="260" w:lineRule="exact"/>
              <w:ind w:left="638" w:leftChars="88" w:right="0" w:rightChars="0" w:hanging="453" w:hangingChars="349"/>
              <w:jc w:val="center"/>
              <w:textAlignment w:val="center"/>
              <w:rPr>
                <w:rFonts w:ascii="仿宋_GB2312" w:hAnsi="宋体" w:eastAsia="仿宋_GB2312" w:cs="宋体"/>
                <w:color w:val="auto"/>
                <w:sz w:val="13"/>
                <w:szCs w:val="13"/>
                <w:highlight w:val="none"/>
              </w:rPr>
            </w:pPr>
          </w:p>
        </w:tc>
        <w:tc>
          <w:tcPr>
            <w:tcW w:w="1550" w:type="dxa"/>
            <w:vMerge w:val="continue"/>
            <w:tcBorders>
              <w:tl2br w:val="nil"/>
              <w:tr2bl w:val="nil"/>
            </w:tcBorders>
            <w:vAlign w:val="center"/>
          </w:tcPr>
          <w:p w14:paraId="6ED6EDB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sz w:val="13"/>
                <w:szCs w:val="13"/>
                <w:highlight w:val="none"/>
              </w:rPr>
            </w:pPr>
          </w:p>
        </w:tc>
        <w:tc>
          <w:tcPr>
            <w:tcW w:w="4820" w:type="dxa"/>
            <w:vMerge w:val="continue"/>
            <w:tcBorders>
              <w:tl2br w:val="nil"/>
              <w:tr2bl w:val="nil"/>
            </w:tcBorders>
            <w:vAlign w:val="center"/>
          </w:tcPr>
          <w:p w14:paraId="6A5EF2B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sz w:val="13"/>
                <w:szCs w:val="13"/>
                <w:highlight w:val="none"/>
              </w:rPr>
            </w:pPr>
          </w:p>
        </w:tc>
        <w:tc>
          <w:tcPr>
            <w:tcW w:w="823" w:type="dxa"/>
            <w:vMerge w:val="continue"/>
            <w:tcBorders>
              <w:tl2br w:val="nil"/>
              <w:tr2bl w:val="nil"/>
            </w:tcBorders>
            <w:tcMar>
              <w:top w:w="15" w:type="dxa"/>
              <w:left w:w="15" w:type="dxa"/>
              <w:bottom w:w="15" w:type="dxa"/>
              <w:right w:w="15" w:type="dxa"/>
            </w:tcMar>
            <w:vAlign w:val="center"/>
          </w:tcPr>
          <w:p w14:paraId="65CE3E1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宋体"/>
                <w:color w:val="auto"/>
                <w:sz w:val="13"/>
                <w:szCs w:val="13"/>
                <w:highlight w:val="none"/>
              </w:rPr>
            </w:pPr>
          </w:p>
        </w:tc>
        <w:tc>
          <w:tcPr>
            <w:tcW w:w="3437" w:type="dxa"/>
            <w:gridSpan w:val="2"/>
            <w:tcBorders>
              <w:tl2br w:val="nil"/>
              <w:tr2bl w:val="nil"/>
            </w:tcBorders>
            <w:tcMar>
              <w:top w:w="15" w:type="dxa"/>
              <w:left w:w="15" w:type="dxa"/>
              <w:bottom w:w="15" w:type="dxa"/>
              <w:right w:w="15" w:type="dxa"/>
            </w:tcMar>
            <w:vAlign w:val="center"/>
          </w:tcPr>
          <w:p w14:paraId="3C30093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kern w:val="0"/>
                <w:sz w:val="13"/>
                <w:szCs w:val="13"/>
                <w:highlight w:val="none"/>
              </w:rPr>
            </w:pPr>
            <w:r>
              <w:rPr>
                <w:rFonts w:hint="eastAsia" w:ascii="仿宋_GB2312" w:hAnsi="宋体" w:eastAsia="仿宋_GB2312" w:cs="宋体"/>
                <w:color w:val="auto"/>
                <w:kern w:val="0"/>
                <w:sz w:val="13"/>
                <w:szCs w:val="13"/>
                <w:highlight w:val="none"/>
              </w:rPr>
              <w:t>未及时清运工程</w:t>
            </w:r>
            <w:r>
              <w:rPr>
                <w:rFonts w:hint="eastAsia" w:ascii="仿宋_GB2312" w:hAnsi="宋体" w:eastAsia="仿宋_GB2312" w:cs="宋体"/>
                <w:color w:val="auto"/>
                <w:sz w:val="13"/>
                <w:szCs w:val="13"/>
                <w:highlight w:val="none"/>
              </w:rPr>
              <w:t>施工过程中产生的固体废物2</w:t>
            </w:r>
            <w:r>
              <w:rPr>
                <w:rFonts w:hint="eastAsia" w:ascii="仿宋_GB2312" w:hAnsi="宋体" w:eastAsia="仿宋_GB2312" w:cs="宋体"/>
                <w:color w:val="auto"/>
                <w:kern w:val="0"/>
                <w:sz w:val="13"/>
                <w:szCs w:val="13"/>
                <w:highlight w:val="none"/>
              </w:rPr>
              <w:t>0吨以上30吨以下的。</w:t>
            </w:r>
          </w:p>
        </w:tc>
        <w:tc>
          <w:tcPr>
            <w:tcW w:w="3058" w:type="dxa"/>
            <w:tcBorders>
              <w:tl2br w:val="nil"/>
              <w:tr2bl w:val="nil"/>
            </w:tcBorders>
            <w:tcMar>
              <w:top w:w="15" w:type="dxa"/>
              <w:left w:w="15" w:type="dxa"/>
              <w:bottom w:w="15" w:type="dxa"/>
              <w:right w:w="15" w:type="dxa"/>
            </w:tcMar>
            <w:vAlign w:val="center"/>
          </w:tcPr>
          <w:p w14:paraId="5FCF4EB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kern w:val="0"/>
                <w:sz w:val="13"/>
                <w:szCs w:val="13"/>
                <w:highlight w:val="none"/>
              </w:rPr>
            </w:pPr>
            <w:r>
              <w:rPr>
                <w:rFonts w:hint="eastAsia" w:ascii="仿宋_GB2312" w:hAnsi="宋体" w:eastAsia="仿宋_GB2312" w:cs="宋体"/>
                <w:color w:val="auto"/>
                <w:kern w:val="0"/>
                <w:sz w:val="13"/>
                <w:szCs w:val="13"/>
                <w:highlight w:val="none"/>
              </w:rPr>
              <w:t>责令改正，对单位处以20万元以上30万元以下罚款，没收违法所得。</w:t>
            </w:r>
          </w:p>
        </w:tc>
      </w:tr>
      <w:tr w14:paraId="38BADCF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258" w:hRule="atLeast"/>
          <w:jc w:val="center"/>
        </w:trPr>
        <w:tc>
          <w:tcPr>
            <w:tcW w:w="428" w:type="dxa"/>
            <w:vMerge w:val="continue"/>
            <w:tcBorders>
              <w:tl2br w:val="nil"/>
              <w:tr2bl w:val="nil"/>
            </w:tcBorders>
            <w:vAlign w:val="center"/>
          </w:tcPr>
          <w:p w14:paraId="52D7F84F">
            <w:pPr>
              <w:pStyle w:val="37"/>
              <w:keepNext w:val="0"/>
              <w:keepLines w:val="0"/>
              <w:pageBreakBefore w:val="0"/>
              <w:widowControl/>
              <w:numPr>
                <w:ilvl w:val="0"/>
                <w:numId w:val="14"/>
              </w:numPr>
              <w:kinsoku/>
              <w:overflowPunct/>
              <w:topLinePunct w:val="0"/>
              <w:autoSpaceDE/>
              <w:autoSpaceDN/>
              <w:bidi w:val="0"/>
              <w:adjustRightInd/>
              <w:snapToGrid/>
              <w:spacing w:beforeAutospacing="0" w:afterAutospacing="0" w:line="260" w:lineRule="exact"/>
              <w:ind w:left="638" w:leftChars="88" w:right="0" w:rightChars="0" w:hanging="453" w:hangingChars="349"/>
              <w:jc w:val="center"/>
              <w:textAlignment w:val="center"/>
              <w:rPr>
                <w:rFonts w:ascii="仿宋_GB2312" w:hAnsi="宋体" w:eastAsia="仿宋_GB2312" w:cs="宋体"/>
                <w:color w:val="auto"/>
                <w:kern w:val="0"/>
                <w:sz w:val="13"/>
                <w:szCs w:val="13"/>
                <w:highlight w:val="none"/>
              </w:rPr>
            </w:pPr>
          </w:p>
        </w:tc>
        <w:tc>
          <w:tcPr>
            <w:tcW w:w="1550" w:type="dxa"/>
            <w:vMerge w:val="continue"/>
            <w:tcBorders>
              <w:tl2br w:val="nil"/>
              <w:tr2bl w:val="nil"/>
            </w:tcBorders>
            <w:vAlign w:val="center"/>
          </w:tcPr>
          <w:p w14:paraId="7DBE5E7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kern w:val="0"/>
                <w:sz w:val="13"/>
                <w:szCs w:val="13"/>
                <w:highlight w:val="none"/>
              </w:rPr>
            </w:pPr>
          </w:p>
        </w:tc>
        <w:tc>
          <w:tcPr>
            <w:tcW w:w="4820" w:type="dxa"/>
            <w:vMerge w:val="continue"/>
            <w:tcBorders>
              <w:tl2br w:val="nil"/>
              <w:tr2bl w:val="nil"/>
            </w:tcBorders>
            <w:vAlign w:val="center"/>
          </w:tcPr>
          <w:p w14:paraId="721F821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kern w:val="0"/>
                <w:sz w:val="13"/>
                <w:szCs w:val="13"/>
                <w:highlight w:val="none"/>
              </w:rPr>
            </w:pPr>
          </w:p>
        </w:tc>
        <w:tc>
          <w:tcPr>
            <w:tcW w:w="823" w:type="dxa"/>
            <w:vMerge w:val="continue"/>
            <w:tcBorders>
              <w:tl2br w:val="nil"/>
              <w:tr2bl w:val="nil"/>
            </w:tcBorders>
            <w:tcMar>
              <w:top w:w="15" w:type="dxa"/>
              <w:left w:w="15" w:type="dxa"/>
              <w:bottom w:w="15" w:type="dxa"/>
              <w:right w:w="15" w:type="dxa"/>
            </w:tcMar>
            <w:vAlign w:val="center"/>
          </w:tcPr>
          <w:p w14:paraId="1A52C9E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宋体"/>
                <w:color w:val="auto"/>
                <w:kern w:val="0"/>
                <w:sz w:val="13"/>
                <w:szCs w:val="13"/>
                <w:highlight w:val="none"/>
              </w:rPr>
            </w:pPr>
          </w:p>
        </w:tc>
        <w:tc>
          <w:tcPr>
            <w:tcW w:w="3437" w:type="dxa"/>
            <w:gridSpan w:val="2"/>
            <w:tcBorders>
              <w:tl2br w:val="nil"/>
              <w:tr2bl w:val="nil"/>
            </w:tcBorders>
            <w:tcMar>
              <w:top w:w="15" w:type="dxa"/>
              <w:left w:w="15" w:type="dxa"/>
              <w:bottom w:w="15" w:type="dxa"/>
              <w:right w:w="15" w:type="dxa"/>
            </w:tcMar>
            <w:vAlign w:val="center"/>
          </w:tcPr>
          <w:p w14:paraId="575047F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kern w:val="0"/>
                <w:sz w:val="13"/>
                <w:szCs w:val="13"/>
                <w:highlight w:val="none"/>
              </w:rPr>
            </w:pPr>
            <w:r>
              <w:rPr>
                <w:rFonts w:hint="eastAsia" w:ascii="仿宋_GB2312" w:hAnsi="宋体" w:eastAsia="仿宋_GB2312" w:cs="宋体"/>
                <w:color w:val="auto"/>
                <w:kern w:val="0"/>
                <w:sz w:val="13"/>
                <w:szCs w:val="13"/>
                <w:highlight w:val="none"/>
              </w:rPr>
              <w:t>未及时清运工程</w:t>
            </w:r>
            <w:r>
              <w:rPr>
                <w:rFonts w:hint="eastAsia" w:ascii="仿宋_GB2312" w:hAnsi="宋体" w:eastAsia="仿宋_GB2312" w:cs="宋体"/>
                <w:color w:val="auto"/>
                <w:sz w:val="13"/>
                <w:szCs w:val="13"/>
                <w:highlight w:val="none"/>
              </w:rPr>
              <w:t>施工过程中产生的固体废物3</w:t>
            </w:r>
            <w:r>
              <w:rPr>
                <w:rFonts w:hint="eastAsia" w:ascii="仿宋_GB2312" w:hAnsi="宋体" w:eastAsia="仿宋_GB2312" w:cs="宋体"/>
                <w:color w:val="auto"/>
                <w:kern w:val="0"/>
                <w:sz w:val="13"/>
                <w:szCs w:val="13"/>
                <w:highlight w:val="none"/>
              </w:rPr>
              <w:t>0吨以上40吨以下的。</w:t>
            </w:r>
          </w:p>
        </w:tc>
        <w:tc>
          <w:tcPr>
            <w:tcW w:w="3058" w:type="dxa"/>
            <w:tcBorders>
              <w:tl2br w:val="nil"/>
              <w:tr2bl w:val="nil"/>
            </w:tcBorders>
            <w:tcMar>
              <w:top w:w="15" w:type="dxa"/>
              <w:left w:w="15" w:type="dxa"/>
              <w:bottom w:w="15" w:type="dxa"/>
              <w:right w:w="15" w:type="dxa"/>
            </w:tcMar>
            <w:vAlign w:val="center"/>
          </w:tcPr>
          <w:p w14:paraId="73835FD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kern w:val="0"/>
                <w:sz w:val="13"/>
                <w:szCs w:val="13"/>
                <w:highlight w:val="none"/>
              </w:rPr>
            </w:pPr>
            <w:r>
              <w:rPr>
                <w:rFonts w:hint="eastAsia" w:ascii="仿宋_GB2312" w:hAnsi="宋体" w:eastAsia="仿宋_GB2312" w:cs="宋体"/>
                <w:color w:val="auto"/>
                <w:kern w:val="0"/>
                <w:sz w:val="13"/>
                <w:szCs w:val="13"/>
                <w:highlight w:val="none"/>
              </w:rPr>
              <w:t>责令改正，对单位处以30万元以上40万元以下罚款，没收违法所得。</w:t>
            </w:r>
          </w:p>
        </w:tc>
      </w:tr>
      <w:tr w14:paraId="3499A3A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169" w:hRule="atLeast"/>
          <w:jc w:val="center"/>
        </w:trPr>
        <w:tc>
          <w:tcPr>
            <w:tcW w:w="428" w:type="dxa"/>
            <w:vMerge w:val="continue"/>
            <w:tcBorders>
              <w:tl2br w:val="nil"/>
              <w:tr2bl w:val="nil"/>
            </w:tcBorders>
            <w:vAlign w:val="center"/>
          </w:tcPr>
          <w:p w14:paraId="4E47AA31">
            <w:pPr>
              <w:pStyle w:val="37"/>
              <w:keepNext w:val="0"/>
              <w:keepLines w:val="0"/>
              <w:pageBreakBefore w:val="0"/>
              <w:numPr>
                <w:ilvl w:val="0"/>
                <w:numId w:val="14"/>
              </w:numPr>
              <w:kinsoku/>
              <w:overflowPunct/>
              <w:topLinePunct w:val="0"/>
              <w:autoSpaceDE/>
              <w:autoSpaceDN/>
              <w:bidi w:val="0"/>
              <w:adjustRightInd/>
              <w:snapToGrid/>
              <w:spacing w:beforeAutospacing="0" w:afterAutospacing="0" w:line="260" w:lineRule="exact"/>
              <w:ind w:left="638" w:leftChars="88" w:right="0" w:rightChars="0" w:hanging="453" w:hangingChars="349"/>
              <w:jc w:val="center"/>
              <w:rPr>
                <w:rFonts w:ascii="仿宋_GB2312" w:hAnsi="宋体" w:eastAsia="仿宋_GB2312" w:cs="宋体"/>
                <w:color w:val="auto"/>
                <w:sz w:val="13"/>
                <w:szCs w:val="13"/>
                <w:highlight w:val="none"/>
              </w:rPr>
            </w:pPr>
          </w:p>
        </w:tc>
        <w:tc>
          <w:tcPr>
            <w:tcW w:w="1550" w:type="dxa"/>
            <w:vMerge w:val="continue"/>
            <w:tcBorders>
              <w:tl2br w:val="nil"/>
              <w:tr2bl w:val="nil"/>
            </w:tcBorders>
            <w:vAlign w:val="center"/>
          </w:tcPr>
          <w:p w14:paraId="711FE5C5">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sz w:val="13"/>
                <w:szCs w:val="13"/>
                <w:highlight w:val="none"/>
              </w:rPr>
            </w:pPr>
          </w:p>
        </w:tc>
        <w:tc>
          <w:tcPr>
            <w:tcW w:w="4820" w:type="dxa"/>
            <w:vMerge w:val="continue"/>
            <w:tcBorders>
              <w:tl2br w:val="nil"/>
              <w:tr2bl w:val="nil"/>
            </w:tcBorders>
            <w:vAlign w:val="center"/>
          </w:tcPr>
          <w:p w14:paraId="56E90A34">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sz w:val="13"/>
                <w:szCs w:val="13"/>
                <w:highlight w:val="none"/>
              </w:rPr>
            </w:pPr>
          </w:p>
        </w:tc>
        <w:tc>
          <w:tcPr>
            <w:tcW w:w="823" w:type="dxa"/>
            <w:vMerge w:val="restart"/>
            <w:tcBorders>
              <w:tl2br w:val="nil"/>
              <w:tr2bl w:val="nil"/>
            </w:tcBorders>
            <w:tcMar>
              <w:top w:w="15" w:type="dxa"/>
              <w:left w:w="15" w:type="dxa"/>
              <w:bottom w:w="15" w:type="dxa"/>
              <w:right w:w="15" w:type="dxa"/>
            </w:tcMar>
            <w:vAlign w:val="center"/>
          </w:tcPr>
          <w:p w14:paraId="106EE83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一般情节</w:t>
            </w:r>
          </w:p>
        </w:tc>
        <w:tc>
          <w:tcPr>
            <w:tcW w:w="3437" w:type="dxa"/>
            <w:gridSpan w:val="2"/>
            <w:tcBorders>
              <w:tl2br w:val="nil"/>
              <w:tr2bl w:val="nil"/>
            </w:tcBorders>
            <w:tcMar>
              <w:top w:w="15" w:type="dxa"/>
              <w:left w:w="15" w:type="dxa"/>
              <w:bottom w:w="15" w:type="dxa"/>
              <w:right w:w="15" w:type="dxa"/>
            </w:tcMar>
            <w:vAlign w:val="center"/>
          </w:tcPr>
          <w:p w14:paraId="06E1F98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kern w:val="0"/>
                <w:sz w:val="13"/>
                <w:szCs w:val="13"/>
                <w:highlight w:val="none"/>
              </w:rPr>
            </w:pPr>
            <w:r>
              <w:rPr>
                <w:rFonts w:hint="eastAsia" w:ascii="仿宋_GB2312" w:hAnsi="宋体" w:eastAsia="仿宋_GB2312" w:cs="宋体"/>
                <w:color w:val="auto"/>
                <w:kern w:val="0"/>
                <w:sz w:val="13"/>
                <w:szCs w:val="13"/>
                <w:highlight w:val="none"/>
              </w:rPr>
              <w:t>未及时清运工程</w:t>
            </w:r>
            <w:r>
              <w:rPr>
                <w:rFonts w:hint="eastAsia" w:ascii="仿宋_GB2312" w:hAnsi="宋体" w:eastAsia="仿宋_GB2312" w:cs="宋体"/>
                <w:color w:val="auto"/>
                <w:sz w:val="13"/>
                <w:szCs w:val="13"/>
                <w:highlight w:val="none"/>
              </w:rPr>
              <w:t>施工过程中产生的固体废物4</w:t>
            </w:r>
            <w:r>
              <w:rPr>
                <w:rFonts w:hint="eastAsia" w:ascii="仿宋_GB2312" w:hAnsi="宋体" w:eastAsia="仿宋_GB2312" w:cs="宋体"/>
                <w:color w:val="auto"/>
                <w:kern w:val="0"/>
                <w:sz w:val="13"/>
                <w:szCs w:val="13"/>
                <w:highlight w:val="none"/>
              </w:rPr>
              <w:t>0吨以上50吨以下的。</w:t>
            </w:r>
          </w:p>
        </w:tc>
        <w:tc>
          <w:tcPr>
            <w:tcW w:w="3058" w:type="dxa"/>
            <w:tcBorders>
              <w:tl2br w:val="nil"/>
              <w:tr2bl w:val="nil"/>
            </w:tcBorders>
            <w:tcMar>
              <w:top w:w="15" w:type="dxa"/>
              <w:left w:w="15" w:type="dxa"/>
              <w:bottom w:w="15" w:type="dxa"/>
              <w:right w:w="15" w:type="dxa"/>
            </w:tcMar>
            <w:vAlign w:val="center"/>
          </w:tcPr>
          <w:p w14:paraId="780102B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责令改正，对单位处以40万元以上50万元以下罚款，没收违法所得。</w:t>
            </w:r>
          </w:p>
        </w:tc>
      </w:tr>
      <w:tr w14:paraId="73B061D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303" w:hRule="atLeast"/>
          <w:jc w:val="center"/>
        </w:trPr>
        <w:tc>
          <w:tcPr>
            <w:tcW w:w="428" w:type="dxa"/>
            <w:vMerge w:val="continue"/>
            <w:tcBorders>
              <w:tl2br w:val="nil"/>
              <w:tr2bl w:val="nil"/>
            </w:tcBorders>
            <w:vAlign w:val="center"/>
          </w:tcPr>
          <w:p w14:paraId="48FF0B48">
            <w:pPr>
              <w:pStyle w:val="37"/>
              <w:keepNext w:val="0"/>
              <w:keepLines w:val="0"/>
              <w:pageBreakBefore w:val="0"/>
              <w:widowControl/>
              <w:numPr>
                <w:ilvl w:val="0"/>
                <w:numId w:val="14"/>
              </w:numPr>
              <w:kinsoku/>
              <w:overflowPunct/>
              <w:topLinePunct w:val="0"/>
              <w:autoSpaceDE/>
              <w:autoSpaceDN/>
              <w:bidi w:val="0"/>
              <w:adjustRightInd/>
              <w:snapToGrid/>
              <w:spacing w:beforeAutospacing="0" w:afterAutospacing="0" w:line="260" w:lineRule="exact"/>
              <w:ind w:left="638" w:leftChars="88" w:right="0" w:rightChars="0" w:hanging="453" w:hangingChars="349"/>
              <w:jc w:val="center"/>
              <w:textAlignment w:val="center"/>
              <w:rPr>
                <w:rFonts w:ascii="仿宋_GB2312" w:hAnsi="宋体" w:eastAsia="仿宋_GB2312" w:cs="宋体"/>
                <w:color w:val="auto"/>
                <w:sz w:val="13"/>
                <w:szCs w:val="13"/>
                <w:highlight w:val="none"/>
              </w:rPr>
            </w:pPr>
          </w:p>
        </w:tc>
        <w:tc>
          <w:tcPr>
            <w:tcW w:w="1550" w:type="dxa"/>
            <w:vMerge w:val="continue"/>
            <w:tcBorders>
              <w:tl2br w:val="nil"/>
              <w:tr2bl w:val="nil"/>
            </w:tcBorders>
            <w:vAlign w:val="center"/>
          </w:tcPr>
          <w:p w14:paraId="34FAC04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sz w:val="13"/>
                <w:szCs w:val="13"/>
                <w:highlight w:val="none"/>
              </w:rPr>
            </w:pPr>
          </w:p>
        </w:tc>
        <w:tc>
          <w:tcPr>
            <w:tcW w:w="4820" w:type="dxa"/>
            <w:vMerge w:val="continue"/>
            <w:tcBorders>
              <w:tl2br w:val="nil"/>
              <w:tr2bl w:val="nil"/>
            </w:tcBorders>
            <w:vAlign w:val="center"/>
          </w:tcPr>
          <w:p w14:paraId="724F149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sz w:val="13"/>
                <w:szCs w:val="13"/>
                <w:highlight w:val="none"/>
              </w:rPr>
            </w:pPr>
          </w:p>
        </w:tc>
        <w:tc>
          <w:tcPr>
            <w:tcW w:w="823" w:type="dxa"/>
            <w:vMerge w:val="continue"/>
            <w:tcBorders>
              <w:tl2br w:val="nil"/>
              <w:tr2bl w:val="nil"/>
            </w:tcBorders>
            <w:tcMar>
              <w:top w:w="15" w:type="dxa"/>
              <w:left w:w="15" w:type="dxa"/>
              <w:bottom w:w="15" w:type="dxa"/>
              <w:right w:w="15" w:type="dxa"/>
            </w:tcMar>
            <w:vAlign w:val="center"/>
          </w:tcPr>
          <w:p w14:paraId="13B265A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sz w:val="13"/>
                <w:szCs w:val="13"/>
                <w:highlight w:val="none"/>
              </w:rPr>
            </w:pPr>
          </w:p>
        </w:tc>
        <w:tc>
          <w:tcPr>
            <w:tcW w:w="3437" w:type="dxa"/>
            <w:gridSpan w:val="2"/>
            <w:tcBorders>
              <w:tl2br w:val="nil"/>
              <w:tr2bl w:val="nil"/>
            </w:tcBorders>
            <w:tcMar>
              <w:top w:w="15" w:type="dxa"/>
              <w:left w:w="15" w:type="dxa"/>
              <w:bottom w:w="15" w:type="dxa"/>
              <w:right w:w="15" w:type="dxa"/>
            </w:tcMar>
            <w:vAlign w:val="center"/>
          </w:tcPr>
          <w:p w14:paraId="7142C1A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kern w:val="0"/>
                <w:sz w:val="13"/>
                <w:szCs w:val="13"/>
                <w:highlight w:val="none"/>
              </w:rPr>
            </w:pPr>
            <w:r>
              <w:rPr>
                <w:rFonts w:hint="eastAsia" w:ascii="仿宋_GB2312" w:hAnsi="宋体" w:eastAsia="仿宋_GB2312" w:cs="宋体"/>
                <w:color w:val="auto"/>
                <w:kern w:val="0"/>
                <w:sz w:val="13"/>
                <w:szCs w:val="13"/>
                <w:highlight w:val="none"/>
              </w:rPr>
              <w:t>未及时清运工程</w:t>
            </w:r>
            <w:r>
              <w:rPr>
                <w:rFonts w:hint="eastAsia" w:ascii="仿宋_GB2312" w:hAnsi="宋体" w:eastAsia="仿宋_GB2312" w:cs="宋体"/>
                <w:color w:val="auto"/>
                <w:sz w:val="13"/>
                <w:szCs w:val="13"/>
                <w:highlight w:val="none"/>
              </w:rPr>
              <w:t>施工过程中产生的固体废物5</w:t>
            </w:r>
            <w:r>
              <w:rPr>
                <w:rFonts w:hint="eastAsia" w:ascii="仿宋_GB2312" w:hAnsi="宋体" w:eastAsia="仿宋_GB2312" w:cs="宋体"/>
                <w:color w:val="auto"/>
                <w:kern w:val="0"/>
                <w:sz w:val="13"/>
                <w:szCs w:val="13"/>
                <w:highlight w:val="none"/>
              </w:rPr>
              <w:t>0吨以上60吨以下的。</w:t>
            </w:r>
          </w:p>
        </w:tc>
        <w:tc>
          <w:tcPr>
            <w:tcW w:w="3058" w:type="dxa"/>
            <w:tcBorders>
              <w:tl2br w:val="nil"/>
              <w:tr2bl w:val="nil"/>
            </w:tcBorders>
            <w:tcMar>
              <w:top w:w="15" w:type="dxa"/>
              <w:left w:w="15" w:type="dxa"/>
              <w:bottom w:w="15" w:type="dxa"/>
              <w:right w:w="15" w:type="dxa"/>
            </w:tcMar>
            <w:vAlign w:val="center"/>
          </w:tcPr>
          <w:p w14:paraId="3B371DC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kern w:val="0"/>
                <w:sz w:val="13"/>
                <w:szCs w:val="13"/>
                <w:highlight w:val="none"/>
              </w:rPr>
            </w:pPr>
            <w:r>
              <w:rPr>
                <w:rFonts w:hint="eastAsia" w:ascii="仿宋_GB2312" w:hAnsi="宋体" w:eastAsia="仿宋_GB2312" w:cs="宋体"/>
                <w:color w:val="auto"/>
                <w:kern w:val="0"/>
                <w:sz w:val="13"/>
                <w:szCs w:val="13"/>
                <w:highlight w:val="none"/>
              </w:rPr>
              <w:t>责令改正，对单位处以50万元以上60万元以下罚款，没收违法所得。</w:t>
            </w:r>
          </w:p>
        </w:tc>
      </w:tr>
      <w:tr w14:paraId="1F854A8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295" w:hRule="atLeast"/>
          <w:jc w:val="center"/>
        </w:trPr>
        <w:tc>
          <w:tcPr>
            <w:tcW w:w="428" w:type="dxa"/>
            <w:vMerge w:val="continue"/>
            <w:tcBorders>
              <w:tl2br w:val="nil"/>
              <w:tr2bl w:val="nil"/>
            </w:tcBorders>
            <w:vAlign w:val="center"/>
          </w:tcPr>
          <w:p w14:paraId="4FDF05D8">
            <w:pPr>
              <w:pStyle w:val="37"/>
              <w:keepNext w:val="0"/>
              <w:keepLines w:val="0"/>
              <w:pageBreakBefore w:val="0"/>
              <w:widowControl/>
              <w:numPr>
                <w:ilvl w:val="0"/>
                <w:numId w:val="14"/>
              </w:numPr>
              <w:kinsoku/>
              <w:overflowPunct/>
              <w:topLinePunct w:val="0"/>
              <w:autoSpaceDE/>
              <w:autoSpaceDN/>
              <w:bidi w:val="0"/>
              <w:adjustRightInd/>
              <w:snapToGrid/>
              <w:spacing w:beforeAutospacing="0" w:afterAutospacing="0" w:line="260" w:lineRule="exact"/>
              <w:ind w:left="638" w:leftChars="88" w:right="0" w:rightChars="0" w:hanging="453" w:hangingChars="349"/>
              <w:jc w:val="center"/>
              <w:textAlignment w:val="center"/>
              <w:rPr>
                <w:rFonts w:ascii="仿宋_GB2312" w:hAnsi="宋体" w:eastAsia="仿宋_GB2312" w:cs="宋体"/>
                <w:color w:val="auto"/>
                <w:kern w:val="0"/>
                <w:sz w:val="13"/>
                <w:szCs w:val="13"/>
                <w:highlight w:val="none"/>
              </w:rPr>
            </w:pPr>
          </w:p>
        </w:tc>
        <w:tc>
          <w:tcPr>
            <w:tcW w:w="1550" w:type="dxa"/>
            <w:vMerge w:val="continue"/>
            <w:tcBorders>
              <w:tl2br w:val="nil"/>
              <w:tr2bl w:val="nil"/>
            </w:tcBorders>
            <w:vAlign w:val="center"/>
          </w:tcPr>
          <w:p w14:paraId="70D05B4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kern w:val="0"/>
                <w:sz w:val="13"/>
                <w:szCs w:val="13"/>
                <w:highlight w:val="none"/>
              </w:rPr>
            </w:pPr>
          </w:p>
        </w:tc>
        <w:tc>
          <w:tcPr>
            <w:tcW w:w="4820" w:type="dxa"/>
            <w:vMerge w:val="continue"/>
            <w:tcBorders>
              <w:tl2br w:val="nil"/>
              <w:tr2bl w:val="nil"/>
            </w:tcBorders>
            <w:vAlign w:val="center"/>
          </w:tcPr>
          <w:p w14:paraId="2E8C4B1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kern w:val="0"/>
                <w:sz w:val="13"/>
                <w:szCs w:val="13"/>
                <w:highlight w:val="none"/>
              </w:rPr>
            </w:pPr>
          </w:p>
        </w:tc>
        <w:tc>
          <w:tcPr>
            <w:tcW w:w="823" w:type="dxa"/>
            <w:vMerge w:val="continue"/>
            <w:tcBorders>
              <w:tl2br w:val="nil"/>
              <w:tr2bl w:val="nil"/>
            </w:tcBorders>
            <w:tcMar>
              <w:top w:w="15" w:type="dxa"/>
              <w:left w:w="15" w:type="dxa"/>
              <w:bottom w:w="15" w:type="dxa"/>
              <w:right w:w="15" w:type="dxa"/>
            </w:tcMar>
            <w:vAlign w:val="center"/>
          </w:tcPr>
          <w:p w14:paraId="3346295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kern w:val="0"/>
                <w:sz w:val="13"/>
                <w:szCs w:val="13"/>
                <w:highlight w:val="none"/>
              </w:rPr>
            </w:pPr>
          </w:p>
        </w:tc>
        <w:tc>
          <w:tcPr>
            <w:tcW w:w="3437" w:type="dxa"/>
            <w:gridSpan w:val="2"/>
            <w:tcBorders>
              <w:tl2br w:val="nil"/>
              <w:tr2bl w:val="nil"/>
            </w:tcBorders>
            <w:tcMar>
              <w:top w:w="15" w:type="dxa"/>
              <w:left w:w="15" w:type="dxa"/>
              <w:bottom w:w="15" w:type="dxa"/>
              <w:right w:w="15" w:type="dxa"/>
            </w:tcMar>
            <w:vAlign w:val="center"/>
          </w:tcPr>
          <w:p w14:paraId="39AA505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kern w:val="0"/>
                <w:sz w:val="13"/>
                <w:szCs w:val="13"/>
                <w:highlight w:val="none"/>
              </w:rPr>
            </w:pPr>
            <w:r>
              <w:rPr>
                <w:rFonts w:hint="eastAsia" w:ascii="仿宋_GB2312" w:hAnsi="宋体" w:eastAsia="仿宋_GB2312" w:cs="宋体"/>
                <w:color w:val="auto"/>
                <w:kern w:val="0"/>
                <w:sz w:val="13"/>
                <w:szCs w:val="13"/>
                <w:highlight w:val="none"/>
              </w:rPr>
              <w:t>未及时清运工程</w:t>
            </w:r>
            <w:r>
              <w:rPr>
                <w:rFonts w:hint="eastAsia" w:ascii="仿宋_GB2312" w:hAnsi="宋体" w:eastAsia="仿宋_GB2312" w:cs="宋体"/>
                <w:color w:val="auto"/>
                <w:sz w:val="13"/>
                <w:szCs w:val="13"/>
                <w:highlight w:val="none"/>
              </w:rPr>
              <w:t>施工过程中产生的固体废物6</w:t>
            </w:r>
            <w:r>
              <w:rPr>
                <w:rFonts w:hint="eastAsia" w:ascii="仿宋_GB2312" w:hAnsi="宋体" w:eastAsia="仿宋_GB2312" w:cs="宋体"/>
                <w:color w:val="auto"/>
                <w:kern w:val="0"/>
                <w:sz w:val="13"/>
                <w:szCs w:val="13"/>
                <w:highlight w:val="none"/>
              </w:rPr>
              <w:t>0吨以上70吨以下的。</w:t>
            </w:r>
          </w:p>
        </w:tc>
        <w:tc>
          <w:tcPr>
            <w:tcW w:w="3058" w:type="dxa"/>
            <w:tcBorders>
              <w:tl2br w:val="nil"/>
              <w:tr2bl w:val="nil"/>
            </w:tcBorders>
            <w:tcMar>
              <w:top w:w="15" w:type="dxa"/>
              <w:left w:w="15" w:type="dxa"/>
              <w:bottom w:w="15" w:type="dxa"/>
              <w:right w:w="15" w:type="dxa"/>
            </w:tcMar>
            <w:vAlign w:val="center"/>
          </w:tcPr>
          <w:p w14:paraId="361C431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kern w:val="0"/>
                <w:sz w:val="13"/>
                <w:szCs w:val="13"/>
                <w:highlight w:val="none"/>
              </w:rPr>
            </w:pPr>
            <w:r>
              <w:rPr>
                <w:rFonts w:hint="eastAsia" w:ascii="仿宋_GB2312" w:hAnsi="宋体" w:eastAsia="仿宋_GB2312" w:cs="宋体"/>
                <w:color w:val="auto"/>
                <w:kern w:val="0"/>
                <w:sz w:val="13"/>
                <w:szCs w:val="13"/>
                <w:highlight w:val="none"/>
              </w:rPr>
              <w:t>责令改正，对单位处以60万元以上70万元以下罚款，没收违法所得。</w:t>
            </w:r>
          </w:p>
        </w:tc>
      </w:tr>
      <w:tr w14:paraId="207D945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169" w:hRule="atLeast"/>
          <w:jc w:val="center"/>
        </w:trPr>
        <w:tc>
          <w:tcPr>
            <w:tcW w:w="428" w:type="dxa"/>
            <w:vMerge w:val="continue"/>
            <w:tcBorders>
              <w:tl2br w:val="nil"/>
              <w:tr2bl w:val="nil"/>
            </w:tcBorders>
            <w:vAlign w:val="center"/>
          </w:tcPr>
          <w:p w14:paraId="7C73CA34">
            <w:pPr>
              <w:pStyle w:val="37"/>
              <w:keepNext w:val="0"/>
              <w:keepLines w:val="0"/>
              <w:pageBreakBefore w:val="0"/>
              <w:numPr>
                <w:ilvl w:val="0"/>
                <w:numId w:val="14"/>
              </w:numPr>
              <w:kinsoku/>
              <w:overflowPunct/>
              <w:topLinePunct w:val="0"/>
              <w:autoSpaceDE/>
              <w:autoSpaceDN/>
              <w:bidi w:val="0"/>
              <w:adjustRightInd/>
              <w:snapToGrid/>
              <w:spacing w:beforeAutospacing="0" w:afterAutospacing="0" w:line="260" w:lineRule="exact"/>
              <w:ind w:left="638" w:leftChars="88" w:right="0" w:rightChars="0" w:hanging="453" w:hangingChars="349"/>
              <w:jc w:val="center"/>
              <w:rPr>
                <w:rFonts w:ascii="仿宋_GB2312" w:hAnsi="宋体" w:eastAsia="仿宋_GB2312" w:cs="宋体"/>
                <w:color w:val="auto"/>
                <w:kern w:val="0"/>
                <w:sz w:val="13"/>
                <w:szCs w:val="13"/>
                <w:highlight w:val="none"/>
              </w:rPr>
            </w:pPr>
          </w:p>
        </w:tc>
        <w:tc>
          <w:tcPr>
            <w:tcW w:w="1550" w:type="dxa"/>
            <w:vMerge w:val="continue"/>
            <w:tcBorders>
              <w:tl2br w:val="nil"/>
              <w:tr2bl w:val="nil"/>
            </w:tcBorders>
            <w:vAlign w:val="center"/>
          </w:tcPr>
          <w:p w14:paraId="4D081BA9">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kern w:val="0"/>
                <w:sz w:val="13"/>
                <w:szCs w:val="13"/>
                <w:highlight w:val="none"/>
              </w:rPr>
            </w:pPr>
          </w:p>
        </w:tc>
        <w:tc>
          <w:tcPr>
            <w:tcW w:w="4820" w:type="dxa"/>
            <w:vMerge w:val="continue"/>
            <w:tcBorders>
              <w:tl2br w:val="nil"/>
              <w:tr2bl w:val="nil"/>
            </w:tcBorders>
            <w:vAlign w:val="center"/>
          </w:tcPr>
          <w:p w14:paraId="5D37F687">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kern w:val="0"/>
                <w:sz w:val="13"/>
                <w:szCs w:val="13"/>
                <w:highlight w:val="none"/>
              </w:rPr>
            </w:pPr>
          </w:p>
        </w:tc>
        <w:tc>
          <w:tcPr>
            <w:tcW w:w="823" w:type="dxa"/>
            <w:vMerge w:val="restart"/>
            <w:tcBorders>
              <w:tl2br w:val="nil"/>
              <w:tr2bl w:val="nil"/>
            </w:tcBorders>
            <w:tcMar>
              <w:top w:w="15" w:type="dxa"/>
              <w:left w:w="15" w:type="dxa"/>
              <w:bottom w:w="15" w:type="dxa"/>
              <w:right w:w="15" w:type="dxa"/>
            </w:tcMar>
            <w:vAlign w:val="center"/>
          </w:tcPr>
          <w:p w14:paraId="388D22F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从重情节</w:t>
            </w:r>
          </w:p>
        </w:tc>
        <w:tc>
          <w:tcPr>
            <w:tcW w:w="3437" w:type="dxa"/>
            <w:gridSpan w:val="2"/>
            <w:tcBorders>
              <w:tl2br w:val="nil"/>
              <w:tr2bl w:val="nil"/>
            </w:tcBorders>
            <w:tcMar>
              <w:top w:w="15" w:type="dxa"/>
              <w:left w:w="15" w:type="dxa"/>
              <w:bottom w:w="15" w:type="dxa"/>
              <w:right w:w="15" w:type="dxa"/>
            </w:tcMar>
            <w:vAlign w:val="center"/>
          </w:tcPr>
          <w:p w14:paraId="2A9F13B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kern w:val="0"/>
                <w:sz w:val="13"/>
                <w:szCs w:val="13"/>
                <w:highlight w:val="none"/>
              </w:rPr>
            </w:pPr>
            <w:r>
              <w:rPr>
                <w:rFonts w:hint="eastAsia" w:ascii="仿宋_GB2312" w:hAnsi="宋体" w:eastAsia="仿宋_GB2312" w:cs="宋体"/>
                <w:color w:val="auto"/>
                <w:kern w:val="0"/>
                <w:sz w:val="13"/>
                <w:szCs w:val="13"/>
                <w:highlight w:val="none"/>
              </w:rPr>
              <w:t>未及时清运工程</w:t>
            </w:r>
            <w:r>
              <w:rPr>
                <w:rFonts w:hint="eastAsia" w:ascii="仿宋_GB2312" w:hAnsi="宋体" w:eastAsia="仿宋_GB2312" w:cs="宋体"/>
                <w:color w:val="auto"/>
                <w:sz w:val="13"/>
                <w:szCs w:val="13"/>
                <w:highlight w:val="none"/>
              </w:rPr>
              <w:t>施工过程中产生的固体废物7</w:t>
            </w:r>
            <w:r>
              <w:rPr>
                <w:rFonts w:hint="eastAsia" w:ascii="仿宋_GB2312" w:hAnsi="宋体" w:eastAsia="仿宋_GB2312" w:cs="宋体"/>
                <w:color w:val="auto"/>
                <w:kern w:val="0"/>
                <w:sz w:val="13"/>
                <w:szCs w:val="13"/>
                <w:highlight w:val="none"/>
              </w:rPr>
              <w:t>0吨以上80吨以下的。</w:t>
            </w:r>
          </w:p>
        </w:tc>
        <w:tc>
          <w:tcPr>
            <w:tcW w:w="3058" w:type="dxa"/>
            <w:tcBorders>
              <w:tl2br w:val="nil"/>
              <w:tr2bl w:val="nil"/>
            </w:tcBorders>
            <w:tcMar>
              <w:top w:w="15" w:type="dxa"/>
              <w:left w:w="15" w:type="dxa"/>
              <w:bottom w:w="15" w:type="dxa"/>
              <w:right w:w="15" w:type="dxa"/>
            </w:tcMar>
            <w:vAlign w:val="center"/>
          </w:tcPr>
          <w:p w14:paraId="13080ED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责令改正，对单位处以70万元以上80万元以下罚款，没收违法所得。</w:t>
            </w:r>
          </w:p>
        </w:tc>
      </w:tr>
      <w:tr w14:paraId="03F0899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309" w:hRule="atLeast"/>
          <w:jc w:val="center"/>
        </w:trPr>
        <w:tc>
          <w:tcPr>
            <w:tcW w:w="428" w:type="dxa"/>
            <w:vMerge w:val="continue"/>
            <w:tcBorders>
              <w:tl2br w:val="nil"/>
              <w:tr2bl w:val="nil"/>
            </w:tcBorders>
            <w:vAlign w:val="center"/>
          </w:tcPr>
          <w:p w14:paraId="0F2C9CD7">
            <w:pPr>
              <w:pStyle w:val="37"/>
              <w:keepNext w:val="0"/>
              <w:keepLines w:val="0"/>
              <w:pageBreakBefore w:val="0"/>
              <w:widowControl/>
              <w:numPr>
                <w:ilvl w:val="0"/>
                <w:numId w:val="14"/>
              </w:numPr>
              <w:kinsoku/>
              <w:overflowPunct/>
              <w:topLinePunct w:val="0"/>
              <w:autoSpaceDE/>
              <w:autoSpaceDN/>
              <w:bidi w:val="0"/>
              <w:adjustRightInd/>
              <w:snapToGrid/>
              <w:spacing w:beforeAutospacing="0" w:afterAutospacing="0" w:line="260" w:lineRule="exact"/>
              <w:ind w:left="638" w:leftChars="88" w:right="0" w:rightChars="0" w:hanging="453" w:hangingChars="349"/>
              <w:jc w:val="center"/>
              <w:textAlignment w:val="center"/>
              <w:rPr>
                <w:rFonts w:ascii="仿宋_GB2312" w:hAnsi="宋体" w:eastAsia="仿宋_GB2312" w:cs="宋体"/>
                <w:color w:val="auto"/>
                <w:sz w:val="13"/>
                <w:szCs w:val="13"/>
                <w:highlight w:val="none"/>
              </w:rPr>
            </w:pPr>
          </w:p>
        </w:tc>
        <w:tc>
          <w:tcPr>
            <w:tcW w:w="1550" w:type="dxa"/>
            <w:vMerge w:val="continue"/>
            <w:tcBorders>
              <w:tl2br w:val="nil"/>
              <w:tr2bl w:val="nil"/>
            </w:tcBorders>
            <w:vAlign w:val="center"/>
          </w:tcPr>
          <w:p w14:paraId="2C7816A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sz w:val="13"/>
                <w:szCs w:val="13"/>
                <w:highlight w:val="none"/>
              </w:rPr>
            </w:pPr>
          </w:p>
        </w:tc>
        <w:tc>
          <w:tcPr>
            <w:tcW w:w="4820" w:type="dxa"/>
            <w:vMerge w:val="continue"/>
            <w:tcBorders>
              <w:tl2br w:val="nil"/>
              <w:tr2bl w:val="nil"/>
            </w:tcBorders>
            <w:vAlign w:val="center"/>
          </w:tcPr>
          <w:p w14:paraId="67EDF89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sz w:val="13"/>
                <w:szCs w:val="13"/>
                <w:highlight w:val="none"/>
              </w:rPr>
            </w:pPr>
          </w:p>
        </w:tc>
        <w:tc>
          <w:tcPr>
            <w:tcW w:w="823" w:type="dxa"/>
            <w:vMerge w:val="continue"/>
            <w:tcBorders>
              <w:tl2br w:val="nil"/>
              <w:tr2bl w:val="nil"/>
            </w:tcBorders>
            <w:tcMar>
              <w:top w:w="15" w:type="dxa"/>
              <w:left w:w="15" w:type="dxa"/>
              <w:bottom w:w="15" w:type="dxa"/>
              <w:right w:w="15" w:type="dxa"/>
            </w:tcMar>
            <w:vAlign w:val="center"/>
          </w:tcPr>
          <w:p w14:paraId="11155B5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宋体"/>
                <w:color w:val="auto"/>
                <w:sz w:val="13"/>
                <w:szCs w:val="13"/>
                <w:highlight w:val="none"/>
              </w:rPr>
            </w:pPr>
          </w:p>
        </w:tc>
        <w:tc>
          <w:tcPr>
            <w:tcW w:w="3437" w:type="dxa"/>
            <w:gridSpan w:val="2"/>
            <w:tcBorders>
              <w:tl2br w:val="nil"/>
              <w:tr2bl w:val="nil"/>
            </w:tcBorders>
            <w:tcMar>
              <w:top w:w="15" w:type="dxa"/>
              <w:left w:w="15" w:type="dxa"/>
              <w:bottom w:w="15" w:type="dxa"/>
              <w:right w:w="15" w:type="dxa"/>
            </w:tcMar>
            <w:vAlign w:val="center"/>
          </w:tcPr>
          <w:p w14:paraId="36D84D7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kern w:val="0"/>
                <w:sz w:val="13"/>
                <w:szCs w:val="13"/>
                <w:highlight w:val="none"/>
              </w:rPr>
            </w:pPr>
            <w:r>
              <w:rPr>
                <w:rFonts w:hint="eastAsia" w:ascii="仿宋_GB2312" w:hAnsi="宋体" w:eastAsia="仿宋_GB2312" w:cs="宋体"/>
                <w:color w:val="auto"/>
                <w:kern w:val="0"/>
                <w:sz w:val="13"/>
                <w:szCs w:val="13"/>
                <w:highlight w:val="none"/>
              </w:rPr>
              <w:t>未及时清运工程</w:t>
            </w:r>
            <w:r>
              <w:rPr>
                <w:rFonts w:hint="eastAsia" w:ascii="仿宋_GB2312" w:hAnsi="宋体" w:eastAsia="仿宋_GB2312" w:cs="宋体"/>
                <w:color w:val="auto"/>
                <w:sz w:val="13"/>
                <w:szCs w:val="13"/>
                <w:highlight w:val="none"/>
              </w:rPr>
              <w:t>施工过程中产生的固体废物8</w:t>
            </w:r>
            <w:r>
              <w:rPr>
                <w:rFonts w:hint="eastAsia" w:ascii="仿宋_GB2312" w:hAnsi="宋体" w:eastAsia="仿宋_GB2312" w:cs="宋体"/>
                <w:color w:val="auto"/>
                <w:kern w:val="0"/>
                <w:sz w:val="13"/>
                <w:szCs w:val="13"/>
                <w:highlight w:val="none"/>
              </w:rPr>
              <w:t>0吨以上90吨以下的。</w:t>
            </w:r>
          </w:p>
        </w:tc>
        <w:tc>
          <w:tcPr>
            <w:tcW w:w="3058" w:type="dxa"/>
            <w:tcBorders>
              <w:tl2br w:val="nil"/>
              <w:tr2bl w:val="nil"/>
            </w:tcBorders>
            <w:tcMar>
              <w:top w:w="15" w:type="dxa"/>
              <w:left w:w="15" w:type="dxa"/>
              <w:bottom w:w="15" w:type="dxa"/>
              <w:right w:w="15" w:type="dxa"/>
            </w:tcMar>
            <w:vAlign w:val="center"/>
          </w:tcPr>
          <w:p w14:paraId="01FBC48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kern w:val="0"/>
                <w:sz w:val="13"/>
                <w:szCs w:val="13"/>
                <w:highlight w:val="none"/>
              </w:rPr>
            </w:pPr>
            <w:r>
              <w:rPr>
                <w:rFonts w:hint="eastAsia" w:ascii="仿宋_GB2312" w:hAnsi="宋体" w:eastAsia="仿宋_GB2312" w:cs="宋体"/>
                <w:color w:val="auto"/>
                <w:kern w:val="0"/>
                <w:sz w:val="13"/>
                <w:szCs w:val="13"/>
                <w:highlight w:val="none"/>
              </w:rPr>
              <w:t>责令改正，对单位处以80万元以上90万元以下罚款，没收违法所得。</w:t>
            </w:r>
          </w:p>
        </w:tc>
      </w:tr>
      <w:tr w14:paraId="596F544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374" w:hRule="atLeast"/>
          <w:jc w:val="center"/>
        </w:trPr>
        <w:tc>
          <w:tcPr>
            <w:tcW w:w="428" w:type="dxa"/>
            <w:vMerge w:val="continue"/>
            <w:tcBorders>
              <w:tl2br w:val="nil"/>
              <w:tr2bl w:val="nil"/>
            </w:tcBorders>
            <w:vAlign w:val="center"/>
          </w:tcPr>
          <w:p w14:paraId="5D7A1FE0">
            <w:pPr>
              <w:pStyle w:val="37"/>
              <w:keepNext w:val="0"/>
              <w:keepLines w:val="0"/>
              <w:pageBreakBefore w:val="0"/>
              <w:widowControl/>
              <w:numPr>
                <w:ilvl w:val="0"/>
                <w:numId w:val="14"/>
              </w:numPr>
              <w:kinsoku/>
              <w:overflowPunct/>
              <w:topLinePunct w:val="0"/>
              <w:autoSpaceDE/>
              <w:autoSpaceDN/>
              <w:bidi w:val="0"/>
              <w:adjustRightInd/>
              <w:snapToGrid/>
              <w:spacing w:beforeAutospacing="0" w:afterAutospacing="0" w:line="260" w:lineRule="exact"/>
              <w:ind w:left="638" w:leftChars="88" w:right="0" w:rightChars="0" w:hanging="453" w:hangingChars="349"/>
              <w:jc w:val="center"/>
              <w:textAlignment w:val="center"/>
              <w:rPr>
                <w:rFonts w:ascii="仿宋_GB2312" w:hAnsi="宋体" w:eastAsia="仿宋_GB2312" w:cs="宋体"/>
                <w:color w:val="auto"/>
                <w:kern w:val="0"/>
                <w:sz w:val="13"/>
                <w:szCs w:val="13"/>
                <w:highlight w:val="none"/>
              </w:rPr>
            </w:pPr>
          </w:p>
        </w:tc>
        <w:tc>
          <w:tcPr>
            <w:tcW w:w="1550" w:type="dxa"/>
            <w:vMerge w:val="continue"/>
            <w:tcBorders>
              <w:tl2br w:val="nil"/>
              <w:tr2bl w:val="nil"/>
            </w:tcBorders>
            <w:vAlign w:val="center"/>
          </w:tcPr>
          <w:p w14:paraId="4BB62B9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kern w:val="0"/>
                <w:sz w:val="13"/>
                <w:szCs w:val="13"/>
                <w:highlight w:val="none"/>
              </w:rPr>
            </w:pPr>
          </w:p>
        </w:tc>
        <w:tc>
          <w:tcPr>
            <w:tcW w:w="4820" w:type="dxa"/>
            <w:vMerge w:val="continue"/>
            <w:tcBorders>
              <w:tl2br w:val="nil"/>
              <w:tr2bl w:val="nil"/>
            </w:tcBorders>
            <w:vAlign w:val="center"/>
          </w:tcPr>
          <w:p w14:paraId="7AA6A5C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kern w:val="0"/>
                <w:sz w:val="13"/>
                <w:szCs w:val="13"/>
                <w:highlight w:val="none"/>
              </w:rPr>
            </w:pPr>
          </w:p>
        </w:tc>
        <w:tc>
          <w:tcPr>
            <w:tcW w:w="823" w:type="dxa"/>
            <w:vMerge w:val="continue"/>
            <w:tcBorders>
              <w:tl2br w:val="nil"/>
              <w:tr2bl w:val="nil"/>
            </w:tcBorders>
            <w:tcMar>
              <w:top w:w="15" w:type="dxa"/>
              <w:left w:w="15" w:type="dxa"/>
              <w:bottom w:w="15" w:type="dxa"/>
              <w:right w:w="15" w:type="dxa"/>
            </w:tcMar>
            <w:vAlign w:val="center"/>
          </w:tcPr>
          <w:p w14:paraId="3B54B88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宋体"/>
                <w:color w:val="auto"/>
                <w:kern w:val="0"/>
                <w:sz w:val="13"/>
                <w:szCs w:val="13"/>
                <w:highlight w:val="none"/>
              </w:rPr>
            </w:pPr>
          </w:p>
        </w:tc>
        <w:tc>
          <w:tcPr>
            <w:tcW w:w="3437" w:type="dxa"/>
            <w:gridSpan w:val="2"/>
            <w:tcBorders>
              <w:tl2br w:val="nil"/>
              <w:tr2bl w:val="nil"/>
            </w:tcBorders>
            <w:tcMar>
              <w:top w:w="15" w:type="dxa"/>
              <w:left w:w="15" w:type="dxa"/>
              <w:bottom w:w="15" w:type="dxa"/>
              <w:right w:w="15" w:type="dxa"/>
            </w:tcMar>
            <w:vAlign w:val="center"/>
          </w:tcPr>
          <w:p w14:paraId="2E69EF4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kern w:val="0"/>
                <w:sz w:val="13"/>
                <w:szCs w:val="13"/>
                <w:highlight w:val="none"/>
              </w:rPr>
            </w:pPr>
            <w:r>
              <w:rPr>
                <w:rFonts w:hint="eastAsia" w:ascii="仿宋_GB2312" w:hAnsi="宋体" w:eastAsia="仿宋_GB2312" w:cs="宋体"/>
                <w:color w:val="auto"/>
                <w:kern w:val="0"/>
                <w:sz w:val="13"/>
                <w:szCs w:val="13"/>
                <w:highlight w:val="none"/>
              </w:rPr>
              <w:t>未及时清运工程</w:t>
            </w:r>
            <w:r>
              <w:rPr>
                <w:rFonts w:hint="eastAsia" w:ascii="仿宋_GB2312" w:hAnsi="宋体" w:eastAsia="仿宋_GB2312" w:cs="宋体"/>
                <w:color w:val="auto"/>
                <w:sz w:val="13"/>
                <w:szCs w:val="13"/>
                <w:highlight w:val="none"/>
              </w:rPr>
              <w:t>施工过程中产生的固体废物9</w:t>
            </w:r>
            <w:r>
              <w:rPr>
                <w:rFonts w:hint="eastAsia" w:ascii="仿宋_GB2312" w:hAnsi="宋体" w:eastAsia="仿宋_GB2312" w:cs="宋体"/>
                <w:color w:val="auto"/>
                <w:kern w:val="0"/>
                <w:sz w:val="13"/>
                <w:szCs w:val="13"/>
                <w:highlight w:val="none"/>
              </w:rPr>
              <w:t>0吨以上的。</w:t>
            </w:r>
          </w:p>
        </w:tc>
        <w:tc>
          <w:tcPr>
            <w:tcW w:w="3058" w:type="dxa"/>
            <w:tcBorders>
              <w:tl2br w:val="nil"/>
              <w:tr2bl w:val="nil"/>
            </w:tcBorders>
            <w:tcMar>
              <w:top w:w="15" w:type="dxa"/>
              <w:left w:w="15" w:type="dxa"/>
              <w:bottom w:w="15" w:type="dxa"/>
              <w:right w:w="15" w:type="dxa"/>
            </w:tcMar>
            <w:vAlign w:val="center"/>
          </w:tcPr>
          <w:p w14:paraId="31EF74D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kern w:val="0"/>
                <w:sz w:val="13"/>
                <w:szCs w:val="13"/>
                <w:highlight w:val="none"/>
              </w:rPr>
            </w:pPr>
            <w:r>
              <w:rPr>
                <w:rFonts w:hint="eastAsia" w:ascii="仿宋_GB2312" w:hAnsi="宋体" w:eastAsia="仿宋_GB2312" w:cs="宋体"/>
                <w:color w:val="auto"/>
                <w:kern w:val="0"/>
                <w:sz w:val="13"/>
                <w:szCs w:val="13"/>
                <w:highlight w:val="none"/>
              </w:rPr>
              <w:t>责令改正，对单位处以90万元以上100万元以下罚款，没收违法所得。</w:t>
            </w:r>
          </w:p>
        </w:tc>
      </w:tr>
      <w:tr w14:paraId="5607575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169" w:hRule="atLeast"/>
          <w:jc w:val="center"/>
        </w:trPr>
        <w:tc>
          <w:tcPr>
            <w:tcW w:w="428" w:type="dxa"/>
            <w:vMerge w:val="restart"/>
            <w:tcBorders>
              <w:tl2br w:val="nil"/>
              <w:tr2bl w:val="nil"/>
            </w:tcBorders>
            <w:vAlign w:val="center"/>
          </w:tcPr>
          <w:p w14:paraId="541F5716">
            <w:pPr>
              <w:keepNext w:val="0"/>
              <w:keepLines w:val="0"/>
              <w:pageBreakBefore w:val="0"/>
              <w:widowControl/>
              <w:numPr>
                <w:ilvl w:val="0"/>
                <w:numId w:val="11"/>
              </w:numPr>
              <w:suppressLineNumbers w:val="0"/>
              <w:tabs>
                <w:tab w:val="clear" w:pos="397"/>
              </w:tabs>
              <w:kinsoku/>
              <w:overflowPunct/>
              <w:topLinePunct w:val="0"/>
              <w:autoSpaceDE/>
              <w:autoSpaceDN/>
              <w:bidi w:val="0"/>
              <w:adjustRightInd/>
              <w:snapToGrid/>
              <w:spacing w:beforeAutospacing="0" w:afterAutospacing="0" w:line="260" w:lineRule="exact"/>
              <w:ind w:left="638" w:leftChars="88" w:right="0" w:rightChars="0" w:hanging="453" w:hangingChars="349"/>
              <w:jc w:val="center"/>
              <w:textAlignment w:val="center"/>
              <w:rPr>
                <w:rFonts w:hint="default" w:ascii="仿宋_GB2312" w:hAnsi="宋体" w:eastAsia="仿宋_GB2312" w:cs="宋体"/>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370</w:t>
            </w:r>
          </w:p>
        </w:tc>
        <w:tc>
          <w:tcPr>
            <w:tcW w:w="1550" w:type="dxa"/>
            <w:vMerge w:val="restart"/>
            <w:tcBorders>
              <w:tl2br w:val="nil"/>
              <w:tr2bl w:val="nil"/>
            </w:tcBorders>
            <w:vAlign w:val="center"/>
          </w:tcPr>
          <w:p w14:paraId="5BBEA07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rPr>
                <w:rFonts w:ascii="仿宋_GB2312" w:hAnsi="宋体" w:eastAsia="仿宋_GB2312" w:cs="宋体"/>
                <w:color w:val="auto"/>
                <w:sz w:val="13"/>
                <w:szCs w:val="13"/>
                <w:highlight w:val="none"/>
              </w:rPr>
            </w:pPr>
            <w:r>
              <w:rPr>
                <w:rFonts w:hint="eastAsia" w:ascii="仿宋_GB2312" w:hAnsi="宋体" w:eastAsia="仿宋_GB2312" w:cs="宋体"/>
                <w:color w:val="auto"/>
                <w:sz w:val="13"/>
                <w:szCs w:val="13"/>
                <w:highlight w:val="none"/>
              </w:rPr>
              <w:t>工程施工单位擅自倾倒、抛撒或者堆放工程施工过程中产生的建筑垃圾的</w:t>
            </w:r>
          </w:p>
          <w:p w14:paraId="09D08CF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0" w:firstLineChars="200"/>
              <w:rPr>
                <w:rFonts w:ascii="仿宋_GB2312" w:hAnsi="宋体" w:eastAsia="仿宋_GB2312" w:cs="宋体"/>
                <w:color w:val="auto"/>
                <w:sz w:val="13"/>
                <w:szCs w:val="13"/>
                <w:highlight w:val="none"/>
              </w:rPr>
            </w:pPr>
          </w:p>
        </w:tc>
        <w:tc>
          <w:tcPr>
            <w:tcW w:w="4820" w:type="dxa"/>
            <w:vMerge w:val="restart"/>
            <w:tcBorders>
              <w:tl2br w:val="nil"/>
              <w:tr2bl w:val="nil"/>
            </w:tcBorders>
            <w:vAlign w:val="center"/>
          </w:tcPr>
          <w:p w14:paraId="373BF74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sz w:val="13"/>
                <w:szCs w:val="13"/>
                <w:highlight w:val="none"/>
              </w:rPr>
            </w:pPr>
            <w:r>
              <w:rPr>
                <w:rFonts w:hint="eastAsia" w:ascii="仿宋_GB2312" w:hAnsi="宋体" w:eastAsia="仿宋_GB2312" w:cs="宋体"/>
                <w:color w:val="auto"/>
                <w:sz w:val="13"/>
                <w:szCs w:val="13"/>
                <w:highlight w:val="none"/>
              </w:rPr>
              <w:t>《中华人民共和国固体废物污染环境防治法》</w:t>
            </w:r>
            <w:r>
              <w:rPr>
                <w:rFonts w:hint="eastAsia" w:ascii="仿宋_GB2312" w:hAnsi="宋体" w:eastAsia="仿宋_GB2312" w:cs="宋体"/>
                <w:b/>
                <w:bCs/>
                <w:color w:val="auto"/>
                <w:sz w:val="13"/>
                <w:szCs w:val="13"/>
                <w:highlight w:val="none"/>
              </w:rPr>
              <w:t>第一百一十一条第一款</w:t>
            </w:r>
            <w:r>
              <w:rPr>
                <w:rFonts w:hint="eastAsia" w:ascii="仿宋_GB2312" w:hAnsi="宋体" w:eastAsia="仿宋_GB2312" w:cs="宋体"/>
                <w:b/>
                <w:bCs/>
                <w:color w:val="auto"/>
                <w:sz w:val="13"/>
                <w:szCs w:val="13"/>
                <w:highlight w:val="none"/>
                <w:lang w:eastAsia="zh-CN"/>
              </w:rPr>
              <w:t>（四）</w:t>
            </w:r>
            <w:r>
              <w:rPr>
                <w:rFonts w:hint="eastAsia" w:ascii="仿宋_GB2312" w:hAnsi="宋体" w:eastAsia="仿宋_GB2312" w:cs="宋体"/>
                <w:b/>
                <w:bCs/>
                <w:color w:val="auto"/>
                <w:sz w:val="13"/>
                <w:szCs w:val="13"/>
                <w:highlight w:val="none"/>
              </w:rPr>
              <w:t>项、第一百一十一条第二款</w:t>
            </w:r>
            <w:r>
              <w:rPr>
                <w:rFonts w:hint="eastAsia" w:ascii="仿宋_GB2312" w:hAnsi="宋体" w:eastAsia="仿宋_GB2312" w:cs="宋体"/>
                <w:b/>
                <w:bCs/>
                <w:color w:val="auto"/>
                <w:sz w:val="13"/>
                <w:szCs w:val="13"/>
                <w:highlight w:val="none"/>
                <w:lang w:eastAsia="zh-CN"/>
              </w:rPr>
              <w:t>：</w:t>
            </w:r>
            <w:r>
              <w:rPr>
                <w:rFonts w:hint="eastAsia" w:ascii="仿宋_GB2312" w:hAnsi="宋体" w:eastAsia="仿宋_GB2312" w:cs="宋体"/>
                <w:color w:val="auto"/>
                <w:sz w:val="13"/>
                <w:szCs w:val="13"/>
                <w:highlight w:val="none"/>
              </w:rPr>
              <w:t>违反本法规定，有下列行为之一，由县级以上地方人民政府环境卫生主管部门责令改正，处以罚款，没收违法所得：（一）随意倾倒、抛撒、堆放或者焚烧生活垃圾的；（二）擅自关闭、闲置或者拆除生活垃圾处理设施、场所的；（三）工程施工单位未编制建筑垃圾处理方案报备案，或者未及时清运施工过程中产生的固体废物的；（四）工程施工单位擅自倾倒、抛撒或者堆放工程施工过程中产生的建筑垃圾，或者未按照规定对施工过程中产生的固体废物进行利用或者处置的；（五）产生、收集厨余垃圾的单位和其他生产经营者未将厨余垃圾交由具备相应资质条件的单位进行无害化处理的；（六）畜禽养殖场、养殖小区利用未经无害化处理的厨余垃圾饲喂畜禽的；（七）在运输过程中沿途丢弃、遗撒生活垃圾的。</w:t>
            </w:r>
          </w:p>
          <w:p w14:paraId="5BFA6E2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0" w:firstLineChars="200"/>
              <w:rPr>
                <w:rFonts w:ascii="仿宋_GB2312" w:hAnsi="宋体" w:eastAsia="仿宋_GB2312" w:cs="宋体"/>
                <w:color w:val="auto"/>
                <w:sz w:val="13"/>
                <w:szCs w:val="13"/>
                <w:highlight w:val="none"/>
              </w:rPr>
            </w:pPr>
            <w:r>
              <w:rPr>
                <w:rFonts w:hint="eastAsia" w:ascii="仿宋_GB2312" w:hAnsi="宋体" w:eastAsia="仿宋_GB2312" w:cs="宋体"/>
                <w:color w:val="auto"/>
                <w:sz w:val="13"/>
                <w:szCs w:val="13"/>
                <w:highlight w:val="none"/>
              </w:rPr>
              <w:t>单位有前款第一项、第七项行为之一，处五万元以上五十万元以下的罚款；单位有前款第二项、第三项、第四项、第五项、第六项行为之一，处十万元以上一百万元以下的罚款；个人有前款第一项、第五项、第七项行为之一，处一百元以上五百元以下的罚款。</w:t>
            </w:r>
          </w:p>
        </w:tc>
        <w:tc>
          <w:tcPr>
            <w:tcW w:w="823" w:type="dxa"/>
            <w:vMerge w:val="restart"/>
            <w:tcBorders>
              <w:tl2br w:val="nil"/>
              <w:tr2bl w:val="nil"/>
            </w:tcBorders>
            <w:tcMar>
              <w:top w:w="15" w:type="dxa"/>
              <w:left w:w="15" w:type="dxa"/>
              <w:bottom w:w="15" w:type="dxa"/>
              <w:right w:w="15" w:type="dxa"/>
            </w:tcMar>
            <w:vAlign w:val="center"/>
          </w:tcPr>
          <w:p w14:paraId="233F5D8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从轻情节</w:t>
            </w:r>
          </w:p>
        </w:tc>
        <w:tc>
          <w:tcPr>
            <w:tcW w:w="3437" w:type="dxa"/>
            <w:gridSpan w:val="2"/>
            <w:tcBorders>
              <w:tl2br w:val="nil"/>
              <w:tr2bl w:val="nil"/>
            </w:tcBorders>
            <w:tcMar>
              <w:top w:w="15" w:type="dxa"/>
              <w:left w:w="15" w:type="dxa"/>
              <w:bottom w:w="15" w:type="dxa"/>
              <w:right w:w="15" w:type="dxa"/>
            </w:tcMar>
            <w:vAlign w:val="center"/>
          </w:tcPr>
          <w:p w14:paraId="3E3D12E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擅自倾倒、抛撒、堆放建筑垃圾20立方米以下的。</w:t>
            </w:r>
          </w:p>
        </w:tc>
        <w:tc>
          <w:tcPr>
            <w:tcW w:w="3058" w:type="dxa"/>
            <w:tcBorders>
              <w:tl2br w:val="nil"/>
              <w:tr2bl w:val="nil"/>
            </w:tcBorders>
            <w:tcMar>
              <w:top w:w="15" w:type="dxa"/>
              <w:left w:w="15" w:type="dxa"/>
              <w:bottom w:w="15" w:type="dxa"/>
              <w:right w:w="15" w:type="dxa"/>
            </w:tcMar>
            <w:vAlign w:val="center"/>
          </w:tcPr>
          <w:p w14:paraId="378ECAE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责令改正，对单位处以10万元以上20万元以下罚款，没收违法所得。</w:t>
            </w:r>
          </w:p>
        </w:tc>
      </w:tr>
      <w:tr w14:paraId="2C4A58B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280" w:hRule="atLeast"/>
          <w:jc w:val="center"/>
        </w:trPr>
        <w:tc>
          <w:tcPr>
            <w:tcW w:w="428" w:type="dxa"/>
            <w:vMerge w:val="continue"/>
            <w:tcBorders>
              <w:tl2br w:val="nil"/>
              <w:tr2bl w:val="nil"/>
            </w:tcBorders>
            <w:vAlign w:val="center"/>
          </w:tcPr>
          <w:p w14:paraId="31DA0BAF">
            <w:pPr>
              <w:pStyle w:val="37"/>
              <w:keepNext w:val="0"/>
              <w:keepLines w:val="0"/>
              <w:pageBreakBefore w:val="0"/>
              <w:widowControl/>
              <w:numPr>
                <w:ilvl w:val="0"/>
                <w:numId w:val="14"/>
              </w:numPr>
              <w:kinsoku/>
              <w:overflowPunct/>
              <w:topLinePunct w:val="0"/>
              <w:autoSpaceDE/>
              <w:autoSpaceDN/>
              <w:bidi w:val="0"/>
              <w:adjustRightInd/>
              <w:snapToGrid/>
              <w:spacing w:beforeAutospacing="0" w:afterAutospacing="0" w:line="260" w:lineRule="exact"/>
              <w:ind w:left="638" w:leftChars="88" w:right="0" w:rightChars="0" w:hanging="453" w:hangingChars="349"/>
              <w:jc w:val="center"/>
              <w:textAlignment w:val="center"/>
              <w:rPr>
                <w:rFonts w:ascii="仿宋_GB2312" w:hAnsi="宋体" w:eastAsia="仿宋_GB2312" w:cs="宋体"/>
                <w:color w:val="auto"/>
                <w:sz w:val="13"/>
                <w:szCs w:val="13"/>
                <w:highlight w:val="none"/>
              </w:rPr>
            </w:pPr>
          </w:p>
        </w:tc>
        <w:tc>
          <w:tcPr>
            <w:tcW w:w="1550" w:type="dxa"/>
            <w:vMerge w:val="continue"/>
            <w:tcBorders>
              <w:tl2br w:val="nil"/>
              <w:tr2bl w:val="nil"/>
            </w:tcBorders>
            <w:vAlign w:val="center"/>
          </w:tcPr>
          <w:p w14:paraId="095870B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sz w:val="13"/>
                <w:szCs w:val="13"/>
                <w:highlight w:val="none"/>
              </w:rPr>
            </w:pPr>
          </w:p>
        </w:tc>
        <w:tc>
          <w:tcPr>
            <w:tcW w:w="4820" w:type="dxa"/>
            <w:vMerge w:val="continue"/>
            <w:tcBorders>
              <w:tl2br w:val="nil"/>
              <w:tr2bl w:val="nil"/>
            </w:tcBorders>
            <w:vAlign w:val="center"/>
          </w:tcPr>
          <w:p w14:paraId="038C500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sz w:val="13"/>
                <w:szCs w:val="13"/>
                <w:highlight w:val="none"/>
              </w:rPr>
            </w:pPr>
          </w:p>
        </w:tc>
        <w:tc>
          <w:tcPr>
            <w:tcW w:w="823" w:type="dxa"/>
            <w:vMerge w:val="continue"/>
            <w:tcBorders>
              <w:tl2br w:val="nil"/>
              <w:tr2bl w:val="nil"/>
            </w:tcBorders>
            <w:tcMar>
              <w:top w:w="15" w:type="dxa"/>
              <w:left w:w="15" w:type="dxa"/>
              <w:bottom w:w="15" w:type="dxa"/>
              <w:right w:w="15" w:type="dxa"/>
            </w:tcMar>
            <w:vAlign w:val="center"/>
          </w:tcPr>
          <w:p w14:paraId="7E697AE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sz w:val="13"/>
                <w:szCs w:val="13"/>
                <w:highlight w:val="none"/>
              </w:rPr>
            </w:pPr>
          </w:p>
        </w:tc>
        <w:tc>
          <w:tcPr>
            <w:tcW w:w="3437" w:type="dxa"/>
            <w:gridSpan w:val="2"/>
            <w:tcBorders>
              <w:tl2br w:val="nil"/>
              <w:tr2bl w:val="nil"/>
            </w:tcBorders>
            <w:tcMar>
              <w:top w:w="15" w:type="dxa"/>
              <w:left w:w="15" w:type="dxa"/>
              <w:bottom w:w="15" w:type="dxa"/>
              <w:right w:w="15" w:type="dxa"/>
            </w:tcMar>
            <w:vAlign w:val="center"/>
          </w:tcPr>
          <w:p w14:paraId="1234EB8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kern w:val="0"/>
                <w:sz w:val="13"/>
                <w:szCs w:val="13"/>
                <w:highlight w:val="none"/>
              </w:rPr>
            </w:pPr>
            <w:r>
              <w:rPr>
                <w:rFonts w:hint="eastAsia" w:ascii="仿宋_GB2312" w:hAnsi="宋体" w:eastAsia="仿宋_GB2312" w:cs="宋体"/>
                <w:color w:val="auto"/>
                <w:kern w:val="0"/>
                <w:sz w:val="13"/>
                <w:szCs w:val="13"/>
                <w:highlight w:val="none"/>
              </w:rPr>
              <w:t>擅自倾倒、抛撒、堆放建筑垃圾20立方米以上30立方米以下的。</w:t>
            </w:r>
          </w:p>
        </w:tc>
        <w:tc>
          <w:tcPr>
            <w:tcW w:w="3058" w:type="dxa"/>
            <w:tcBorders>
              <w:tl2br w:val="nil"/>
              <w:tr2bl w:val="nil"/>
            </w:tcBorders>
            <w:tcMar>
              <w:top w:w="15" w:type="dxa"/>
              <w:left w:w="15" w:type="dxa"/>
              <w:bottom w:w="15" w:type="dxa"/>
              <w:right w:w="15" w:type="dxa"/>
            </w:tcMar>
            <w:vAlign w:val="center"/>
          </w:tcPr>
          <w:p w14:paraId="3787911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kern w:val="0"/>
                <w:sz w:val="13"/>
                <w:szCs w:val="13"/>
                <w:highlight w:val="none"/>
              </w:rPr>
            </w:pPr>
            <w:r>
              <w:rPr>
                <w:rFonts w:hint="eastAsia" w:ascii="仿宋_GB2312" w:hAnsi="宋体" w:eastAsia="仿宋_GB2312" w:cs="宋体"/>
                <w:color w:val="auto"/>
                <w:kern w:val="0"/>
                <w:sz w:val="13"/>
                <w:szCs w:val="13"/>
                <w:highlight w:val="none"/>
              </w:rPr>
              <w:t>责令改正，对单位处以20万元以上30万元以下罚款，没收违法所得。</w:t>
            </w:r>
          </w:p>
        </w:tc>
      </w:tr>
      <w:tr w14:paraId="1E3BDA0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330" w:hRule="atLeast"/>
          <w:jc w:val="center"/>
        </w:trPr>
        <w:tc>
          <w:tcPr>
            <w:tcW w:w="428" w:type="dxa"/>
            <w:vMerge w:val="continue"/>
            <w:tcBorders>
              <w:tl2br w:val="nil"/>
              <w:tr2bl w:val="nil"/>
            </w:tcBorders>
            <w:vAlign w:val="center"/>
          </w:tcPr>
          <w:p w14:paraId="102A24B0">
            <w:pPr>
              <w:pStyle w:val="37"/>
              <w:keepNext w:val="0"/>
              <w:keepLines w:val="0"/>
              <w:pageBreakBefore w:val="0"/>
              <w:widowControl/>
              <w:numPr>
                <w:ilvl w:val="0"/>
                <w:numId w:val="14"/>
              </w:numPr>
              <w:kinsoku/>
              <w:overflowPunct/>
              <w:topLinePunct w:val="0"/>
              <w:autoSpaceDE/>
              <w:autoSpaceDN/>
              <w:bidi w:val="0"/>
              <w:adjustRightInd/>
              <w:snapToGrid/>
              <w:spacing w:beforeAutospacing="0" w:afterAutospacing="0" w:line="260" w:lineRule="exact"/>
              <w:ind w:left="638" w:leftChars="88" w:right="0" w:rightChars="0" w:hanging="453" w:hangingChars="349"/>
              <w:jc w:val="center"/>
              <w:textAlignment w:val="center"/>
              <w:rPr>
                <w:rFonts w:ascii="仿宋_GB2312" w:hAnsi="宋体" w:eastAsia="仿宋_GB2312" w:cs="宋体"/>
                <w:color w:val="auto"/>
                <w:kern w:val="0"/>
                <w:sz w:val="13"/>
                <w:szCs w:val="13"/>
                <w:highlight w:val="none"/>
              </w:rPr>
            </w:pPr>
          </w:p>
        </w:tc>
        <w:tc>
          <w:tcPr>
            <w:tcW w:w="1550" w:type="dxa"/>
            <w:vMerge w:val="continue"/>
            <w:tcBorders>
              <w:tl2br w:val="nil"/>
              <w:tr2bl w:val="nil"/>
            </w:tcBorders>
            <w:vAlign w:val="center"/>
          </w:tcPr>
          <w:p w14:paraId="7B45CC9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kern w:val="0"/>
                <w:sz w:val="13"/>
                <w:szCs w:val="13"/>
                <w:highlight w:val="none"/>
              </w:rPr>
            </w:pPr>
          </w:p>
        </w:tc>
        <w:tc>
          <w:tcPr>
            <w:tcW w:w="4820" w:type="dxa"/>
            <w:vMerge w:val="continue"/>
            <w:tcBorders>
              <w:tl2br w:val="nil"/>
              <w:tr2bl w:val="nil"/>
            </w:tcBorders>
            <w:vAlign w:val="center"/>
          </w:tcPr>
          <w:p w14:paraId="3C164B6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kern w:val="0"/>
                <w:sz w:val="13"/>
                <w:szCs w:val="13"/>
                <w:highlight w:val="none"/>
              </w:rPr>
            </w:pPr>
          </w:p>
        </w:tc>
        <w:tc>
          <w:tcPr>
            <w:tcW w:w="823" w:type="dxa"/>
            <w:vMerge w:val="continue"/>
            <w:tcBorders>
              <w:tl2br w:val="nil"/>
              <w:tr2bl w:val="nil"/>
            </w:tcBorders>
            <w:tcMar>
              <w:top w:w="15" w:type="dxa"/>
              <w:left w:w="15" w:type="dxa"/>
              <w:bottom w:w="15" w:type="dxa"/>
              <w:right w:w="15" w:type="dxa"/>
            </w:tcMar>
            <w:vAlign w:val="center"/>
          </w:tcPr>
          <w:p w14:paraId="29750D9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kern w:val="0"/>
                <w:sz w:val="13"/>
                <w:szCs w:val="13"/>
                <w:highlight w:val="none"/>
              </w:rPr>
            </w:pPr>
          </w:p>
        </w:tc>
        <w:tc>
          <w:tcPr>
            <w:tcW w:w="3437" w:type="dxa"/>
            <w:gridSpan w:val="2"/>
            <w:tcBorders>
              <w:tl2br w:val="nil"/>
              <w:tr2bl w:val="nil"/>
            </w:tcBorders>
            <w:tcMar>
              <w:top w:w="15" w:type="dxa"/>
              <w:left w:w="15" w:type="dxa"/>
              <w:bottom w:w="15" w:type="dxa"/>
              <w:right w:w="15" w:type="dxa"/>
            </w:tcMar>
            <w:vAlign w:val="center"/>
          </w:tcPr>
          <w:p w14:paraId="75079AB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kern w:val="0"/>
                <w:sz w:val="13"/>
                <w:szCs w:val="13"/>
                <w:highlight w:val="none"/>
              </w:rPr>
            </w:pPr>
            <w:r>
              <w:rPr>
                <w:rFonts w:hint="eastAsia" w:ascii="仿宋_GB2312" w:hAnsi="宋体" w:eastAsia="仿宋_GB2312" w:cs="宋体"/>
                <w:color w:val="auto"/>
                <w:kern w:val="0"/>
                <w:sz w:val="13"/>
                <w:szCs w:val="13"/>
                <w:highlight w:val="none"/>
              </w:rPr>
              <w:t>擅自倾倒、抛撒、堆放建筑垃圾30立方米以上40立方米以下的。</w:t>
            </w:r>
          </w:p>
        </w:tc>
        <w:tc>
          <w:tcPr>
            <w:tcW w:w="3058" w:type="dxa"/>
            <w:tcBorders>
              <w:tl2br w:val="nil"/>
              <w:tr2bl w:val="nil"/>
            </w:tcBorders>
            <w:tcMar>
              <w:top w:w="15" w:type="dxa"/>
              <w:left w:w="15" w:type="dxa"/>
              <w:bottom w:w="15" w:type="dxa"/>
              <w:right w:w="15" w:type="dxa"/>
            </w:tcMar>
            <w:vAlign w:val="center"/>
          </w:tcPr>
          <w:p w14:paraId="497B4B3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kern w:val="0"/>
                <w:sz w:val="13"/>
                <w:szCs w:val="13"/>
                <w:highlight w:val="none"/>
              </w:rPr>
            </w:pPr>
            <w:r>
              <w:rPr>
                <w:rFonts w:hint="eastAsia" w:ascii="仿宋_GB2312" w:hAnsi="宋体" w:eastAsia="仿宋_GB2312" w:cs="宋体"/>
                <w:color w:val="auto"/>
                <w:kern w:val="0"/>
                <w:sz w:val="13"/>
                <w:szCs w:val="13"/>
                <w:highlight w:val="none"/>
              </w:rPr>
              <w:t>责令改正，对单位处以30万元以上40万元以下罚款，没收违法所得。</w:t>
            </w:r>
          </w:p>
        </w:tc>
      </w:tr>
      <w:tr w14:paraId="47225CF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334" w:hRule="atLeast"/>
          <w:jc w:val="center"/>
        </w:trPr>
        <w:tc>
          <w:tcPr>
            <w:tcW w:w="428" w:type="dxa"/>
            <w:vMerge w:val="continue"/>
            <w:tcBorders>
              <w:tl2br w:val="nil"/>
              <w:tr2bl w:val="nil"/>
            </w:tcBorders>
            <w:vAlign w:val="center"/>
          </w:tcPr>
          <w:p w14:paraId="7774520D">
            <w:pPr>
              <w:pStyle w:val="37"/>
              <w:keepNext w:val="0"/>
              <w:keepLines w:val="0"/>
              <w:pageBreakBefore w:val="0"/>
              <w:widowControl/>
              <w:numPr>
                <w:ilvl w:val="0"/>
                <w:numId w:val="14"/>
              </w:numPr>
              <w:kinsoku/>
              <w:overflowPunct/>
              <w:topLinePunct w:val="0"/>
              <w:autoSpaceDE/>
              <w:autoSpaceDN/>
              <w:bidi w:val="0"/>
              <w:adjustRightInd/>
              <w:snapToGrid/>
              <w:spacing w:beforeAutospacing="0" w:afterAutospacing="0" w:line="260" w:lineRule="exact"/>
              <w:ind w:left="638" w:leftChars="88" w:right="0" w:rightChars="0" w:hanging="453" w:hangingChars="349"/>
              <w:jc w:val="center"/>
              <w:textAlignment w:val="center"/>
              <w:rPr>
                <w:rFonts w:ascii="仿宋_GB2312" w:hAnsi="宋体" w:eastAsia="仿宋_GB2312" w:cs="宋体"/>
                <w:color w:val="auto"/>
                <w:sz w:val="13"/>
                <w:szCs w:val="13"/>
                <w:highlight w:val="none"/>
              </w:rPr>
            </w:pPr>
          </w:p>
        </w:tc>
        <w:tc>
          <w:tcPr>
            <w:tcW w:w="1550" w:type="dxa"/>
            <w:vMerge w:val="continue"/>
            <w:tcBorders>
              <w:tl2br w:val="nil"/>
              <w:tr2bl w:val="nil"/>
            </w:tcBorders>
            <w:vAlign w:val="center"/>
          </w:tcPr>
          <w:p w14:paraId="72ABF7B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sz w:val="13"/>
                <w:szCs w:val="13"/>
                <w:highlight w:val="none"/>
              </w:rPr>
            </w:pPr>
          </w:p>
        </w:tc>
        <w:tc>
          <w:tcPr>
            <w:tcW w:w="4820" w:type="dxa"/>
            <w:vMerge w:val="continue"/>
            <w:tcBorders>
              <w:tl2br w:val="nil"/>
              <w:tr2bl w:val="nil"/>
            </w:tcBorders>
            <w:vAlign w:val="center"/>
          </w:tcPr>
          <w:p w14:paraId="77E0429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sz w:val="13"/>
                <w:szCs w:val="13"/>
                <w:highlight w:val="none"/>
              </w:rPr>
            </w:pPr>
          </w:p>
        </w:tc>
        <w:tc>
          <w:tcPr>
            <w:tcW w:w="823" w:type="dxa"/>
            <w:vMerge w:val="restart"/>
            <w:tcBorders>
              <w:tl2br w:val="nil"/>
              <w:tr2bl w:val="nil"/>
            </w:tcBorders>
            <w:tcMar>
              <w:top w:w="15" w:type="dxa"/>
              <w:left w:w="15" w:type="dxa"/>
              <w:bottom w:w="15" w:type="dxa"/>
              <w:right w:w="15" w:type="dxa"/>
            </w:tcMar>
            <w:vAlign w:val="center"/>
          </w:tcPr>
          <w:p w14:paraId="24012C4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一般情节</w:t>
            </w:r>
          </w:p>
        </w:tc>
        <w:tc>
          <w:tcPr>
            <w:tcW w:w="3437" w:type="dxa"/>
            <w:gridSpan w:val="2"/>
            <w:tcBorders>
              <w:tl2br w:val="nil"/>
              <w:tr2bl w:val="nil"/>
            </w:tcBorders>
            <w:tcMar>
              <w:top w:w="15" w:type="dxa"/>
              <w:left w:w="15" w:type="dxa"/>
              <w:bottom w:w="15" w:type="dxa"/>
              <w:right w:w="15" w:type="dxa"/>
            </w:tcMar>
            <w:vAlign w:val="center"/>
          </w:tcPr>
          <w:p w14:paraId="28812F0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擅自倾倒、抛撒、堆放建筑垃圾40立方米以上50立方米以下的。</w:t>
            </w:r>
          </w:p>
        </w:tc>
        <w:tc>
          <w:tcPr>
            <w:tcW w:w="3058" w:type="dxa"/>
            <w:tcBorders>
              <w:tl2br w:val="nil"/>
              <w:tr2bl w:val="nil"/>
            </w:tcBorders>
            <w:tcMar>
              <w:top w:w="15" w:type="dxa"/>
              <w:left w:w="15" w:type="dxa"/>
              <w:bottom w:w="15" w:type="dxa"/>
              <w:right w:w="15" w:type="dxa"/>
            </w:tcMar>
            <w:vAlign w:val="center"/>
          </w:tcPr>
          <w:p w14:paraId="4179A6C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责令改正，对单位处以40万元以上50万元以下罚款，没收违法所得。</w:t>
            </w:r>
          </w:p>
        </w:tc>
      </w:tr>
      <w:tr w14:paraId="633B778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328" w:hRule="atLeast"/>
          <w:jc w:val="center"/>
        </w:trPr>
        <w:tc>
          <w:tcPr>
            <w:tcW w:w="428" w:type="dxa"/>
            <w:vMerge w:val="continue"/>
            <w:tcBorders>
              <w:tl2br w:val="nil"/>
              <w:tr2bl w:val="nil"/>
            </w:tcBorders>
            <w:vAlign w:val="center"/>
          </w:tcPr>
          <w:p w14:paraId="4F7B5585">
            <w:pPr>
              <w:pStyle w:val="37"/>
              <w:keepNext w:val="0"/>
              <w:keepLines w:val="0"/>
              <w:pageBreakBefore w:val="0"/>
              <w:widowControl/>
              <w:numPr>
                <w:ilvl w:val="0"/>
                <w:numId w:val="14"/>
              </w:numPr>
              <w:kinsoku/>
              <w:overflowPunct/>
              <w:topLinePunct w:val="0"/>
              <w:autoSpaceDE/>
              <w:autoSpaceDN/>
              <w:bidi w:val="0"/>
              <w:adjustRightInd/>
              <w:snapToGrid/>
              <w:spacing w:beforeAutospacing="0" w:afterAutospacing="0" w:line="260" w:lineRule="exact"/>
              <w:ind w:left="638" w:leftChars="88" w:right="0" w:rightChars="0" w:hanging="453" w:hangingChars="349"/>
              <w:jc w:val="center"/>
              <w:textAlignment w:val="center"/>
              <w:rPr>
                <w:rFonts w:ascii="仿宋_GB2312" w:hAnsi="宋体" w:eastAsia="仿宋_GB2312" w:cs="宋体"/>
                <w:color w:val="auto"/>
                <w:sz w:val="13"/>
                <w:szCs w:val="13"/>
                <w:highlight w:val="none"/>
              </w:rPr>
            </w:pPr>
          </w:p>
        </w:tc>
        <w:tc>
          <w:tcPr>
            <w:tcW w:w="1550" w:type="dxa"/>
            <w:vMerge w:val="continue"/>
            <w:tcBorders>
              <w:tl2br w:val="nil"/>
              <w:tr2bl w:val="nil"/>
            </w:tcBorders>
            <w:vAlign w:val="center"/>
          </w:tcPr>
          <w:p w14:paraId="446BDBE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sz w:val="13"/>
                <w:szCs w:val="13"/>
                <w:highlight w:val="none"/>
              </w:rPr>
            </w:pPr>
          </w:p>
        </w:tc>
        <w:tc>
          <w:tcPr>
            <w:tcW w:w="4820" w:type="dxa"/>
            <w:vMerge w:val="continue"/>
            <w:tcBorders>
              <w:tl2br w:val="nil"/>
              <w:tr2bl w:val="nil"/>
            </w:tcBorders>
            <w:vAlign w:val="center"/>
          </w:tcPr>
          <w:p w14:paraId="7BBE639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sz w:val="13"/>
                <w:szCs w:val="13"/>
                <w:highlight w:val="none"/>
              </w:rPr>
            </w:pPr>
          </w:p>
        </w:tc>
        <w:tc>
          <w:tcPr>
            <w:tcW w:w="823" w:type="dxa"/>
            <w:vMerge w:val="continue"/>
            <w:tcBorders>
              <w:tl2br w:val="nil"/>
              <w:tr2bl w:val="nil"/>
            </w:tcBorders>
            <w:tcMar>
              <w:top w:w="15" w:type="dxa"/>
              <w:left w:w="15" w:type="dxa"/>
              <w:bottom w:w="15" w:type="dxa"/>
              <w:right w:w="15" w:type="dxa"/>
            </w:tcMar>
            <w:vAlign w:val="center"/>
          </w:tcPr>
          <w:p w14:paraId="32524C1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宋体"/>
                <w:color w:val="auto"/>
                <w:sz w:val="13"/>
                <w:szCs w:val="13"/>
                <w:highlight w:val="none"/>
              </w:rPr>
            </w:pPr>
          </w:p>
        </w:tc>
        <w:tc>
          <w:tcPr>
            <w:tcW w:w="3437" w:type="dxa"/>
            <w:gridSpan w:val="2"/>
            <w:tcBorders>
              <w:tl2br w:val="nil"/>
              <w:tr2bl w:val="nil"/>
            </w:tcBorders>
            <w:tcMar>
              <w:top w:w="15" w:type="dxa"/>
              <w:left w:w="15" w:type="dxa"/>
              <w:bottom w:w="15" w:type="dxa"/>
              <w:right w:w="15" w:type="dxa"/>
            </w:tcMar>
            <w:vAlign w:val="center"/>
          </w:tcPr>
          <w:p w14:paraId="64E148C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kern w:val="0"/>
                <w:sz w:val="13"/>
                <w:szCs w:val="13"/>
                <w:highlight w:val="none"/>
              </w:rPr>
            </w:pPr>
            <w:r>
              <w:rPr>
                <w:rFonts w:hint="eastAsia" w:ascii="仿宋_GB2312" w:hAnsi="宋体" w:eastAsia="仿宋_GB2312" w:cs="宋体"/>
                <w:color w:val="auto"/>
                <w:kern w:val="0"/>
                <w:sz w:val="13"/>
                <w:szCs w:val="13"/>
                <w:highlight w:val="none"/>
              </w:rPr>
              <w:t>擅自倾倒、抛撒、堆放建筑垃圾50立方米以上60立方米以下的。</w:t>
            </w:r>
          </w:p>
        </w:tc>
        <w:tc>
          <w:tcPr>
            <w:tcW w:w="3058" w:type="dxa"/>
            <w:tcBorders>
              <w:tl2br w:val="nil"/>
              <w:tr2bl w:val="nil"/>
            </w:tcBorders>
            <w:tcMar>
              <w:top w:w="15" w:type="dxa"/>
              <w:left w:w="15" w:type="dxa"/>
              <w:bottom w:w="15" w:type="dxa"/>
              <w:right w:w="15" w:type="dxa"/>
            </w:tcMar>
            <w:vAlign w:val="center"/>
          </w:tcPr>
          <w:p w14:paraId="5CAF508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kern w:val="0"/>
                <w:sz w:val="13"/>
                <w:szCs w:val="13"/>
                <w:highlight w:val="none"/>
              </w:rPr>
            </w:pPr>
            <w:r>
              <w:rPr>
                <w:rFonts w:hint="eastAsia" w:ascii="仿宋_GB2312" w:hAnsi="宋体" w:eastAsia="仿宋_GB2312" w:cs="宋体"/>
                <w:color w:val="auto"/>
                <w:kern w:val="0"/>
                <w:sz w:val="13"/>
                <w:szCs w:val="13"/>
                <w:highlight w:val="none"/>
              </w:rPr>
              <w:t>责令改正，对单位处以50万元以上60万元以下罚款，没收违法所得。</w:t>
            </w:r>
          </w:p>
        </w:tc>
      </w:tr>
      <w:tr w14:paraId="24C788C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295" w:hRule="atLeast"/>
          <w:jc w:val="center"/>
        </w:trPr>
        <w:tc>
          <w:tcPr>
            <w:tcW w:w="428" w:type="dxa"/>
            <w:vMerge w:val="continue"/>
            <w:tcBorders>
              <w:tl2br w:val="nil"/>
              <w:tr2bl w:val="nil"/>
            </w:tcBorders>
            <w:vAlign w:val="center"/>
          </w:tcPr>
          <w:p w14:paraId="2555AAB2">
            <w:pPr>
              <w:pStyle w:val="37"/>
              <w:keepNext w:val="0"/>
              <w:keepLines w:val="0"/>
              <w:pageBreakBefore w:val="0"/>
              <w:widowControl/>
              <w:numPr>
                <w:ilvl w:val="0"/>
                <w:numId w:val="14"/>
              </w:numPr>
              <w:kinsoku/>
              <w:overflowPunct/>
              <w:topLinePunct w:val="0"/>
              <w:autoSpaceDE/>
              <w:autoSpaceDN/>
              <w:bidi w:val="0"/>
              <w:adjustRightInd/>
              <w:snapToGrid/>
              <w:spacing w:beforeAutospacing="0" w:afterAutospacing="0" w:line="260" w:lineRule="exact"/>
              <w:ind w:left="638" w:leftChars="88" w:right="0" w:rightChars="0" w:hanging="453" w:hangingChars="349"/>
              <w:jc w:val="center"/>
              <w:textAlignment w:val="center"/>
              <w:rPr>
                <w:rFonts w:ascii="仿宋_GB2312" w:hAnsi="宋体" w:eastAsia="仿宋_GB2312" w:cs="宋体"/>
                <w:color w:val="auto"/>
                <w:kern w:val="0"/>
                <w:sz w:val="13"/>
                <w:szCs w:val="13"/>
                <w:highlight w:val="none"/>
              </w:rPr>
            </w:pPr>
          </w:p>
        </w:tc>
        <w:tc>
          <w:tcPr>
            <w:tcW w:w="1550" w:type="dxa"/>
            <w:vMerge w:val="continue"/>
            <w:tcBorders>
              <w:tl2br w:val="nil"/>
              <w:tr2bl w:val="nil"/>
            </w:tcBorders>
            <w:vAlign w:val="center"/>
          </w:tcPr>
          <w:p w14:paraId="7ED9863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kern w:val="0"/>
                <w:sz w:val="13"/>
                <w:szCs w:val="13"/>
                <w:highlight w:val="none"/>
              </w:rPr>
            </w:pPr>
          </w:p>
        </w:tc>
        <w:tc>
          <w:tcPr>
            <w:tcW w:w="4820" w:type="dxa"/>
            <w:vMerge w:val="continue"/>
            <w:tcBorders>
              <w:tl2br w:val="nil"/>
              <w:tr2bl w:val="nil"/>
            </w:tcBorders>
            <w:vAlign w:val="center"/>
          </w:tcPr>
          <w:p w14:paraId="276F9F4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kern w:val="0"/>
                <w:sz w:val="13"/>
                <w:szCs w:val="13"/>
                <w:highlight w:val="none"/>
              </w:rPr>
            </w:pPr>
          </w:p>
        </w:tc>
        <w:tc>
          <w:tcPr>
            <w:tcW w:w="823" w:type="dxa"/>
            <w:vMerge w:val="continue"/>
            <w:tcBorders>
              <w:tl2br w:val="nil"/>
              <w:tr2bl w:val="nil"/>
            </w:tcBorders>
            <w:tcMar>
              <w:top w:w="15" w:type="dxa"/>
              <w:left w:w="15" w:type="dxa"/>
              <w:bottom w:w="15" w:type="dxa"/>
              <w:right w:w="15" w:type="dxa"/>
            </w:tcMar>
            <w:vAlign w:val="center"/>
          </w:tcPr>
          <w:p w14:paraId="36F3D4B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宋体"/>
                <w:color w:val="auto"/>
                <w:kern w:val="0"/>
                <w:sz w:val="13"/>
                <w:szCs w:val="13"/>
                <w:highlight w:val="none"/>
              </w:rPr>
            </w:pPr>
          </w:p>
        </w:tc>
        <w:tc>
          <w:tcPr>
            <w:tcW w:w="3437" w:type="dxa"/>
            <w:gridSpan w:val="2"/>
            <w:tcBorders>
              <w:tl2br w:val="nil"/>
              <w:tr2bl w:val="nil"/>
            </w:tcBorders>
            <w:tcMar>
              <w:top w:w="15" w:type="dxa"/>
              <w:left w:w="15" w:type="dxa"/>
              <w:bottom w:w="15" w:type="dxa"/>
              <w:right w:w="15" w:type="dxa"/>
            </w:tcMar>
            <w:vAlign w:val="center"/>
          </w:tcPr>
          <w:p w14:paraId="0C4501A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kern w:val="0"/>
                <w:sz w:val="13"/>
                <w:szCs w:val="13"/>
                <w:highlight w:val="none"/>
              </w:rPr>
            </w:pPr>
            <w:r>
              <w:rPr>
                <w:rFonts w:hint="eastAsia" w:ascii="仿宋_GB2312" w:hAnsi="宋体" w:eastAsia="仿宋_GB2312" w:cs="宋体"/>
                <w:color w:val="auto"/>
                <w:kern w:val="0"/>
                <w:sz w:val="13"/>
                <w:szCs w:val="13"/>
                <w:highlight w:val="none"/>
              </w:rPr>
              <w:t>擅自倾倒、抛撒、堆放建筑垃圾60立方米以上70立方米以下的。</w:t>
            </w:r>
          </w:p>
        </w:tc>
        <w:tc>
          <w:tcPr>
            <w:tcW w:w="3058" w:type="dxa"/>
            <w:tcBorders>
              <w:tl2br w:val="nil"/>
              <w:tr2bl w:val="nil"/>
            </w:tcBorders>
            <w:tcMar>
              <w:top w:w="15" w:type="dxa"/>
              <w:left w:w="15" w:type="dxa"/>
              <w:bottom w:w="15" w:type="dxa"/>
              <w:right w:w="15" w:type="dxa"/>
            </w:tcMar>
            <w:vAlign w:val="center"/>
          </w:tcPr>
          <w:p w14:paraId="1DCA1D0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kern w:val="0"/>
                <w:sz w:val="13"/>
                <w:szCs w:val="13"/>
                <w:highlight w:val="none"/>
              </w:rPr>
            </w:pPr>
            <w:r>
              <w:rPr>
                <w:rFonts w:hint="eastAsia" w:ascii="仿宋_GB2312" w:hAnsi="宋体" w:eastAsia="仿宋_GB2312" w:cs="宋体"/>
                <w:color w:val="auto"/>
                <w:kern w:val="0"/>
                <w:sz w:val="13"/>
                <w:szCs w:val="13"/>
                <w:highlight w:val="none"/>
              </w:rPr>
              <w:t>责令改正，对单位处以60万元以上70万元以下罚款，没收违法所得。</w:t>
            </w:r>
          </w:p>
        </w:tc>
      </w:tr>
      <w:tr w14:paraId="78A81BC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322" w:hRule="atLeast"/>
          <w:jc w:val="center"/>
        </w:trPr>
        <w:tc>
          <w:tcPr>
            <w:tcW w:w="428" w:type="dxa"/>
            <w:vMerge w:val="continue"/>
            <w:tcBorders>
              <w:tl2br w:val="nil"/>
              <w:tr2bl w:val="nil"/>
            </w:tcBorders>
            <w:vAlign w:val="center"/>
          </w:tcPr>
          <w:p w14:paraId="0E41F9BB">
            <w:pPr>
              <w:pStyle w:val="37"/>
              <w:keepNext w:val="0"/>
              <w:keepLines w:val="0"/>
              <w:pageBreakBefore w:val="0"/>
              <w:widowControl/>
              <w:numPr>
                <w:ilvl w:val="0"/>
                <w:numId w:val="14"/>
              </w:numPr>
              <w:kinsoku/>
              <w:overflowPunct/>
              <w:topLinePunct w:val="0"/>
              <w:autoSpaceDE/>
              <w:autoSpaceDN/>
              <w:bidi w:val="0"/>
              <w:adjustRightInd/>
              <w:snapToGrid/>
              <w:spacing w:beforeAutospacing="0" w:afterAutospacing="0" w:line="260" w:lineRule="exact"/>
              <w:ind w:left="638" w:leftChars="88" w:right="0" w:rightChars="0" w:hanging="453" w:hangingChars="349"/>
              <w:jc w:val="center"/>
              <w:textAlignment w:val="center"/>
              <w:rPr>
                <w:rFonts w:ascii="仿宋_GB2312" w:hAnsi="宋体" w:eastAsia="仿宋_GB2312" w:cs="宋体"/>
                <w:color w:val="auto"/>
                <w:kern w:val="0"/>
                <w:sz w:val="13"/>
                <w:szCs w:val="13"/>
                <w:highlight w:val="none"/>
              </w:rPr>
            </w:pPr>
          </w:p>
        </w:tc>
        <w:tc>
          <w:tcPr>
            <w:tcW w:w="1550" w:type="dxa"/>
            <w:vMerge w:val="continue"/>
            <w:tcBorders>
              <w:tl2br w:val="nil"/>
              <w:tr2bl w:val="nil"/>
            </w:tcBorders>
            <w:vAlign w:val="center"/>
          </w:tcPr>
          <w:p w14:paraId="52ED628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kern w:val="0"/>
                <w:sz w:val="13"/>
                <w:szCs w:val="13"/>
                <w:highlight w:val="none"/>
              </w:rPr>
            </w:pPr>
          </w:p>
        </w:tc>
        <w:tc>
          <w:tcPr>
            <w:tcW w:w="4820" w:type="dxa"/>
            <w:vMerge w:val="continue"/>
            <w:tcBorders>
              <w:tl2br w:val="nil"/>
              <w:tr2bl w:val="nil"/>
            </w:tcBorders>
            <w:vAlign w:val="center"/>
          </w:tcPr>
          <w:p w14:paraId="2589BB1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kern w:val="0"/>
                <w:sz w:val="13"/>
                <w:szCs w:val="13"/>
                <w:highlight w:val="none"/>
              </w:rPr>
            </w:pPr>
          </w:p>
        </w:tc>
        <w:tc>
          <w:tcPr>
            <w:tcW w:w="823" w:type="dxa"/>
            <w:vMerge w:val="restart"/>
            <w:tcBorders>
              <w:tl2br w:val="nil"/>
              <w:tr2bl w:val="nil"/>
            </w:tcBorders>
            <w:tcMar>
              <w:top w:w="15" w:type="dxa"/>
              <w:left w:w="15" w:type="dxa"/>
              <w:bottom w:w="15" w:type="dxa"/>
              <w:right w:w="15" w:type="dxa"/>
            </w:tcMar>
            <w:vAlign w:val="center"/>
          </w:tcPr>
          <w:p w14:paraId="5DF2F56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从重情节</w:t>
            </w:r>
          </w:p>
        </w:tc>
        <w:tc>
          <w:tcPr>
            <w:tcW w:w="3437" w:type="dxa"/>
            <w:gridSpan w:val="2"/>
            <w:tcBorders>
              <w:tl2br w:val="nil"/>
              <w:tr2bl w:val="nil"/>
            </w:tcBorders>
            <w:tcMar>
              <w:top w:w="15" w:type="dxa"/>
              <w:left w:w="15" w:type="dxa"/>
              <w:bottom w:w="15" w:type="dxa"/>
              <w:right w:w="15" w:type="dxa"/>
            </w:tcMar>
            <w:vAlign w:val="center"/>
          </w:tcPr>
          <w:p w14:paraId="42E9535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擅自倾倒、抛撒、堆放建筑垃圾70立方米以上80立方米以下的。</w:t>
            </w:r>
          </w:p>
        </w:tc>
        <w:tc>
          <w:tcPr>
            <w:tcW w:w="3058" w:type="dxa"/>
            <w:tcBorders>
              <w:tl2br w:val="nil"/>
              <w:tr2bl w:val="nil"/>
            </w:tcBorders>
            <w:tcMar>
              <w:top w:w="15" w:type="dxa"/>
              <w:left w:w="15" w:type="dxa"/>
              <w:bottom w:w="15" w:type="dxa"/>
              <w:right w:w="15" w:type="dxa"/>
            </w:tcMar>
            <w:vAlign w:val="center"/>
          </w:tcPr>
          <w:p w14:paraId="73704A4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责令改正，对单位处以70万元以上80万元以下罚款，没收违法所得。</w:t>
            </w:r>
          </w:p>
        </w:tc>
      </w:tr>
      <w:tr w14:paraId="6F25EF0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288" w:hRule="atLeast"/>
          <w:jc w:val="center"/>
        </w:trPr>
        <w:tc>
          <w:tcPr>
            <w:tcW w:w="428" w:type="dxa"/>
            <w:vMerge w:val="continue"/>
            <w:tcBorders>
              <w:tl2br w:val="nil"/>
              <w:tr2bl w:val="nil"/>
            </w:tcBorders>
            <w:vAlign w:val="center"/>
          </w:tcPr>
          <w:p w14:paraId="590B9C08">
            <w:pPr>
              <w:pStyle w:val="37"/>
              <w:keepNext w:val="0"/>
              <w:keepLines w:val="0"/>
              <w:pageBreakBefore w:val="0"/>
              <w:widowControl/>
              <w:numPr>
                <w:ilvl w:val="0"/>
                <w:numId w:val="14"/>
              </w:numPr>
              <w:kinsoku/>
              <w:overflowPunct/>
              <w:topLinePunct w:val="0"/>
              <w:autoSpaceDE/>
              <w:autoSpaceDN/>
              <w:bidi w:val="0"/>
              <w:adjustRightInd/>
              <w:snapToGrid/>
              <w:spacing w:beforeAutospacing="0" w:afterAutospacing="0" w:line="260" w:lineRule="exact"/>
              <w:ind w:left="638" w:leftChars="88" w:right="0" w:rightChars="0" w:hanging="453" w:hangingChars="349"/>
              <w:jc w:val="center"/>
              <w:textAlignment w:val="center"/>
              <w:rPr>
                <w:rFonts w:ascii="仿宋_GB2312" w:hAnsi="宋体" w:eastAsia="仿宋_GB2312" w:cs="宋体"/>
                <w:color w:val="auto"/>
                <w:sz w:val="13"/>
                <w:szCs w:val="13"/>
                <w:highlight w:val="none"/>
              </w:rPr>
            </w:pPr>
          </w:p>
        </w:tc>
        <w:tc>
          <w:tcPr>
            <w:tcW w:w="1550" w:type="dxa"/>
            <w:vMerge w:val="continue"/>
            <w:tcBorders>
              <w:tl2br w:val="nil"/>
              <w:tr2bl w:val="nil"/>
            </w:tcBorders>
            <w:vAlign w:val="center"/>
          </w:tcPr>
          <w:p w14:paraId="7830949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sz w:val="13"/>
                <w:szCs w:val="13"/>
                <w:highlight w:val="none"/>
              </w:rPr>
            </w:pPr>
          </w:p>
        </w:tc>
        <w:tc>
          <w:tcPr>
            <w:tcW w:w="4820" w:type="dxa"/>
            <w:vMerge w:val="continue"/>
            <w:tcBorders>
              <w:tl2br w:val="nil"/>
              <w:tr2bl w:val="nil"/>
            </w:tcBorders>
            <w:vAlign w:val="center"/>
          </w:tcPr>
          <w:p w14:paraId="538A40E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sz w:val="13"/>
                <w:szCs w:val="13"/>
                <w:highlight w:val="none"/>
              </w:rPr>
            </w:pPr>
          </w:p>
        </w:tc>
        <w:tc>
          <w:tcPr>
            <w:tcW w:w="823" w:type="dxa"/>
            <w:vMerge w:val="continue"/>
            <w:tcBorders>
              <w:tl2br w:val="nil"/>
              <w:tr2bl w:val="nil"/>
            </w:tcBorders>
            <w:tcMar>
              <w:top w:w="15" w:type="dxa"/>
              <w:left w:w="15" w:type="dxa"/>
              <w:bottom w:w="15" w:type="dxa"/>
              <w:right w:w="15" w:type="dxa"/>
            </w:tcMar>
            <w:vAlign w:val="center"/>
          </w:tcPr>
          <w:p w14:paraId="40EC601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sz w:val="13"/>
                <w:szCs w:val="13"/>
                <w:highlight w:val="none"/>
              </w:rPr>
            </w:pPr>
          </w:p>
        </w:tc>
        <w:tc>
          <w:tcPr>
            <w:tcW w:w="3437" w:type="dxa"/>
            <w:gridSpan w:val="2"/>
            <w:tcBorders>
              <w:tl2br w:val="nil"/>
              <w:tr2bl w:val="nil"/>
            </w:tcBorders>
            <w:tcMar>
              <w:top w:w="15" w:type="dxa"/>
              <w:left w:w="15" w:type="dxa"/>
              <w:bottom w:w="15" w:type="dxa"/>
              <w:right w:w="15" w:type="dxa"/>
            </w:tcMar>
            <w:vAlign w:val="center"/>
          </w:tcPr>
          <w:p w14:paraId="69FB28C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擅自倾倒、抛撒、堆放建筑垃圾80立方米以上90立方米以下的。</w:t>
            </w:r>
          </w:p>
        </w:tc>
        <w:tc>
          <w:tcPr>
            <w:tcW w:w="3058" w:type="dxa"/>
            <w:tcBorders>
              <w:tl2br w:val="nil"/>
              <w:tr2bl w:val="nil"/>
            </w:tcBorders>
            <w:tcMar>
              <w:top w:w="15" w:type="dxa"/>
              <w:left w:w="15" w:type="dxa"/>
              <w:bottom w:w="15" w:type="dxa"/>
              <w:right w:w="15" w:type="dxa"/>
            </w:tcMar>
            <w:vAlign w:val="center"/>
          </w:tcPr>
          <w:p w14:paraId="09EF5CC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kern w:val="0"/>
                <w:sz w:val="13"/>
                <w:szCs w:val="13"/>
                <w:highlight w:val="none"/>
              </w:rPr>
            </w:pPr>
            <w:r>
              <w:rPr>
                <w:rFonts w:hint="eastAsia" w:ascii="仿宋_GB2312" w:hAnsi="宋体" w:eastAsia="仿宋_GB2312" w:cs="宋体"/>
                <w:color w:val="auto"/>
                <w:kern w:val="0"/>
                <w:sz w:val="13"/>
                <w:szCs w:val="13"/>
                <w:highlight w:val="none"/>
              </w:rPr>
              <w:t>责令改正，对单位处以80万元以上90万元以下罚款，没收违法所得。</w:t>
            </w:r>
          </w:p>
        </w:tc>
      </w:tr>
      <w:tr w14:paraId="3B6E086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265" w:hRule="atLeast"/>
          <w:jc w:val="center"/>
        </w:trPr>
        <w:tc>
          <w:tcPr>
            <w:tcW w:w="428" w:type="dxa"/>
            <w:vMerge w:val="continue"/>
            <w:tcBorders>
              <w:tl2br w:val="nil"/>
              <w:tr2bl w:val="nil"/>
            </w:tcBorders>
            <w:vAlign w:val="center"/>
          </w:tcPr>
          <w:p w14:paraId="5C4D3ADB">
            <w:pPr>
              <w:pStyle w:val="37"/>
              <w:keepNext w:val="0"/>
              <w:keepLines w:val="0"/>
              <w:pageBreakBefore w:val="0"/>
              <w:widowControl/>
              <w:numPr>
                <w:ilvl w:val="0"/>
                <w:numId w:val="14"/>
              </w:numPr>
              <w:kinsoku/>
              <w:overflowPunct/>
              <w:topLinePunct w:val="0"/>
              <w:autoSpaceDE/>
              <w:autoSpaceDN/>
              <w:bidi w:val="0"/>
              <w:adjustRightInd/>
              <w:snapToGrid/>
              <w:spacing w:beforeAutospacing="0" w:afterAutospacing="0" w:line="260" w:lineRule="exact"/>
              <w:ind w:left="638" w:leftChars="88" w:right="0" w:rightChars="0" w:hanging="453" w:hangingChars="349"/>
              <w:jc w:val="center"/>
              <w:textAlignment w:val="center"/>
              <w:rPr>
                <w:rFonts w:ascii="仿宋_GB2312" w:hAnsi="宋体" w:eastAsia="仿宋_GB2312" w:cs="宋体"/>
                <w:color w:val="auto"/>
                <w:sz w:val="13"/>
                <w:szCs w:val="13"/>
                <w:highlight w:val="none"/>
              </w:rPr>
            </w:pPr>
          </w:p>
        </w:tc>
        <w:tc>
          <w:tcPr>
            <w:tcW w:w="1550" w:type="dxa"/>
            <w:vMerge w:val="continue"/>
            <w:tcBorders>
              <w:tl2br w:val="nil"/>
              <w:tr2bl w:val="nil"/>
            </w:tcBorders>
            <w:vAlign w:val="center"/>
          </w:tcPr>
          <w:p w14:paraId="5A47691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sz w:val="13"/>
                <w:szCs w:val="13"/>
                <w:highlight w:val="none"/>
              </w:rPr>
            </w:pPr>
          </w:p>
        </w:tc>
        <w:tc>
          <w:tcPr>
            <w:tcW w:w="4820" w:type="dxa"/>
            <w:vMerge w:val="continue"/>
            <w:tcBorders>
              <w:tl2br w:val="nil"/>
              <w:tr2bl w:val="nil"/>
            </w:tcBorders>
            <w:vAlign w:val="center"/>
          </w:tcPr>
          <w:p w14:paraId="7201C85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sz w:val="13"/>
                <w:szCs w:val="13"/>
                <w:highlight w:val="none"/>
              </w:rPr>
            </w:pPr>
          </w:p>
        </w:tc>
        <w:tc>
          <w:tcPr>
            <w:tcW w:w="823" w:type="dxa"/>
            <w:vMerge w:val="continue"/>
            <w:tcBorders>
              <w:tl2br w:val="nil"/>
              <w:tr2bl w:val="nil"/>
            </w:tcBorders>
            <w:tcMar>
              <w:top w:w="15" w:type="dxa"/>
              <w:left w:w="15" w:type="dxa"/>
              <w:bottom w:w="15" w:type="dxa"/>
              <w:right w:w="15" w:type="dxa"/>
            </w:tcMar>
            <w:vAlign w:val="center"/>
          </w:tcPr>
          <w:p w14:paraId="38BC9C5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sz w:val="13"/>
                <w:szCs w:val="13"/>
                <w:highlight w:val="none"/>
              </w:rPr>
            </w:pPr>
          </w:p>
        </w:tc>
        <w:tc>
          <w:tcPr>
            <w:tcW w:w="3437" w:type="dxa"/>
            <w:gridSpan w:val="2"/>
            <w:tcBorders>
              <w:tl2br w:val="nil"/>
              <w:tr2bl w:val="nil"/>
            </w:tcBorders>
            <w:tcMar>
              <w:top w:w="15" w:type="dxa"/>
              <w:left w:w="15" w:type="dxa"/>
              <w:bottom w:w="15" w:type="dxa"/>
              <w:right w:w="15" w:type="dxa"/>
            </w:tcMar>
            <w:vAlign w:val="center"/>
          </w:tcPr>
          <w:p w14:paraId="3A1FF49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擅自倾倒、抛撒、堆放建筑垃圾90立方米以上的。</w:t>
            </w:r>
          </w:p>
        </w:tc>
        <w:tc>
          <w:tcPr>
            <w:tcW w:w="3058" w:type="dxa"/>
            <w:tcBorders>
              <w:tl2br w:val="nil"/>
              <w:tr2bl w:val="nil"/>
            </w:tcBorders>
            <w:tcMar>
              <w:top w:w="15" w:type="dxa"/>
              <w:left w:w="15" w:type="dxa"/>
              <w:bottom w:w="15" w:type="dxa"/>
              <w:right w:w="15" w:type="dxa"/>
            </w:tcMar>
            <w:vAlign w:val="center"/>
          </w:tcPr>
          <w:p w14:paraId="3CA222E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kern w:val="0"/>
                <w:sz w:val="13"/>
                <w:szCs w:val="13"/>
                <w:highlight w:val="none"/>
              </w:rPr>
            </w:pPr>
            <w:r>
              <w:rPr>
                <w:rFonts w:hint="eastAsia" w:ascii="仿宋_GB2312" w:hAnsi="宋体" w:eastAsia="仿宋_GB2312" w:cs="宋体"/>
                <w:color w:val="auto"/>
                <w:kern w:val="0"/>
                <w:sz w:val="13"/>
                <w:szCs w:val="13"/>
                <w:highlight w:val="none"/>
              </w:rPr>
              <w:t>责令改正，对单位处以90万元以上100万元以下罚款，没收违法所得。</w:t>
            </w:r>
          </w:p>
        </w:tc>
      </w:tr>
      <w:tr w14:paraId="29B18C3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887" w:hRule="atLeast"/>
          <w:jc w:val="center"/>
        </w:trPr>
        <w:tc>
          <w:tcPr>
            <w:tcW w:w="428" w:type="dxa"/>
            <w:vMerge w:val="restart"/>
            <w:tcBorders>
              <w:tl2br w:val="nil"/>
              <w:tr2bl w:val="nil"/>
            </w:tcBorders>
            <w:vAlign w:val="center"/>
          </w:tcPr>
          <w:p w14:paraId="74FB1742">
            <w:pPr>
              <w:keepNext w:val="0"/>
              <w:keepLines w:val="0"/>
              <w:pageBreakBefore w:val="0"/>
              <w:widowControl/>
              <w:numPr>
                <w:ilvl w:val="0"/>
                <w:numId w:val="11"/>
              </w:numPr>
              <w:suppressLineNumbers w:val="0"/>
              <w:tabs>
                <w:tab w:val="clear" w:pos="397"/>
              </w:tabs>
              <w:kinsoku/>
              <w:overflowPunct/>
              <w:topLinePunct w:val="0"/>
              <w:autoSpaceDE/>
              <w:autoSpaceDN/>
              <w:bidi w:val="0"/>
              <w:adjustRightInd/>
              <w:snapToGrid/>
              <w:spacing w:beforeAutospacing="0" w:afterAutospacing="0" w:line="260" w:lineRule="exact"/>
              <w:ind w:left="638" w:leftChars="88" w:right="0" w:rightChars="0" w:hanging="453" w:hangingChars="349"/>
              <w:jc w:val="center"/>
              <w:textAlignment w:val="center"/>
              <w:rPr>
                <w:rFonts w:hint="default" w:ascii="仿宋_GB2312" w:hAnsi="宋体" w:eastAsia="仿宋_GB2312" w:cs="宋体"/>
                <w:color w:val="auto"/>
                <w:kern w:val="0"/>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371</w:t>
            </w:r>
          </w:p>
        </w:tc>
        <w:tc>
          <w:tcPr>
            <w:tcW w:w="1550" w:type="dxa"/>
            <w:vMerge w:val="restart"/>
            <w:tcBorders>
              <w:tl2br w:val="nil"/>
              <w:tr2bl w:val="nil"/>
            </w:tcBorders>
            <w:vAlign w:val="center"/>
          </w:tcPr>
          <w:p w14:paraId="6F512F4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rPr>
                <w:rFonts w:ascii="仿宋_GB2312" w:hAnsi="宋体" w:eastAsia="仿宋_GB2312" w:cs="宋体"/>
                <w:color w:val="auto"/>
                <w:sz w:val="13"/>
                <w:szCs w:val="13"/>
                <w:highlight w:val="none"/>
              </w:rPr>
            </w:pPr>
            <w:r>
              <w:rPr>
                <w:rFonts w:hint="eastAsia" w:ascii="仿宋_GB2312" w:hAnsi="宋体" w:eastAsia="仿宋_GB2312" w:cs="宋体"/>
                <w:color w:val="auto"/>
                <w:sz w:val="13"/>
                <w:szCs w:val="13"/>
                <w:highlight w:val="none"/>
              </w:rPr>
              <w:t>工程施工单位未按照规定对施工过程中产生的固体废物进行利用或者处置的</w:t>
            </w:r>
          </w:p>
        </w:tc>
        <w:tc>
          <w:tcPr>
            <w:tcW w:w="4820" w:type="dxa"/>
            <w:vMerge w:val="restart"/>
            <w:tcBorders>
              <w:tl2br w:val="nil"/>
              <w:tr2bl w:val="nil"/>
            </w:tcBorders>
            <w:vAlign w:val="center"/>
          </w:tcPr>
          <w:p w14:paraId="75DC2B1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sz w:val="13"/>
                <w:szCs w:val="13"/>
                <w:highlight w:val="none"/>
              </w:rPr>
            </w:pPr>
            <w:r>
              <w:rPr>
                <w:rFonts w:hint="eastAsia" w:ascii="仿宋_GB2312" w:hAnsi="宋体" w:eastAsia="仿宋_GB2312" w:cs="宋体"/>
                <w:color w:val="auto"/>
                <w:sz w:val="13"/>
                <w:szCs w:val="13"/>
                <w:highlight w:val="none"/>
              </w:rPr>
              <w:t>《中华人民共和国固体废物污染环境防治法》</w:t>
            </w:r>
            <w:r>
              <w:rPr>
                <w:rFonts w:hint="eastAsia" w:ascii="仿宋_GB2312" w:hAnsi="宋体" w:eastAsia="仿宋_GB2312" w:cs="宋体"/>
                <w:b/>
                <w:bCs/>
                <w:color w:val="auto"/>
                <w:sz w:val="13"/>
                <w:szCs w:val="13"/>
                <w:highlight w:val="none"/>
              </w:rPr>
              <w:t>第一百一十一条第一款</w:t>
            </w:r>
            <w:r>
              <w:rPr>
                <w:rFonts w:hint="eastAsia" w:ascii="仿宋_GB2312" w:hAnsi="宋体" w:eastAsia="仿宋_GB2312" w:cs="宋体"/>
                <w:b/>
                <w:bCs/>
                <w:color w:val="auto"/>
                <w:sz w:val="13"/>
                <w:szCs w:val="13"/>
                <w:highlight w:val="none"/>
                <w:lang w:eastAsia="zh-CN"/>
              </w:rPr>
              <w:t>（四）</w:t>
            </w:r>
            <w:r>
              <w:rPr>
                <w:rFonts w:hint="eastAsia" w:ascii="仿宋_GB2312" w:hAnsi="宋体" w:eastAsia="仿宋_GB2312" w:cs="宋体"/>
                <w:b/>
                <w:bCs/>
                <w:color w:val="auto"/>
                <w:sz w:val="13"/>
                <w:szCs w:val="13"/>
                <w:highlight w:val="none"/>
              </w:rPr>
              <w:t>项、第一百一十一条第二款</w:t>
            </w:r>
            <w:r>
              <w:rPr>
                <w:rFonts w:hint="eastAsia" w:ascii="仿宋_GB2312" w:hAnsi="宋体" w:eastAsia="仿宋_GB2312" w:cs="宋体"/>
                <w:b/>
                <w:bCs/>
                <w:color w:val="auto"/>
                <w:sz w:val="13"/>
                <w:szCs w:val="13"/>
                <w:highlight w:val="none"/>
                <w:lang w:eastAsia="zh-CN"/>
              </w:rPr>
              <w:t>：</w:t>
            </w:r>
            <w:r>
              <w:rPr>
                <w:rFonts w:hint="eastAsia" w:ascii="仿宋_GB2312" w:hAnsi="宋体" w:eastAsia="仿宋_GB2312" w:cs="宋体"/>
                <w:color w:val="auto"/>
                <w:sz w:val="13"/>
                <w:szCs w:val="13"/>
                <w:highlight w:val="none"/>
              </w:rPr>
              <w:t>违反本法规定，有下列行为之一，由县级以上地方人民政府环境卫生主管部门责令改正，处以罚款，没收违法所得：（一）随意倾倒、抛撒、堆放或者焚烧生活垃圾的；（二）擅自关闭、闲置或者拆除生活垃圾处理设施、场所的；（三）工程施工单位未编制建筑垃圾处理方案报备案，或者未及时清运施工过程中产生的固体废物的；（四）工程施工单位擅自倾倒、抛撒或者堆放工程施工过程中产生的建筑垃圾，或者未按照规定对施工过程中产生的固体废物进行利用或者处置的；（五）产生、收集厨余垃圾的单位和其他生产经营者未将厨余垃圾交由具备相应资质条件的单位进行无害化处理的；（六）畜禽养殖场、养殖小区利用未经无害化处理的厨余垃圾饲喂畜禽的；（七）在运输过程中沿途丢弃、遗撒生活垃圾的。</w:t>
            </w:r>
          </w:p>
          <w:p w14:paraId="38E8273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0" w:firstLineChars="200"/>
              <w:rPr>
                <w:rFonts w:ascii="仿宋_GB2312" w:hAnsi="宋体" w:eastAsia="仿宋_GB2312" w:cs="宋体"/>
                <w:color w:val="auto"/>
                <w:kern w:val="0"/>
                <w:sz w:val="13"/>
                <w:szCs w:val="13"/>
                <w:highlight w:val="none"/>
              </w:rPr>
            </w:pPr>
            <w:r>
              <w:rPr>
                <w:rFonts w:hint="eastAsia" w:ascii="仿宋_GB2312" w:hAnsi="宋体" w:eastAsia="仿宋_GB2312" w:cs="宋体"/>
                <w:color w:val="auto"/>
                <w:sz w:val="13"/>
                <w:szCs w:val="13"/>
                <w:highlight w:val="none"/>
              </w:rPr>
              <w:t>单位有前款第一项、第七项行为之一，处五万元以上五十万元以下的罚款；单位有前款第二项、第三项、第四项、第五项、第六项行为之一，处十万元以上一百万元以下的罚款；个人有前款第一项、第五项、第七项行为之一，处一百元以上五百元以下的罚款。</w:t>
            </w:r>
          </w:p>
        </w:tc>
        <w:tc>
          <w:tcPr>
            <w:tcW w:w="823" w:type="dxa"/>
            <w:tcBorders>
              <w:tl2br w:val="nil"/>
              <w:tr2bl w:val="nil"/>
            </w:tcBorders>
            <w:tcMar>
              <w:top w:w="15" w:type="dxa"/>
              <w:left w:w="15" w:type="dxa"/>
              <w:bottom w:w="15" w:type="dxa"/>
              <w:right w:w="15" w:type="dxa"/>
            </w:tcMar>
            <w:vAlign w:val="center"/>
          </w:tcPr>
          <w:p w14:paraId="10E9C3C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从轻情节</w:t>
            </w:r>
          </w:p>
        </w:tc>
        <w:tc>
          <w:tcPr>
            <w:tcW w:w="3437" w:type="dxa"/>
            <w:gridSpan w:val="2"/>
            <w:tcBorders>
              <w:tl2br w:val="nil"/>
              <w:tr2bl w:val="nil"/>
            </w:tcBorders>
            <w:tcMar>
              <w:top w:w="15" w:type="dxa"/>
              <w:left w:w="15" w:type="dxa"/>
              <w:bottom w:w="15" w:type="dxa"/>
              <w:right w:w="15" w:type="dxa"/>
            </w:tcMar>
            <w:vAlign w:val="center"/>
          </w:tcPr>
          <w:p w14:paraId="67E80D7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初次违法，危害后果轻微，主动采取措施消除或减轻违法行为危害后果。</w:t>
            </w:r>
          </w:p>
        </w:tc>
        <w:tc>
          <w:tcPr>
            <w:tcW w:w="3058" w:type="dxa"/>
            <w:tcBorders>
              <w:tl2br w:val="nil"/>
              <w:tr2bl w:val="nil"/>
            </w:tcBorders>
            <w:tcMar>
              <w:top w:w="15" w:type="dxa"/>
              <w:left w:w="15" w:type="dxa"/>
              <w:bottom w:w="15" w:type="dxa"/>
              <w:right w:w="15" w:type="dxa"/>
            </w:tcMar>
            <w:vAlign w:val="center"/>
          </w:tcPr>
          <w:p w14:paraId="5D469C8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责令改正，</w:t>
            </w:r>
            <w:r>
              <w:rPr>
                <w:rFonts w:hint="eastAsia" w:ascii="仿宋_GB2312" w:hAnsi="宋体" w:eastAsia="仿宋_GB2312" w:cs="宋体"/>
                <w:color w:val="auto"/>
                <w:sz w:val="13"/>
                <w:szCs w:val="13"/>
                <w:highlight w:val="none"/>
              </w:rPr>
              <w:t>对单位处10万元以上40万元以下的罚款</w:t>
            </w:r>
            <w:r>
              <w:rPr>
                <w:rFonts w:hint="eastAsia" w:ascii="仿宋_GB2312" w:hAnsi="宋体" w:eastAsia="仿宋_GB2312" w:cs="宋体"/>
                <w:color w:val="auto"/>
                <w:kern w:val="0"/>
                <w:sz w:val="13"/>
                <w:szCs w:val="13"/>
                <w:highlight w:val="none"/>
              </w:rPr>
              <w:t>，没收违法所得。</w:t>
            </w:r>
          </w:p>
        </w:tc>
      </w:tr>
      <w:tr w14:paraId="0C864D6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790" w:hRule="atLeast"/>
          <w:jc w:val="center"/>
        </w:trPr>
        <w:tc>
          <w:tcPr>
            <w:tcW w:w="428" w:type="dxa"/>
            <w:vMerge w:val="continue"/>
            <w:tcBorders>
              <w:tl2br w:val="nil"/>
              <w:tr2bl w:val="nil"/>
            </w:tcBorders>
            <w:vAlign w:val="center"/>
          </w:tcPr>
          <w:p w14:paraId="29B88404">
            <w:pPr>
              <w:pStyle w:val="37"/>
              <w:keepNext w:val="0"/>
              <w:keepLines w:val="0"/>
              <w:pageBreakBefore w:val="0"/>
              <w:widowControl/>
              <w:numPr>
                <w:ilvl w:val="0"/>
                <w:numId w:val="14"/>
              </w:numPr>
              <w:kinsoku/>
              <w:overflowPunct/>
              <w:topLinePunct w:val="0"/>
              <w:autoSpaceDE/>
              <w:autoSpaceDN/>
              <w:bidi w:val="0"/>
              <w:adjustRightInd/>
              <w:snapToGrid/>
              <w:spacing w:beforeAutospacing="0" w:afterAutospacing="0" w:line="260" w:lineRule="exact"/>
              <w:ind w:left="638" w:leftChars="88" w:right="0" w:rightChars="0" w:hanging="453" w:hangingChars="349"/>
              <w:jc w:val="center"/>
              <w:textAlignment w:val="center"/>
              <w:rPr>
                <w:rFonts w:ascii="仿宋_GB2312" w:hAnsi="宋体" w:eastAsia="仿宋_GB2312" w:cs="宋体"/>
                <w:color w:val="auto"/>
                <w:sz w:val="13"/>
                <w:szCs w:val="13"/>
                <w:highlight w:val="none"/>
              </w:rPr>
            </w:pPr>
          </w:p>
        </w:tc>
        <w:tc>
          <w:tcPr>
            <w:tcW w:w="1550" w:type="dxa"/>
            <w:vMerge w:val="continue"/>
            <w:tcBorders>
              <w:tl2br w:val="nil"/>
              <w:tr2bl w:val="nil"/>
            </w:tcBorders>
            <w:vAlign w:val="center"/>
          </w:tcPr>
          <w:p w14:paraId="5D4894B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sz w:val="13"/>
                <w:szCs w:val="13"/>
                <w:highlight w:val="none"/>
              </w:rPr>
            </w:pPr>
          </w:p>
        </w:tc>
        <w:tc>
          <w:tcPr>
            <w:tcW w:w="4820" w:type="dxa"/>
            <w:vMerge w:val="continue"/>
            <w:tcBorders>
              <w:tl2br w:val="nil"/>
              <w:tr2bl w:val="nil"/>
            </w:tcBorders>
            <w:vAlign w:val="center"/>
          </w:tcPr>
          <w:p w14:paraId="5DB216A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36AA1F7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一般情节</w:t>
            </w:r>
          </w:p>
        </w:tc>
        <w:tc>
          <w:tcPr>
            <w:tcW w:w="3437" w:type="dxa"/>
            <w:gridSpan w:val="2"/>
            <w:tcBorders>
              <w:tl2br w:val="nil"/>
              <w:tr2bl w:val="nil"/>
            </w:tcBorders>
            <w:tcMar>
              <w:top w:w="15" w:type="dxa"/>
              <w:left w:w="15" w:type="dxa"/>
              <w:bottom w:w="15" w:type="dxa"/>
              <w:right w:w="15" w:type="dxa"/>
            </w:tcMar>
            <w:vAlign w:val="center"/>
          </w:tcPr>
          <w:p w14:paraId="4C8C708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不具有从轻、</w:t>
            </w:r>
            <w:r>
              <w:rPr>
                <w:rFonts w:hint="eastAsia" w:ascii="仿宋_GB2312" w:hAnsi="宋体" w:eastAsia="仿宋_GB2312" w:cs="宋体"/>
                <w:color w:val="auto"/>
                <w:kern w:val="0"/>
                <w:sz w:val="13"/>
                <w:szCs w:val="13"/>
                <w:highlight w:val="none"/>
                <w:lang w:eastAsia="zh-CN"/>
              </w:rPr>
              <w:t>从重情节</w:t>
            </w:r>
            <w:r>
              <w:rPr>
                <w:rFonts w:hint="eastAsia" w:ascii="仿宋_GB2312" w:hAnsi="宋体" w:eastAsia="仿宋_GB2312" w:cs="宋体"/>
                <w:color w:val="auto"/>
                <w:kern w:val="0"/>
                <w:sz w:val="13"/>
                <w:szCs w:val="13"/>
                <w:highlight w:val="none"/>
              </w:rPr>
              <w:t>的。</w:t>
            </w:r>
          </w:p>
        </w:tc>
        <w:tc>
          <w:tcPr>
            <w:tcW w:w="3058" w:type="dxa"/>
            <w:tcBorders>
              <w:tl2br w:val="nil"/>
              <w:tr2bl w:val="nil"/>
            </w:tcBorders>
            <w:tcMar>
              <w:top w:w="15" w:type="dxa"/>
              <w:left w:w="15" w:type="dxa"/>
              <w:bottom w:w="15" w:type="dxa"/>
              <w:right w:w="15" w:type="dxa"/>
            </w:tcMar>
            <w:vAlign w:val="center"/>
          </w:tcPr>
          <w:p w14:paraId="5523B80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责令改正，</w:t>
            </w:r>
            <w:r>
              <w:rPr>
                <w:rFonts w:hint="eastAsia" w:ascii="仿宋_GB2312" w:hAnsi="宋体" w:eastAsia="仿宋_GB2312" w:cs="宋体"/>
                <w:color w:val="auto"/>
                <w:sz w:val="13"/>
                <w:szCs w:val="13"/>
                <w:highlight w:val="none"/>
              </w:rPr>
              <w:t>对单位处40万元以上70万元以下的罚款</w:t>
            </w:r>
            <w:r>
              <w:rPr>
                <w:rFonts w:hint="eastAsia" w:ascii="仿宋_GB2312" w:hAnsi="宋体" w:eastAsia="仿宋_GB2312" w:cs="宋体"/>
                <w:color w:val="auto"/>
                <w:kern w:val="0"/>
                <w:sz w:val="13"/>
                <w:szCs w:val="13"/>
                <w:highlight w:val="none"/>
              </w:rPr>
              <w:t>，没收违法所得。</w:t>
            </w:r>
          </w:p>
        </w:tc>
      </w:tr>
      <w:tr w14:paraId="0D62790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403" w:hRule="atLeast"/>
          <w:jc w:val="center"/>
        </w:trPr>
        <w:tc>
          <w:tcPr>
            <w:tcW w:w="428" w:type="dxa"/>
            <w:vMerge w:val="continue"/>
            <w:tcBorders>
              <w:tl2br w:val="nil"/>
              <w:tr2bl w:val="nil"/>
            </w:tcBorders>
            <w:vAlign w:val="center"/>
          </w:tcPr>
          <w:p w14:paraId="72944FB2">
            <w:pPr>
              <w:pStyle w:val="37"/>
              <w:keepNext w:val="0"/>
              <w:keepLines w:val="0"/>
              <w:pageBreakBefore w:val="0"/>
              <w:widowControl/>
              <w:numPr>
                <w:ilvl w:val="0"/>
                <w:numId w:val="14"/>
              </w:numPr>
              <w:kinsoku/>
              <w:overflowPunct/>
              <w:topLinePunct w:val="0"/>
              <w:autoSpaceDE/>
              <w:autoSpaceDN/>
              <w:bidi w:val="0"/>
              <w:adjustRightInd/>
              <w:snapToGrid/>
              <w:spacing w:beforeAutospacing="0" w:afterAutospacing="0" w:line="260" w:lineRule="exact"/>
              <w:ind w:left="638" w:leftChars="88" w:right="0" w:rightChars="0" w:hanging="453" w:hangingChars="349"/>
              <w:jc w:val="center"/>
              <w:textAlignment w:val="center"/>
              <w:rPr>
                <w:rFonts w:ascii="仿宋_GB2312" w:hAnsi="宋体" w:eastAsia="仿宋_GB2312" w:cs="宋体"/>
                <w:color w:val="auto"/>
                <w:kern w:val="0"/>
                <w:sz w:val="13"/>
                <w:szCs w:val="13"/>
                <w:highlight w:val="none"/>
              </w:rPr>
            </w:pPr>
          </w:p>
        </w:tc>
        <w:tc>
          <w:tcPr>
            <w:tcW w:w="1550" w:type="dxa"/>
            <w:vMerge w:val="continue"/>
            <w:tcBorders>
              <w:tl2br w:val="nil"/>
              <w:tr2bl w:val="nil"/>
            </w:tcBorders>
            <w:vAlign w:val="center"/>
          </w:tcPr>
          <w:p w14:paraId="77E90DD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kern w:val="0"/>
                <w:sz w:val="13"/>
                <w:szCs w:val="13"/>
                <w:highlight w:val="none"/>
              </w:rPr>
            </w:pPr>
          </w:p>
        </w:tc>
        <w:tc>
          <w:tcPr>
            <w:tcW w:w="4820" w:type="dxa"/>
            <w:vMerge w:val="continue"/>
            <w:tcBorders>
              <w:tl2br w:val="nil"/>
              <w:tr2bl w:val="nil"/>
            </w:tcBorders>
            <w:vAlign w:val="center"/>
          </w:tcPr>
          <w:p w14:paraId="726FEC1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kern w:val="0"/>
                <w:sz w:val="13"/>
                <w:szCs w:val="13"/>
                <w:highlight w:val="none"/>
              </w:rPr>
            </w:pPr>
          </w:p>
        </w:tc>
        <w:tc>
          <w:tcPr>
            <w:tcW w:w="823" w:type="dxa"/>
            <w:tcBorders>
              <w:tl2br w:val="nil"/>
              <w:tr2bl w:val="nil"/>
            </w:tcBorders>
            <w:tcMar>
              <w:top w:w="15" w:type="dxa"/>
              <w:left w:w="15" w:type="dxa"/>
              <w:bottom w:w="15" w:type="dxa"/>
              <w:right w:w="15" w:type="dxa"/>
            </w:tcMar>
            <w:vAlign w:val="center"/>
          </w:tcPr>
          <w:p w14:paraId="5974E8B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从重情节</w:t>
            </w:r>
          </w:p>
        </w:tc>
        <w:tc>
          <w:tcPr>
            <w:tcW w:w="3437" w:type="dxa"/>
            <w:gridSpan w:val="2"/>
            <w:tcBorders>
              <w:tl2br w:val="nil"/>
              <w:tr2bl w:val="nil"/>
            </w:tcBorders>
            <w:tcMar>
              <w:top w:w="15" w:type="dxa"/>
              <w:left w:w="15" w:type="dxa"/>
              <w:bottom w:w="15" w:type="dxa"/>
              <w:right w:w="15" w:type="dxa"/>
            </w:tcMar>
            <w:vAlign w:val="center"/>
          </w:tcPr>
          <w:p w14:paraId="77636F6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rPr>
                <w:rFonts w:ascii="仿宋_GB2312" w:hAnsi="宋体" w:eastAsia="仿宋_GB2312" w:cs="宋体"/>
                <w:color w:val="auto"/>
                <w:sz w:val="13"/>
                <w:szCs w:val="13"/>
                <w:highlight w:val="none"/>
              </w:rPr>
            </w:pPr>
            <w:r>
              <w:rPr>
                <w:rFonts w:hint="eastAsia" w:ascii="仿宋_GB2312" w:hAnsi="宋体" w:eastAsia="仿宋_GB2312" w:cs="Times New Roman"/>
                <w:color w:val="auto"/>
                <w:kern w:val="0"/>
                <w:sz w:val="13"/>
                <w:szCs w:val="13"/>
                <w:highlight w:val="none"/>
                <w:lang w:val="en-US" w:eastAsia="zh-CN"/>
              </w:rPr>
              <w:t>有下列情形之一的：</w:t>
            </w:r>
            <w:r>
              <w:rPr>
                <w:rFonts w:hint="eastAsia" w:ascii="仿宋_GB2312" w:hAnsi="宋体" w:eastAsia="仿宋_GB2312" w:cs="宋体"/>
                <w:color w:val="auto"/>
                <w:kern w:val="0"/>
                <w:sz w:val="13"/>
                <w:szCs w:val="13"/>
                <w:highlight w:val="none"/>
              </w:rPr>
              <w:t>（1）经责令改正后，仍未按照规定对施工过程中产生的固体废物进行利用或者处置的；（2）曾因实施该违法行为被查处，再次实施该违法行为的；（3）造成重大社会影响或危害后果的。</w:t>
            </w:r>
          </w:p>
        </w:tc>
        <w:tc>
          <w:tcPr>
            <w:tcW w:w="3058" w:type="dxa"/>
            <w:tcBorders>
              <w:tl2br w:val="nil"/>
              <w:tr2bl w:val="nil"/>
            </w:tcBorders>
            <w:tcMar>
              <w:top w:w="15" w:type="dxa"/>
              <w:left w:w="15" w:type="dxa"/>
              <w:bottom w:w="15" w:type="dxa"/>
              <w:right w:w="15" w:type="dxa"/>
            </w:tcMar>
            <w:vAlign w:val="center"/>
          </w:tcPr>
          <w:p w14:paraId="1CBF3E5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责令改正，</w:t>
            </w:r>
            <w:r>
              <w:rPr>
                <w:rFonts w:hint="eastAsia" w:ascii="仿宋_GB2312" w:hAnsi="宋体" w:eastAsia="仿宋_GB2312" w:cs="宋体"/>
                <w:color w:val="auto"/>
                <w:sz w:val="13"/>
                <w:szCs w:val="13"/>
                <w:highlight w:val="none"/>
              </w:rPr>
              <w:t>对单位处70万元以上100万元以下的罚款</w:t>
            </w:r>
            <w:r>
              <w:rPr>
                <w:rFonts w:hint="eastAsia" w:ascii="仿宋_GB2312" w:hAnsi="宋体" w:eastAsia="仿宋_GB2312" w:cs="宋体"/>
                <w:color w:val="auto"/>
                <w:kern w:val="0"/>
                <w:sz w:val="13"/>
                <w:szCs w:val="13"/>
                <w:highlight w:val="none"/>
              </w:rPr>
              <w:t>，没收违法所得。</w:t>
            </w:r>
          </w:p>
        </w:tc>
      </w:tr>
      <w:tr w14:paraId="41F0605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308" w:hRule="atLeast"/>
          <w:jc w:val="center"/>
        </w:trPr>
        <w:tc>
          <w:tcPr>
            <w:tcW w:w="428" w:type="dxa"/>
            <w:vMerge w:val="restart"/>
            <w:tcBorders>
              <w:tl2br w:val="nil"/>
              <w:tr2bl w:val="nil"/>
            </w:tcBorders>
            <w:vAlign w:val="center"/>
          </w:tcPr>
          <w:p w14:paraId="54BF5631">
            <w:pPr>
              <w:keepNext w:val="0"/>
              <w:keepLines w:val="0"/>
              <w:pageBreakBefore w:val="0"/>
              <w:widowControl/>
              <w:numPr>
                <w:ilvl w:val="0"/>
                <w:numId w:val="11"/>
              </w:numPr>
              <w:suppressLineNumbers w:val="0"/>
              <w:tabs>
                <w:tab w:val="clear" w:pos="397"/>
              </w:tabs>
              <w:kinsoku/>
              <w:overflowPunct/>
              <w:topLinePunct w:val="0"/>
              <w:autoSpaceDE/>
              <w:autoSpaceDN/>
              <w:bidi w:val="0"/>
              <w:adjustRightInd/>
              <w:snapToGrid/>
              <w:spacing w:beforeAutospacing="0" w:afterAutospacing="0" w:line="260" w:lineRule="exact"/>
              <w:ind w:left="638" w:leftChars="88" w:right="0" w:rightChars="0" w:hanging="453" w:hangingChars="349"/>
              <w:jc w:val="center"/>
              <w:textAlignment w:val="center"/>
              <w:rPr>
                <w:rFonts w:hint="default" w:ascii="仿宋_GB2312" w:hAnsi="宋体" w:eastAsia="仿宋_GB2312" w:cs="宋体"/>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372</w:t>
            </w:r>
          </w:p>
        </w:tc>
        <w:tc>
          <w:tcPr>
            <w:tcW w:w="1550" w:type="dxa"/>
            <w:vMerge w:val="restart"/>
            <w:tcBorders>
              <w:tl2br w:val="nil"/>
              <w:tr2bl w:val="nil"/>
            </w:tcBorders>
            <w:vAlign w:val="center"/>
          </w:tcPr>
          <w:p w14:paraId="17B85AF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rPr>
                <w:rFonts w:ascii="仿宋_GB2312" w:hAnsi="宋体" w:eastAsia="仿宋_GB2312" w:cs="宋体"/>
                <w:color w:val="auto"/>
                <w:sz w:val="13"/>
                <w:szCs w:val="13"/>
                <w:highlight w:val="none"/>
              </w:rPr>
            </w:pPr>
            <w:r>
              <w:rPr>
                <w:rFonts w:hint="eastAsia" w:ascii="仿宋_GB2312" w:hAnsi="宋体" w:eastAsia="仿宋_GB2312" w:cs="宋体"/>
                <w:color w:val="auto"/>
                <w:sz w:val="13"/>
                <w:szCs w:val="13"/>
                <w:highlight w:val="none"/>
              </w:rPr>
              <w:t>产生、收集厨余垃圾的单位和其他生产经营者未将厨余垃圾交由具备相应资质条件的单位进行无害化处理的</w:t>
            </w:r>
          </w:p>
          <w:p w14:paraId="101AFD0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0" w:firstLineChars="200"/>
              <w:rPr>
                <w:rFonts w:ascii="仿宋_GB2312" w:hAnsi="宋体" w:eastAsia="仿宋_GB2312" w:cs="宋体"/>
                <w:color w:val="auto"/>
                <w:sz w:val="13"/>
                <w:szCs w:val="13"/>
                <w:highlight w:val="none"/>
              </w:rPr>
            </w:pPr>
          </w:p>
        </w:tc>
        <w:tc>
          <w:tcPr>
            <w:tcW w:w="4820" w:type="dxa"/>
            <w:vMerge w:val="restart"/>
            <w:tcBorders>
              <w:tl2br w:val="nil"/>
              <w:tr2bl w:val="nil"/>
            </w:tcBorders>
            <w:vAlign w:val="center"/>
          </w:tcPr>
          <w:p w14:paraId="4A5369B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sz w:val="13"/>
                <w:szCs w:val="13"/>
                <w:highlight w:val="none"/>
              </w:rPr>
            </w:pPr>
            <w:r>
              <w:rPr>
                <w:rFonts w:hint="eastAsia" w:ascii="仿宋_GB2312" w:hAnsi="宋体" w:eastAsia="仿宋_GB2312" w:cs="宋体"/>
                <w:color w:val="auto"/>
                <w:sz w:val="13"/>
                <w:szCs w:val="13"/>
                <w:highlight w:val="none"/>
              </w:rPr>
              <w:t>《中华人民共和国固体废物污染环境防治法》</w:t>
            </w:r>
            <w:r>
              <w:rPr>
                <w:rFonts w:hint="eastAsia" w:ascii="仿宋_GB2312" w:hAnsi="宋体" w:eastAsia="仿宋_GB2312" w:cs="宋体"/>
                <w:b/>
                <w:bCs/>
                <w:color w:val="auto"/>
                <w:sz w:val="13"/>
                <w:szCs w:val="13"/>
                <w:highlight w:val="none"/>
              </w:rPr>
              <w:t>第一百一十一条第一款</w:t>
            </w:r>
            <w:r>
              <w:rPr>
                <w:rFonts w:hint="eastAsia" w:ascii="仿宋_GB2312" w:hAnsi="宋体" w:eastAsia="仿宋_GB2312" w:cs="宋体"/>
                <w:b/>
                <w:bCs/>
                <w:color w:val="auto"/>
                <w:sz w:val="13"/>
                <w:szCs w:val="13"/>
                <w:highlight w:val="none"/>
                <w:lang w:eastAsia="zh-CN"/>
              </w:rPr>
              <w:t>（五）</w:t>
            </w:r>
            <w:r>
              <w:rPr>
                <w:rFonts w:hint="eastAsia" w:ascii="仿宋_GB2312" w:hAnsi="宋体" w:eastAsia="仿宋_GB2312" w:cs="宋体"/>
                <w:b/>
                <w:bCs/>
                <w:color w:val="auto"/>
                <w:sz w:val="13"/>
                <w:szCs w:val="13"/>
                <w:highlight w:val="none"/>
              </w:rPr>
              <w:t>项、第一百一十一条第二款</w:t>
            </w:r>
            <w:r>
              <w:rPr>
                <w:rFonts w:hint="eastAsia" w:ascii="仿宋_GB2312" w:hAnsi="宋体" w:eastAsia="仿宋_GB2312" w:cs="宋体"/>
                <w:b/>
                <w:bCs/>
                <w:color w:val="auto"/>
                <w:sz w:val="13"/>
                <w:szCs w:val="13"/>
                <w:highlight w:val="none"/>
                <w:lang w:eastAsia="zh-CN"/>
              </w:rPr>
              <w:t>：</w:t>
            </w:r>
            <w:r>
              <w:rPr>
                <w:rFonts w:hint="eastAsia" w:ascii="仿宋_GB2312" w:hAnsi="宋体" w:eastAsia="仿宋_GB2312" w:cs="宋体"/>
                <w:color w:val="auto"/>
                <w:sz w:val="13"/>
                <w:szCs w:val="13"/>
                <w:highlight w:val="none"/>
              </w:rPr>
              <w:t>违反本法规定，有下列行为之一，由县级以上地方人民政府环境卫生主管部门责令改正，处以罚款，没收违法所得：（一）随意倾倒、抛撒、堆放或者焚烧生活垃圾的；（二）擅自关闭、闲置或者拆除生活垃圾处理设施、场所的；（三）工程施工单位未编制建筑垃圾处理方案报备案，或者未及时清运施工过程中产生的固体废物的；（四）工程施工单位擅自倾倒、抛撒或者堆放工程施工过程中产生的建筑垃圾，或者未按照规定对施工过程中产生的固体废物进行利用或者处置的；（五）产生、收集厨余垃圾的单位和其他生产经营者未将厨余垃圾交由具备相应资质条件的单位进行无害化处理的；（六）畜禽养殖场、养殖小区利用未经无害化处理的厨余垃圾饲喂畜禽的；（七）在运输过程中沿途丢弃、遗撒生活垃圾的。</w:t>
            </w:r>
          </w:p>
          <w:p w14:paraId="43A35F6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0" w:firstLineChars="200"/>
              <w:rPr>
                <w:rFonts w:ascii="仿宋_GB2312" w:hAnsi="宋体" w:eastAsia="仿宋_GB2312" w:cs="宋体"/>
                <w:color w:val="auto"/>
                <w:sz w:val="13"/>
                <w:szCs w:val="13"/>
                <w:highlight w:val="none"/>
              </w:rPr>
            </w:pPr>
            <w:r>
              <w:rPr>
                <w:rFonts w:hint="eastAsia" w:ascii="仿宋_GB2312" w:hAnsi="宋体" w:eastAsia="仿宋_GB2312" w:cs="宋体"/>
                <w:color w:val="auto"/>
                <w:sz w:val="13"/>
                <w:szCs w:val="13"/>
                <w:highlight w:val="none"/>
              </w:rPr>
              <w:t>单位有前款第一项、第七项行为之一，处五万元以上五十万元以下的罚款；单位有前款第二项、第三项、第四项、第五项、第六项行为之一，处十万元以上一百万元以下的罚款；个人有前款第一项、第五项、第七项行为之一，处一百元以上五百元以下的罚款。</w:t>
            </w:r>
          </w:p>
        </w:tc>
        <w:tc>
          <w:tcPr>
            <w:tcW w:w="823" w:type="dxa"/>
            <w:vMerge w:val="restart"/>
            <w:tcBorders>
              <w:tl2br w:val="nil"/>
              <w:tr2bl w:val="nil"/>
            </w:tcBorders>
            <w:tcMar>
              <w:top w:w="15" w:type="dxa"/>
              <w:left w:w="15" w:type="dxa"/>
              <w:bottom w:w="15" w:type="dxa"/>
              <w:right w:w="15" w:type="dxa"/>
            </w:tcMar>
            <w:vAlign w:val="center"/>
          </w:tcPr>
          <w:p w14:paraId="00AD10E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从轻情节</w:t>
            </w:r>
          </w:p>
        </w:tc>
        <w:tc>
          <w:tcPr>
            <w:tcW w:w="3437" w:type="dxa"/>
            <w:gridSpan w:val="2"/>
            <w:tcBorders>
              <w:tl2br w:val="nil"/>
              <w:tr2bl w:val="nil"/>
            </w:tcBorders>
            <w:tcMar>
              <w:top w:w="15" w:type="dxa"/>
              <w:left w:w="15" w:type="dxa"/>
              <w:bottom w:w="15" w:type="dxa"/>
              <w:right w:w="15" w:type="dxa"/>
            </w:tcMar>
            <w:vAlign w:val="center"/>
          </w:tcPr>
          <w:p w14:paraId="3327FDB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rPr>
                <w:rFonts w:ascii="仿宋_GB2312" w:hAnsi="宋体" w:eastAsia="仿宋_GB2312" w:cs="宋体"/>
                <w:color w:val="auto"/>
                <w:kern w:val="0"/>
                <w:sz w:val="13"/>
                <w:szCs w:val="13"/>
                <w:highlight w:val="none"/>
              </w:rPr>
            </w:pPr>
            <w:r>
              <w:rPr>
                <w:rFonts w:hint="eastAsia" w:ascii="仿宋_GB2312" w:hAnsi="宋体" w:eastAsia="仿宋_GB2312" w:cs="宋体"/>
                <w:color w:val="auto"/>
                <w:sz w:val="13"/>
                <w:szCs w:val="13"/>
                <w:highlight w:val="none"/>
              </w:rPr>
              <w:t>未交由具备相应资质条件的单位进行无害化处理的厨余垃圾2</w:t>
            </w:r>
            <w:r>
              <w:rPr>
                <w:rFonts w:hint="eastAsia" w:ascii="仿宋_GB2312" w:hAnsi="宋体" w:eastAsia="仿宋_GB2312" w:cs="宋体"/>
                <w:color w:val="auto"/>
                <w:kern w:val="0"/>
                <w:sz w:val="13"/>
                <w:szCs w:val="13"/>
                <w:highlight w:val="none"/>
              </w:rPr>
              <w:t>吨以下的。</w:t>
            </w:r>
          </w:p>
        </w:tc>
        <w:tc>
          <w:tcPr>
            <w:tcW w:w="3058" w:type="dxa"/>
            <w:tcBorders>
              <w:tl2br w:val="nil"/>
              <w:tr2bl w:val="nil"/>
            </w:tcBorders>
            <w:tcMar>
              <w:top w:w="15" w:type="dxa"/>
              <w:left w:w="15" w:type="dxa"/>
              <w:bottom w:w="15" w:type="dxa"/>
              <w:right w:w="15" w:type="dxa"/>
            </w:tcMar>
            <w:vAlign w:val="center"/>
          </w:tcPr>
          <w:p w14:paraId="30F1720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责令改正，对单位处以10万元以上20万元以下罚款，对个人处100元罚款，没收违法所得。</w:t>
            </w:r>
          </w:p>
        </w:tc>
      </w:tr>
      <w:tr w14:paraId="6B46058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321" w:hRule="atLeast"/>
          <w:jc w:val="center"/>
        </w:trPr>
        <w:tc>
          <w:tcPr>
            <w:tcW w:w="428" w:type="dxa"/>
            <w:vMerge w:val="continue"/>
            <w:tcBorders>
              <w:tl2br w:val="nil"/>
              <w:tr2bl w:val="nil"/>
            </w:tcBorders>
            <w:vAlign w:val="center"/>
          </w:tcPr>
          <w:p w14:paraId="4D8D6D7F">
            <w:pPr>
              <w:pStyle w:val="37"/>
              <w:keepNext w:val="0"/>
              <w:keepLines w:val="0"/>
              <w:pageBreakBefore w:val="0"/>
              <w:widowControl/>
              <w:numPr>
                <w:ilvl w:val="0"/>
                <w:numId w:val="14"/>
              </w:numPr>
              <w:kinsoku/>
              <w:overflowPunct/>
              <w:topLinePunct w:val="0"/>
              <w:autoSpaceDE/>
              <w:autoSpaceDN/>
              <w:bidi w:val="0"/>
              <w:adjustRightInd/>
              <w:snapToGrid/>
              <w:spacing w:beforeAutospacing="0" w:afterAutospacing="0" w:line="260" w:lineRule="exact"/>
              <w:ind w:left="638" w:leftChars="88" w:right="0" w:rightChars="0" w:hanging="453" w:hangingChars="349"/>
              <w:jc w:val="center"/>
              <w:textAlignment w:val="center"/>
              <w:rPr>
                <w:rFonts w:ascii="仿宋_GB2312" w:hAnsi="宋体" w:eastAsia="仿宋_GB2312" w:cs="宋体"/>
                <w:color w:val="auto"/>
                <w:sz w:val="13"/>
                <w:szCs w:val="13"/>
                <w:highlight w:val="none"/>
              </w:rPr>
            </w:pPr>
          </w:p>
        </w:tc>
        <w:tc>
          <w:tcPr>
            <w:tcW w:w="1550" w:type="dxa"/>
            <w:vMerge w:val="continue"/>
            <w:tcBorders>
              <w:tl2br w:val="nil"/>
              <w:tr2bl w:val="nil"/>
            </w:tcBorders>
            <w:vAlign w:val="center"/>
          </w:tcPr>
          <w:p w14:paraId="2573DCB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sz w:val="13"/>
                <w:szCs w:val="13"/>
                <w:highlight w:val="none"/>
              </w:rPr>
            </w:pPr>
          </w:p>
        </w:tc>
        <w:tc>
          <w:tcPr>
            <w:tcW w:w="4820" w:type="dxa"/>
            <w:vMerge w:val="continue"/>
            <w:tcBorders>
              <w:tl2br w:val="nil"/>
              <w:tr2bl w:val="nil"/>
            </w:tcBorders>
            <w:vAlign w:val="center"/>
          </w:tcPr>
          <w:p w14:paraId="1F00688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sz w:val="13"/>
                <w:szCs w:val="13"/>
                <w:highlight w:val="none"/>
              </w:rPr>
            </w:pPr>
          </w:p>
        </w:tc>
        <w:tc>
          <w:tcPr>
            <w:tcW w:w="823" w:type="dxa"/>
            <w:vMerge w:val="continue"/>
            <w:tcBorders>
              <w:tl2br w:val="nil"/>
              <w:tr2bl w:val="nil"/>
            </w:tcBorders>
            <w:tcMar>
              <w:top w:w="15" w:type="dxa"/>
              <w:left w:w="15" w:type="dxa"/>
              <w:bottom w:w="15" w:type="dxa"/>
              <w:right w:w="15" w:type="dxa"/>
            </w:tcMar>
            <w:vAlign w:val="center"/>
          </w:tcPr>
          <w:p w14:paraId="441C316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sz w:val="13"/>
                <w:szCs w:val="13"/>
                <w:highlight w:val="none"/>
              </w:rPr>
            </w:pPr>
          </w:p>
        </w:tc>
        <w:tc>
          <w:tcPr>
            <w:tcW w:w="3437" w:type="dxa"/>
            <w:gridSpan w:val="2"/>
            <w:tcBorders>
              <w:tl2br w:val="nil"/>
              <w:tr2bl w:val="nil"/>
            </w:tcBorders>
            <w:tcMar>
              <w:top w:w="15" w:type="dxa"/>
              <w:left w:w="15" w:type="dxa"/>
              <w:bottom w:w="15" w:type="dxa"/>
              <w:right w:w="15" w:type="dxa"/>
            </w:tcMar>
            <w:vAlign w:val="center"/>
          </w:tcPr>
          <w:p w14:paraId="163EDD9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sz w:val="13"/>
                <w:szCs w:val="13"/>
                <w:highlight w:val="none"/>
              </w:rPr>
              <w:t>未交由具备相应资质条件的单位进行无害化处理的厨余垃圾2</w:t>
            </w:r>
            <w:r>
              <w:rPr>
                <w:rFonts w:hint="eastAsia" w:ascii="仿宋_GB2312" w:hAnsi="宋体" w:eastAsia="仿宋_GB2312" w:cs="宋体"/>
                <w:color w:val="auto"/>
                <w:kern w:val="0"/>
                <w:sz w:val="13"/>
                <w:szCs w:val="13"/>
                <w:highlight w:val="none"/>
              </w:rPr>
              <w:t>吨以上4吨以下的。</w:t>
            </w:r>
          </w:p>
        </w:tc>
        <w:tc>
          <w:tcPr>
            <w:tcW w:w="3058" w:type="dxa"/>
            <w:tcBorders>
              <w:tl2br w:val="nil"/>
              <w:tr2bl w:val="nil"/>
            </w:tcBorders>
            <w:tcMar>
              <w:top w:w="15" w:type="dxa"/>
              <w:left w:w="15" w:type="dxa"/>
              <w:bottom w:w="15" w:type="dxa"/>
              <w:right w:w="15" w:type="dxa"/>
            </w:tcMar>
            <w:vAlign w:val="center"/>
          </w:tcPr>
          <w:p w14:paraId="66A25A8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kern w:val="0"/>
                <w:sz w:val="13"/>
                <w:szCs w:val="13"/>
                <w:highlight w:val="none"/>
              </w:rPr>
            </w:pPr>
            <w:r>
              <w:rPr>
                <w:rFonts w:hint="eastAsia" w:ascii="仿宋_GB2312" w:hAnsi="宋体" w:eastAsia="仿宋_GB2312" w:cs="宋体"/>
                <w:color w:val="auto"/>
                <w:kern w:val="0"/>
                <w:sz w:val="13"/>
                <w:szCs w:val="13"/>
                <w:highlight w:val="none"/>
              </w:rPr>
              <w:t>责令改正，对单位处以20万元以上30万元以下罚款，对个人处150元罚款，没收违法所得。</w:t>
            </w:r>
          </w:p>
        </w:tc>
      </w:tr>
      <w:tr w14:paraId="67B55D2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301" w:hRule="atLeast"/>
          <w:jc w:val="center"/>
        </w:trPr>
        <w:tc>
          <w:tcPr>
            <w:tcW w:w="428" w:type="dxa"/>
            <w:vMerge w:val="continue"/>
            <w:tcBorders>
              <w:tl2br w:val="nil"/>
              <w:tr2bl w:val="nil"/>
            </w:tcBorders>
            <w:vAlign w:val="center"/>
          </w:tcPr>
          <w:p w14:paraId="7CD4695A">
            <w:pPr>
              <w:pStyle w:val="37"/>
              <w:keepNext w:val="0"/>
              <w:keepLines w:val="0"/>
              <w:pageBreakBefore w:val="0"/>
              <w:widowControl/>
              <w:numPr>
                <w:ilvl w:val="0"/>
                <w:numId w:val="14"/>
              </w:numPr>
              <w:kinsoku/>
              <w:overflowPunct/>
              <w:topLinePunct w:val="0"/>
              <w:autoSpaceDE/>
              <w:autoSpaceDN/>
              <w:bidi w:val="0"/>
              <w:adjustRightInd/>
              <w:snapToGrid/>
              <w:spacing w:beforeAutospacing="0" w:afterAutospacing="0" w:line="260" w:lineRule="exact"/>
              <w:ind w:left="638" w:leftChars="88" w:right="0" w:rightChars="0" w:hanging="453" w:hangingChars="349"/>
              <w:jc w:val="center"/>
              <w:textAlignment w:val="center"/>
              <w:rPr>
                <w:rFonts w:ascii="仿宋_GB2312" w:hAnsi="宋体" w:eastAsia="仿宋_GB2312" w:cs="宋体"/>
                <w:color w:val="auto"/>
                <w:sz w:val="13"/>
                <w:szCs w:val="13"/>
                <w:highlight w:val="none"/>
              </w:rPr>
            </w:pPr>
          </w:p>
        </w:tc>
        <w:tc>
          <w:tcPr>
            <w:tcW w:w="1550" w:type="dxa"/>
            <w:vMerge w:val="continue"/>
            <w:tcBorders>
              <w:tl2br w:val="nil"/>
              <w:tr2bl w:val="nil"/>
            </w:tcBorders>
            <w:vAlign w:val="center"/>
          </w:tcPr>
          <w:p w14:paraId="67A8F2D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sz w:val="13"/>
                <w:szCs w:val="13"/>
                <w:highlight w:val="none"/>
              </w:rPr>
            </w:pPr>
          </w:p>
        </w:tc>
        <w:tc>
          <w:tcPr>
            <w:tcW w:w="4820" w:type="dxa"/>
            <w:vMerge w:val="continue"/>
            <w:tcBorders>
              <w:tl2br w:val="nil"/>
              <w:tr2bl w:val="nil"/>
            </w:tcBorders>
            <w:vAlign w:val="center"/>
          </w:tcPr>
          <w:p w14:paraId="37378D4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sz w:val="13"/>
                <w:szCs w:val="13"/>
                <w:highlight w:val="none"/>
              </w:rPr>
            </w:pPr>
          </w:p>
        </w:tc>
        <w:tc>
          <w:tcPr>
            <w:tcW w:w="823" w:type="dxa"/>
            <w:vMerge w:val="continue"/>
            <w:tcBorders>
              <w:tl2br w:val="nil"/>
              <w:tr2bl w:val="nil"/>
            </w:tcBorders>
            <w:tcMar>
              <w:top w:w="15" w:type="dxa"/>
              <w:left w:w="15" w:type="dxa"/>
              <w:bottom w:w="15" w:type="dxa"/>
              <w:right w:w="15" w:type="dxa"/>
            </w:tcMar>
            <w:vAlign w:val="center"/>
          </w:tcPr>
          <w:p w14:paraId="50A4BC2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sz w:val="13"/>
                <w:szCs w:val="13"/>
                <w:highlight w:val="none"/>
              </w:rPr>
            </w:pPr>
          </w:p>
        </w:tc>
        <w:tc>
          <w:tcPr>
            <w:tcW w:w="3437" w:type="dxa"/>
            <w:gridSpan w:val="2"/>
            <w:tcBorders>
              <w:tl2br w:val="nil"/>
              <w:tr2bl w:val="nil"/>
            </w:tcBorders>
            <w:tcMar>
              <w:top w:w="15" w:type="dxa"/>
              <w:left w:w="15" w:type="dxa"/>
              <w:bottom w:w="15" w:type="dxa"/>
              <w:right w:w="15" w:type="dxa"/>
            </w:tcMar>
            <w:vAlign w:val="center"/>
          </w:tcPr>
          <w:p w14:paraId="191CE7C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sz w:val="13"/>
                <w:szCs w:val="13"/>
                <w:highlight w:val="none"/>
              </w:rPr>
              <w:t>未交由具备相应资质条件的单位进行无害化处理的厨余垃圾4</w:t>
            </w:r>
            <w:r>
              <w:rPr>
                <w:rFonts w:hint="eastAsia" w:ascii="仿宋_GB2312" w:hAnsi="宋体" w:eastAsia="仿宋_GB2312" w:cs="宋体"/>
                <w:color w:val="auto"/>
                <w:kern w:val="0"/>
                <w:sz w:val="13"/>
                <w:szCs w:val="13"/>
                <w:highlight w:val="none"/>
              </w:rPr>
              <w:t>吨以上6吨以下的。</w:t>
            </w:r>
          </w:p>
        </w:tc>
        <w:tc>
          <w:tcPr>
            <w:tcW w:w="3058" w:type="dxa"/>
            <w:tcBorders>
              <w:tl2br w:val="nil"/>
              <w:tr2bl w:val="nil"/>
            </w:tcBorders>
            <w:tcMar>
              <w:top w:w="15" w:type="dxa"/>
              <w:left w:w="15" w:type="dxa"/>
              <w:bottom w:w="15" w:type="dxa"/>
              <w:right w:w="15" w:type="dxa"/>
            </w:tcMar>
            <w:vAlign w:val="center"/>
          </w:tcPr>
          <w:p w14:paraId="565D757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kern w:val="0"/>
                <w:sz w:val="13"/>
                <w:szCs w:val="13"/>
                <w:highlight w:val="none"/>
              </w:rPr>
            </w:pPr>
            <w:r>
              <w:rPr>
                <w:rFonts w:hint="eastAsia" w:ascii="仿宋_GB2312" w:hAnsi="宋体" w:eastAsia="仿宋_GB2312" w:cs="宋体"/>
                <w:color w:val="auto"/>
                <w:kern w:val="0"/>
                <w:sz w:val="13"/>
                <w:szCs w:val="13"/>
                <w:highlight w:val="none"/>
              </w:rPr>
              <w:t>责令改正，对单位处以30万元以上40万元以下罚款，对个人处200元罚款，没收违法所得。</w:t>
            </w:r>
          </w:p>
        </w:tc>
      </w:tr>
      <w:tr w14:paraId="19D76AB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292" w:hRule="atLeast"/>
          <w:jc w:val="center"/>
        </w:trPr>
        <w:tc>
          <w:tcPr>
            <w:tcW w:w="428" w:type="dxa"/>
            <w:vMerge w:val="continue"/>
            <w:tcBorders>
              <w:tl2br w:val="nil"/>
              <w:tr2bl w:val="nil"/>
            </w:tcBorders>
            <w:vAlign w:val="center"/>
          </w:tcPr>
          <w:p w14:paraId="0F7E6BDD">
            <w:pPr>
              <w:pStyle w:val="37"/>
              <w:keepNext w:val="0"/>
              <w:keepLines w:val="0"/>
              <w:pageBreakBefore w:val="0"/>
              <w:widowControl/>
              <w:numPr>
                <w:ilvl w:val="0"/>
                <w:numId w:val="14"/>
              </w:numPr>
              <w:kinsoku/>
              <w:overflowPunct/>
              <w:topLinePunct w:val="0"/>
              <w:autoSpaceDE/>
              <w:autoSpaceDN/>
              <w:bidi w:val="0"/>
              <w:adjustRightInd/>
              <w:snapToGrid/>
              <w:spacing w:beforeAutospacing="0" w:afterAutospacing="0" w:line="260" w:lineRule="exact"/>
              <w:ind w:left="638" w:leftChars="88" w:right="0" w:rightChars="0" w:hanging="453" w:hangingChars="349"/>
              <w:jc w:val="center"/>
              <w:textAlignment w:val="center"/>
              <w:rPr>
                <w:rFonts w:ascii="仿宋_GB2312" w:hAnsi="宋体" w:eastAsia="仿宋_GB2312" w:cs="宋体"/>
                <w:color w:val="auto"/>
                <w:sz w:val="13"/>
                <w:szCs w:val="13"/>
                <w:highlight w:val="none"/>
              </w:rPr>
            </w:pPr>
          </w:p>
        </w:tc>
        <w:tc>
          <w:tcPr>
            <w:tcW w:w="1550" w:type="dxa"/>
            <w:vMerge w:val="continue"/>
            <w:tcBorders>
              <w:tl2br w:val="nil"/>
              <w:tr2bl w:val="nil"/>
            </w:tcBorders>
            <w:vAlign w:val="center"/>
          </w:tcPr>
          <w:p w14:paraId="52D5BFF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sz w:val="13"/>
                <w:szCs w:val="13"/>
                <w:highlight w:val="none"/>
              </w:rPr>
            </w:pPr>
          </w:p>
        </w:tc>
        <w:tc>
          <w:tcPr>
            <w:tcW w:w="4820" w:type="dxa"/>
            <w:vMerge w:val="continue"/>
            <w:tcBorders>
              <w:tl2br w:val="nil"/>
              <w:tr2bl w:val="nil"/>
            </w:tcBorders>
            <w:vAlign w:val="center"/>
          </w:tcPr>
          <w:p w14:paraId="7BA1C39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sz w:val="13"/>
                <w:szCs w:val="13"/>
                <w:highlight w:val="none"/>
              </w:rPr>
            </w:pPr>
          </w:p>
        </w:tc>
        <w:tc>
          <w:tcPr>
            <w:tcW w:w="823" w:type="dxa"/>
            <w:vMerge w:val="restart"/>
            <w:tcBorders>
              <w:tl2br w:val="nil"/>
              <w:tr2bl w:val="nil"/>
            </w:tcBorders>
            <w:tcMar>
              <w:top w:w="15" w:type="dxa"/>
              <w:left w:w="15" w:type="dxa"/>
              <w:bottom w:w="15" w:type="dxa"/>
              <w:right w:w="15" w:type="dxa"/>
            </w:tcMar>
            <w:vAlign w:val="center"/>
          </w:tcPr>
          <w:p w14:paraId="61DD13A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一般情节</w:t>
            </w:r>
          </w:p>
        </w:tc>
        <w:tc>
          <w:tcPr>
            <w:tcW w:w="3437" w:type="dxa"/>
            <w:gridSpan w:val="2"/>
            <w:tcBorders>
              <w:tl2br w:val="nil"/>
              <w:tr2bl w:val="nil"/>
            </w:tcBorders>
            <w:tcMar>
              <w:top w:w="15" w:type="dxa"/>
              <w:left w:w="15" w:type="dxa"/>
              <w:bottom w:w="15" w:type="dxa"/>
              <w:right w:w="15" w:type="dxa"/>
            </w:tcMar>
            <w:vAlign w:val="center"/>
          </w:tcPr>
          <w:p w14:paraId="0107D23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rPr>
                <w:rFonts w:ascii="仿宋_GB2312" w:hAnsi="宋体" w:eastAsia="仿宋_GB2312" w:cs="宋体"/>
                <w:color w:val="auto"/>
                <w:kern w:val="0"/>
                <w:sz w:val="13"/>
                <w:szCs w:val="13"/>
                <w:highlight w:val="none"/>
              </w:rPr>
            </w:pPr>
            <w:r>
              <w:rPr>
                <w:rFonts w:hint="eastAsia" w:ascii="仿宋_GB2312" w:hAnsi="宋体" w:eastAsia="仿宋_GB2312" w:cs="宋体"/>
                <w:color w:val="auto"/>
                <w:sz w:val="13"/>
                <w:szCs w:val="13"/>
                <w:highlight w:val="none"/>
              </w:rPr>
              <w:t>未交由具备相应资质条件的单位进行无害化处理的厨余垃圾6</w:t>
            </w:r>
            <w:r>
              <w:rPr>
                <w:rFonts w:hint="eastAsia" w:ascii="仿宋_GB2312" w:hAnsi="宋体" w:eastAsia="仿宋_GB2312" w:cs="宋体"/>
                <w:color w:val="auto"/>
                <w:kern w:val="0"/>
                <w:sz w:val="13"/>
                <w:szCs w:val="13"/>
                <w:highlight w:val="none"/>
              </w:rPr>
              <w:t>吨以上8吨以下的。</w:t>
            </w:r>
          </w:p>
        </w:tc>
        <w:tc>
          <w:tcPr>
            <w:tcW w:w="3058" w:type="dxa"/>
            <w:tcBorders>
              <w:tl2br w:val="nil"/>
              <w:tr2bl w:val="nil"/>
            </w:tcBorders>
            <w:tcMar>
              <w:top w:w="15" w:type="dxa"/>
              <w:left w:w="15" w:type="dxa"/>
              <w:bottom w:w="15" w:type="dxa"/>
              <w:right w:w="15" w:type="dxa"/>
            </w:tcMar>
            <w:vAlign w:val="center"/>
          </w:tcPr>
          <w:p w14:paraId="07ED964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责令改正，对单位处以40万元以上50万元以下罚款，对个人处250元罚款，没收违法所得。</w:t>
            </w:r>
          </w:p>
        </w:tc>
      </w:tr>
      <w:tr w14:paraId="3AFF957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296" w:hRule="atLeast"/>
          <w:jc w:val="center"/>
        </w:trPr>
        <w:tc>
          <w:tcPr>
            <w:tcW w:w="428" w:type="dxa"/>
            <w:vMerge w:val="continue"/>
            <w:tcBorders>
              <w:tl2br w:val="nil"/>
              <w:tr2bl w:val="nil"/>
            </w:tcBorders>
            <w:vAlign w:val="center"/>
          </w:tcPr>
          <w:p w14:paraId="16AE7310">
            <w:pPr>
              <w:pStyle w:val="37"/>
              <w:keepNext w:val="0"/>
              <w:keepLines w:val="0"/>
              <w:pageBreakBefore w:val="0"/>
              <w:widowControl/>
              <w:numPr>
                <w:ilvl w:val="0"/>
                <w:numId w:val="14"/>
              </w:numPr>
              <w:kinsoku/>
              <w:overflowPunct/>
              <w:topLinePunct w:val="0"/>
              <w:autoSpaceDE/>
              <w:autoSpaceDN/>
              <w:bidi w:val="0"/>
              <w:adjustRightInd/>
              <w:snapToGrid/>
              <w:spacing w:beforeAutospacing="0" w:afterAutospacing="0" w:line="260" w:lineRule="exact"/>
              <w:ind w:left="638" w:leftChars="88" w:right="0" w:rightChars="0" w:hanging="453" w:hangingChars="349"/>
              <w:jc w:val="center"/>
              <w:textAlignment w:val="center"/>
              <w:rPr>
                <w:rFonts w:ascii="仿宋_GB2312" w:hAnsi="宋体" w:eastAsia="仿宋_GB2312" w:cs="宋体"/>
                <w:color w:val="auto"/>
                <w:sz w:val="13"/>
                <w:szCs w:val="13"/>
                <w:highlight w:val="none"/>
              </w:rPr>
            </w:pPr>
          </w:p>
        </w:tc>
        <w:tc>
          <w:tcPr>
            <w:tcW w:w="1550" w:type="dxa"/>
            <w:vMerge w:val="continue"/>
            <w:tcBorders>
              <w:tl2br w:val="nil"/>
              <w:tr2bl w:val="nil"/>
            </w:tcBorders>
            <w:vAlign w:val="center"/>
          </w:tcPr>
          <w:p w14:paraId="77467FB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sz w:val="13"/>
                <w:szCs w:val="13"/>
                <w:highlight w:val="none"/>
              </w:rPr>
            </w:pPr>
          </w:p>
        </w:tc>
        <w:tc>
          <w:tcPr>
            <w:tcW w:w="4820" w:type="dxa"/>
            <w:vMerge w:val="continue"/>
            <w:tcBorders>
              <w:tl2br w:val="nil"/>
              <w:tr2bl w:val="nil"/>
            </w:tcBorders>
            <w:vAlign w:val="center"/>
          </w:tcPr>
          <w:p w14:paraId="32318A9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sz w:val="13"/>
                <w:szCs w:val="13"/>
                <w:highlight w:val="none"/>
              </w:rPr>
            </w:pPr>
          </w:p>
        </w:tc>
        <w:tc>
          <w:tcPr>
            <w:tcW w:w="823" w:type="dxa"/>
            <w:vMerge w:val="continue"/>
            <w:tcBorders>
              <w:tl2br w:val="nil"/>
              <w:tr2bl w:val="nil"/>
            </w:tcBorders>
            <w:tcMar>
              <w:top w:w="15" w:type="dxa"/>
              <w:left w:w="15" w:type="dxa"/>
              <w:bottom w:w="15" w:type="dxa"/>
              <w:right w:w="15" w:type="dxa"/>
            </w:tcMar>
            <w:vAlign w:val="center"/>
          </w:tcPr>
          <w:p w14:paraId="0ED0F37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sz w:val="13"/>
                <w:szCs w:val="13"/>
                <w:highlight w:val="none"/>
              </w:rPr>
            </w:pPr>
          </w:p>
        </w:tc>
        <w:tc>
          <w:tcPr>
            <w:tcW w:w="3437" w:type="dxa"/>
            <w:gridSpan w:val="2"/>
            <w:tcBorders>
              <w:tl2br w:val="nil"/>
              <w:tr2bl w:val="nil"/>
            </w:tcBorders>
            <w:tcMar>
              <w:top w:w="15" w:type="dxa"/>
              <w:left w:w="15" w:type="dxa"/>
              <w:bottom w:w="15" w:type="dxa"/>
              <w:right w:w="15" w:type="dxa"/>
            </w:tcMar>
            <w:vAlign w:val="center"/>
          </w:tcPr>
          <w:p w14:paraId="7B12F34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sz w:val="13"/>
                <w:szCs w:val="13"/>
                <w:highlight w:val="none"/>
              </w:rPr>
              <w:t>未交由具备相应资质条件的单位进行无害化处理的厨余垃圾8</w:t>
            </w:r>
            <w:r>
              <w:rPr>
                <w:rFonts w:hint="eastAsia" w:ascii="仿宋_GB2312" w:hAnsi="宋体" w:eastAsia="仿宋_GB2312" w:cs="宋体"/>
                <w:color w:val="auto"/>
                <w:kern w:val="0"/>
                <w:sz w:val="13"/>
                <w:szCs w:val="13"/>
                <w:highlight w:val="none"/>
              </w:rPr>
              <w:t>吨以上10吨以下的。</w:t>
            </w:r>
          </w:p>
        </w:tc>
        <w:tc>
          <w:tcPr>
            <w:tcW w:w="3058" w:type="dxa"/>
            <w:tcBorders>
              <w:tl2br w:val="nil"/>
              <w:tr2bl w:val="nil"/>
            </w:tcBorders>
            <w:tcMar>
              <w:top w:w="15" w:type="dxa"/>
              <w:left w:w="15" w:type="dxa"/>
              <w:bottom w:w="15" w:type="dxa"/>
              <w:right w:w="15" w:type="dxa"/>
            </w:tcMar>
            <w:vAlign w:val="center"/>
          </w:tcPr>
          <w:p w14:paraId="45A8DA4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kern w:val="0"/>
                <w:sz w:val="13"/>
                <w:szCs w:val="13"/>
                <w:highlight w:val="none"/>
              </w:rPr>
            </w:pPr>
            <w:r>
              <w:rPr>
                <w:rFonts w:hint="eastAsia" w:ascii="仿宋_GB2312" w:hAnsi="宋体" w:eastAsia="仿宋_GB2312" w:cs="宋体"/>
                <w:color w:val="auto"/>
                <w:kern w:val="0"/>
                <w:sz w:val="13"/>
                <w:szCs w:val="13"/>
                <w:highlight w:val="none"/>
              </w:rPr>
              <w:t>责令改正，对单位处以50万元以上60万元以下罚款，对个人处300元罚款，没收违法所得。</w:t>
            </w:r>
          </w:p>
        </w:tc>
      </w:tr>
      <w:tr w14:paraId="5BFF2F1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312" w:hRule="atLeast"/>
          <w:jc w:val="center"/>
        </w:trPr>
        <w:tc>
          <w:tcPr>
            <w:tcW w:w="428" w:type="dxa"/>
            <w:vMerge w:val="continue"/>
            <w:tcBorders>
              <w:tl2br w:val="nil"/>
              <w:tr2bl w:val="nil"/>
            </w:tcBorders>
            <w:vAlign w:val="center"/>
          </w:tcPr>
          <w:p w14:paraId="7CF596A7">
            <w:pPr>
              <w:pStyle w:val="37"/>
              <w:keepNext w:val="0"/>
              <w:keepLines w:val="0"/>
              <w:pageBreakBefore w:val="0"/>
              <w:widowControl/>
              <w:numPr>
                <w:ilvl w:val="0"/>
                <w:numId w:val="14"/>
              </w:numPr>
              <w:kinsoku/>
              <w:overflowPunct/>
              <w:topLinePunct w:val="0"/>
              <w:autoSpaceDE/>
              <w:autoSpaceDN/>
              <w:bidi w:val="0"/>
              <w:adjustRightInd/>
              <w:snapToGrid/>
              <w:spacing w:beforeAutospacing="0" w:afterAutospacing="0" w:line="260" w:lineRule="exact"/>
              <w:ind w:left="638" w:leftChars="88" w:right="0" w:rightChars="0" w:hanging="453" w:hangingChars="349"/>
              <w:jc w:val="center"/>
              <w:textAlignment w:val="center"/>
              <w:rPr>
                <w:rFonts w:ascii="仿宋_GB2312" w:hAnsi="宋体" w:eastAsia="仿宋_GB2312" w:cs="宋体"/>
                <w:color w:val="auto"/>
                <w:sz w:val="13"/>
                <w:szCs w:val="13"/>
                <w:highlight w:val="none"/>
              </w:rPr>
            </w:pPr>
          </w:p>
        </w:tc>
        <w:tc>
          <w:tcPr>
            <w:tcW w:w="1550" w:type="dxa"/>
            <w:vMerge w:val="continue"/>
            <w:tcBorders>
              <w:tl2br w:val="nil"/>
              <w:tr2bl w:val="nil"/>
            </w:tcBorders>
            <w:vAlign w:val="center"/>
          </w:tcPr>
          <w:p w14:paraId="3BE463F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sz w:val="13"/>
                <w:szCs w:val="13"/>
                <w:highlight w:val="none"/>
              </w:rPr>
            </w:pPr>
          </w:p>
        </w:tc>
        <w:tc>
          <w:tcPr>
            <w:tcW w:w="4820" w:type="dxa"/>
            <w:vMerge w:val="continue"/>
            <w:tcBorders>
              <w:tl2br w:val="nil"/>
              <w:tr2bl w:val="nil"/>
            </w:tcBorders>
            <w:vAlign w:val="center"/>
          </w:tcPr>
          <w:p w14:paraId="158A446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sz w:val="13"/>
                <w:szCs w:val="13"/>
                <w:highlight w:val="none"/>
              </w:rPr>
            </w:pPr>
          </w:p>
        </w:tc>
        <w:tc>
          <w:tcPr>
            <w:tcW w:w="823" w:type="dxa"/>
            <w:vMerge w:val="continue"/>
            <w:tcBorders>
              <w:tl2br w:val="nil"/>
              <w:tr2bl w:val="nil"/>
            </w:tcBorders>
            <w:tcMar>
              <w:top w:w="15" w:type="dxa"/>
              <w:left w:w="15" w:type="dxa"/>
              <w:bottom w:w="15" w:type="dxa"/>
              <w:right w:w="15" w:type="dxa"/>
            </w:tcMar>
            <w:vAlign w:val="center"/>
          </w:tcPr>
          <w:p w14:paraId="0605BA6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sz w:val="13"/>
                <w:szCs w:val="13"/>
                <w:highlight w:val="none"/>
              </w:rPr>
            </w:pPr>
          </w:p>
        </w:tc>
        <w:tc>
          <w:tcPr>
            <w:tcW w:w="3437" w:type="dxa"/>
            <w:gridSpan w:val="2"/>
            <w:tcBorders>
              <w:tl2br w:val="nil"/>
              <w:tr2bl w:val="nil"/>
            </w:tcBorders>
            <w:tcMar>
              <w:top w:w="15" w:type="dxa"/>
              <w:left w:w="15" w:type="dxa"/>
              <w:bottom w:w="15" w:type="dxa"/>
              <w:right w:w="15" w:type="dxa"/>
            </w:tcMar>
            <w:vAlign w:val="center"/>
          </w:tcPr>
          <w:p w14:paraId="053DAB3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sz w:val="13"/>
                <w:szCs w:val="13"/>
                <w:highlight w:val="none"/>
              </w:rPr>
              <w:t>未交由具备相应资质条件的单位进行无害化处理的厨余垃圾10</w:t>
            </w:r>
            <w:r>
              <w:rPr>
                <w:rFonts w:hint="eastAsia" w:ascii="仿宋_GB2312" w:hAnsi="宋体" w:eastAsia="仿宋_GB2312" w:cs="宋体"/>
                <w:color w:val="auto"/>
                <w:kern w:val="0"/>
                <w:sz w:val="13"/>
                <w:szCs w:val="13"/>
                <w:highlight w:val="none"/>
              </w:rPr>
              <w:t>吨以上12吨以下的。</w:t>
            </w:r>
          </w:p>
        </w:tc>
        <w:tc>
          <w:tcPr>
            <w:tcW w:w="3058" w:type="dxa"/>
            <w:tcBorders>
              <w:tl2br w:val="nil"/>
              <w:tr2bl w:val="nil"/>
            </w:tcBorders>
            <w:tcMar>
              <w:top w:w="15" w:type="dxa"/>
              <w:left w:w="15" w:type="dxa"/>
              <w:bottom w:w="15" w:type="dxa"/>
              <w:right w:w="15" w:type="dxa"/>
            </w:tcMar>
            <w:vAlign w:val="center"/>
          </w:tcPr>
          <w:p w14:paraId="0149CB1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kern w:val="0"/>
                <w:sz w:val="13"/>
                <w:szCs w:val="13"/>
                <w:highlight w:val="none"/>
              </w:rPr>
            </w:pPr>
            <w:r>
              <w:rPr>
                <w:rFonts w:hint="eastAsia" w:ascii="仿宋_GB2312" w:hAnsi="宋体" w:eastAsia="仿宋_GB2312" w:cs="宋体"/>
                <w:color w:val="auto"/>
                <w:kern w:val="0"/>
                <w:sz w:val="13"/>
                <w:szCs w:val="13"/>
                <w:highlight w:val="none"/>
              </w:rPr>
              <w:t>责令改正，对单位处以60万元以上70万元以下罚款，对个人处350元罚款，没收违法所得。</w:t>
            </w:r>
          </w:p>
        </w:tc>
      </w:tr>
      <w:tr w14:paraId="5C65576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279" w:hRule="atLeast"/>
          <w:jc w:val="center"/>
        </w:trPr>
        <w:tc>
          <w:tcPr>
            <w:tcW w:w="428" w:type="dxa"/>
            <w:vMerge w:val="continue"/>
            <w:tcBorders>
              <w:tl2br w:val="nil"/>
              <w:tr2bl w:val="nil"/>
            </w:tcBorders>
            <w:vAlign w:val="center"/>
          </w:tcPr>
          <w:p w14:paraId="709014D0">
            <w:pPr>
              <w:pStyle w:val="37"/>
              <w:keepNext w:val="0"/>
              <w:keepLines w:val="0"/>
              <w:pageBreakBefore w:val="0"/>
              <w:widowControl/>
              <w:numPr>
                <w:ilvl w:val="0"/>
                <w:numId w:val="14"/>
              </w:numPr>
              <w:kinsoku/>
              <w:overflowPunct/>
              <w:topLinePunct w:val="0"/>
              <w:autoSpaceDE/>
              <w:autoSpaceDN/>
              <w:bidi w:val="0"/>
              <w:adjustRightInd/>
              <w:snapToGrid/>
              <w:spacing w:beforeAutospacing="0" w:afterAutospacing="0" w:line="260" w:lineRule="exact"/>
              <w:ind w:left="638" w:leftChars="88" w:right="0" w:rightChars="0" w:hanging="453" w:hangingChars="349"/>
              <w:jc w:val="center"/>
              <w:textAlignment w:val="center"/>
              <w:rPr>
                <w:rFonts w:ascii="仿宋_GB2312" w:hAnsi="宋体" w:eastAsia="仿宋_GB2312" w:cs="宋体"/>
                <w:color w:val="auto"/>
                <w:kern w:val="0"/>
                <w:sz w:val="13"/>
                <w:szCs w:val="13"/>
                <w:highlight w:val="none"/>
              </w:rPr>
            </w:pPr>
          </w:p>
        </w:tc>
        <w:tc>
          <w:tcPr>
            <w:tcW w:w="1550" w:type="dxa"/>
            <w:vMerge w:val="continue"/>
            <w:tcBorders>
              <w:tl2br w:val="nil"/>
              <w:tr2bl w:val="nil"/>
            </w:tcBorders>
            <w:vAlign w:val="center"/>
          </w:tcPr>
          <w:p w14:paraId="1323DB7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kern w:val="0"/>
                <w:sz w:val="13"/>
                <w:szCs w:val="13"/>
                <w:highlight w:val="none"/>
              </w:rPr>
            </w:pPr>
          </w:p>
        </w:tc>
        <w:tc>
          <w:tcPr>
            <w:tcW w:w="4820" w:type="dxa"/>
            <w:vMerge w:val="continue"/>
            <w:tcBorders>
              <w:tl2br w:val="nil"/>
              <w:tr2bl w:val="nil"/>
            </w:tcBorders>
            <w:vAlign w:val="center"/>
          </w:tcPr>
          <w:p w14:paraId="0221ABC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kern w:val="0"/>
                <w:sz w:val="13"/>
                <w:szCs w:val="13"/>
                <w:highlight w:val="none"/>
              </w:rPr>
            </w:pPr>
          </w:p>
        </w:tc>
        <w:tc>
          <w:tcPr>
            <w:tcW w:w="823" w:type="dxa"/>
            <w:vMerge w:val="restart"/>
            <w:tcBorders>
              <w:tl2br w:val="nil"/>
              <w:tr2bl w:val="nil"/>
            </w:tcBorders>
            <w:tcMar>
              <w:top w:w="15" w:type="dxa"/>
              <w:left w:w="15" w:type="dxa"/>
              <w:bottom w:w="15" w:type="dxa"/>
              <w:right w:w="15" w:type="dxa"/>
            </w:tcMar>
            <w:vAlign w:val="center"/>
          </w:tcPr>
          <w:p w14:paraId="03CD4CE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从重情节</w:t>
            </w:r>
          </w:p>
        </w:tc>
        <w:tc>
          <w:tcPr>
            <w:tcW w:w="3437" w:type="dxa"/>
            <w:gridSpan w:val="2"/>
            <w:tcBorders>
              <w:tl2br w:val="nil"/>
              <w:tr2bl w:val="nil"/>
            </w:tcBorders>
            <w:tcMar>
              <w:top w:w="15" w:type="dxa"/>
              <w:left w:w="15" w:type="dxa"/>
              <w:bottom w:w="15" w:type="dxa"/>
              <w:right w:w="15" w:type="dxa"/>
            </w:tcMar>
            <w:vAlign w:val="center"/>
          </w:tcPr>
          <w:p w14:paraId="2CBC0B7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kern w:val="0"/>
                <w:sz w:val="13"/>
                <w:szCs w:val="13"/>
                <w:highlight w:val="none"/>
              </w:rPr>
            </w:pPr>
            <w:r>
              <w:rPr>
                <w:rFonts w:hint="eastAsia" w:ascii="仿宋_GB2312" w:hAnsi="宋体" w:eastAsia="仿宋_GB2312" w:cs="宋体"/>
                <w:color w:val="auto"/>
                <w:sz w:val="13"/>
                <w:szCs w:val="13"/>
                <w:highlight w:val="none"/>
              </w:rPr>
              <w:t>未交由具备相应资质条件的单位进行无害化处理的厨余垃圾12</w:t>
            </w:r>
            <w:r>
              <w:rPr>
                <w:rFonts w:hint="eastAsia" w:ascii="仿宋_GB2312" w:hAnsi="宋体" w:eastAsia="仿宋_GB2312" w:cs="宋体"/>
                <w:color w:val="auto"/>
                <w:kern w:val="0"/>
                <w:sz w:val="13"/>
                <w:szCs w:val="13"/>
                <w:highlight w:val="none"/>
              </w:rPr>
              <w:t>吨以上14吨以下的。</w:t>
            </w:r>
          </w:p>
        </w:tc>
        <w:tc>
          <w:tcPr>
            <w:tcW w:w="3058" w:type="dxa"/>
            <w:tcBorders>
              <w:tl2br w:val="nil"/>
              <w:tr2bl w:val="nil"/>
            </w:tcBorders>
            <w:tcMar>
              <w:top w:w="15" w:type="dxa"/>
              <w:left w:w="15" w:type="dxa"/>
              <w:bottom w:w="15" w:type="dxa"/>
              <w:right w:w="15" w:type="dxa"/>
            </w:tcMar>
            <w:vAlign w:val="center"/>
          </w:tcPr>
          <w:p w14:paraId="274AD80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责令改正，对单位处以70万元以上80万元以下罚款，对个人处400元罚款，没收违法所得。</w:t>
            </w:r>
          </w:p>
        </w:tc>
      </w:tr>
      <w:tr w14:paraId="631EC81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294" w:hRule="atLeast"/>
          <w:jc w:val="center"/>
        </w:trPr>
        <w:tc>
          <w:tcPr>
            <w:tcW w:w="428" w:type="dxa"/>
            <w:vMerge w:val="continue"/>
            <w:tcBorders>
              <w:tl2br w:val="nil"/>
              <w:tr2bl w:val="nil"/>
            </w:tcBorders>
            <w:vAlign w:val="center"/>
          </w:tcPr>
          <w:p w14:paraId="43240342">
            <w:pPr>
              <w:pStyle w:val="37"/>
              <w:keepNext w:val="0"/>
              <w:keepLines w:val="0"/>
              <w:pageBreakBefore w:val="0"/>
              <w:widowControl/>
              <w:numPr>
                <w:ilvl w:val="0"/>
                <w:numId w:val="14"/>
              </w:numPr>
              <w:kinsoku/>
              <w:overflowPunct/>
              <w:topLinePunct w:val="0"/>
              <w:autoSpaceDE/>
              <w:autoSpaceDN/>
              <w:bidi w:val="0"/>
              <w:adjustRightInd/>
              <w:snapToGrid/>
              <w:spacing w:beforeAutospacing="0" w:afterAutospacing="0" w:line="260" w:lineRule="exact"/>
              <w:ind w:left="638" w:leftChars="88" w:right="0" w:rightChars="0" w:hanging="453" w:hangingChars="349"/>
              <w:jc w:val="center"/>
              <w:textAlignment w:val="center"/>
              <w:rPr>
                <w:rFonts w:ascii="仿宋_GB2312" w:hAnsi="宋体" w:eastAsia="仿宋_GB2312" w:cs="宋体"/>
                <w:color w:val="auto"/>
                <w:sz w:val="13"/>
                <w:szCs w:val="13"/>
                <w:highlight w:val="none"/>
              </w:rPr>
            </w:pPr>
          </w:p>
        </w:tc>
        <w:tc>
          <w:tcPr>
            <w:tcW w:w="1550" w:type="dxa"/>
            <w:vMerge w:val="continue"/>
            <w:tcBorders>
              <w:tl2br w:val="nil"/>
              <w:tr2bl w:val="nil"/>
            </w:tcBorders>
            <w:vAlign w:val="center"/>
          </w:tcPr>
          <w:p w14:paraId="64CA4DA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sz w:val="13"/>
                <w:szCs w:val="13"/>
                <w:highlight w:val="none"/>
              </w:rPr>
            </w:pPr>
          </w:p>
        </w:tc>
        <w:tc>
          <w:tcPr>
            <w:tcW w:w="4820" w:type="dxa"/>
            <w:vMerge w:val="continue"/>
            <w:tcBorders>
              <w:tl2br w:val="nil"/>
              <w:tr2bl w:val="nil"/>
            </w:tcBorders>
            <w:vAlign w:val="center"/>
          </w:tcPr>
          <w:p w14:paraId="0E24FE4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sz w:val="13"/>
                <w:szCs w:val="13"/>
                <w:highlight w:val="none"/>
              </w:rPr>
            </w:pPr>
          </w:p>
        </w:tc>
        <w:tc>
          <w:tcPr>
            <w:tcW w:w="823" w:type="dxa"/>
            <w:vMerge w:val="continue"/>
            <w:tcBorders>
              <w:tl2br w:val="nil"/>
              <w:tr2bl w:val="nil"/>
            </w:tcBorders>
            <w:tcMar>
              <w:top w:w="15" w:type="dxa"/>
              <w:left w:w="15" w:type="dxa"/>
              <w:bottom w:w="15" w:type="dxa"/>
              <w:right w:w="15" w:type="dxa"/>
            </w:tcMar>
            <w:vAlign w:val="center"/>
          </w:tcPr>
          <w:p w14:paraId="0C0D203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sz w:val="13"/>
                <w:szCs w:val="13"/>
                <w:highlight w:val="none"/>
              </w:rPr>
            </w:pPr>
          </w:p>
        </w:tc>
        <w:tc>
          <w:tcPr>
            <w:tcW w:w="3437" w:type="dxa"/>
            <w:gridSpan w:val="2"/>
            <w:tcBorders>
              <w:tl2br w:val="nil"/>
              <w:tr2bl w:val="nil"/>
            </w:tcBorders>
            <w:tcMar>
              <w:top w:w="15" w:type="dxa"/>
              <w:left w:w="15" w:type="dxa"/>
              <w:bottom w:w="15" w:type="dxa"/>
              <w:right w:w="15" w:type="dxa"/>
            </w:tcMar>
            <w:vAlign w:val="center"/>
          </w:tcPr>
          <w:p w14:paraId="649F160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kern w:val="0"/>
                <w:sz w:val="13"/>
                <w:szCs w:val="13"/>
                <w:highlight w:val="none"/>
              </w:rPr>
            </w:pPr>
            <w:r>
              <w:rPr>
                <w:rFonts w:hint="eastAsia" w:ascii="仿宋_GB2312" w:hAnsi="宋体" w:eastAsia="仿宋_GB2312" w:cs="宋体"/>
                <w:color w:val="auto"/>
                <w:sz w:val="13"/>
                <w:szCs w:val="13"/>
                <w:highlight w:val="none"/>
              </w:rPr>
              <w:t>未交由具备相应资质条件的单位进行无害化处理的厨余垃圾14</w:t>
            </w:r>
            <w:r>
              <w:rPr>
                <w:rFonts w:hint="eastAsia" w:ascii="仿宋_GB2312" w:hAnsi="宋体" w:eastAsia="仿宋_GB2312" w:cs="宋体"/>
                <w:color w:val="auto"/>
                <w:kern w:val="0"/>
                <w:sz w:val="13"/>
                <w:szCs w:val="13"/>
                <w:highlight w:val="none"/>
              </w:rPr>
              <w:t>吨以上16吨以下的。</w:t>
            </w:r>
          </w:p>
        </w:tc>
        <w:tc>
          <w:tcPr>
            <w:tcW w:w="3058" w:type="dxa"/>
            <w:tcBorders>
              <w:tl2br w:val="nil"/>
              <w:tr2bl w:val="nil"/>
            </w:tcBorders>
            <w:tcMar>
              <w:top w:w="15" w:type="dxa"/>
              <w:left w:w="15" w:type="dxa"/>
              <w:bottom w:w="15" w:type="dxa"/>
              <w:right w:w="15" w:type="dxa"/>
            </w:tcMar>
            <w:vAlign w:val="center"/>
          </w:tcPr>
          <w:p w14:paraId="28A7FB2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kern w:val="0"/>
                <w:sz w:val="13"/>
                <w:szCs w:val="13"/>
                <w:highlight w:val="none"/>
              </w:rPr>
            </w:pPr>
            <w:r>
              <w:rPr>
                <w:rFonts w:hint="eastAsia" w:ascii="仿宋_GB2312" w:hAnsi="宋体" w:eastAsia="仿宋_GB2312" w:cs="宋体"/>
                <w:color w:val="auto"/>
                <w:kern w:val="0"/>
                <w:sz w:val="13"/>
                <w:szCs w:val="13"/>
                <w:highlight w:val="none"/>
              </w:rPr>
              <w:t>责令改正，对单位处以80万元以上90万元以下罚款，对个人处450元罚款，没收违法所得。</w:t>
            </w:r>
          </w:p>
        </w:tc>
      </w:tr>
      <w:tr w14:paraId="0FB4F9F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178" w:hRule="atLeast"/>
          <w:jc w:val="center"/>
        </w:trPr>
        <w:tc>
          <w:tcPr>
            <w:tcW w:w="428" w:type="dxa"/>
            <w:vMerge w:val="continue"/>
            <w:tcBorders>
              <w:tl2br w:val="nil"/>
              <w:tr2bl w:val="nil"/>
            </w:tcBorders>
            <w:vAlign w:val="center"/>
          </w:tcPr>
          <w:p w14:paraId="619F2B5E">
            <w:pPr>
              <w:pStyle w:val="37"/>
              <w:keepNext w:val="0"/>
              <w:keepLines w:val="0"/>
              <w:pageBreakBefore w:val="0"/>
              <w:widowControl/>
              <w:numPr>
                <w:ilvl w:val="0"/>
                <w:numId w:val="14"/>
              </w:numPr>
              <w:kinsoku/>
              <w:overflowPunct/>
              <w:topLinePunct w:val="0"/>
              <w:autoSpaceDE/>
              <w:autoSpaceDN/>
              <w:bidi w:val="0"/>
              <w:adjustRightInd/>
              <w:snapToGrid/>
              <w:spacing w:beforeAutospacing="0" w:afterAutospacing="0" w:line="260" w:lineRule="exact"/>
              <w:ind w:left="638" w:leftChars="88" w:right="0" w:rightChars="0" w:hanging="453" w:hangingChars="349"/>
              <w:jc w:val="center"/>
              <w:textAlignment w:val="center"/>
              <w:rPr>
                <w:rFonts w:ascii="仿宋_GB2312" w:hAnsi="宋体" w:eastAsia="仿宋_GB2312" w:cs="宋体"/>
                <w:color w:val="auto"/>
                <w:kern w:val="0"/>
                <w:sz w:val="13"/>
                <w:szCs w:val="13"/>
                <w:highlight w:val="none"/>
              </w:rPr>
            </w:pPr>
          </w:p>
        </w:tc>
        <w:tc>
          <w:tcPr>
            <w:tcW w:w="1550" w:type="dxa"/>
            <w:vMerge w:val="continue"/>
            <w:tcBorders>
              <w:tl2br w:val="nil"/>
              <w:tr2bl w:val="nil"/>
            </w:tcBorders>
            <w:vAlign w:val="center"/>
          </w:tcPr>
          <w:p w14:paraId="5A30C65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kern w:val="0"/>
                <w:sz w:val="13"/>
                <w:szCs w:val="13"/>
                <w:highlight w:val="none"/>
              </w:rPr>
            </w:pPr>
          </w:p>
        </w:tc>
        <w:tc>
          <w:tcPr>
            <w:tcW w:w="4820" w:type="dxa"/>
            <w:vMerge w:val="continue"/>
            <w:tcBorders>
              <w:tl2br w:val="nil"/>
              <w:tr2bl w:val="nil"/>
            </w:tcBorders>
            <w:vAlign w:val="center"/>
          </w:tcPr>
          <w:p w14:paraId="00AE25F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kern w:val="0"/>
                <w:sz w:val="13"/>
                <w:szCs w:val="13"/>
                <w:highlight w:val="none"/>
              </w:rPr>
            </w:pPr>
          </w:p>
        </w:tc>
        <w:tc>
          <w:tcPr>
            <w:tcW w:w="823" w:type="dxa"/>
            <w:vMerge w:val="continue"/>
            <w:tcBorders>
              <w:tl2br w:val="nil"/>
              <w:tr2bl w:val="nil"/>
            </w:tcBorders>
            <w:tcMar>
              <w:top w:w="15" w:type="dxa"/>
              <w:left w:w="15" w:type="dxa"/>
              <w:bottom w:w="15" w:type="dxa"/>
              <w:right w:w="15" w:type="dxa"/>
            </w:tcMar>
            <w:vAlign w:val="center"/>
          </w:tcPr>
          <w:p w14:paraId="2DA49C6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kern w:val="0"/>
                <w:sz w:val="13"/>
                <w:szCs w:val="13"/>
                <w:highlight w:val="none"/>
              </w:rPr>
            </w:pPr>
          </w:p>
        </w:tc>
        <w:tc>
          <w:tcPr>
            <w:tcW w:w="3437" w:type="dxa"/>
            <w:gridSpan w:val="2"/>
            <w:tcBorders>
              <w:tl2br w:val="nil"/>
              <w:tr2bl w:val="nil"/>
            </w:tcBorders>
            <w:tcMar>
              <w:top w:w="15" w:type="dxa"/>
              <w:left w:w="15" w:type="dxa"/>
              <w:bottom w:w="15" w:type="dxa"/>
              <w:right w:w="15" w:type="dxa"/>
            </w:tcMar>
            <w:vAlign w:val="center"/>
          </w:tcPr>
          <w:p w14:paraId="48F540F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kern w:val="0"/>
                <w:sz w:val="13"/>
                <w:szCs w:val="13"/>
                <w:highlight w:val="none"/>
              </w:rPr>
            </w:pPr>
            <w:r>
              <w:rPr>
                <w:rFonts w:hint="eastAsia" w:ascii="仿宋_GB2312" w:hAnsi="宋体" w:eastAsia="仿宋_GB2312" w:cs="宋体"/>
                <w:color w:val="auto"/>
                <w:sz w:val="13"/>
                <w:szCs w:val="13"/>
                <w:highlight w:val="none"/>
              </w:rPr>
              <w:t>未交由具备相应资质条件的单位进行无害化处理的厨余垃圾16</w:t>
            </w:r>
            <w:r>
              <w:rPr>
                <w:rFonts w:hint="eastAsia" w:ascii="仿宋_GB2312" w:hAnsi="宋体" w:eastAsia="仿宋_GB2312" w:cs="宋体"/>
                <w:color w:val="auto"/>
                <w:kern w:val="0"/>
                <w:sz w:val="13"/>
                <w:szCs w:val="13"/>
                <w:highlight w:val="none"/>
              </w:rPr>
              <w:t>吨以上的。</w:t>
            </w:r>
          </w:p>
        </w:tc>
        <w:tc>
          <w:tcPr>
            <w:tcW w:w="3058" w:type="dxa"/>
            <w:tcBorders>
              <w:tl2br w:val="nil"/>
              <w:tr2bl w:val="nil"/>
            </w:tcBorders>
            <w:tcMar>
              <w:top w:w="15" w:type="dxa"/>
              <w:left w:w="15" w:type="dxa"/>
              <w:bottom w:w="15" w:type="dxa"/>
              <w:right w:w="15" w:type="dxa"/>
            </w:tcMar>
            <w:vAlign w:val="center"/>
          </w:tcPr>
          <w:p w14:paraId="64A6221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kern w:val="0"/>
                <w:sz w:val="13"/>
                <w:szCs w:val="13"/>
                <w:highlight w:val="none"/>
              </w:rPr>
            </w:pPr>
            <w:r>
              <w:rPr>
                <w:rFonts w:hint="eastAsia" w:ascii="仿宋_GB2312" w:hAnsi="宋体" w:eastAsia="仿宋_GB2312" w:cs="宋体"/>
                <w:color w:val="auto"/>
                <w:kern w:val="0"/>
                <w:sz w:val="13"/>
                <w:szCs w:val="13"/>
                <w:highlight w:val="none"/>
              </w:rPr>
              <w:t>责令改正，对单位处以90万元以上100万元以下罚款，对个人处500元罚款，没收违法所得。</w:t>
            </w:r>
          </w:p>
        </w:tc>
      </w:tr>
      <w:tr w14:paraId="502E8ED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905" w:hRule="atLeast"/>
          <w:jc w:val="center"/>
        </w:trPr>
        <w:tc>
          <w:tcPr>
            <w:tcW w:w="428" w:type="dxa"/>
            <w:vMerge w:val="restart"/>
            <w:tcBorders>
              <w:tl2br w:val="nil"/>
              <w:tr2bl w:val="nil"/>
            </w:tcBorders>
            <w:vAlign w:val="center"/>
          </w:tcPr>
          <w:p w14:paraId="0215D647">
            <w:pPr>
              <w:keepNext w:val="0"/>
              <w:keepLines w:val="0"/>
              <w:pageBreakBefore w:val="0"/>
              <w:widowControl/>
              <w:numPr>
                <w:ilvl w:val="0"/>
                <w:numId w:val="11"/>
              </w:numPr>
              <w:suppressLineNumbers w:val="0"/>
              <w:tabs>
                <w:tab w:val="clear" w:pos="397"/>
              </w:tabs>
              <w:kinsoku/>
              <w:overflowPunct/>
              <w:topLinePunct w:val="0"/>
              <w:autoSpaceDE/>
              <w:autoSpaceDN/>
              <w:bidi w:val="0"/>
              <w:adjustRightInd/>
              <w:snapToGrid/>
              <w:spacing w:beforeAutospacing="0" w:afterAutospacing="0" w:line="260" w:lineRule="exact"/>
              <w:ind w:left="638" w:leftChars="88" w:right="0" w:rightChars="0" w:hanging="453" w:hangingChars="349"/>
              <w:jc w:val="center"/>
              <w:textAlignment w:val="center"/>
              <w:rPr>
                <w:rFonts w:hint="default" w:ascii="仿宋_GB2312" w:hAnsi="宋体" w:eastAsia="仿宋_GB2312" w:cs="宋体"/>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373</w:t>
            </w:r>
          </w:p>
        </w:tc>
        <w:tc>
          <w:tcPr>
            <w:tcW w:w="1550" w:type="dxa"/>
            <w:vMerge w:val="restart"/>
            <w:tcBorders>
              <w:tl2br w:val="nil"/>
              <w:tr2bl w:val="nil"/>
            </w:tcBorders>
            <w:vAlign w:val="center"/>
          </w:tcPr>
          <w:p w14:paraId="29A691E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rPr>
                <w:rFonts w:ascii="仿宋_GB2312" w:hAnsi="宋体" w:eastAsia="仿宋_GB2312" w:cs="宋体"/>
                <w:color w:val="auto"/>
                <w:sz w:val="13"/>
                <w:szCs w:val="13"/>
                <w:highlight w:val="none"/>
              </w:rPr>
            </w:pPr>
            <w:r>
              <w:rPr>
                <w:rFonts w:hint="eastAsia" w:ascii="仿宋_GB2312" w:hAnsi="宋体" w:eastAsia="仿宋_GB2312" w:cs="宋体"/>
                <w:color w:val="auto"/>
                <w:sz w:val="13"/>
                <w:szCs w:val="13"/>
                <w:highlight w:val="none"/>
              </w:rPr>
              <w:t>畜禽养殖场、养殖小区利用未经无害化处理的厨余垃圾饲喂畜禽的</w:t>
            </w:r>
          </w:p>
        </w:tc>
        <w:tc>
          <w:tcPr>
            <w:tcW w:w="4820" w:type="dxa"/>
            <w:vMerge w:val="restart"/>
            <w:tcBorders>
              <w:tl2br w:val="nil"/>
              <w:tr2bl w:val="nil"/>
            </w:tcBorders>
            <w:vAlign w:val="center"/>
          </w:tcPr>
          <w:p w14:paraId="2FCCF28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s="宋体"/>
                <w:color w:val="auto"/>
                <w:sz w:val="13"/>
                <w:szCs w:val="13"/>
                <w:highlight w:val="none"/>
              </w:rPr>
            </w:pPr>
            <w:r>
              <w:rPr>
                <w:rFonts w:hint="eastAsia" w:ascii="仿宋_GB2312" w:hAnsi="宋体" w:eastAsia="仿宋_GB2312" w:cs="宋体"/>
                <w:color w:val="auto"/>
                <w:sz w:val="13"/>
                <w:szCs w:val="13"/>
                <w:highlight w:val="none"/>
              </w:rPr>
              <w:t>《中华人民共和国固体废物污染环境防治法》</w:t>
            </w:r>
            <w:r>
              <w:rPr>
                <w:rFonts w:hint="eastAsia" w:ascii="仿宋_GB2312" w:hAnsi="宋体" w:eastAsia="仿宋_GB2312" w:cs="宋体"/>
                <w:b/>
                <w:bCs/>
                <w:color w:val="auto"/>
                <w:sz w:val="13"/>
                <w:szCs w:val="13"/>
                <w:highlight w:val="none"/>
              </w:rPr>
              <w:t>第一百一十一条第一款</w:t>
            </w:r>
            <w:r>
              <w:rPr>
                <w:rFonts w:hint="eastAsia" w:ascii="仿宋_GB2312" w:hAnsi="宋体" w:eastAsia="仿宋_GB2312" w:cs="宋体"/>
                <w:b/>
                <w:bCs/>
                <w:color w:val="auto"/>
                <w:sz w:val="13"/>
                <w:szCs w:val="13"/>
                <w:highlight w:val="none"/>
                <w:lang w:eastAsia="zh-CN"/>
              </w:rPr>
              <w:t>（六）</w:t>
            </w:r>
            <w:r>
              <w:rPr>
                <w:rFonts w:hint="eastAsia" w:ascii="仿宋_GB2312" w:hAnsi="宋体" w:eastAsia="仿宋_GB2312" w:cs="宋体"/>
                <w:b/>
                <w:bCs/>
                <w:color w:val="auto"/>
                <w:sz w:val="13"/>
                <w:szCs w:val="13"/>
                <w:highlight w:val="none"/>
              </w:rPr>
              <w:t>项、第一百一十一条第二款</w:t>
            </w:r>
            <w:r>
              <w:rPr>
                <w:rFonts w:hint="eastAsia" w:ascii="仿宋_GB2312" w:hAnsi="宋体" w:eastAsia="仿宋_GB2312" w:cs="宋体"/>
                <w:color w:val="auto"/>
                <w:sz w:val="13"/>
                <w:szCs w:val="13"/>
                <w:highlight w:val="none"/>
                <w:lang w:eastAsia="zh-CN"/>
              </w:rPr>
              <w:t>：</w:t>
            </w:r>
            <w:r>
              <w:rPr>
                <w:rFonts w:hint="eastAsia" w:ascii="仿宋_GB2312" w:hAnsi="宋体" w:eastAsia="仿宋_GB2312" w:cs="宋体"/>
                <w:color w:val="auto"/>
                <w:sz w:val="13"/>
                <w:szCs w:val="13"/>
                <w:highlight w:val="none"/>
              </w:rPr>
              <w:t>违反本法规定，有下列行为之一，由县级以上地方人民政府环境卫生主管部门责令改正，处以罚款，没收违法所得：（一）随意倾倒、抛撒、堆放或者焚烧生活垃圾的；（二）擅自关闭、闲置或者拆除生活垃圾处理设施、场所的；（三）工程施工单位未编制建筑垃圾处理方案报备案，或者未及时清运施工过程中产生的固体废物的；（四）工程施工单位擅自倾倒、抛撒或者堆放工程施工过程中产生的建筑垃圾，或者未按照规定对施工过程中产生的固体废物进行利用或者处置的；（五）产生、收集厨余垃圾的单位和其他生产经营者未将厨余垃圾交由具备相应资质条件的单位进行无害化处理的；（六）畜禽养殖场、养殖小区利用未经无害化处理的厨余垃圾饲喂畜禽的；（七）在运输过程中沿途丢弃、遗撒生活垃圾的。</w:t>
            </w:r>
          </w:p>
          <w:p w14:paraId="195307F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s="宋体"/>
                <w:color w:val="auto"/>
                <w:sz w:val="13"/>
                <w:szCs w:val="13"/>
                <w:highlight w:val="none"/>
              </w:rPr>
            </w:pPr>
            <w:r>
              <w:rPr>
                <w:rFonts w:hint="eastAsia" w:ascii="仿宋_GB2312" w:hAnsi="宋体" w:eastAsia="仿宋_GB2312" w:cs="宋体"/>
                <w:color w:val="auto"/>
                <w:sz w:val="13"/>
                <w:szCs w:val="13"/>
                <w:highlight w:val="none"/>
              </w:rPr>
              <w:t>单位有前款第一项、第七项行为之一，处五万元以上五十万元以下的罚款；单位有前款第二项、第三项、第四项、第五项、第六项行为之一，处十万元以上一百万元以下的罚款；个人有前款第一项、第五项、第七项行为之一，处一百元以上五百元以下的罚款。</w:t>
            </w:r>
          </w:p>
        </w:tc>
        <w:tc>
          <w:tcPr>
            <w:tcW w:w="823" w:type="dxa"/>
            <w:tcBorders>
              <w:tl2br w:val="nil"/>
              <w:tr2bl w:val="nil"/>
            </w:tcBorders>
            <w:tcMar>
              <w:top w:w="15" w:type="dxa"/>
              <w:left w:w="15" w:type="dxa"/>
              <w:bottom w:w="15" w:type="dxa"/>
              <w:right w:w="15" w:type="dxa"/>
            </w:tcMar>
            <w:vAlign w:val="center"/>
          </w:tcPr>
          <w:p w14:paraId="4FA1DF9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从轻情节</w:t>
            </w:r>
          </w:p>
        </w:tc>
        <w:tc>
          <w:tcPr>
            <w:tcW w:w="3437" w:type="dxa"/>
            <w:gridSpan w:val="2"/>
            <w:tcBorders>
              <w:tl2br w:val="nil"/>
              <w:tr2bl w:val="nil"/>
            </w:tcBorders>
            <w:tcMar>
              <w:top w:w="15" w:type="dxa"/>
              <w:left w:w="15" w:type="dxa"/>
              <w:bottom w:w="15" w:type="dxa"/>
              <w:right w:w="15" w:type="dxa"/>
            </w:tcMar>
            <w:vAlign w:val="center"/>
          </w:tcPr>
          <w:p w14:paraId="0B1A083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初次违法，危害后果轻微，主动采取措施消除或减轻违法行为危害后果。</w:t>
            </w:r>
          </w:p>
        </w:tc>
        <w:tc>
          <w:tcPr>
            <w:tcW w:w="3058" w:type="dxa"/>
            <w:tcBorders>
              <w:tl2br w:val="nil"/>
              <w:tr2bl w:val="nil"/>
            </w:tcBorders>
            <w:tcMar>
              <w:top w:w="15" w:type="dxa"/>
              <w:left w:w="15" w:type="dxa"/>
              <w:bottom w:w="15" w:type="dxa"/>
              <w:right w:w="15" w:type="dxa"/>
            </w:tcMar>
            <w:vAlign w:val="center"/>
          </w:tcPr>
          <w:p w14:paraId="2E1CDDA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责令改正，</w:t>
            </w:r>
            <w:r>
              <w:rPr>
                <w:rFonts w:hint="eastAsia" w:ascii="仿宋_GB2312" w:hAnsi="宋体" w:eastAsia="仿宋_GB2312" w:cs="宋体"/>
                <w:color w:val="auto"/>
                <w:sz w:val="13"/>
                <w:szCs w:val="13"/>
                <w:highlight w:val="none"/>
              </w:rPr>
              <w:t>对单位处10万元以上40万元以下的罚款</w:t>
            </w:r>
            <w:r>
              <w:rPr>
                <w:rFonts w:hint="eastAsia" w:ascii="仿宋_GB2312" w:hAnsi="宋体" w:eastAsia="仿宋_GB2312" w:cs="宋体"/>
                <w:color w:val="auto"/>
                <w:kern w:val="0"/>
                <w:sz w:val="13"/>
                <w:szCs w:val="13"/>
                <w:highlight w:val="none"/>
              </w:rPr>
              <w:t>，没收违法所得。</w:t>
            </w:r>
          </w:p>
          <w:p w14:paraId="3151065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宋体"/>
                <w:color w:val="auto"/>
                <w:sz w:val="13"/>
                <w:szCs w:val="13"/>
                <w:highlight w:val="none"/>
              </w:rPr>
            </w:pPr>
          </w:p>
        </w:tc>
      </w:tr>
      <w:tr w14:paraId="4E9DB0F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865" w:hRule="atLeast"/>
          <w:jc w:val="center"/>
        </w:trPr>
        <w:tc>
          <w:tcPr>
            <w:tcW w:w="428" w:type="dxa"/>
            <w:vMerge w:val="continue"/>
            <w:tcBorders>
              <w:tl2br w:val="nil"/>
              <w:tr2bl w:val="nil"/>
            </w:tcBorders>
            <w:vAlign w:val="center"/>
          </w:tcPr>
          <w:p w14:paraId="3EE52D46">
            <w:pPr>
              <w:keepNext w:val="0"/>
              <w:keepLines w:val="0"/>
              <w:pageBreakBefore w:val="0"/>
              <w:widowControl/>
              <w:kinsoku/>
              <w:overflowPunct/>
              <w:topLinePunct w:val="0"/>
              <w:autoSpaceDE/>
              <w:autoSpaceDN/>
              <w:bidi w:val="0"/>
              <w:adjustRightInd/>
              <w:snapToGrid/>
              <w:spacing w:beforeAutospacing="0" w:afterAutospacing="0" w:line="260" w:lineRule="exact"/>
              <w:ind w:left="638" w:leftChars="88" w:right="0" w:rightChars="0" w:hanging="453" w:hangingChars="349"/>
              <w:jc w:val="center"/>
              <w:textAlignment w:val="center"/>
              <w:rPr>
                <w:rFonts w:ascii="仿宋_GB2312" w:hAnsi="宋体" w:eastAsia="仿宋_GB2312" w:cs="宋体"/>
                <w:color w:val="auto"/>
                <w:sz w:val="13"/>
                <w:szCs w:val="13"/>
                <w:highlight w:val="none"/>
              </w:rPr>
            </w:pPr>
          </w:p>
        </w:tc>
        <w:tc>
          <w:tcPr>
            <w:tcW w:w="1550" w:type="dxa"/>
            <w:vMerge w:val="continue"/>
            <w:tcBorders>
              <w:tl2br w:val="nil"/>
              <w:tr2bl w:val="nil"/>
            </w:tcBorders>
            <w:vAlign w:val="center"/>
          </w:tcPr>
          <w:p w14:paraId="31C7E6A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sz w:val="13"/>
                <w:szCs w:val="13"/>
                <w:highlight w:val="none"/>
              </w:rPr>
            </w:pPr>
          </w:p>
        </w:tc>
        <w:tc>
          <w:tcPr>
            <w:tcW w:w="4820" w:type="dxa"/>
            <w:vMerge w:val="continue"/>
            <w:tcBorders>
              <w:tl2br w:val="nil"/>
              <w:tr2bl w:val="nil"/>
            </w:tcBorders>
            <w:vAlign w:val="center"/>
          </w:tcPr>
          <w:p w14:paraId="0BC2EE0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宋体"/>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4936C38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一般情节</w:t>
            </w:r>
          </w:p>
        </w:tc>
        <w:tc>
          <w:tcPr>
            <w:tcW w:w="3437" w:type="dxa"/>
            <w:gridSpan w:val="2"/>
            <w:tcBorders>
              <w:tl2br w:val="nil"/>
              <w:tr2bl w:val="nil"/>
            </w:tcBorders>
            <w:tcMar>
              <w:top w:w="15" w:type="dxa"/>
              <w:left w:w="15" w:type="dxa"/>
              <w:bottom w:w="15" w:type="dxa"/>
              <w:right w:w="15" w:type="dxa"/>
            </w:tcMar>
            <w:vAlign w:val="center"/>
          </w:tcPr>
          <w:p w14:paraId="53F51D0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不具有从轻、</w:t>
            </w:r>
            <w:r>
              <w:rPr>
                <w:rFonts w:hint="eastAsia" w:ascii="仿宋_GB2312" w:hAnsi="宋体" w:eastAsia="仿宋_GB2312" w:cs="宋体"/>
                <w:color w:val="auto"/>
                <w:kern w:val="0"/>
                <w:sz w:val="13"/>
                <w:szCs w:val="13"/>
                <w:highlight w:val="none"/>
                <w:lang w:eastAsia="zh-CN"/>
              </w:rPr>
              <w:t>从重情节</w:t>
            </w:r>
            <w:r>
              <w:rPr>
                <w:rFonts w:hint="eastAsia" w:ascii="仿宋_GB2312" w:hAnsi="宋体" w:eastAsia="仿宋_GB2312" w:cs="宋体"/>
                <w:color w:val="auto"/>
                <w:kern w:val="0"/>
                <w:sz w:val="13"/>
                <w:szCs w:val="13"/>
                <w:highlight w:val="none"/>
              </w:rPr>
              <w:t>的。</w:t>
            </w:r>
          </w:p>
        </w:tc>
        <w:tc>
          <w:tcPr>
            <w:tcW w:w="3058" w:type="dxa"/>
            <w:tcBorders>
              <w:tl2br w:val="nil"/>
              <w:tr2bl w:val="nil"/>
            </w:tcBorders>
            <w:tcMar>
              <w:top w:w="15" w:type="dxa"/>
              <w:left w:w="15" w:type="dxa"/>
              <w:bottom w:w="15" w:type="dxa"/>
              <w:right w:w="15" w:type="dxa"/>
            </w:tcMar>
            <w:vAlign w:val="center"/>
          </w:tcPr>
          <w:p w14:paraId="0712861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责令改正，</w:t>
            </w:r>
            <w:r>
              <w:rPr>
                <w:rFonts w:hint="eastAsia" w:ascii="仿宋_GB2312" w:hAnsi="宋体" w:eastAsia="仿宋_GB2312" w:cs="宋体"/>
                <w:color w:val="auto"/>
                <w:sz w:val="13"/>
                <w:szCs w:val="13"/>
                <w:highlight w:val="none"/>
              </w:rPr>
              <w:t>对单位处40万元以上70万元以下的罚款</w:t>
            </w:r>
            <w:r>
              <w:rPr>
                <w:rFonts w:hint="eastAsia" w:ascii="仿宋_GB2312" w:hAnsi="宋体" w:eastAsia="仿宋_GB2312" w:cs="宋体"/>
                <w:color w:val="auto"/>
                <w:kern w:val="0"/>
                <w:sz w:val="13"/>
                <w:szCs w:val="13"/>
                <w:highlight w:val="none"/>
              </w:rPr>
              <w:t>，没收违法所得。</w:t>
            </w:r>
          </w:p>
        </w:tc>
      </w:tr>
      <w:tr w14:paraId="074F254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403" w:hRule="atLeast"/>
          <w:jc w:val="center"/>
        </w:trPr>
        <w:tc>
          <w:tcPr>
            <w:tcW w:w="428" w:type="dxa"/>
            <w:vMerge w:val="continue"/>
            <w:tcBorders>
              <w:tl2br w:val="nil"/>
              <w:tr2bl w:val="nil"/>
            </w:tcBorders>
            <w:vAlign w:val="center"/>
          </w:tcPr>
          <w:p w14:paraId="52DA10BF">
            <w:pPr>
              <w:keepNext w:val="0"/>
              <w:keepLines w:val="0"/>
              <w:pageBreakBefore w:val="0"/>
              <w:widowControl/>
              <w:kinsoku/>
              <w:overflowPunct/>
              <w:topLinePunct w:val="0"/>
              <w:autoSpaceDE/>
              <w:autoSpaceDN/>
              <w:bidi w:val="0"/>
              <w:adjustRightInd/>
              <w:snapToGrid/>
              <w:spacing w:beforeAutospacing="0" w:afterAutospacing="0" w:line="260" w:lineRule="exact"/>
              <w:ind w:left="638" w:leftChars="88" w:right="0" w:rightChars="0" w:hanging="453" w:hangingChars="349"/>
              <w:jc w:val="center"/>
              <w:textAlignment w:val="center"/>
              <w:rPr>
                <w:rFonts w:ascii="仿宋_GB2312" w:hAnsi="宋体" w:eastAsia="仿宋_GB2312" w:cs="宋体"/>
                <w:color w:val="auto"/>
                <w:kern w:val="0"/>
                <w:sz w:val="13"/>
                <w:szCs w:val="13"/>
                <w:highlight w:val="none"/>
              </w:rPr>
            </w:pPr>
          </w:p>
        </w:tc>
        <w:tc>
          <w:tcPr>
            <w:tcW w:w="1550" w:type="dxa"/>
            <w:vMerge w:val="continue"/>
            <w:tcBorders>
              <w:tl2br w:val="nil"/>
              <w:tr2bl w:val="nil"/>
            </w:tcBorders>
            <w:vAlign w:val="center"/>
          </w:tcPr>
          <w:p w14:paraId="5F7C46D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宋体"/>
                <w:color w:val="auto"/>
                <w:kern w:val="0"/>
                <w:sz w:val="13"/>
                <w:szCs w:val="13"/>
                <w:highlight w:val="none"/>
              </w:rPr>
            </w:pPr>
          </w:p>
        </w:tc>
        <w:tc>
          <w:tcPr>
            <w:tcW w:w="4820" w:type="dxa"/>
            <w:vMerge w:val="continue"/>
            <w:tcBorders>
              <w:tl2br w:val="nil"/>
              <w:tr2bl w:val="nil"/>
            </w:tcBorders>
            <w:vAlign w:val="center"/>
          </w:tcPr>
          <w:p w14:paraId="7507D6F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宋体"/>
                <w:color w:val="auto"/>
                <w:kern w:val="0"/>
                <w:sz w:val="13"/>
                <w:szCs w:val="13"/>
                <w:highlight w:val="none"/>
              </w:rPr>
            </w:pPr>
          </w:p>
        </w:tc>
        <w:tc>
          <w:tcPr>
            <w:tcW w:w="823" w:type="dxa"/>
            <w:tcBorders>
              <w:tl2br w:val="nil"/>
              <w:tr2bl w:val="nil"/>
            </w:tcBorders>
            <w:tcMar>
              <w:top w:w="15" w:type="dxa"/>
              <w:left w:w="15" w:type="dxa"/>
              <w:bottom w:w="15" w:type="dxa"/>
              <w:right w:w="15" w:type="dxa"/>
            </w:tcMar>
            <w:vAlign w:val="center"/>
          </w:tcPr>
          <w:p w14:paraId="3A69E24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从重情节</w:t>
            </w:r>
          </w:p>
        </w:tc>
        <w:tc>
          <w:tcPr>
            <w:tcW w:w="3437" w:type="dxa"/>
            <w:gridSpan w:val="2"/>
            <w:tcBorders>
              <w:tl2br w:val="nil"/>
              <w:tr2bl w:val="nil"/>
            </w:tcBorders>
            <w:tcMar>
              <w:top w:w="15" w:type="dxa"/>
              <w:left w:w="15" w:type="dxa"/>
              <w:bottom w:w="15" w:type="dxa"/>
              <w:right w:w="15" w:type="dxa"/>
            </w:tcMar>
            <w:vAlign w:val="center"/>
          </w:tcPr>
          <w:p w14:paraId="29A340E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left"/>
              <w:textAlignment w:val="center"/>
              <w:rPr>
                <w:rFonts w:ascii="仿宋_GB2312" w:hAnsi="宋体" w:eastAsia="仿宋_GB2312" w:cs="宋体"/>
                <w:color w:val="auto"/>
                <w:sz w:val="13"/>
                <w:szCs w:val="13"/>
                <w:highlight w:val="none"/>
              </w:rPr>
            </w:pPr>
            <w:r>
              <w:rPr>
                <w:rFonts w:hint="eastAsia" w:ascii="仿宋_GB2312" w:hAnsi="宋体" w:eastAsia="仿宋_GB2312" w:cs="Times New Roman"/>
                <w:color w:val="auto"/>
                <w:kern w:val="0"/>
                <w:sz w:val="13"/>
                <w:szCs w:val="13"/>
                <w:highlight w:val="none"/>
                <w:lang w:val="en-US" w:eastAsia="zh-CN"/>
              </w:rPr>
              <w:t>有下列情形之一的：</w:t>
            </w:r>
            <w:r>
              <w:rPr>
                <w:rFonts w:hint="eastAsia" w:ascii="仿宋_GB2312" w:hAnsi="宋体" w:eastAsia="仿宋_GB2312" w:cs="宋体"/>
                <w:color w:val="auto"/>
                <w:kern w:val="0"/>
                <w:sz w:val="13"/>
                <w:szCs w:val="13"/>
                <w:highlight w:val="none"/>
              </w:rPr>
              <w:t>（1）经责令停止违法行为后，继续实施违法行为的；（2）曾因实施该违法行为被查处，再次实施该违法行为的；（3）造成重大社会影响或危害后果的。</w:t>
            </w:r>
          </w:p>
        </w:tc>
        <w:tc>
          <w:tcPr>
            <w:tcW w:w="3058" w:type="dxa"/>
            <w:tcBorders>
              <w:tl2br w:val="nil"/>
              <w:tr2bl w:val="nil"/>
            </w:tcBorders>
            <w:tcMar>
              <w:top w:w="15" w:type="dxa"/>
              <w:left w:w="15" w:type="dxa"/>
              <w:bottom w:w="15" w:type="dxa"/>
              <w:right w:w="15" w:type="dxa"/>
            </w:tcMar>
            <w:vAlign w:val="center"/>
          </w:tcPr>
          <w:p w14:paraId="7C487FF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责令改正，</w:t>
            </w:r>
            <w:r>
              <w:rPr>
                <w:rFonts w:hint="eastAsia" w:ascii="仿宋_GB2312" w:hAnsi="宋体" w:eastAsia="仿宋_GB2312" w:cs="宋体"/>
                <w:color w:val="auto"/>
                <w:sz w:val="13"/>
                <w:szCs w:val="13"/>
                <w:highlight w:val="none"/>
              </w:rPr>
              <w:t>对单位处70万元以上100万元以下的罚款</w:t>
            </w:r>
            <w:r>
              <w:rPr>
                <w:rFonts w:hint="eastAsia" w:ascii="仿宋_GB2312" w:hAnsi="宋体" w:eastAsia="仿宋_GB2312" w:cs="宋体"/>
                <w:color w:val="auto"/>
                <w:kern w:val="0"/>
                <w:sz w:val="13"/>
                <w:szCs w:val="13"/>
                <w:highlight w:val="none"/>
              </w:rPr>
              <w:t>，没收违法所得。</w:t>
            </w:r>
          </w:p>
        </w:tc>
      </w:tr>
      <w:tr w14:paraId="765F6AD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397" w:hRule="atLeast"/>
          <w:jc w:val="center"/>
        </w:trPr>
        <w:tc>
          <w:tcPr>
            <w:tcW w:w="428" w:type="dxa"/>
            <w:vMerge w:val="restart"/>
            <w:tcBorders>
              <w:tl2br w:val="nil"/>
              <w:tr2bl w:val="nil"/>
            </w:tcBorders>
            <w:vAlign w:val="center"/>
          </w:tcPr>
          <w:p w14:paraId="04FC66EA">
            <w:pPr>
              <w:keepNext w:val="0"/>
              <w:keepLines w:val="0"/>
              <w:pageBreakBefore w:val="0"/>
              <w:widowControl/>
              <w:numPr>
                <w:ilvl w:val="0"/>
                <w:numId w:val="11"/>
              </w:numPr>
              <w:suppressLineNumbers w:val="0"/>
              <w:tabs>
                <w:tab w:val="clear" w:pos="397"/>
              </w:tabs>
              <w:kinsoku/>
              <w:overflowPunct/>
              <w:topLinePunct w:val="0"/>
              <w:autoSpaceDE/>
              <w:autoSpaceDN/>
              <w:bidi w:val="0"/>
              <w:adjustRightInd/>
              <w:snapToGrid/>
              <w:spacing w:beforeAutospacing="0" w:afterAutospacing="0" w:line="260" w:lineRule="exact"/>
              <w:ind w:left="638" w:leftChars="88" w:right="0" w:rightChars="0" w:hanging="453" w:hangingChars="349"/>
              <w:jc w:val="center"/>
              <w:textAlignment w:val="center"/>
              <w:rPr>
                <w:rFonts w:hint="default" w:ascii="仿宋_GB2312" w:hAnsi="宋体" w:eastAsia="仿宋_GB2312" w:cs="宋体"/>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374</w:t>
            </w:r>
          </w:p>
        </w:tc>
        <w:tc>
          <w:tcPr>
            <w:tcW w:w="1550" w:type="dxa"/>
            <w:vMerge w:val="restart"/>
            <w:tcBorders>
              <w:tl2br w:val="nil"/>
              <w:tr2bl w:val="nil"/>
            </w:tcBorders>
            <w:vAlign w:val="center"/>
          </w:tcPr>
          <w:p w14:paraId="3775127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s="宋体"/>
                <w:color w:val="auto"/>
                <w:sz w:val="13"/>
                <w:szCs w:val="13"/>
                <w:highlight w:val="none"/>
              </w:rPr>
            </w:pPr>
            <w:r>
              <w:rPr>
                <w:rFonts w:hint="eastAsia" w:ascii="仿宋_GB2312" w:hAnsi="宋体" w:eastAsia="仿宋_GB2312" w:cs="宋体"/>
                <w:color w:val="auto"/>
                <w:sz w:val="13"/>
                <w:szCs w:val="13"/>
                <w:highlight w:val="none"/>
              </w:rPr>
              <w:t>在运输过程中沿途丢弃、遗撒生活垃圾的</w:t>
            </w:r>
          </w:p>
        </w:tc>
        <w:tc>
          <w:tcPr>
            <w:tcW w:w="4820" w:type="dxa"/>
            <w:vMerge w:val="restart"/>
            <w:tcBorders>
              <w:tl2br w:val="nil"/>
              <w:tr2bl w:val="nil"/>
            </w:tcBorders>
            <w:vAlign w:val="center"/>
          </w:tcPr>
          <w:p w14:paraId="6DEDA33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s="宋体"/>
                <w:color w:val="auto"/>
                <w:sz w:val="13"/>
                <w:szCs w:val="13"/>
                <w:highlight w:val="none"/>
              </w:rPr>
            </w:pPr>
            <w:r>
              <w:rPr>
                <w:rFonts w:hint="eastAsia" w:ascii="仿宋_GB2312" w:hAnsi="宋体" w:eastAsia="仿宋_GB2312" w:cs="宋体"/>
                <w:color w:val="auto"/>
                <w:sz w:val="13"/>
                <w:szCs w:val="13"/>
                <w:highlight w:val="none"/>
              </w:rPr>
              <w:t>《中华人民共和国固体废物污染环境防治法》</w:t>
            </w:r>
            <w:r>
              <w:rPr>
                <w:rFonts w:hint="eastAsia" w:ascii="仿宋_GB2312" w:hAnsi="宋体" w:eastAsia="仿宋_GB2312" w:cs="宋体"/>
                <w:b/>
                <w:bCs/>
                <w:color w:val="auto"/>
                <w:sz w:val="13"/>
                <w:szCs w:val="13"/>
                <w:highlight w:val="none"/>
              </w:rPr>
              <w:t>第一百一十一条第一款</w:t>
            </w:r>
            <w:r>
              <w:rPr>
                <w:rFonts w:hint="eastAsia" w:ascii="仿宋_GB2312" w:hAnsi="宋体" w:eastAsia="仿宋_GB2312" w:cs="宋体"/>
                <w:b/>
                <w:bCs/>
                <w:color w:val="auto"/>
                <w:sz w:val="13"/>
                <w:szCs w:val="13"/>
                <w:highlight w:val="none"/>
                <w:lang w:eastAsia="zh-CN"/>
              </w:rPr>
              <w:t>（七）</w:t>
            </w:r>
            <w:r>
              <w:rPr>
                <w:rFonts w:hint="eastAsia" w:ascii="仿宋_GB2312" w:hAnsi="宋体" w:eastAsia="仿宋_GB2312" w:cs="宋体"/>
                <w:b/>
                <w:bCs/>
                <w:color w:val="auto"/>
                <w:sz w:val="13"/>
                <w:szCs w:val="13"/>
                <w:highlight w:val="none"/>
              </w:rPr>
              <w:t>项、第一百一十一条第二款</w:t>
            </w:r>
            <w:r>
              <w:rPr>
                <w:rFonts w:hint="eastAsia" w:ascii="仿宋_GB2312" w:hAnsi="宋体" w:eastAsia="仿宋_GB2312" w:cs="宋体"/>
                <w:b/>
                <w:bCs/>
                <w:color w:val="auto"/>
                <w:sz w:val="13"/>
                <w:szCs w:val="13"/>
                <w:highlight w:val="none"/>
                <w:lang w:eastAsia="zh-CN"/>
              </w:rPr>
              <w:t>：</w:t>
            </w:r>
            <w:r>
              <w:rPr>
                <w:rFonts w:hint="eastAsia" w:ascii="仿宋_GB2312" w:hAnsi="宋体" w:eastAsia="仿宋_GB2312" w:cs="宋体"/>
                <w:color w:val="auto"/>
                <w:sz w:val="13"/>
                <w:szCs w:val="13"/>
                <w:highlight w:val="none"/>
              </w:rPr>
              <w:t>违反本法规定，有下列行为之一，由县级以上地方人民政府环境卫生主管部门责令改正，处以罚款，没收违法所得：（一）随意倾倒、抛撒、堆放或者焚烧生活垃圾的；（二）擅自关闭、闲置或者拆除生活垃圾处理设施、场所的；（三）工程施工单位未编制建筑垃圾处理方案报备案，或者未及时清运施工过程中产生的固体废物的；（四）工程施工单位擅自倾倒、抛撒或者堆放工程施工过程中产生的建筑垃圾，或者未按照规定对施工过程中产生的固体废物进行利用或者处置的；（五）产生、收集厨余垃圾的单位和其他生产经营者未将厨余垃圾交由具备相应资质条件的单位进行无害化处理的；（六）畜禽养殖场、养殖小区利用未经无害化处理的厨余垃圾饲喂畜禽的；（七）在运输过程中沿途丢弃、遗撒生活垃圾的。</w:t>
            </w:r>
          </w:p>
          <w:p w14:paraId="2B8056D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s="宋体"/>
                <w:color w:val="auto"/>
                <w:sz w:val="13"/>
                <w:szCs w:val="13"/>
                <w:highlight w:val="none"/>
              </w:rPr>
            </w:pPr>
            <w:r>
              <w:rPr>
                <w:rFonts w:hint="eastAsia" w:ascii="仿宋_GB2312" w:hAnsi="宋体" w:eastAsia="仿宋_GB2312" w:cs="宋体"/>
                <w:color w:val="auto"/>
                <w:sz w:val="13"/>
                <w:szCs w:val="13"/>
                <w:highlight w:val="none"/>
              </w:rPr>
              <w:t>单位有前款第一项、第七项行为之一，处五万元以上五十万元以下的罚款；单位有前款第二项、第三项、第四项、第五项、第六项行为之一，处十万元以上一百万元以下的罚款；个人有前款第一项、第五项、第七项行为之一，处一百元以上五百元以下的罚款。</w:t>
            </w:r>
          </w:p>
        </w:tc>
        <w:tc>
          <w:tcPr>
            <w:tcW w:w="823" w:type="dxa"/>
            <w:vMerge w:val="restart"/>
            <w:tcBorders>
              <w:tl2br w:val="nil"/>
              <w:tr2bl w:val="nil"/>
            </w:tcBorders>
            <w:tcMar>
              <w:top w:w="15" w:type="dxa"/>
              <w:left w:w="15" w:type="dxa"/>
              <w:bottom w:w="15" w:type="dxa"/>
              <w:right w:w="15" w:type="dxa"/>
            </w:tcMar>
            <w:vAlign w:val="center"/>
          </w:tcPr>
          <w:p w14:paraId="255CAE7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从轻情节</w:t>
            </w:r>
          </w:p>
        </w:tc>
        <w:tc>
          <w:tcPr>
            <w:tcW w:w="3437" w:type="dxa"/>
            <w:gridSpan w:val="2"/>
            <w:tcBorders>
              <w:tl2br w:val="nil"/>
              <w:tr2bl w:val="nil"/>
            </w:tcBorders>
            <w:tcMar>
              <w:top w:w="15" w:type="dxa"/>
              <w:left w:w="15" w:type="dxa"/>
              <w:bottom w:w="15" w:type="dxa"/>
              <w:right w:w="15" w:type="dxa"/>
            </w:tcMar>
            <w:vAlign w:val="center"/>
          </w:tcPr>
          <w:p w14:paraId="16FE8A9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s="宋体"/>
                <w:color w:val="auto"/>
                <w:kern w:val="0"/>
                <w:sz w:val="13"/>
                <w:szCs w:val="13"/>
                <w:highlight w:val="none"/>
              </w:rPr>
            </w:pPr>
            <w:r>
              <w:rPr>
                <w:rFonts w:hint="eastAsia" w:ascii="仿宋_GB2312" w:hAnsi="宋体" w:eastAsia="仿宋_GB2312" w:cs="宋体"/>
                <w:color w:val="auto"/>
                <w:kern w:val="0"/>
                <w:sz w:val="13"/>
                <w:szCs w:val="13"/>
                <w:highlight w:val="none"/>
              </w:rPr>
              <w:t>丢弃、遗撒生活垃圾污染路面10平方米以下的。</w:t>
            </w:r>
          </w:p>
        </w:tc>
        <w:tc>
          <w:tcPr>
            <w:tcW w:w="3058" w:type="dxa"/>
            <w:tcBorders>
              <w:tl2br w:val="nil"/>
              <w:tr2bl w:val="nil"/>
            </w:tcBorders>
            <w:tcMar>
              <w:top w:w="15" w:type="dxa"/>
              <w:left w:w="15" w:type="dxa"/>
              <w:bottom w:w="15" w:type="dxa"/>
              <w:right w:w="15" w:type="dxa"/>
            </w:tcMar>
            <w:vAlign w:val="center"/>
          </w:tcPr>
          <w:p w14:paraId="7934EE5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sz w:val="13"/>
                <w:szCs w:val="13"/>
                <w:highlight w:val="none"/>
              </w:rPr>
              <w:t>责令改正，</w:t>
            </w:r>
            <w:r>
              <w:rPr>
                <w:rFonts w:hint="eastAsia" w:ascii="仿宋_GB2312" w:hAnsi="宋体" w:eastAsia="仿宋_GB2312" w:cs="宋体"/>
                <w:color w:val="auto"/>
                <w:kern w:val="0"/>
                <w:sz w:val="13"/>
                <w:szCs w:val="13"/>
                <w:highlight w:val="none"/>
              </w:rPr>
              <w:t>对单位处以5万元罚款，对个人处以100元罚款，</w:t>
            </w:r>
            <w:r>
              <w:rPr>
                <w:rFonts w:hint="eastAsia" w:ascii="仿宋_GB2312" w:hAnsi="宋体" w:eastAsia="仿宋_GB2312" w:cs="宋体"/>
                <w:color w:val="auto"/>
                <w:sz w:val="13"/>
                <w:szCs w:val="13"/>
                <w:highlight w:val="none"/>
              </w:rPr>
              <w:t>没收违法所得。</w:t>
            </w:r>
          </w:p>
        </w:tc>
      </w:tr>
      <w:tr w14:paraId="3420376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415" w:hRule="atLeast"/>
          <w:jc w:val="center"/>
        </w:trPr>
        <w:tc>
          <w:tcPr>
            <w:tcW w:w="428" w:type="dxa"/>
            <w:vMerge w:val="continue"/>
            <w:tcBorders>
              <w:tl2br w:val="nil"/>
              <w:tr2bl w:val="nil"/>
            </w:tcBorders>
            <w:vAlign w:val="center"/>
          </w:tcPr>
          <w:p w14:paraId="434434C2">
            <w:pPr>
              <w:keepNext w:val="0"/>
              <w:keepLines w:val="0"/>
              <w:pageBreakBefore w:val="0"/>
              <w:widowControl/>
              <w:kinsoku/>
              <w:overflowPunct/>
              <w:topLinePunct w:val="0"/>
              <w:autoSpaceDE/>
              <w:autoSpaceDN/>
              <w:bidi w:val="0"/>
              <w:adjustRightInd/>
              <w:snapToGrid/>
              <w:spacing w:beforeAutospacing="0" w:afterAutospacing="0" w:line="260" w:lineRule="exact"/>
              <w:ind w:left="638" w:leftChars="88" w:right="0" w:rightChars="0" w:hanging="453" w:hangingChars="349"/>
              <w:jc w:val="center"/>
              <w:textAlignment w:val="center"/>
              <w:rPr>
                <w:rFonts w:ascii="仿宋_GB2312" w:hAnsi="宋体" w:eastAsia="仿宋_GB2312" w:cs="宋体"/>
                <w:color w:val="auto"/>
                <w:sz w:val="13"/>
                <w:szCs w:val="13"/>
                <w:highlight w:val="none"/>
              </w:rPr>
            </w:pPr>
          </w:p>
        </w:tc>
        <w:tc>
          <w:tcPr>
            <w:tcW w:w="1550" w:type="dxa"/>
            <w:vMerge w:val="continue"/>
            <w:tcBorders>
              <w:tl2br w:val="nil"/>
              <w:tr2bl w:val="nil"/>
            </w:tcBorders>
            <w:vAlign w:val="center"/>
          </w:tcPr>
          <w:p w14:paraId="183E560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宋体"/>
                <w:color w:val="auto"/>
                <w:sz w:val="13"/>
                <w:szCs w:val="13"/>
                <w:highlight w:val="none"/>
              </w:rPr>
            </w:pPr>
          </w:p>
        </w:tc>
        <w:tc>
          <w:tcPr>
            <w:tcW w:w="4820" w:type="dxa"/>
            <w:vMerge w:val="continue"/>
            <w:tcBorders>
              <w:tl2br w:val="nil"/>
              <w:tr2bl w:val="nil"/>
            </w:tcBorders>
            <w:vAlign w:val="center"/>
          </w:tcPr>
          <w:p w14:paraId="505048B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宋体"/>
                <w:color w:val="auto"/>
                <w:sz w:val="13"/>
                <w:szCs w:val="13"/>
                <w:highlight w:val="none"/>
              </w:rPr>
            </w:pPr>
          </w:p>
        </w:tc>
        <w:tc>
          <w:tcPr>
            <w:tcW w:w="823" w:type="dxa"/>
            <w:vMerge w:val="continue"/>
            <w:tcBorders>
              <w:tl2br w:val="nil"/>
              <w:tr2bl w:val="nil"/>
            </w:tcBorders>
            <w:tcMar>
              <w:top w:w="15" w:type="dxa"/>
              <w:left w:w="15" w:type="dxa"/>
              <w:bottom w:w="15" w:type="dxa"/>
              <w:right w:w="15" w:type="dxa"/>
            </w:tcMar>
            <w:vAlign w:val="center"/>
          </w:tcPr>
          <w:p w14:paraId="5E351C5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宋体"/>
                <w:color w:val="auto"/>
                <w:sz w:val="13"/>
                <w:szCs w:val="13"/>
                <w:highlight w:val="none"/>
              </w:rPr>
            </w:pPr>
          </w:p>
        </w:tc>
        <w:tc>
          <w:tcPr>
            <w:tcW w:w="3437" w:type="dxa"/>
            <w:gridSpan w:val="2"/>
            <w:tcBorders>
              <w:tl2br w:val="nil"/>
              <w:tr2bl w:val="nil"/>
            </w:tcBorders>
            <w:tcMar>
              <w:top w:w="15" w:type="dxa"/>
              <w:left w:w="15" w:type="dxa"/>
              <w:bottom w:w="15" w:type="dxa"/>
              <w:right w:w="15" w:type="dxa"/>
            </w:tcMar>
            <w:vAlign w:val="center"/>
          </w:tcPr>
          <w:p w14:paraId="46CC54E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s="宋体"/>
                <w:color w:val="auto"/>
                <w:kern w:val="0"/>
                <w:sz w:val="13"/>
                <w:szCs w:val="13"/>
                <w:highlight w:val="none"/>
              </w:rPr>
            </w:pPr>
            <w:r>
              <w:rPr>
                <w:rFonts w:hint="eastAsia" w:ascii="仿宋_GB2312" w:hAnsi="宋体" w:eastAsia="仿宋_GB2312" w:cs="宋体"/>
                <w:color w:val="auto"/>
                <w:kern w:val="0"/>
                <w:sz w:val="13"/>
                <w:szCs w:val="13"/>
                <w:highlight w:val="none"/>
              </w:rPr>
              <w:t>丢弃、遗撒生活垃圾污染路面10平方米以上20平方米以下的。</w:t>
            </w:r>
          </w:p>
        </w:tc>
        <w:tc>
          <w:tcPr>
            <w:tcW w:w="3058" w:type="dxa"/>
            <w:tcBorders>
              <w:tl2br w:val="nil"/>
              <w:tr2bl w:val="nil"/>
            </w:tcBorders>
            <w:tcMar>
              <w:top w:w="15" w:type="dxa"/>
              <w:left w:w="15" w:type="dxa"/>
              <w:bottom w:w="15" w:type="dxa"/>
              <w:right w:w="15" w:type="dxa"/>
            </w:tcMar>
            <w:vAlign w:val="center"/>
          </w:tcPr>
          <w:p w14:paraId="535567B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s="宋体"/>
                <w:color w:val="auto"/>
                <w:kern w:val="0"/>
                <w:sz w:val="13"/>
                <w:szCs w:val="13"/>
                <w:highlight w:val="none"/>
              </w:rPr>
            </w:pPr>
            <w:r>
              <w:rPr>
                <w:rFonts w:hint="eastAsia" w:ascii="仿宋_GB2312" w:hAnsi="宋体" w:eastAsia="仿宋_GB2312" w:cs="宋体"/>
                <w:color w:val="auto"/>
                <w:sz w:val="13"/>
                <w:szCs w:val="13"/>
                <w:highlight w:val="none"/>
              </w:rPr>
              <w:t>责令改正，</w:t>
            </w:r>
            <w:r>
              <w:rPr>
                <w:rFonts w:hint="eastAsia" w:ascii="仿宋_GB2312" w:hAnsi="宋体" w:eastAsia="仿宋_GB2312" w:cs="宋体"/>
                <w:color w:val="auto"/>
                <w:kern w:val="0"/>
                <w:sz w:val="13"/>
                <w:szCs w:val="13"/>
                <w:highlight w:val="none"/>
              </w:rPr>
              <w:t>对单位处以5万元以上10万元以下罚款，对个人处以150元罚款，</w:t>
            </w:r>
            <w:r>
              <w:rPr>
                <w:rFonts w:hint="eastAsia" w:ascii="仿宋_GB2312" w:hAnsi="宋体" w:eastAsia="仿宋_GB2312" w:cs="宋体"/>
                <w:color w:val="auto"/>
                <w:sz w:val="13"/>
                <w:szCs w:val="13"/>
                <w:highlight w:val="none"/>
              </w:rPr>
              <w:t>没收违法所得。</w:t>
            </w:r>
          </w:p>
        </w:tc>
      </w:tr>
      <w:tr w14:paraId="22F93B1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489" w:hRule="atLeast"/>
          <w:jc w:val="center"/>
        </w:trPr>
        <w:tc>
          <w:tcPr>
            <w:tcW w:w="428" w:type="dxa"/>
            <w:vMerge w:val="continue"/>
            <w:tcBorders>
              <w:tl2br w:val="nil"/>
              <w:tr2bl w:val="nil"/>
            </w:tcBorders>
            <w:vAlign w:val="center"/>
          </w:tcPr>
          <w:p w14:paraId="210DBE8D">
            <w:pPr>
              <w:keepNext w:val="0"/>
              <w:keepLines w:val="0"/>
              <w:pageBreakBefore w:val="0"/>
              <w:widowControl/>
              <w:kinsoku/>
              <w:overflowPunct/>
              <w:topLinePunct w:val="0"/>
              <w:autoSpaceDE/>
              <w:autoSpaceDN/>
              <w:bidi w:val="0"/>
              <w:adjustRightInd/>
              <w:snapToGrid/>
              <w:spacing w:beforeAutospacing="0" w:afterAutospacing="0" w:line="260" w:lineRule="exact"/>
              <w:ind w:left="638" w:leftChars="88" w:right="0" w:rightChars="0" w:hanging="453" w:hangingChars="349"/>
              <w:jc w:val="center"/>
              <w:textAlignment w:val="center"/>
              <w:rPr>
                <w:rFonts w:ascii="仿宋_GB2312" w:hAnsi="宋体" w:eastAsia="仿宋_GB2312" w:cs="宋体"/>
                <w:color w:val="auto"/>
                <w:sz w:val="13"/>
                <w:szCs w:val="13"/>
                <w:highlight w:val="none"/>
              </w:rPr>
            </w:pPr>
          </w:p>
        </w:tc>
        <w:tc>
          <w:tcPr>
            <w:tcW w:w="1550" w:type="dxa"/>
            <w:vMerge w:val="continue"/>
            <w:tcBorders>
              <w:tl2br w:val="nil"/>
              <w:tr2bl w:val="nil"/>
            </w:tcBorders>
            <w:vAlign w:val="center"/>
          </w:tcPr>
          <w:p w14:paraId="3AC89A4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宋体"/>
                <w:color w:val="auto"/>
                <w:sz w:val="13"/>
                <w:szCs w:val="13"/>
                <w:highlight w:val="none"/>
              </w:rPr>
            </w:pPr>
          </w:p>
        </w:tc>
        <w:tc>
          <w:tcPr>
            <w:tcW w:w="4820" w:type="dxa"/>
            <w:vMerge w:val="continue"/>
            <w:tcBorders>
              <w:tl2br w:val="nil"/>
              <w:tr2bl w:val="nil"/>
            </w:tcBorders>
            <w:vAlign w:val="center"/>
          </w:tcPr>
          <w:p w14:paraId="3BFAF54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宋体"/>
                <w:color w:val="auto"/>
                <w:sz w:val="13"/>
                <w:szCs w:val="13"/>
                <w:highlight w:val="none"/>
              </w:rPr>
            </w:pPr>
          </w:p>
        </w:tc>
        <w:tc>
          <w:tcPr>
            <w:tcW w:w="823" w:type="dxa"/>
            <w:vMerge w:val="restart"/>
            <w:tcBorders>
              <w:tl2br w:val="nil"/>
              <w:tr2bl w:val="nil"/>
            </w:tcBorders>
            <w:tcMar>
              <w:top w:w="15" w:type="dxa"/>
              <w:left w:w="15" w:type="dxa"/>
              <w:bottom w:w="15" w:type="dxa"/>
              <w:right w:w="15" w:type="dxa"/>
            </w:tcMar>
            <w:vAlign w:val="center"/>
          </w:tcPr>
          <w:p w14:paraId="0116EDF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一般情节</w:t>
            </w:r>
          </w:p>
        </w:tc>
        <w:tc>
          <w:tcPr>
            <w:tcW w:w="3437" w:type="dxa"/>
            <w:gridSpan w:val="2"/>
            <w:tcBorders>
              <w:tl2br w:val="nil"/>
              <w:tr2bl w:val="nil"/>
            </w:tcBorders>
            <w:tcMar>
              <w:top w:w="15" w:type="dxa"/>
              <w:left w:w="15" w:type="dxa"/>
              <w:bottom w:w="15" w:type="dxa"/>
              <w:right w:w="15" w:type="dxa"/>
            </w:tcMar>
            <w:vAlign w:val="center"/>
          </w:tcPr>
          <w:p w14:paraId="0D0B812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s="宋体"/>
                <w:color w:val="auto"/>
                <w:kern w:val="0"/>
                <w:sz w:val="13"/>
                <w:szCs w:val="13"/>
                <w:highlight w:val="none"/>
              </w:rPr>
            </w:pPr>
            <w:r>
              <w:rPr>
                <w:rFonts w:hint="eastAsia" w:ascii="仿宋_GB2312" w:hAnsi="宋体" w:eastAsia="仿宋_GB2312" w:cs="宋体"/>
                <w:color w:val="auto"/>
                <w:kern w:val="0"/>
                <w:sz w:val="13"/>
                <w:szCs w:val="13"/>
                <w:highlight w:val="none"/>
              </w:rPr>
              <w:t>丢弃、遗撒生活垃圾污染路面20平方米以上30平方米以下的。</w:t>
            </w:r>
          </w:p>
        </w:tc>
        <w:tc>
          <w:tcPr>
            <w:tcW w:w="3058" w:type="dxa"/>
            <w:tcBorders>
              <w:tl2br w:val="nil"/>
              <w:tr2bl w:val="nil"/>
            </w:tcBorders>
            <w:tcMar>
              <w:top w:w="15" w:type="dxa"/>
              <w:left w:w="15" w:type="dxa"/>
              <w:bottom w:w="15" w:type="dxa"/>
              <w:right w:w="15" w:type="dxa"/>
            </w:tcMar>
            <w:vAlign w:val="center"/>
          </w:tcPr>
          <w:p w14:paraId="7E75DBC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sz w:val="13"/>
                <w:szCs w:val="13"/>
                <w:highlight w:val="none"/>
              </w:rPr>
              <w:t>责令改正，</w:t>
            </w:r>
            <w:r>
              <w:rPr>
                <w:rFonts w:hint="eastAsia" w:ascii="仿宋_GB2312" w:hAnsi="宋体" w:eastAsia="仿宋_GB2312" w:cs="宋体"/>
                <w:color w:val="auto"/>
                <w:kern w:val="0"/>
                <w:sz w:val="13"/>
                <w:szCs w:val="13"/>
                <w:highlight w:val="none"/>
              </w:rPr>
              <w:t>对单位处以10万元以上20万元以下罚款，对个人处以200元罚款，</w:t>
            </w:r>
            <w:r>
              <w:rPr>
                <w:rFonts w:hint="eastAsia" w:ascii="仿宋_GB2312" w:hAnsi="宋体" w:eastAsia="仿宋_GB2312" w:cs="宋体"/>
                <w:color w:val="auto"/>
                <w:sz w:val="13"/>
                <w:szCs w:val="13"/>
                <w:highlight w:val="none"/>
              </w:rPr>
              <w:t>没收违法所得。</w:t>
            </w:r>
          </w:p>
        </w:tc>
      </w:tr>
      <w:tr w14:paraId="089A14F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473" w:hRule="atLeast"/>
          <w:jc w:val="center"/>
        </w:trPr>
        <w:tc>
          <w:tcPr>
            <w:tcW w:w="428" w:type="dxa"/>
            <w:vMerge w:val="continue"/>
            <w:tcBorders>
              <w:tl2br w:val="nil"/>
              <w:tr2bl w:val="nil"/>
            </w:tcBorders>
            <w:vAlign w:val="center"/>
          </w:tcPr>
          <w:p w14:paraId="13B3916A">
            <w:pPr>
              <w:keepNext w:val="0"/>
              <w:keepLines w:val="0"/>
              <w:pageBreakBefore w:val="0"/>
              <w:widowControl/>
              <w:kinsoku/>
              <w:overflowPunct/>
              <w:topLinePunct w:val="0"/>
              <w:autoSpaceDE/>
              <w:autoSpaceDN/>
              <w:bidi w:val="0"/>
              <w:adjustRightInd/>
              <w:snapToGrid/>
              <w:spacing w:beforeAutospacing="0" w:afterAutospacing="0" w:line="260" w:lineRule="exact"/>
              <w:ind w:left="638" w:leftChars="88" w:right="0" w:rightChars="0" w:hanging="453" w:hangingChars="349"/>
              <w:jc w:val="center"/>
              <w:textAlignment w:val="center"/>
              <w:rPr>
                <w:rFonts w:ascii="仿宋_GB2312" w:hAnsi="宋体" w:eastAsia="仿宋_GB2312" w:cs="宋体"/>
                <w:color w:val="auto"/>
                <w:sz w:val="13"/>
                <w:szCs w:val="13"/>
                <w:highlight w:val="none"/>
              </w:rPr>
            </w:pPr>
          </w:p>
        </w:tc>
        <w:tc>
          <w:tcPr>
            <w:tcW w:w="1550" w:type="dxa"/>
            <w:vMerge w:val="continue"/>
            <w:tcBorders>
              <w:tl2br w:val="nil"/>
              <w:tr2bl w:val="nil"/>
            </w:tcBorders>
            <w:vAlign w:val="center"/>
          </w:tcPr>
          <w:p w14:paraId="3779CFE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宋体"/>
                <w:color w:val="auto"/>
                <w:sz w:val="13"/>
                <w:szCs w:val="13"/>
                <w:highlight w:val="none"/>
              </w:rPr>
            </w:pPr>
          </w:p>
        </w:tc>
        <w:tc>
          <w:tcPr>
            <w:tcW w:w="4820" w:type="dxa"/>
            <w:vMerge w:val="continue"/>
            <w:tcBorders>
              <w:tl2br w:val="nil"/>
              <w:tr2bl w:val="nil"/>
            </w:tcBorders>
            <w:vAlign w:val="center"/>
          </w:tcPr>
          <w:p w14:paraId="3CEB56F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宋体"/>
                <w:color w:val="auto"/>
                <w:sz w:val="13"/>
                <w:szCs w:val="13"/>
                <w:highlight w:val="none"/>
              </w:rPr>
            </w:pPr>
          </w:p>
        </w:tc>
        <w:tc>
          <w:tcPr>
            <w:tcW w:w="823" w:type="dxa"/>
            <w:vMerge w:val="continue"/>
            <w:tcBorders>
              <w:tl2br w:val="nil"/>
              <w:tr2bl w:val="nil"/>
            </w:tcBorders>
            <w:tcMar>
              <w:top w:w="15" w:type="dxa"/>
              <w:left w:w="15" w:type="dxa"/>
              <w:bottom w:w="15" w:type="dxa"/>
              <w:right w:w="15" w:type="dxa"/>
            </w:tcMar>
            <w:vAlign w:val="center"/>
          </w:tcPr>
          <w:p w14:paraId="049CB89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宋体"/>
                <w:color w:val="auto"/>
                <w:sz w:val="13"/>
                <w:szCs w:val="13"/>
                <w:highlight w:val="none"/>
              </w:rPr>
            </w:pPr>
          </w:p>
        </w:tc>
        <w:tc>
          <w:tcPr>
            <w:tcW w:w="3437" w:type="dxa"/>
            <w:gridSpan w:val="2"/>
            <w:tcBorders>
              <w:tl2br w:val="nil"/>
              <w:tr2bl w:val="nil"/>
            </w:tcBorders>
            <w:tcMar>
              <w:top w:w="15" w:type="dxa"/>
              <w:left w:w="15" w:type="dxa"/>
              <w:bottom w:w="15" w:type="dxa"/>
              <w:right w:w="15" w:type="dxa"/>
            </w:tcMar>
            <w:vAlign w:val="center"/>
          </w:tcPr>
          <w:p w14:paraId="75F7298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center"/>
              <w:textAlignment w:val="center"/>
              <w:rPr>
                <w:rFonts w:ascii="仿宋_GB2312" w:hAnsi="宋体" w:eastAsia="仿宋_GB2312" w:cs="宋体"/>
                <w:color w:val="auto"/>
                <w:kern w:val="0"/>
                <w:sz w:val="13"/>
                <w:szCs w:val="13"/>
                <w:highlight w:val="none"/>
              </w:rPr>
            </w:pPr>
            <w:r>
              <w:rPr>
                <w:rFonts w:hint="eastAsia" w:ascii="仿宋_GB2312" w:hAnsi="宋体" w:eastAsia="仿宋_GB2312" w:cs="宋体"/>
                <w:color w:val="auto"/>
                <w:kern w:val="0"/>
                <w:sz w:val="13"/>
                <w:szCs w:val="13"/>
                <w:highlight w:val="none"/>
              </w:rPr>
              <w:t>丢弃、遗撒生活垃圾污染路面30平方米以上40平方米以下的。</w:t>
            </w:r>
          </w:p>
        </w:tc>
        <w:tc>
          <w:tcPr>
            <w:tcW w:w="3058" w:type="dxa"/>
            <w:tcBorders>
              <w:tl2br w:val="nil"/>
              <w:tr2bl w:val="nil"/>
            </w:tcBorders>
            <w:tcMar>
              <w:top w:w="15" w:type="dxa"/>
              <w:left w:w="15" w:type="dxa"/>
              <w:bottom w:w="15" w:type="dxa"/>
              <w:right w:w="15" w:type="dxa"/>
            </w:tcMar>
            <w:vAlign w:val="center"/>
          </w:tcPr>
          <w:p w14:paraId="30F0CCF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center"/>
              <w:textAlignment w:val="center"/>
              <w:rPr>
                <w:rFonts w:ascii="仿宋_GB2312" w:hAnsi="宋体" w:eastAsia="仿宋_GB2312" w:cs="宋体"/>
                <w:color w:val="auto"/>
                <w:kern w:val="0"/>
                <w:sz w:val="13"/>
                <w:szCs w:val="13"/>
                <w:highlight w:val="none"/>
              </w:rPr>
            </w:pPr>
            <w:r>
              <w:rPr>
                <w:rFonts w:hint="eastAsia" w:ascii="仿宋_GB2312" w:hAnsi="宋体" w:eastAsia="仿宋_GB2312" w:cs="宋体"/>
                <w:color w:val="auto"/>
                <w:sz w:val="13"/>
                <w:szCs w:val="13"/>
                <w:highlight w:val="none"/>
              </w:rPr>
              <w:t>责令改正，</w:t>
            </w:r>
            <w:r>
              <w:rPr>
                <w:rFonts w:hint="eastAsia" w:ascii="仿宋_GB2312" w:hAnsi="宋体" w:eastAsia="仿宋_GB2312" w:cs="宋体"/>
                <w:color w:val="auto"/>
                <w:kern w:val="0"/>
                <w:sz w:val="13"/>
                <w:szCs w:val="13"/>
                <w:highlight w:val="none"/>
              </w:rPr>
              <w:t>对单位处以20万元以上30万元以下罚款，对个人处以300元罚款，</w:t>
            </w:r>
            <w:r>
              <w:rPr>
                <w:rFonts w:hint="eastAsia" w:ascii="仿宋_GB2312" w:hAnsi="宋体" w:eastAsia="仿宋_GB2312" w:cs="宋体"/>
                <w:color w:val="auto"/>
                <w:sz w:val="13"/>
                <w:szCs w:val="13"/>
                <w:highlight w:val="none"/>
              </w:rPr>
              <w:t>没收违法所得。</w:t>
            </w:r>
          </w:p>
        </w:tc>
      </w:tr>
      <w:tr w14:paraId="3E7739F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643" w:hRule="atLeast"/>
          <w:jc w:val="center"/>
        </w:trPr>
        <w:tc>
          <w:tcPr>
            <w:tcW w:w="428" w:type="dxa"/>
            <w:vMerge w:val="continue"/>
            <w:tcBorders>
              <w:tl2br w:val="nil"/>
              <w:tr2bl w:val="nil"/>
            </w:tcBorders>
            <w:vAlign w:val="center"/>
          </w:tcPr>
          <w:p w14:paraId="7C3A5BF8">
            <w:pPr>
              <w:keepNext w:val="0"/>
              <w:keepLines w:val="0"/>
              <w:pageBreakBefore w:val="0"/>
              <w:widowControl/>
              <w:kinsoku/>
              <w:overflowPunct/>
              <w:topLinePunct w:val="0"/>
              <w:autoSpaceDE/>
              <w:autoSpaceDN/>
              <w:bidi w:val="0"/>
              <w:adjustRightInd/>
              <w:snapToGrid/>
              <w:spacing w:beforeAutospacing="0" w:afterAutospacing="0" w:line="260" w:lineRule="exact"/>
              <w:ind w:left="638" w:leftChars="88" w:right="0" w:rightChars="0" w:hanging="453" w:hangingChars="349"/>
              <w:jc w:val="center"/>
              <w:textAlignment w:val="center"/>
              <w:rPr>
                <w:rFonts w:ascii="仿宋_GB2312" w:hAnsi="宋体" w:eastAsia="仿宋_GB2312" w:cs="宋体"/>
                <w:color w:val="auto"/>
                <w:kern w:val="0"/>
                <w:sz w:val="13"/>
                <w:szCs w:val="13"/>
                <w:highlight w:val="none"/>
              </w:rPr>
            </w:pPr>
          </w:p>
        </w:tc>
        <w:tc>
          <w:tcPr>
            <w:tcW w:w="1550" w:type="dxa"/>
            <w:vMerge w:val="continue"/>
            <w:tcBorders>
              <w:tl2br w:val="nil"/>
              <w:tr2bl w:val="nil"/>
            </w:tcBorders>
            <w:vAlign w:val="center"/>
          </w:tcPr>
          <w:p w14:paraId="5CFD5E8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kern w:val="0"/>
                <w:sz w:val="13"/>
                <w:szCs w:val="13"/>
                <w:highlight w:val="none"/>
              </w:rPr>
            </w:pPr>
          </w:p>
        </w:tc>
        <w:tc>
          <w:tcPr>
            <w:tcW w:w="4820" w:type="dxa"/>
            <w:vMerge w:val="continue"/>
            <w:tcBorders>
              <w:tl2br w:val="nil"/>
              <w:tr2bl w:val="nil"/>
            </w:tcBorders>
            <w:vAlign w:val="center"/>
          </w:tcPr>
          <w:p w14:paraId="0DE518A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kern w:val="0"/>
                <w:sz w:val="13"/>
                <w:szCs w:val="13"/>
                <w:highlight w:val="none"/>
              </w:rPr>
            </w:pPr>
          </w:p>
        </w:tc>
        <w:tc>
          <w:tcPr>
            <w:tcW w:w="823" w:type="dxa"/>
            <w:vMerge w:val="restart"/>
            <w:tcBorders>
              <w:tl2br w:val="nil"/>
              <w:tr2bl w:val="nil"/>
            </w:tcBorders>
            <w:tcMar>
              <w:top w:w="15" w:type="dxa"/>
              <w:left w:w="15" w:type="dxa"/>
              <w:bottom w:w="15" w:type="dxa"/>
              <w:right w:w="15" w:type="dxa"/>
            </w:tcMar>
            <w:vAlign w:val="center"/>
          </w:tcPr>
          <w:p w14:paraId="660B322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从重情节</w:t>
            </w:r>
          </w:p>
        </w:tc>
        <w:tc>
          <w:tcPr>
            <w:tcW w:w="3437" w:type="dxa"/>
            <w:gridSpan w:val="2"/>
            <w:tcBorders>
              <w:tl2br w:val="nil"/>
              <w:tr2bl w:val="nil"/>
            </w:tcBorders>
            <w:tcMar>
              <w:top w:w="15" w:type="dxa"/>
              <w:left w:w="15" w:type="dxa"/>
              <w:bottom w:w="15" w:type="dxa"/>
              <w:right w:w="15" w:type="dxa"/>
            </w:tcMar>
            <w:vAlign w:val="center"/>
          </w:tcPr>
          <w:p w14:paraId="402E7EE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kern w:val="0"/>
                <w:sz w:val="13"/>
                <w:szCs w:val="13"/>
                <w:highlight w:val="none"/>
              </w:rPr>
            </w:pPr>
            <w:r>
              <w:rPr>
                <w:rFonts w:hint="eastAsia" w:ascii="仿宋_GB2312" w:hAnsi="宋体" w:eastAsia="仿宋_GB2312" w:cs="宋体"/>
                <w:color w:val="auto"/>
                <w:kern w:val="0"/>
                <w:sz w:val="13"/>
                <w:szCs w:val="13"/>
                <w:highlight w:val="none"/>
              </w:rPr>
              <w:t>丢弃、遗撒生活垃圾污染路面40平方米以上50平方米以下的。</w:t>
            </w:r>
          </w:p>
        </w:tc>
        <w:tc>
          <w:tcPr>
            <w:tcW w:w="3058" w:type="dxa"/>
            <w:tcBorders>
              <w:tl2br w:val="nil"/>
              <w:tr2bl w:val="nil"/>
            </w:tcBorders>
            <w:tcMar>
              <w:top w:w="15" w:type="dxa"/>
              <w:left w:w="15" w:type="dxa"/>
              <w:bottom w:w="15" w:type="dxa"/>
              <w:right w:w="15" w:type="dxa"/>
            </w:tcMar>
            <w:vAlign w:val="center"/>
          </w:tcPr>
          <w:p w14:paraId="2C372BC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sz w:val="13"/>
                <w:szCs w:val="13"/>
                <w:highlight w:val="none"/>
              </w:rPr>
              <w:t>责令改正，</w:t>
            </w:r>
            <w:r>
              <w:rPr>
                <w:rFonts w:hint="eastAsia" w:ascii="仿宋_GB2312" w:hAnsi="宋体" w:eastAsia="仿宋_GB2312" w:cs="宋体"/>
                <w:color w:val="auto"/>
                <w:kern w:val="0"/>
                <w:sz w:val="13"/>
                <w:szCs w:val="13"/>
                <w:highlight w:val="none"/>
              </w:rPr>
              <w:t>对单位处以30万元以上40万元以下罚款，对个人处以400元罚款，</w:t>
            </w:r>
            <w:r>
              <w:rPr>
                <w:rFonts w:hint="eastAsia" w:ascii="仿宋_GB2312" w:hAnsi="宋体" w:eastAsia="仿宋_GB2312" w:cs="宋体"/>
                <w:color w:val="auto"/>
                <w:sz w:val="13"/>
                <w:szCs w:val="13"/>
                <w:highlight w:val="none"/>
              </w:rPr>
              <w:t>没收违法所得。</w:t>
            </w:r>
          </w:p>
        </w:tc>
      </w:tr>
      <w:tr w14:paraId="46EABA4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734" w:hRule="atLeast"/>
          <w:jc w:val="center"/>
        </w:trPr>
        <w:tc>
          <w:tcPr>
            <w:tcW w:w="428" w:type="dxa"/>
            <w:vMerge w:val="continue"/>
            <w:tcBorders>
              <w:tl2br w:val="nil"/>
              <w:tr2bl w:val="nil"/>
            </w:tcBorders>
            <w:vAlign w:val="center"/>
          </w:tcPr>
          <w:p w14:paraId="3A9D5A1C">
            <w:pPr>
              <w:keepNext w:val="0"/>
              <w:keepLines w:val="0"/>
              <w:pageBreakBefore w:val="0"/>
              <w:widowControl/>
              <w:kinsoku/>
              <w:overflowPunct/>
              <w:topLinePunct w:val="0"/>
              <w:autoSpaceDE/>
              <w:autoSpaceDN/>
              <w:bidi w:val="0"/>
              <w:adjustRightInd/>
              <w:snapToGrid/>
              <w:spacing w:beforeAutospacing="0" w:afterAutospacing="0" w:line="260" w:lineRule="exact"/>
              <w:ind w:left="638" w:leftChars="88" w:right="0" w:rightChars="0" w:hanging="453" w:hangingChars="349"/>
              <w:jc w:val="center"/>
              <w:textAlignment w:val="center"/>
              <w:rPr>
                <w:rFonts w:ascii="仿宋_GB2312" w:hAnsi="宋体" w:eastAsia="仿宋_GB2312" w:cs="宋体"/>
                <w:color w:val="auto"/>
                <w:sz w:val="13"/>
                <w:szCs w:val="13"/>
                <w:highlight w:val="none"/>
              </w:rPr>
            </w:pPr>
          </w:p>
        </w:tc>
        <w:tc>
          <w:tcPr>
            <w:tcW w:w="1550" w:type="dxa"/>
            <w:vMerge w:val="continue"/>
            <w:tcBorders>
              <w:tl2br w:val="nil"/>
              <w:tr2bl w:val="nil"/>
            </w:tcBorders>
            <w:vAlign w:val="center"/>
          </w:tcPr>
          <w:p w14:paraId="4188CBA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sz w:val="13"/>
                <w:szCs w:val="13"/>
                <w:highlight w:val="none"/>
              </w:rPr>
            </w:pPr>
          </w:p>
        </w:tc>
        <w:tc>
          <w:tcPr>
            <w:tcW w:w="4820" w:type="dxa"/>
            <w:vMerge w:val="continue"/>
            <w:tcBorders>
              <w:tl2br w:val="nil"/>
              <w:tr2bl w:val="nil"/>
            </w:tcBorders>
            <w:vAlign w:val="center"/>
          </w:tcPr>
          <w:p w14:paraId="651A69F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sz w:val="13"/>
                <w:szCs w:val="13"/>
                <w:highlight w:val="none"/>
              </w:rPr>
            </w:pPr>
          </w:p>
        </w:tc>
        <w:tc>
          <w:tcPr>
            <w:tcW w:w="823" w:type="dxa"/>
            <w:vMerge w:val="continue"/>
            <w:tcBorders>
              <w:tl2br w:val="nil"/>
              <w:tr2bl w:val="nil"/>
            </w:tcBorders>
            <w:tcMar>
              <w:top w:w="15" w:type="dxa"/>
              <w:left w:w="15" w:type="dxa"/>
              <w:bottom w:w="15" w:type="dxa"/>
              <w:right w:w="15" w:type="dxa"/>
            </w:tcMar>
            <w:vAlign w:val="center"/>
          </w:tcPr>
          <w:p w14:paraId="2DC2BDA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宋体"/>
                <w:color w:val="auto"/>
                <w:sz w:val="13"/>
                <w:szCs w:val="13"/>
                <w:highlight w:val="none"/>
              </w:rPr>
            </w:pPr>
          </w:p>
        </w:tc>
        <w:tc>
          <w:tcPr>
            <w:tcW w:w="3437" w:type="dxa"/>
            <w:gridSpan w:val="2"/>
            <w:tcBorders>
              <w:tl2br w:val="nil"/>
              <w:tr2bl w:val="nil"/>
            </w:tcBorders>
            <w:tcMar>
              <w:top w:w="15" w:type="dxa"/>
              <w:left w:w="15" w:type="dxa"/>
              <w:bottom w:w="15" w:type="dxa"/>
              <w:right w:w="15" w:type="dxa"/>
            </w:tcMar>
            <w:vAlign w:val="center"/>
          </w:tcPr>
          <w:p w14:paraId="5F0B3F0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kern w:val="0"/>
                <w:sz w:val="13"/>
                <w:szCs w:val="13"/>
                <w:highlight w:val="none"/>
              </w:rPr>
            </w:pPr>
          </w:p>
          <w:p w14:paraId="172B758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kern w:val="0"/>
                <w:sz w:val="13"/>
                <w:szCs w:val="13"/>
                <w:highlight w:val="none"/>
              </w:rPr>
            </w:pPr>
            <w:r>
              <w:rPr>
                <w:rFonts w:hint="eastAsia" w:ascii="仿宋_GB2312" w:hAnsi="宋体" w:eastAsia="仿宋_GB2312" w:cs="宋体"/>
                <w:color w:val="auto"/>
                <w:kern w:val="0"/>
                <w:sz w:val="13"/>
                <w:szCs w:val="13"/>
                <w:highlight w:val="none"/>
              </w:rPr>
              <w:t>丢弃、遗撒生活垃圾污染路面50平方米以上的。</w:t>
            </w:r>
          </w:p>
          <w:p w14:paraId="0B42E50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kern w:val="0"/>
                <w:sz w:val="13"/>
                <w:szCs w:val="13"/>
                <w:highlight w:val="none"/>
              </w:rPr>
            </w:pPr>
          </w:p>
        </w:tc>
        <w:tc>
          <w:tcPr>
            <w:tcW w:w="3058" w:type="dxa"/>
            <w:tcBorders>
              <w:tl2br w:val="nil"/>
              <w:tr2bl w:val="nil"/>
            </w:tcBorders>
            <w:tcMar>
              <w:top w:w="15" w:type="dxa"/>
              <w:left w:w="15" w:type="dxa"/>
              <w:bottom w:w="15" w:type="dxa"/>
              <w:right w:w="15" w:type="dxa"/>
            </w:tcMar>
            <w:vAlign w:val="center"/>
          </w:tcPr>
          <w:p w14:paraId="2743F96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kern w:val="0"/>
                <w:sz w:val="13"/>
                <w:szCs w:val="13"/>
                <w:highlight w:val="none"/>
              </w:rPr>
            </w:pPr>
            <w:r>
              <w:rPr>
                <w:rFonts w:hint="eastAsia" w:ascii="仿宋_GB2312" w:hAnsi="宋体" w:eastAsia="仿宋_GB2312" w:cs="宋体"/>
                <w:color w:val="auto"/>
                <w:sz w:val="13"/>
                <w:szCs w:val="13"/>
                <w:highlight w:val="none"/>
              </w:rPr>
              <w:t>责令改正，</w:t>
            </w:r>
            <w:r>
              <w:rPr>
                <w:rFonts w:hint="eastAsia" w:ascii="仿宋_GB2312" w:hAnsi="宋体" w:eastAsia="仿宋_GB2312" w:cs="宋体"/>
                <w:color w:val="auto"/>
                <w:kern w:val="0"/>
                <w:sz w:val="13"/>
                <w:szCs w:val="13"/>
                <w:highlight w:val="none"/>
              </w:rPr>
              <w:t>对单位处以40万元以上50万元以下罚款，对个人处以500元罚款，</w:t>
            </w:r>
            <w:r>
              <w:rPr>
                <w:rFonts w:hint="eastAsia" w:ascii="仿宋_GB2312" w:hAnsi="宋体" w:eastAsia="仿宋_GB2312" w:cs="宋体"/>
                <w:color w:val="auto"/>
                <w:sz w:val="13"/>
                <w:szCs w:val="13"/>
                <w:highlight w:val="none"/>
              </w:rPr>
              <w:t>没收违法所得。</w:t>
            </w:r>
          </w:p>
        </w:tc>
      </w:tr>
      <w:tr w14:paraId="2885C1A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169" w:hRule="atLeast"/>
          <w:jc w:val="center"/>
        </w:trPr>
        <w:tc>
          <w:tcPr>
            <w:tcW w:w="428" w:type="dxa"/>
            <w:vMerge w:val="restart"/>
            <w:tcBorders>
              <w:tl2br w:val="nil"/>
              <w:tr2bl w:val="nil"/>
            </w:tcBorders>
            <w:vAlign w:val="center"/>
          </w:tcPr>
          <w:p w14:paraId="74EEA7F5">
            <w:pPr>
              <w:keepNext w:val="0"/>
              <w:keepLines w:val="0"/>
              <w:pageBreakBefore w:val="0"/>
              <w:widowControl/>
              <w:numPr>
                <w:ilvl w:val="0"/>
                <w:numId w:val="11"/>
              </w:numPr>
              <w:suppressLineNumbers w:val="0"/>
              <w:tabs>
                <w:tab w:val="clear" w:pos="397"/>
              </w:tabs>
              <w:kinsoku/>
              <w:overflowPunct/>
              <w:topLinePunct w:val="0"/>
              <w:autoSpaceDE/>
              <w:autoSpaceDN/>
              <w:bidi w:val="0"/>
              <w:adjustRightInd/>
              <w:snapToGrid/>
              <w:spacing w:beforeAutospacing="0" w:afterAutospacing="0" w:line="260" w:lineRule="exact"/>
              <w:ind w:left="638" w:leftChars="88" w:right="0" w:rightChars="0" w:hanging="453" w:hangingChars="349"/>
              <w:jc w:val="center"/>
              <w:textAlignment w:val="center"/>
              <w:rPr>
                <w:rFonts w:hint="default" w:ascii="仿宋_GB2312" w:hAnsi="宋体" w:eastAsia="仿宋_GB2312" w:cs="宋体"/>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375</w:t>
            </w:r>
          </w:p>
        </w:tc>
        <w:tc>
          <w:tcPr>
            <w:tcW w:w="1550" w:type="dxa"/>
            <w:vMerge w:val="restart"/>
            <w:tcBorders>
              <w:tl2br w:val="nil"/>
              <w:tr2bl w:val="nil"/>
            </w:tcBorders>
            <w:vAlign w:val="center"/>
          </w:tcPr>
          <w:p w14:paraId="6FC6E4F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rPr>
                <w:rFonts w:ascii="仿宋_GB2312" w:hAnsi="宋体" w:eastAsia="仿宋_GB2312" w:cs="宋体"/>
                <w:color w:val="auto"/>
                <w:sz w:val="13"/>
                <w:szCs w:val="13"/>
                <w:highlight w:val="none"/>
              </w:rPr>
            </w:pPr>
            <w:r>
              <w:rPr>
                <w:rFonts w:hint="eastAsia" w:ascii="仿宋_GB2312" w:hAnsi="宋体" w:eastAsia="仿宋_GB2312" w:cs="宋体"/>
                <w:color w:val="auto"/>
                <w:sz w:val="13"/>
                <w:szCs w:val="13"/>
                <w:highlight w:val="none"/>
              </w:rPr>
              <w:t>未在指定的地点分类投放生活垃圾的</w:t>
            </w:r>
          </w:p>
        </w:tc>
        <w:tc>
          <w:tcPr>
            <w:tcW w:w="4820" w:type="dxa"/>
            <w:vMerge w:val="restart"/>
            <w:tcBorders>
              <w:tl2br w:val="nil"/>
              <w:tr2bl w:val="nil"/>
            </w:tcBorders>
            <w:vAlign w:val="center"/>
          </w:tcPr>
          <w:p w14:paraId="0A7448C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sz w:val="13"/>
                <w:szCs w:val="13"/>
                <w:highlight w:val="none"/>
              </w:rPr>
            </w:pPr>
            <w:r>
              <w:rPr>
                <w:rFonts w:hint="eastAsia" w:ascii="仿宋_GB2312" w:hAnsi="宋体" w:eastAsia="仿宋_GB2312" w:cs="宋体"/>
                <w:color w:val="auto"/>
                <w:sz w:val="13"/>
                <w:szCs w:val="13"/>
                <w:highlight w:val="none"/>
              </w:rPr>
              <w:t>《中华人民共和国固体废物污染环境防治法》</w:t>
            </w:r>
            <w:r>
              <w:rPr>
                <w:rFonts w:hint="eastAsia" w:ascii="仿宋_GB2312" w:hAnsi="宋体" w:eastAsia="仿宋_GB2312" w:cs="宋体"/>
                <w:b/>
                <w:bCs/>
                <w:color w:val="auto"/>
                <w:sz w:val="13"/>
                <w:szCs w:val="13"/>
                <w:highlight w:val="none"/>
              </w:rPr>
              <w:t>第一百一十一条第三款</w:t>
            </w:r>
            <w:r>
              <w:rPr>
                <w:rFonts w:hint="eastAsia" w:ascii="仿宋_GB2312" w:hAnsi="宋体" w:eastAsia="仿宋_GB2312" w:cs="宋体"/>
                <w:b/>
                <w:bCs/>
                <w:color w:val="auto"/>
                <w:sz w:val="13"/>
                <w:szCs w:val="13"/>
                <w:highlight w:val="none"/>
                <w:lang w:eastAsia="zh-CN"/>
              </w:rPr>
              <w:t>：</w:t>
            </w:r>
            <w:r>
              <w:rPr>
                <w:rFonts w:hint="eastAsia" w:ascii="仿宋_GB2312" w:hAnsi="宋体" w:eastAsia="仿宋_GB2312" w:cs="宋体"/>
                <w:color w:val="auto"/>
                <w:sz w:val="13"/>
                <w:szCs w:val="13"/>
                <w:highlight w:val="none"/>
              </w:rPr>
              <w:t>违反本法规定，未在指定的地点分类投放生活垃圾的，由县级以上地方人民政府环境卫生主管部门责令改正；情节严重的，对单位处五万元以上五十万元以下的罚款，对个人依法处以罚款。</w:t>
            </w:r>
          </w:p>
        </w:tc>
        <w:tc>
          <w:tcPr>
            <w:tcW w:w="823" w:type="dxa"/>
            <w:tcBorders>
              <w:tl2br w:val="nil"/>
              <w:tr2bl w:val="nil"/>
            </w:tcBorders>
            <w:tcMar>
              <w:top w:w="15" w:type="dxa"/>
              <w:left w:w="15" w:type="dxa"/>
              <w:bottom w:w="15" w:type="dxa"/>
              <w:right w:w="15" w:type="dxa"/>
            </w:tcMar>
            <w:vAlign w:val="center"/>
          </w:tcPr>
          <w:p w14:paraId="1BE6EC1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kern w:val="0"/>
                <w:sz w:val="13"/>
                <w:szCs w:val="13"/>
                <w:highlight w:val="none"/>
                <w:lang w:eastAsia="zh-CN"/>
              </w:rPr>
            </w:pPr>
            <w:r>
              <w:rPr>
                <w:rFonts w:hint="eastAsia" w:ascii="仿宋_GB2312" w:hAnsi="宋体" w:eastAsia="仿宋_GB2312" w:cs="宋体"/>
                <w:color w:val="auto"/>
                <w:kern w:val="0"/>
                <w:sz w:val="13"/>
                <w:szCs w:val="13"/>
                <w:highlight w:val="none"/>
                <w:lang w:eastAsia="zh-CN"/>
              </w:rPr>
              <w:t>从轻情节</w:t>
            </w:r>
          </w:p>
        </w:tc>
        <w:tc>
          <w:tcPr>
            <w:tcW w:w="3437" w:type="dxa"/>
            <w:gridSpan w:val="2"/>
            <w:tcBorders>
              <w:tl2br w:val="nil"/>
              <w:tr2bl w:val="nil"/>
            </w:tcBorders>
            <w:tcMar>
              <w:top w:w="15" w:type="dxa"/>
              <w:left w:w="15" w:type="dxa"/>
              <w:bottom w:w="15" w:type="dxa"/>
              <w:right w:w="15" w:type="dxa"/>
            </w:tcMar>
            <w:vAlign w:val="center"/>
          </w:tcPr>
          <w:p w14:paraId="503B8E9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初次违法，危害后果轻微，主动采取措施消除或减轻违法行为危害后果。</w:t>
            </w:r>
          </w:p>
        </w:tc>
        <w:tc>
          <w:tcPr>
            <w:tcW w:w="3058" w:type="dxa"/>
            <w:tcBorders>
              <w:tl2br w:val="nil"/>
              <w:tr2bl w:val="nil"/>
            </w:tcBorders>
            <w:tcMar>
              <w:top w:w="15" w:type="dxa"/>
              <w:left w:w="15" w:type="dxa"/>
              <w:bottom w:w="15" w:type="dxa"/>
              <w:right w:w="15" w:type="dxa"/>
            </w:tcMar>
            <w:vAlign w:val="center"/>
          </w:tcPr>
          <w:p w14:paraId="1E70DD5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kern w:val="0"/>
                <w:sz w:val="13"/>
                <w:szCs w:val="13"/>
                <w:highlight w:val="none"/>
              </w:rPr>
            </w:pPr>
            <w:r>
              <w:rPr>
                <w:rFonts w:hint="eastAsia" w:ascii="仿宋_GB2312" w:hAnsi="宋体" w:eastAsia="仿宋_GB2312" w:cs="宋体"/>
                <w:color w:val="auto"/>
                <w:sz w:val="13"/>
                <w:szCs w:val="13"/>
                <w:highlight w:val="none"/>
              </w:rPr>
              <w:t>责令改正。</w:t>
            </w:r>
          </w:p>
        </w:tc>
      </w:tr>
      <w:tr w14:paraId="60AE528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228" w:hRule="atLeast"/>
          <w:jc w:val="center"/>
        </w:trPr>
        <w:tc>
          <w:tcPr>
            <w:tcW w:w="428" w:type="dxa"/>
            <w:vMerge w:val="continue"/>
            <w:tcBorders>
              <w:tl2br w:val="nil"/>
              <w:tr2bl w:val="nil"/>
            </w:tcBorders>
            <w:vAlign w:val="center"/>
          </w:tcPr>
          <w:p w14:paraId="1AF73B1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sz w:val="13"/>
                <w:szCs w:val="13"/>
                <w:highlight w:val="none"/>
              </w:rPr>
            </w:pPr>
          </w:p>
        </w:tc>
        <w:tc>
          <w:tcPr>
            <w:tcW w:w="1550" w:type="dxa"/>
            <w:vMerge w:val="continue"/>
            <w:tcBorders>
              <w:tl2br w:val="nil"/>
              <w:tr2bl w:val="nil"/>
            </w:tcBorders>
            <w:vAlign w:val="center"/>
          </w:tcPr>
          <w:p w14:paraId="18BC50C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sz w:val="13"/>
                <w:szCs w:val="13"/>
                <w:highlight w:val="none"/>
              </w:rPr>
            </w:pPr>
          </w:p>
        </w:tc>
        <w:tc>
          <w:tcPr>
            <w:tcW w:w="4820" w:type="dxa"/>
            <w:vMerge w:val="continue"/>
            <w:tcBorders>
              <w:tl2br w:val="nil"/>
              <w:tr2bl w:val="nil"/>
            </w:tcBorders>
            <w:vAlign w:val="center"/>
          </w:tcPr>
          <w:p w14:paraId="1861F5B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4FAFFCC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kern w:val="0"/>
                <w:sz w:val="13"/>
                <w:szCs w:val="13"/>
                <w:highlight w:val="none"/>
                <w:lang w:eastAsia="zh-CN"/>
              </w:rPr>
            </w:pPr>
            <w:r>
              <w:rPr>
                <w:rFonts w:hint="eastAsia" w:ascii="仿宋_GB2312" w:hAnsi="宋体" w:eastAsia="仿宋_GB2312" w:cs="宋体"/>
                <w:color w:val="auto"/>
                <w:kern w:val="0"/>
                <w:sz w:val="13"/>
                <w:szCs w:val="13"/>
                <w:highlight w:val="none"/>
                <w:lang w:eastAsia="zh-CN"/>
              </w:rPr>
              <w:t>一般情节</w:t>
            </w:r>
          </w:p>
        </w:tc>
        <w:tc>
          <w:tcPr>
            <w:tcW w:w="3437" w:type="dxa"/>
            <w:gridSpan w:val="2"/>
            <w:tcBorders>
              <w:tl2br w:val="nil"/>
              <w:tr2bl w:val="nil"/>
            </w:tcBorders>
            <w:tcMar>
              <w:top w:w="15" w:type="dxa"/>
              <w:left w:w="15" w:type="dxa"/>
              <w:bottom w:w="15" w:type="dxa"/>
              <w:right w:w="15" w:type="dxa"/>
            </w:tcMar>
            <w:vAlign w:val="center"/>
          </w:tcPr>
          <w:p w14:paraId="1764971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情节严重，但不具有</w:t>
            </w:r>
            <w:r>
              <w:rPr>
                <w:rFonts w:hint="eastAsia" w:ascii="仿宋_GB2312" w:hAnsi="宋体" w:eastAsia="仿宋_GB2312" w:cs="宋体"/>
                <w:color w:val="auto"/>
                <w:kern w:val="0"/>
                <w:sz w:val="13"/>
                <w:szCs w:val="13"/>
                <w:highlight w:val="none"/>
                <w:lang w:eastAsia="zh-CN"/>
              </w:rPr>
              <w:t>从重情节</w:t>
            </w:r>
            <w:r>
              <w:rPr>
                <w:rFonts w:hint="eastAsia" w:ascii="仿宋_GB2312" w:hAnsi="宋体" w:eastAsia="仿宋_GB2312" w:cs="宋体"/>
                <w:color w:val="auto"/>
                <w:kern w:val="0"/>
                <w:sz w:val="13"/>
                <w:szCs w:val="13"/>
                <w:highlight w:val="none"/>
              </w:rPr>
              <w:t>的。</w:t>
            </w:r>
          </w:p>
        </w:tc>
        <w:tc>
          <w:tcPr>
            <w:tcW w:w="3058" w:type="dxa"/>
            <w:tcBorders>
              <w:tl2br w:val="nil"/>
              <w:tr2bl w:val="nil"/>
            </w:tcBorders>
            <w:tcMar>
              <w:top w:w="15" w:type="dxa"/>
              <w:left w:w="15" w:type="dxa"/>
              <w:bottom w:w="15" w:type="dxa"/>
              <w:right w:w="15" w:type="dxa"/>
            </w:tcMar>
            <w:vAlign w:val="center"/>
          </w:tcPr>
          <w:p w14:paraId="3CB811C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kern w:val="0"/>
                <w:sz w:val="13"/>
                <w:szCs w:val="13"/>
                <w:highlight w:val="none"/>
              </w:rPr>
            </w:pPr>
            <w:r>
              <w:rPr>
                <w:rFonts w:hint="eastAsia" w:ascii="仿宋_GB2312" w:hAnsi="宋体" w:eastAsia="仿宋_GB2312" w:cs="宋体"/>
                <w:color w:val="auto"/>
                <w:sz w:val="13"/>
                <w:szCs w:val="13"/>
                <w:highlight w:val="none"/>
              </w:rPr>
              <w:t>责令改正；对单位处五万元以上三十万元以下的罚款，对个人依法处以罚款。</w:t>
            </w:r>
          </w:p>
        </w:tc>
      </w:tr>
      <w:tr w14:paraId="5626057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250" w:hRule="atLeast"/>
          <w:jc w:val="center"/>
        </w:trPr>
        <w:tc>
          <w:tcPr>
            <w:tcW w:w="428" w:type="dxa"/>
            <w:vMerge w:val="continue"/>
            <w:tcBorders>
              <w:tl2br w:val="nil"/>
              <w:tr2bl w:val="nil"/>
            </w:tcBorders>
            <w:vAlign w:val="center"/>
          </w:tcPr>
          <w:p w14:paraId="737307D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kern w:val="0"/>
                <w:sz w:val="13"/>
                <w:szCs w:val="13"/>
                <w:highlight w:val="none"/>
              </w:rPr>
            </w:pPr>
          </w:p>
        </w:tc>
        <w:tc>
          <w:tcPr>
            <w:tcW w:w="1550" w:type="dxa"/>
            <w:vMerge w:val="continue"/>
            <w:tcBorders>
              <w:tl2br w:val="nil"/>
              <w:tr2bl w:val="nil"/>
            </w:tcBorders>
            <w:vAlign w:val="center"/>
          </w:tcPr>
          <w:p w14:paraId="4882526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kern w:val="0"/>
                <w:sz w:val="13"/>
                <w:szCs w:val="13"/>
                <w:highlight w:val="none"/>
              </w:rPr>
            </w:pPr>
          </w:p>
        </w:tc>
        <w:tc>
          <w:tcPr>
            <w:tcW w:w="4820" w:type="dxa"/>
            <w:vMerge w:val="continue"/>
            <w:tcBorders>
              <w:tl2br w:val="nil"/>
              <w:tr2bl w:val="nil"/>
            </w:tcBorders>
            <w:vAlign w:val="center"/>
          </w:tcPr>
          <w:p w14:paraId="3B86C5C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kern w:val="0"/>
                <w:sz w:val="13"/>
                <w:szCs w:val="13"/>
                <w:highlight w:val="none"/>
              </w:rPr>
            </w:pPr>
          </w:p>
        </w:tc>
        <w:tc>
          <w:tcPr>
            <w:tcW w:w="823" w:type="dxa"/>
            <w:tcBorders>
              <w:tl2br w:val="nil"/>
              <w:tr2bl w:val="nil"/>
            </w:tcBorders>
            <w:tcMar>
              <w:top w:w="15" w:type="dxa"/>
              <w:left w:w="15" w:type="dxa"/>
              <w:bottom w:w="15" w:type="dxa"/>
              <w:right w:w="15" w:type="dxa"/>
            </w:tcMar>
            <w:vAlign w:val="center"/>
          </w:tcPr>
          <w:p w14:paraId="14DAF84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kern w:val="0"/>
                <w:sz w:val="13"/>
                <w:szCs w:val="13"/>
                <w:highlight w:val="none"/>
                <w:lang w:eastAsia="zh-CN"/>
              </w:rPr>
            </w:pPr>
            <w:r>
              <w:rPr>
                <w:rFonts w:hint="eastAsia" w:ascii="仿宋_GB2312" w:hAnsi="宋体" w:eastAsia="仿宋_GB2312" w:cs="宋体"/>
                <w:color w:val="auto"/>
                <w:kern w:val="0"/>
                <w:sz w:val="13"/>
                <w:szCs w:val="13"/>
                <w:highlight w:val="none"/>
                <w:lang w:eastAsia="zh-CN"/>
              </w:rPr>
              <w:t>从重情节</w:t>
            </w:r>
          </w:p>
        </w:tc>
        <w:tc>
          <w:tcPr>
            <w:tcW w:w="3437" w:type="dxa"/>
            <w:gridSpan w:val="2"/>
            <w:tcBorders>
              <w:tl2br w:val="nil"/>
              <w:tr2bl w:val="nil"/>
            </w:tcBorders>
            <w:tcMar>
              <w:top w:w="15" w:type="dxa"/>
              <w:left w:w="15" w:type="dxa"/>
              <w:bottom w:w="15" w:type="dxa"/>
              <w:right w:w="15" w:type="dxa"/>
            </w:tcMar>
            <w:vAlign w:val="center"/>
          </w:tcPr>
          <w:p w14:paraId="6A06D51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情节严重，且经责令停止违法行为后，继续实施违法行为的</w:t>
            </w:r>
            <w:r>
              <w:rPr>
                <w:rFonts w:hint="eastAsia" w:ascii="仿宋_GB2312" w:hAnsi="宋体" w:eastAsia="仿宋_GB2312" w:cs="宋体"/>
                <w:color w:val="auto"/>
                <w:kern w:val="0"/>
                <w:sz w:val="13"/>
                <w:szCs w:val="13"/>
                <w:highlight w:val="none"/>
                <w:lang w:eastAsia="zh-CN"/>
              </w:rPr>
              <w:t>，</w:t>
            </w:r>
            <w:r>
              <w:rPr>
                <w:rFonts w:hint="eastAsia" w:ascii="仿宋_GB2312" w:hAnsi="宋体" w:eastAsia="仿宋_GB2312" w:cs="宋体"/>
                <w:color w:val="auto"/>
                <w:kern w:val="0"/>
                <w:sz w:val="13"/>
                <w:szCs w:val="13"/>
                <w:highlight w:val="none"/>
                <w:lang w:val="en-US" w:eastAsia="zh-CN"/>
              </w:rPr>
              <w:t>或</w:t>
            </w:r>
            <w:r>
              <w:rPr>
                <w:rFonts w:hint="eastAsia" w:ascii="仿宋_GB2312" w:hAnsi="宋体" w:eastAsia="仿宋_GB2312" w:cs="宋体"/>
                <w:color w:val="auto"/>
                <w:kern w:val="0"/>
                <w:sz w:val="13"/>
                <w:szCs w:val="13"/>
                <w:highlight w:val="none"/>
              </w:rPr>
              <w:t>情节严重，且曾因此被查处过，再次实施违法行为的。</w:t>
            </w:r>
          </w:p>
        </w:tc>
        <w:tc>
          <w:tcPr>
            <w:tcW w:w="3058" w:type="dxa"/>
            <w:tcBorders>
              <w:tl2br w:val="nil"/>
              <w:tr2bl w:val="nil"/>
            </w:tcBorders>
            <w:tcMar>
              <w:top w:w="15" w:type="dxa"/>
              <w:left w:w="15" w:type="dxa"/>
              <w:bottom w:w="15" w:type="dxa"/>
              <w:right w:w="15" w:type="dxa"/>
            </w:tcMar>
            <w:vAlign w:val="center"/>
          </w:tcPr>
          <w:p w14:paraId="5D6939D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kern w:val="0"/>
                <w:sz w:val="13"/>
                <w:szCs w:val="13"/>
                <w:highlight w:val="none"/>
              </w:rPr>
            </w:pPr>
            <w:r>
              <w:rPr>
                <w:rFonts w:hint="eastAsia" w:ascii="仿宋_GB2312" w:hAnsi="宋体" w:eastAsia="仿宋_GB2312" w:cs="宋体"/>
                <w:color w:val="auto"/>
                <w:sz w:val="13"/>
                <w:szCs w:val="13"/>
                <w:highlight w:val="none"/>
              </w:rPr>
              <w:t>责令改正；对单位处三十万元以上五十万元以下的罚款，对个人依法处以罚款。</w:t>
            </w:r>
          </w:p>
        </w:tc>
      </w:tr>
    </w:tbl>
    <w:p w14:paraId="5CCB9A61">
      <w:pPr>
        <w:widowControl/>
        <w:spacing w:line="240" w:lineRule="auto"/>
        <w:rPr>
          <w:rFonts w:ascii="仿宋_GB2312" w:hAnsi="宋体" w:eastAsia="仿宋_GB2312"/>
          <w:color w:val="auto"/>
          <w:szCs w:val="21"/>
          <w:highlight w:val="none"/>
        </w:rPr>
      </w:pPr>
    </w:p>
    <w:p w14:paraId="0D0B16E5">
      <w:pPr>
        <w:spacing w:line="240" w:lineRule="auto"/>
        <w:rPr>
          <w:color w:val="auto"/>
          <w:highlight w:val="none"/>
        </w:rPr>
      </w:pPr>
    </w:p>
    <w:sectPr>
      <w:footerReference r:id="rId6" w:type="default"/>
      <w:pgSz w:w="16838" w:h="11906" w:orient="landscape"/>
      <w:pgMar w:top="1066" w:right="1100" w:bottom="612" w:left="1440" w:header="454" w:footer="454" w:gutter="0"/>
      <w:pgNumType w:fmt="numberInDash"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书宋简体">
    <w:altName w:val="宋体"/>
    <w:panose1 w:val="02010601030101010101"/>
    <w:charset w:val="86"/>
    <w:family w:val="script"/>
    <w:pitch w:val="default"/>
    <w:sig w:usb0="00000000" w:usb1="00000000" w:usb2="00000000" w:usb3="00000000" w:csb0="00040000" w:csb1="00000000"/>
  </w:font>
  <w:font w:name="方正小标宋简体">
    <w:altName w:val="黑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9F7DBC">
    <w:pPr>
      <w:pStyle w:val="14"/>
      <w:spacing w:line="240" w:lineRule="auto"/>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301892">
    <w:pPr>
      <w:pStyle w:val="14"/>
      <w:spacing w:line="240" w:lineRule="auto"/>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F51C11">
                          <w:pPr>
                            <w:pStyle w:val="14"/>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rPr>
                            <w:fldChar w:fldCharType="begin"/>
                          </w:r>
                          <w:r>
                            <w:rPr>
                              <w:rFonts w:hint="eastAsia" w:asciiTheme="minorEastAsia" w:hAnsiTheme="minorEastAsia" w:cstheme="minorEastAsia"/>
                              <w:sz w:val="24"/>
                              <w:szCs w:val="24"/>
                            </w:rPr>
                            <w:instrText xml:space="preserve"> PAGE  \* MERGEFORMAT </w:instrText>
                          </w:r>
                          <w:r>
                            <w:rPr>
                              <w:rFonts w:hint="eastAsia" w:asciiTheme="minorEastAsia" w:hAnsiTheme="minorEastAsia" w:cstheme="minorEastAsia"/>
                              <w:sz w:val="24"/>
                              <w:szCs w:val="24"/>
                            </w:rPr>
                            <w:fldChar w:fldCharType="separate"/>
                          </w:r>
                          <w:r>
                            <w:rPr>
                              <w:rFonts w:hint="eastAsia" w:asciiTheme="minorEastAsia" w:hAnsiTheme="minorEastAsia" w:cstheme="minorEastAsia"/>
                              <w:sz w:val="24"/>
                              <w:szCs w:val="24"/>
                            </w:rPr>
                            <w:t>- 1 -</w:t>
                          </w:r>
                          <w:r>
                            <w:rPr>
                              <w:rFonts w:hint="eastAsia" w:asciiTheme="minorEastAsia" w:hAnsiTheme="minorEastAsia" w:cstheme="minorEastAsia"/>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5F51C11">
                    <w:pPr>
                      <w:pStyle w:val="14"/>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rPr>
                      <w:fldChar w:fldCharType="begin"/>
                    </w:r>
                    <w:r>
                      <w:rPr>
                        <w:rFonts w:hint="eastAsia" w:asciiTheme="minorEastAsia" w:hAnsiTheme="minorEastAsia" w:cstheme="minorEastAsia"/>
                        <w:sz w:val="24"/>
                        <w:szCs w:val="24"/>
                      </w:rPr>
                      <w:instrText xml:space="preserve"> PAGE  \* MERGEFORMAT </w:instrText>
                    </w:r>
                    <w:r>
                      <w:rPr>
                        <w:rFonts w:hint="eastAsia" w:asciiTheme="minorEastAsia" w:hAnsiTheme="minorEastAsia" w:cstheme="minorEastAsia"/>
                        <w:sz w:val="24"/>
                        <w:szCs w:val="24"/>
                      </w:rPr>
                      <w:fldChar w:fldCharType="separate"/>
                    </w:r>
                    <w:r>
                      <w:rPr>
                        <w:rFonts w:hint="eastAsia" w:asciiTheme="minorEastAsia" w:hAnsiTheme="minorEastAsia" w:cstheme="minorEastAsia"/>
                        <w:sz w:val="24"/>
                        <w:szCs w:val="24"/>
                      </w:rPr>
                      <w:t>- 1 -</w:t>
                    </w:r>
                    <w:r>
                      <w:rPr>
                        <w:rFonts w:hint="eastAsia" w:asciiTheme="minorEastAsia" w:hAnsiTheme="minorEastAsia" w:cstheme="minorEastAsia"/>
                        <w:sz w:val="24"/>
                        <w:szCs w:val="24"/>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A1AEF4"/>
    <w:multiLevelType w:val="singleLevel"/>
    <w:tmpl w:val="AEA1AEF4"/>
    <w:lvl w:ilvl="0" w:tentative="0">
      <w:start w:val="240"/>
      <w:numFmt w:val="decimal"/>
      <w:lvlText w:val="%1"/>
      <w:lvlJc w:val="center"/>
      <w:pPr>
        <w:tabs>
          <w:tab w:val="left" w:pos="397"/>
        </w:tabs>
        <w:ind w:left="454" w:leftChars="0" w:hanging="454" w:firstLineChars="0"/>
      </w:pPr>
      <w:rPr>
        <w:rFonts w:hint="default"/>
      </w:rPr>
    </w:lvl>
  </w:abstractNum>
  <w:abstractNum w:abstractNumId="1">
    <w:nsid w:val="E056BB4A"/>
    <w:multiLevelType w:val="singleLevel"/>
    <w:tmpl w:val="E056BB4A"/>
    <w:lvl w:ilvl="0" w:tentative="0">
      <w:start w:val="1"/>
      <w:numFmt w:val="chineseCounting"/>
      <w:suff w:val="nothing"/>
      <w:lvlText w:val="（%1）"/>
      <w:lvlJc w:val="left"/>
      <w:rPr>
        <w:rFonts w:hint="eastAsia"/>
      </w:rPr>
    </w:lvl>
  </w:abstractNum>
  <w:abstractNum w:abstractNumId="2">
    <w:nsid w:val="F34D3F28"/>
    <w:multiLevelType w:val="singleLevel"/>
    <w:tmpl w:val="F34D3F28"/>
    <w:lvl w:ilvl="0" w:tentative="0">
      <w:start w:val="5"/>
      <w:numFmt w:val="chineseCounting"/>
      <w:suff w:val="nothing"/>
      <w:lvlText w:val="（%1）"/>
      <w:lvlJc w:val="left"/>
      <w:pPr>
        <w:ind w:left="260" w:leftChars="0" w:firstLine="0" w:firstLineChars="0"/>
      </w:pPr>
      <w:rPr>
        <w:rFonts w:hint="eastAsia"/>
      </w:rPr>
    </w:lvl>
  </w:abstractNum>
  <w:abstractNum w:abstractNumId="3">
    <w:nsid w:val="FE1A84B9"/>
    <w:multiLevelType w:val="singleLevel"/>
    <w:tmpl w:val="FE1A84B9"/>
    <w:lvl w:ilvl="0" w:tentative="0">
      <w:start w:val="238"/>
      <w:numFmt w:val="decimal"/>
      <w:lvlText w:val="%1"/>
      <w:lvlJc w:val="center"/>
      <w:pPr>
        <w:tabs>
          <w:tab w:val="left" w:pos="397"/>
        </w:tabs>
        <w:ind w:left="454" w:leftChars="0" w:hanging="454" w:firstLineChars="0"/>
      </w:pPr>
      <w:rPr>
        <w:rFonts w:hint="default"/>
      </w:rPr>
    </w:lvl>
  </w:abstractNum>
  <w:abstractNum w:abstractNumId="4">
    <w:nsid w:val="FF66A615"/>
    <w:multiLevelType w:val="singleLevel"/>
    <w:tmpl w:val="FF66A615"/>
    <w:lvl w:ilvl="0" w:tentative="0">
      <w:start w:val="2"/>
      <w:numFmt w:val="chineseCounting"/>
      <w:suff w:val="nothing"/>
      <w:lvlText w:val="（%1）"/>
      <w:lvlJc w:val="left"/>
      <w:rPr>
        <w:rFonts w:hint="eastAsia"/>
      </w:rPr>
    </w:lvl>
  </w:abstractNum>
  <w:abstractNum w:abstractNumId="5">
    <w:nsid w:val="110A64DB"/>
    <w:multiLevelType w:val="multilevel"/>
    <w:tmpl w:val="110A64DB"/>
    <w:lvl w:ilvl="0" w:tentative="0">
      <w:start w:val="338"/>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27C32DB1"/>
    <w:multiLevelType w:val="multilevel"/>
    <w:tmpl w:val="27C32DB1"/>
    <w:lvl w:ilvl="0" w:tentative="0">
      <w:start w:val="354"/>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2AEE0435"/>
    <w:multiLevelType w:val="singleLevel"/>
    <w:tmpl w:val="2AEE0435"/>
    <w:lvl w:ilvl="0" w:tentative="0">
      <w:start w:val="1"/>
      <w:numFmt w:val="chineseCounting"/>
      <w:suff w:val="nothing"/>
      <w:lvlText w:val="（%1）"/>
      <w:lvlJc w:val="left"/>
      <w:rPr>
        <w:rFonts w:hint="eastAsia"/>
      </w:rPr>
    </w:lvl>
  </w:abstractNum>
  <w:abstractNum w:abstractNumId="8">
    <w:nsid w:val="2F17810D"/>
    <w:multiLevelType w:val="singleLevel"/>
    <w:tmpl w:val="2F17810D"/>
    <w:lvl w:ilvl="0" w:tentative="0">
      <w:start w:val="1"/>
      <w:numFmt w:val="chineseCounting"/>
      <w:suff w:val="nothing"/>
      <w:lvlText w:val="（%1）"/>
      <w:lvlJc w:val="left"/>
      <w:rPr>
        <w:rFonts w:hint="eastAsia"/>
      </w:rPr>
    </w:lvl>
  </w:abstractNum>
  <w:abstractNum w:abstractNumId="9">
    <w:nsid w:val="2F483786"/>
    <w:multiLevelType w:val="singleLevel"/>
    <w:tmpl w:val="2F483786"/>
    <w:lvl w:ilvl="0" w:tentative="0">
      <w:start w:val="295"/>
      <w:numFmt w:val="decimal"/>
      <w:lvlText w:val="%1"/>
      <w:lvlJc w:val="center"/>
      <w:pPr>
        <w:tabs>
          <w:tab w:val="left" w:pos="397"/>
        </w:tabs>
        <w:ind w:left="454" w:leftChars="0" w:hanging="454" w:firstLineChars="0"/>
      </w:pPr>
      <w:rPr>
        <w:rFonts w:hint="default"/>
      </w:rPr>
    </w:lvl>
  </w:abstractNum>
  <w:abstractNum w:abstractNumId="10">
    <w:nsid w:val="40AC59B1"/>
    <w:multiLevelType w:val="multilevel"/>
    <w:tmpl w:val="40AC59B1"/>
    <w:lvl w:ilvl="0" w:tentative="0">
      <w:start w:val="208"/>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40F2330E"/>
    <w:multiLevelType w:val="multilevel"/>
    <w:tmpl w:val="40F2330E"/>
    <w:lvl w:ilvl="0" w:tentative="0">
      <w:start w:val="500"/>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5F5B1559"/>
    <w:multiLevelType w:val="singleLevel"/>
    <w:tmpl w:val="5F5B1559"/>
    <w:lvl w:ilvl="0" w:tentative="0">
      <w:start w:val="1"/>
      <w:numFmt w:val="chineseCounting"/>
      <w:suff w:val="nothing"/>
      <w:lvlText w:val="（%1）"/>
      <w:lvlJc w:val="left"/>
      <w:rPr>
        <w:rFonts w:hint="eastAsia"/>
      </w:rPr>
    </w:lvl>
  </w:abstractNum>
  <w:abstractNum w:abstractNumId="13">
    <w:nsid w:val="71B0C3AD"/>
    <w:multiLevelType w:val="singleLevel"/>
    <w:tmpl w:val="71B0C3AD"/>
    <w:lvl w:ilvl="0" w:tentative="0">
      <w:start w:val="6"/>
      <w:numFmt w:val="chineseCounting"/>
      <w:suff w:val="nothing"/>
      <w:lvlText w:val="（%1）"/>
      <w:lvlJc w:val="left"/>
      <w:rPr>
        <w:rFonts w:hint="eastAsia"/>
      </w:rPr>
    </w:lvl>
  </w:abstractNum>
  <w:num w:numId="1">
    <w:abstractNumId w:val="13"/>
  </w:num>
  <w:num w:numId="2">
    <w:abstractNumId w:val="1"/>
  </w:num>
  <w:num w:numId="3">
    <w:abstractNumId w:val="4"/>
  </w:num>
  <w:num w:numId="4">
    <w:abstractNumId w:val="10"/>
  </w:num>
  <w:num w:numId="5">
    <w:abstractNumId w:val="3"/>
  </w:num>
  <w:num w:numId="6">
    <w:abstractNumId w:val="0"/>
  </w:num>
  <w:num w:numId="7">
    <w:abstractNumId w:val="7"/>
  </w:num>
  <w:num w:numId="8">
    <w:abstractNumId w:val="12"/>
  </w:num>
  <w:num w:numId="9">
    <w:abstractNumId w:val="5"/>
  </w:num>
  <w:num w:numId="10">
    <w:abstractNumId w:val="2"/>
  </w:num>
  <w:num w:numId="11">
    <w:abstractNumId w:val="9"/>
  </w:num>
  <w:num w:numId="12">
    <w:abstractNumId w:val="6"/>
  </w:num>
  <w:num w:numId="13">
    <w:abstractNumId w:val="8"/>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dkYmY1OGE2YWY5N2ZiNzEyN2QxZjY0YzE0ZjYyNTMifQ=="/>
  </w:docVars>
  <w:rsids>
    <w:rsidRoot w:val="00172A27"/>
    <w:rsid w:val="00001A9B"/>
    <w:rsid w:val="00004C1B"/>
    <w:rsid w:val="000052D2"/>
    <w:rsid w:val="00005A68"/>
    <w:rsid w:val="00005CAB"/>
    <w:rsid w:val="00005CAE"/>
    <w:rsid w:val="00006917"/>
    <w:rsid w:val="0000756C"/>
    <w:rsid w:val="00007BBC"/>
    <w:rsid w:val="0001131A"/>
    <w:rsid w:val="000114C6"/>
    <w:rsid w:val="00012735"/>
    <w:rsid w:val="000168B7"/>
    <w:rsid w:val="000248E7"/>
    <w:rsid w:val="00026406"/>
    <w:rsid w:val="0002683F"/>
    <w:rsid w:val="000308A5"/>
    <w:rsid w:val="00032775"/>
    <w:rsid w:val="000363F8"/>
    <w:rsid w:val="00037229"/>
    <w:rsid w:val="00041DF9"/>
    <w:rsid w:val="0004286B"/>
    <w:rsid w:val="000459A6"/>
    <w:rsid w:val="00047249"/>
    <w:rsid w:val="000506FA"/>
    <w:rsid w:val="0005172A"/>
    <w:rsid w:val="00053AA2"/>
    <w:rsid w:val="0005477B"/>
    <w:rsid w:val="000549B4"/>
    <w:rsid w:val="00055A10"/>
    <w:rsid w:val="00062180"/>
    <w:rsid w:val="0006443D"/>
    <w:rsid w:val="000669AC"/>
    <w:rsid w:val="00070156"/>
    <w:rsid w:val="00071BEA"/>
    <w:rsid w:val="0007450F"/>
    <w:rsid w:val="00075EE1"/>
    <w:rsid w:val="00082347"/>
    <w:rsid w:val="00082AD7"/>
    <w:rsid w:val="00082FC4"/>
    <w:rsid w:val="00083ADB"/>
    <w:rsid w:val="00086B2B"/>
    <w:rsid w:val="000924CD"/>
    <w:rsid w:val="00092B64"/>
    <w:rsid w:val="00092D9D"/>
    <w:rsid w:val="00094637"/>
    <w:rsid w:val="00094B6F"/>
    <w:rsid w:val="000A1E90"/>
    <w:rsid w:val="000A1F36"/>
    <w:rsid w:val="000A33A9"/>
    <w:rsid w:val="000A35AE"/>
    <w:rsid w:val="000A64E3"/>
    <w:rsid w:val="000A7062"/>
    <w:rsid w:val="000B1C1B"/>
    <w:rsid w:val="000B308A"/>
    <w:rsid w:val="000B790C"/>
    <w:rsid w:val="000C11DA"/>
    <w:rsid w:val="000C192D"/>
    <w:rsid w:val="000C377F"/>
    <w:rsid w:val="000C470B"/>
    <w:rsid w:val="000C53E1"/>
    <w:rsid w:val="000C6863"/>
    <w:rsid w:val="000D07B0"/>
    <w:rsid w:val="000D0A2B"/>
    <w:rsid w:val="000D19D8"/>
    <w:rsid w:val="000D5C73"/>
    <w:rsid w:val="000D7695"/>
    <w:rsid w:val="000D77DC"/>
    <w:rsid w:val="000E1522"/>
    <w:rsid w:val="000E1E99"/>
    <w:rsid w:val="000E3360"/>
    <w:rsid w:val="000E372D"/>
    <w:rsid w:val="000E4035"/>
    <w:rsid w:val="000E49DC"/>
    <w:rsid w:val="000E5986"/>
    <w:rsid w:val="000E7AD4"/>
    <w:rsid w:val="000F0768"/>
    <w:rsid w:val="000F1166"/>
    <w:rsid w:val="000F5A9C"/>
    <w:rsid w:val="000F67F5"/>
    <w:rsid w:val="00102EAC"/>
    <w:rsid w:val="001030F7"/>
    <w:rsid w:val="00106AC2"/>
    <w:rsid w:val="0010729C"/>
    <w:rsid w:val="00110ABA"/>
    <w:rsid w:val="00110C5F"/>
    <w:rsid w:val="0011222A"/>
    <w:rsid w:val="00112A17"/>
    <w:rsid w:val="00114A86"/>
    <w:rsid w:val="001162A7"/>
    <w:rsid w:val="00116C8A"/>
    <w:rsid w:val="0011729E"/>
    <w:rsid w:val="001225B0"/>
    <w:rsid w:val="00122628"/>
    <w:rsid w:val="00124A00"/>
    <w:rsid w:val="001267A1"/>
    <w:rsid w:val="001269F6"/>
    <w:rsid w:val="00127004"/>
    <w:rsid w:val="0013321B"/>
    <w:rsid w:val="00133658"/>
    <w:rsid w:val="001344F4"/>
    <w:rsid w:val="00140F14"/>
    <w:rsid w:val="00147528"/>
    <w:rsid w:val="0015247F"/>
    <w:rsid w:val="00152FC4"/>
    <w:rsid w:val="00153666"/>
    <w:rsid w:val="00155D27"/>
    <w:rsid w:val="00156277"/>
    <w:rsid w:val="001623F1"/>
    <w:rsid w:val="001723A5"/>
    <w:rsid w:val="00172BF8"/>
    <w:rsid w:val="00172E70"/>
    <w:rsid w:val="00172F59"/>
    <w:rsid w:val="00173794"/>
    <w:rsid w:val="001755D2"/>
    <w:rsid w:val="00175CFD"/>
    <w:rsid w:val="00180898"/>
    <w:rsid w:val="00184C7F"/>
    <w:rsid w:val="00186C4B"/>
    <w:rsid w:val="0019218C"/>
    <w:rsid w:val="00193725"/>
    <w:rsid w:val="00194805"/>
    <w:rsid w:val="001952C3"/>
    <w:rsid w:val="0019680F"/>
    <w:rsid w:val="00197863"/>
    <w:rsid w:val="00197F19"/>
    <w:rsid w:val="001A0EEE"/>
    <w:rsid w:val="001A1562"/>
    <w:rsid w:val="001A1ADF"/>
    <w:rsid w:val="001A2FFA"/>
    <w:rsid w:val="001A5529"/>
    <w:rsid w:val="001A5D4D"/>
    <w:rsid w:val="001A6262"/>
    <w:rsid w:val="001B08D2"/>
    <w:rsid w:val="001B1F96"/>
    <w:rsid w:val="001B2CFB"/>
    <w:rsid w:val="001B3615"/>
    <w:rsid w:val="001B66CC"/>
    <w:rsid w:val="001B7315"/>
    <w:rsid w:val="001C0780"/>
    <w:rsid w:val="001C0FB4"/>
    <w:rsid w:val="001C3723"/>
    <w:rsid w:val="001C58EB"/>
    <w:rsid w:val="001D0465"/>
    <w:rsid w:val="001D06F7"/>
    <w:rsid w:val="001D3FE1"/>
    <w:rsid w:val="001D7594"/>
    <w:rsid w:val="001D7E91"/>
    <w:rsid w:val="001E1468"/>
    <w:rsid w:val="001E296B"/>
    <w:rsid w:val="001E316E"/>
    <w:rsid w:val="001E5652"/>
    <w:rsid w:val="001F0A50"/>
    <w:rsid w:val="001F1737"/>
    <w:rsid w:val="001F457E"/>
    <w:rsid w:val="001F74E6"/>
    <w:rsid w:val="002017E1"/>
    <w:rsid w:val="00203BCB"/>
    <w:rsid w:val="00204A1E"/>
    <w:rsid w:val="00204C22"/>
    <w:rsid w:val="002057F7"/>
    <w:rsid w:val="00207DBE"/>
    <w:rsid w:val="0021107D"/>
    <w:rsid w:val="00211176"/>
    <w:rsid w:val="00212106"/>
    <w:rsid w:val="00215584"/>
    <w:rsid w:val="00215616"/>
    <w:rsid w:val="00220F3E"/>
    <w:rsid w:val="00223AC4"/>
    <w:rsid w:val="002258BB"/>
    <w:rsid w:val="00225ECF"/>
    <w:rsid w:val="00230A18"/>
    <w:rsid w:val="00230C13"/>
    <w:rsid w:val="0023282D"/>
    <w:rsid w:val="00234785"/>
    <w:rsid w:val="00234924"/>
    <w:rsid w:val="00235298"/>
    <w:rsid w:val="00242577"/>
    <w:rsid w:val="00243320"/>
    <w:rsid w:val="00245096"/>
    <w:rsid w:val="00246D0F"/>
    <w:rsid w:val="00246DDC"/>
    <w:rsid w:val="00247A17"/>
    <w:rsid w:val="0025294B"/>
    <w:rsid w:val="002553FB"/>
    <w:rsid w:val="00257002"/>
    <w:rsid w:val="00262FC7"/>
    <w:rsid w:val="0026506B"/>
    <w:rsid w:val="0026520C"/>
    <w:rsid w:val="00267EE6"/>
    <w:rsid w:val="00272145"/>
    <w:rsid w:val="00276468"/>
    <w:rsid w:val="002803A2"/>
    <w:rsid w:val="00283A3D"/>
    <w:rsid w:val="00283B0C"/>
    <w:rsid w:val="00285A8B"/>
    <w:rsid w:val="0028605F"/>
    <w:rsid w:val="00292863"/>
    <w:rsid w:val="00293C56"/>
    <w:rsid w:val="00293CD4"/>
    <w:rsid w:val="00293F07"/>
    <w:rsid w:val="002940E7"/>
    <w:rsid w:val="00294C6F"/>
    <w:rsid w:val="00296FB7"/>
    <w:rsid w:val="002A61B4"/>
    <w:rsid w:val="002B05F8"/>
    <w:rsid w:val="002B2362"/>
    <w:rsid w:val="002B304B"/>
    <w:rsid w:val="002B635E"/>
    <w:rsid w:val="002B63D9"/>
    <w:rsid w:val="002C012B"/>
    <w:rsid w:val="002C1D9C"/>
    <w:rsid w:val="002C6AF0"/>
    <w:rsid w:val="002C6BF9"/>
    <w:rsid w:val="002C7DA1"/>
    <w:rsid w:val="002D0B81"/>
    <w:rsid w:val="002D17FB"/>
    <w:rsid w:val="002D18D0"/>
    <w:rsid w:val="002D30D5"/>
    <w:rsid w:val="002D3218"/>
    <w:rsid w:val="002D3C56"/>
    <w:rsid w:val="002D42BE"/>
    <w:rsid w:val="002D4748"/>
    <w:rsid w:val="002D6B88"/>
    <w:rsid w:val="002E0D4A"/>
    <w:rsid w:val="002E1D5B"/>
    <w:rsid w:val="002E2973"/>
    <w:rsid w:val="002E54B6"/>
    <w:rsid w:val="002F1678"/>
    <w:rsid w:val="00301810"/>
    <w:rsid w:val="003050A2"/>
    <w:rsid w:val="003105C5"/>
    <w:rsid w:val="0031208E"/>
    <w:rsid w:val="003143F5"/>
    <w:rsid w:val="00314654"/>
    <w:rsid w:val="00314E60"/>
    <w:rsid w:val="003168DB"/>
    <w:rsid w:val="0031715C"/>
    <w:rsid w:val="00320200"/>
    <w:rsid w:val="00321D7F"/>
    <w:rsid w:val="003230F0"/>
    <w:rsid w:val="0032402D"/>
    <w:rsid w:val="00325C54"/>
    <w:rsid w:val="00325CEE"/>
    <w:rsid w:val="00327139"/>
    <w:rsid w:val="0032744A"/>
    <w:rsid w:val="0033103C"/>
    <w:rsid w:val="003344B7"/>
    <w:rsid w:val="00334C43"/>
    <w:rsid w:val="0033616B"/>
    <w:rsid w:val="00337712"/>
    <w:rsid w:val="00340B78"/>
    <w:rsid w:val="003475B2"/>
    <w:rsid w:val="003478AC"/>
    <w:rsid w:val="003542F7"/>
    <w:rsid w:val="00354947"/>
    <w:rsid w:val="00355E1C"/>
    <w:rsid w:val="00357112"/>
    <w:rsid w:val="00364F1C"/>
    <w:rsid w:val="00370DA6"/>
    <w:rsid w:val="00371B59"/>
    <w:rsid w:val="00375377"/>
    <w:rsid w:val="00375FC9"/>
    <w:rsid w:val="00376304"/>
    <w:rsid w:val="00377E63"/>
    <w:rsid w:val="00380F1F"/>
    <w:rsid w:val="00381DA6"/>
    <w:rsid w:val="0038244D"/>
    <w:rsid w:val="003851E6"/>
    <w:rsid w:val="00386359"/>
    <w:rsid w:val="00386421"/>
    <w:rsid w:val="00391AA2"/>
    <w:rsid w:val="0039256B"/>
    <w:rsid w:val="00393AB1"/>
    <w:rsid w:val="003948FA"/>
    <w:rsid w:val="00395926"/>
    <w:rsid w:val="003A0D16"/>
    <w:rsid w:val="003A2C08"/>
    <w:rsid w:val="003A3808"/>
    <w:rsid w:val="003A6927"/>
    <w:rsid w:val="003A6B0F"/>
    <w:rsid w:val="003B1238"/>
    <w:rsid w:val="003B28EE"/>
    <w:rsid w:val="003B3A8F"/>
    <w:rsid w:val="003B580E"/>
    <w:rsid w:val="003B609B"/>
    <w:rsid w:val="003C2529"/>
    <w:rsid w:val="003C5C0A"/>
    <w:rsid w:val="003C66CF"/>
    <w:rsid w:val="003C6B22"/>
    <w:rsid w:val="003D0A99"/>
    <w:rsid w:val="003D1A8E"/>
    <w:rsid w:val="003D2D0B"/>
    <w:rsid w:val="003D32B6"/>
    <w:rsid w:val="003D44B9"/>
    <w:rsid w:val="003D5743"/>
    <w:rsid w:val="003D5BC8"/>
    <w:rsid w:val="003D69CE"/>
    <w:rsid w:val="003D6DA1"/>
    <w:rsid w:val="003D70D6"/>
    <w:rsid w:val="003E1730"/>
    <w:rsid w:val="003E1B51"/>
    <w:rsid w:val="003E5025"/>
    <w:rsid w:val="003E51E1"/>
    <w:rsid w:val="003E5FDA"/>
    <w:rsid w:val="003E6B4C"/>
    <w:rsid w:val="003E6C62"/>
    <w:rsid w:val="003F2098"/>
    <w:rsid w:val="003F706E"/>
    <w:rsid w:val="00401CD1"/>
    <w:rsid w:val="00402189"/>
    <w:rsid w:val="00403584"/>
    <w:rsid w:val="00403C99"/>
    <w:rsid w:val="00410671"/>
    <w:rsid w:val="00413762"/>
    <w:rsid w:val="004169F2"/>
    <w:rsid w:val="00417235"/>
    <w:rsid w:val="00425BDB"/>
    <w:rsid w:val="00425E91"/>
    <w:rsid w:val="00434301"/>
    <w:rsid w:val="0043628B"/>
    <w:rsid w:val="0044026B"/>
    <w:rsid w:val="004414B6"/>
    <w:rsid w:val="00444389"/>
    <w:rsid w:val="00444875"/>
    <w:rsid w:val="00444CAE"/>
    <w:rsid w:val="0044576B"/>
    <w:rsid w:val="00445844"/>
    <w:rsid w:val="00446AFA"/>
    <w:rsid w:val="00447B6D"/>
    <w:rsid w:val="004529EE"/>
    <w:rsid w:val="00452C4C"/>
    <w:rsid w:val="0045635D"/>
    <w:rsid w:val="00462D8E"/>
    <w:rsid w:val="004638CA"/>
    <w:rsid w:val="00464D71"/>
    <w:rsid w:val="00470E98"/>
    <w:rsid w:val="00471678"/>
    <w:rsid w:val="004748B0"/>
    <w:rsid w:val="004810ED"/>
    <w:rsid w:val="004824EA"/>
    <w:rsid w:val="00485638"/>
    <w:rsid w:val="00486C25"/>
    <w:rsid w:val="00486FB1"/>
    <w:rsid w:val="0048775D"/>
    <w:rsid w:val="004918EA"/>
    <w:rsid w:val="00496DEC"/>
    <w:rsid w:val="00496E4B"/>
    <w:rsid w:val="004A2DFF"/>
    <w:rsid w:val="004A38AD"/>
    <w:rsid w:val="004A4CA9"/>
    <w:rsid w:val="004A6077"/>
    <w:rsid w:val="004A62D5"/>
    <w:rsid w:val="004A7D6B"/>
    <w:rsid w:val="004B03AE"/>
    <w:rsid w:val="004B143C"/>
    <w:rsid w:val="004B20FB"/>
    <w:rsid w:val="004B2B99"/>
    <w:rsid w:val="004B33FA"/>
    <w:rsid w:val="004C08D8"/>
    <w:rsid w:val="004C32B7"/>
    <w:rsid w:val="004C398C"/>
    <w:rsid w:val="004C4B0A"/>
    <w:rsid w:val="004C5E6D"/>
    <w:rsid w:val="004D1605"/>
    <w:rsid w:val="004D2A34"/>
    <w:rsid w:val="004D3589"/>
    <w:rsid w:val="004D4F74"/>
    <w:rsid w:val="004D6F67"/>
    <w:rsid w:val="004E1102"/>
    <w:rsid w:val="004E115A"/>
    <w:rsid w:val="004E3045"/>
    <w:rsid w:val="004E45BB"/>
    <w:rsid w:val="004F2BC9"/>
    <w:rsid w:val="004F2D63"/>
    <w:rsid w:val="004F35A0"/>
    <w:rsid w:val="004F6DC9"/>
    <w:rsid w:val="004F76FB"/>
    <w:rsid w:val="005025AA"/>
    <w:rsid w:val="00503E0B"/>
    <w:rsid w:val="0050569D"/>
    <w:rsid w:val="00511083"/>
    <w:rsid w:val="0051249F"/>
    <w:rsid w:val="00517B83"/>
    <w:rsid w:val="00523F36"/>
    <w:rsid w:val="00526587"/>
    <w:rsid w:val="00526F99"/>
    <w:rsid w:val="005313C0"/>
    <w:rsid w:val="00532632"/>
    <w:rsid w:val="00533E24"/>
    <w:rsid w:val="0053475A"/>
    <w:rsid w:val="00535930"/>
    <w:rsid w:val="00537106"/>
    <w:rsid w:val="00537CEE"/>
    <w:rsid w:val="00542D09"/>
    <w:rsid w:val="0054359F"/>
    <w:rsid w:val="005452D1"/>
    <w:rsid w:val="00546BE1"/>
    <w:rsid w:val="005476B2"/>
    <w:rsid w:val="00547EE1"/>
    <w:rsid w:val="00552C39"/>
    <w:rsid w:val="005538BC"/>
    <w:rsid w:val="0055459B"/>
    <w:rsid w:val="005611C4"/>
    <w:rsid w:val="005640D3"/>
    <w:rsid w:val="00564705"/>
    <w:rsid w:val="005656B7"/>
    <w:rsid w:val="00565C49"/>
    <w:rsid w:val="00571D77"/>
    <w:rsid w:val="005722C7"/>
    <w:rsid w:val="00574022"/>
    <w:rsid w:val="005745EF"/>
    <w:rsid w:val="00574CB0"/>
    <w:rsid w:val="00574FBA"/>
    <w:rsid w:val="00577B7F"/>
    <w:rsid w:val="00580745"/>
    <w:rsid w:val="00582408"/>
    <w:rsid w:val="00582F0B"/>
    <w:rsid w:val="00583ACA"/>
    <w:rsid w:val="00590A41"/>
    <w:rsid w:val="00591CF0"/>
    <w:rsid w:val="005928BB"/>
    <w:rsid w:val="00592E3B"/>
    <w:rsid w:val="0059471D"/>
    <w:rsid w:val="00597BBF"/>
    <w:rsid w:val="005A5DC4"/>
    <w:rsid w:val="005A6A99"/>
    <w:rsid w:val="005A6B12"/>
    <w:rsid w:val="005A7681"/>
    <w:rsid w:val="005B03D7"/>
    <w:rsid w:val="005B1CE7"/>
    <w:rsid w:val="005B279D"/>
    <w:rsid w:val="005C0692"/>
    <w:rsid w:val="005C0F5F"/>
    <w:rsid w:val="005C69FB"/>
    <w:rsid w:val="005D225E"/>
    <w:rsid w:val="005D6005"/>
    <w:rsid w:val="005D6D94"/>
    <w:rsid w:val="005D79E0"/>
    <w:rsid w:val="005E3FF5"/>
    <w:rsid w:val="005E7555"/>
    <w:rsid w:val="005E77D5"/>
    <w:rsid w:val="005F68D5"/>
    <w:rsid w:val="00603621"/>
    <w:rsid w:val="0060452C"/>
    <w:rsid w:val="00604609"/>
    <w:rsid w:val="00604E79"/>
    <w:rsid w:val="006052B3"/>
    <w:rsid w:val="00607452"/>
    <w:rsid w:val="00607516"/>
    <w:rsid w:val="006079D0"/>
    <w:rsid w:val="00607C39"/>
    <w:rsid w:val="006103DA"/>
    <w:rsid w:val="00613D4F"/>
    <w:rsid w:val="006170EE"/>
    <w:rsid w:val="00617CA4"/>
    <w:rsid w:val="00621476"/>
    <w:rsid w:val="006223A7"/>
    <w:rsid w:val="0062475D"/>
    <w:rsid w:val="00624A22"/>
    <w:rsid w:val="0062528F"/>
    <w:rsid w:val="00627B3B"/>
    <w:rsid w:val="00631DFF"/>
    <w:rsid w:val="0063271C"/>
    <w:rsid w:val="00633373"/>
    <w:rsid w:val="00633DF6"/>
    <w:rsid w:val="00633F01"/>
    <w:rsid w:val="006356C9"/>
    <w:rsid w:val="00636D4C"/>
    <w:rsid w:val="00636D65"/>
    <w:rsid w:val="006406B1"/>
    <w:rsid w:val="00640D92"/>
    <w:rsid w:val="00642694"/>
    <w:rsid w:val="006442C8"/>
    <w:rsid w:val="00644A45"/>
    <w:rsid w:val="0065049E"/>
    <w:rsid w:val="00651EEA"/>
    <w:rsid w:val="00652161"/>
    <w:rsid w:val="00652F7A"/>
    <w:rsid w:val="00672C35"/>
    <w:rsid w:val="006731E6"/>
    <w:rsid w:val="00673AA8"/>
    <w:rsid w:val="00673C98"/>
    <w:rsid w:val="006741CA"/>
    <w:rsid w:val="00674FF8"/>
    <w:rsid w:val="006767B2"/>
    <w:rsid w:val="006808FD"/>
    <w:rsid w:val="00685DED"/>
    <w:rsid w:val="006862F6"/>
    <w:rsid w:val="00687390"/>
    <w:rsid w:val="00690E74"/>
    <w:rsid w:val="00692AA6"/>
    <w:rsid w:val="00693D4C"/>
    <w:rsid w:val="00695C58"/>
    <w:rsid w:val="00697D89"/>
    <w:rsid w:val="006A033D"/>
    <w:rsid w:val="006A0E72"/>
    <w:rsid w:val="006A27AB"/>
    <w:rsid w:val="006A4566"/>
    <w:rsid w:val="006A4A45"/>
    <w:rsid w:val="006A4F0B"/>
    <w:rsid w:val="006A57C8"/>
    <w:rsid w:val="006A6799"/>
    <w:rsid w:val="006B242D"/>
    <w:rsid w:val="006B3288"/>
    <w:rsid w:val="006B45DD"/>
    <w:rsid w:val="006B5C4B"/>
    <w:rsid w:val="006B793F"/>
    <w:rsid w:val="006B7EF7"/>
    <w:rsid w:val="006C1E5D"/>
    <w:rsid w:val="006C1E8F"/>
    <w:rsid w:val="006C6BFB"/>
    <w:rsid w:val="006C6E36"/>
    <w:rsid w:val="006D03B5"/>
    <w:rsid w:val="006D18FA"/>
    <w:rsid w:val="006D5801"/>
    <w:rsid w:val="006D6167"/>
    <w:rsid w:val="006D652C"/>
    <w:rsid w:val="006D6D00"/>
    <w:rsid w:val="006D6E6B"/>
    <w:rsid w:val="006D7D83"/>
    <w:rsid w:val="006E148F"/>
    <w:rsid w:val="006E316D"/>
    <w:rsid w:val="006E4DE5"/>
    <w:rsid w:val="006E7836"/>
    <w:rsid w:val="006F0D35"/>
    <w:rsid w:val="006F130E"/>
    <w:rsid w:val="006F3C39"/>
    <w:rsid w:val="006F770B"/>
    <w:rsid w:val="006F771E"/>
    <w:rsid w:val="006F7EC0"/>
    <w:rsid w:val="00702AA7"/>
    <w:rsid w:val="00703997"/>
    <w:rsid w:val="007069BF"/>
    <w:rsid w:val="00710800"/>
    <w:rsid w:val="00711653"/>
    <w:rsid w:val="00712CC7"/>
    <w:rsid w:val="00714F18"/>
    <w:rsid w:val="007210D6"/>
    <w:rsid w:val="00721630"/>
    <w:rsid w:val="00722E21"/>
    <w:rsid w:val="00727A3F"/>
    <w:rsid w:val="007302F8"/>
    <w:rsid w:val="007311FB"/>
    <w:rsid w:val="00732065"/>
    <w:rsid w:val="00732B26"/>
    <w:rsid w:val="00732C02"/>
    <w:rsid w:val="00733DCE"/>
    <w:rsid w:val="0073551E"/>
    <w:rsid w:val="00736E1F"/>
    <w:rsid w:val="007411BC"/>
    <w:rsid w:val="00743010"/>
    <w:rsid w:val="00743C60"/>
    <w:rsid w:val="0074756B"/>
    <w:rsid w:val="007522B4"/>
    <w:rsid w:val="0075530E"/>
    <w:rsid w:val="007558F9"/>
    <w:rsid w:val="0076048C"/>
    <w:rsid w:val="0076428C"/>
    <w:rsid w:val="007703CF"/>
    <w:rsid w:val="00770DC4"/>
    <w:rsid w:val="007734D9"/>
    <w:rsid w:val="00773686"/>
    <w:rsid w:val="00773861"/>
    <w:rsid w:val="00775974"/>
    <w:rsid w:val="007840C2"/>
    <w:rsid w:val="00785C16"/>
    <w:rsid w:val="0078676F"/>
    <w:rsid w:val="0078685F"/>
    <w:rsid w:val="0078708F"/>
    <w:rsid w:val="00787871"/>
    <w:rsid w:val="00787F05"/>
    <w:rsid w:val="007925B8"/>
    <w:rsid w:val="00796011"/>
    <w:rsid w:val="007A0D13"/>
    <w:rsid w:val="007A0DB3"/>
    <w:rsid w:val="007A411C"/>
    <w:rsid w:val="007A4BED"/>
    <w:rsid w:val="007A5E25"/>
    <w:rsid w:val="007A7F10"/>
    <w:rsid w:val="007B06EC"/>
    <w:rsid w:val="007B1056"/>
    <w:rsid w:val="007B448F"/>
    <w:rsid w:val="007B58A5"/>
    <w:rsid w:val="007B7A23"/>
    <w:rsid w:val="007C0AEA"/>
    <w:rsid w:val="007C1484"/>
    <w:rsid w:val="007C21A6"/>
    <w:rsid w:val="007D000A"/>
    <w:rsid w:val="007D0B95"/>
    <w:rsid w:val="007D3790"/>
    <w:rsid w:val="007D7A52"/>
    <w:rsid w:val="007E4F70"/>
    <w:rsid w:val="007E554D"/>
    <w:rsid w:val="007F0680"/>
    <w:rsid w:val="007F4276"/>
    <w:rsid w:val="007F4C94"/>
    <w:rsid w:val="007F57C5"/>
    <w:rsid w:val="007F60B3"/>
    <w:rsid w:val="007F75B0"/>
    <w:rsid w:val="007F7D01"/>
    <w:rsid w:val="00802A72"/>
    <w:rsid w:val="0080429C"/>
    <w:rsid w:val="00804759"/>
    <w:rsid w:val="008055CF"/>
    <w:rsid w:val="00805A36"/>
    <w:rsid w:val="00806126"/>
    <w:rsid w:val="00806249"/>
    <w:rsid w:val="008062FC"/>
    <w:rsid w:val="00806462"/>
    <w:rsid w:val="0081185E"/>
    <w:rsid w:val="008119FD"/>
    <w:rsid w:val="0081272F"/>
    <w:rsid w:val="00813353"/>
    <w:rsid w:val="008133D0"/>
    <w:rsid w:val="0081473F"/>
    <w:rsid w:val="00814EC4"/>
    <w:rsid w:val="00816316"/>
    <w:rsid w:val="00821927"/>
    <w:rsid w:val="0082208D"/>
    <w:rsid w:val="0082226F"/>
    <w:rsid w:val="008254D4"/>
    <w:rsid w:val="00825AE4"/>
    <w:rsid w:val="00832F58"/>
    <w:rsid w:val="00833006"/>
    <w:rsid w:val="00837A71"/>
    <w:rsid w:val="0084054C"/>
    <w:rsid w:val="008411C7"/>
    <w:rsid w:val="008443D1"/>
    <w:rsid w:val="0085026F"/>
    <w:rsid w:val="0085371A"/>
    <w:rsid w:val="00855860"/>
    <w:rsid w:val="00855C80"/>
    <w:rsid w:val="00856B7C"/>
    <w:rsid w:val="0085788A"/>
    <w:rsid w:val="0086388A"/>
    <w:rsid w:val="00864DB7"/>
    <w:rsid w:val="00867FB5"/>
    <w:rsid w:val="00873379"/>
    <w:rsid w:val="008739E4"/>
    <w:rsid w:val="00873FAB"/>
    <w:rsid w:val="00874F37"/>
    <w:rsid w:val="00875FD7"/>
    <w:rsid w:val="0088019E"/>
    <w:rsid w:val="008805AF"/>
    <w:rsid w:val="00884961"/>
    <w:rsid w:val="00884A15"/>
    <w:rsid w:val="00885C68"/>
    <w:rsid w:val="0088756B"/>
    <w:rsid w:val="00891969"/>
    <w:rsid w:val="00893116"/>
    <w:rsid w:val="0089779D"/>
    <w:rsid w:val="00897F1C"/>
    <w:rsid w:val="008A4ABD"/>
    <w:rsid w:val="008A74AD"/>
    <w:rsid w:val="008A77BB"/>
    <w:rsid w:val="008B185D"/>
    <w:rsid w:val="008B23B1"/>
    <w:rsid w:val="008B75FD"/>
    <w:rsid w:val="008C2CC4"/>
    <w:rsid w:val="008C4CA1"/>
    <w:rsid w:val="008C54D7"/>
    <w:rsid w:val="008C5EE3"/>
    <w:rsid w:val="008C6D03"/>
    <w:rsid w:val="008D04F1"/>
    <w:rsid w:val="008D1189"/>
    <w:rsid w:val="008D1352"/>
    <w:rsid w:val="008D2AD4"/>
    <w:rsid w:val="008D309A"/>
    <w:rsid w:val="008D352B"/>
    <w:rsid w:val="008D4983"/>
    <w:rsid w:val="008D4F81"/>
    <w:rsid w:val="008D5E89"/>
    <w:rsid w:val="008D6AA0"/>
    <w:rsid w:val="008D7E99"/>
    <w:rsid w:val="008E0E01"/>
    <w:rsid w:val="008E37FE"/>
    <w:rsid w:val="008E3A4D"/>
    <w:rsid w:val="008E42B7"/>
    <w:rsid w:val="008E463B"/>
    <w:rsid w:val="008E6DFD"/>
    <w:rsid w:val="008F03F0"/>
    <w:rsid w:val="008F20C2"/>
    <w:rsid w:val="008F35B0"/>
    <w:rsid w:val="008F3FA1"/>
    <w:rsid w:val="008F4598"/>
    <w:rsid w:val="008F4961"/>
    <w:rsid w:val="008F5704"/>
    <w:rsid w:val="00903F7F"/>
    <w:rsid w:val="00904C84"/>
    <w:rsid w:val="00905257"/>
    <w:rsid w:val="00905555"/>
    <w:rsid w:val="00905A3F"/>
    <w:rsid w:val="00905F2D"/>
    <w:rsid w:val="00905FE8"/>
    <w:rsid w:val="0091031B"/>
    <w:rsid w:val="009131BA"/>
    <w:rsid w:val="00914513"/>
    <w:rsid w:val="00917090"/>
    <w:rsid w:val="00917C01"/>
    <w:rsid w:val="00920261"/>
    <w:rsid w:val="00920E49"/>
    <w:rsid w:val="00923362"/>
    <w:rsid w:val="00923B1D"/>
    <w:rsid w:val="00923D71"/>
    <w:rsid w:val="00926CD4"/>
    <w:rsid w:val="009320B3"/>
    <w:rsid w:val="0093282E"/>
    <w:rsid w:val="00933642"/>
    <w:rsid w:val="00935169"/>
    <w:rsid w:val="00935C38"/>
    <w:rsid w:val="00935F37"/>
    <w:rsid w:val="00936AD1"/>
    <w:rsid w:val="00936FF6"/>
    <w:rsid w:val="00937B5B"/>
    <w:rsid w:val="00937D1F"/>
    <w:rsid w:val="00940480"/>
    <w:rsid w:val="00941037"/>
    <w:rsid w:val="0094163F"/>
    <w:rsid w:val="00942749"/>
    <w:rsid w:val="009431CE"/>
    <w:rsid w:val="00943212"/>
    <w:rsid w:val="0095785B"/>
    <w:rsid w:val="0096138B"/>
    <w:rsid w:val="00961EBE"/>
    <w:rsid w:val="0096413A"/>
    <w:rsid w:val="00967DE8"/>
    <w:rsid w:val="00971C8C"/>
    <w:rsid w:val="00972426"/>
    <w:rsid w:val="00972469"/>
    <w:rsid w:val="009730E1"/>
    <w:rsid w:val="00985016"/>
    <w:rsid w:val="00985856"/>
    <w:rsid w:val="0098608F"/>
    <w:rsid w:val="0098704C"/>
    <w:rsid w:val="009931B2"/>
    <w:rsid w:val="00994D40"/>
    <w:rsid w:val="00996646"/>
    <w:rsid w:val="00997200"/>
    <w:rsid w:val="009A27A7"/>
    <w:rsid w:val="009A33C6"/>
    <w:rsid w:val="009B0671"/>
    <w:rsid w:val="009B11B9"/>
    <w:rsid w:val="009B1CE7"/>
    <w:rsid w:val="009B2541"/>
    <w:rsid w:val="009B2929"/>
    <w:rsid w:val="009B2FE7"/>
    <w:rsid w:val="009B6C20"/>
    <w:rsid w:val="009C0EF7"/>
    <w:rsid w:val="009C164F"/>
    <w:rsid w:val="009C21CC"/>
    <w:rsid w:val="009C3516"/>
    <w:rsid w:val="009C7325"/>
    <w:rsid w:val="009D6636"/>
    <w:rsid w:val="009E00CF"/>
    <w:rsid w:val="009E02F3"/>
    <w:rsid w:val="009E043E"/>
    <w:rsid w:val="009E0578"/>
    <w:rsid w:val="009E55BF"/>
    <w:rsid w:val="009F2A54"/>
    <w:rsid w:val="009F2EEF"/>
    <w:rsid w:val="00A002C0"/>
    <w:rsid w:val="00A01EA2"/>
    <w:rsid w:val="00A025E8"/>
    <w:rsid w:val="00A0265A"/>
    <w:rsid w:val="00A069AF"/>
    <w:rsid w:val="00A07251"/>
    <w:rsid w:val="00A07A83"/>
    <w:rsid w:val="00A1017B"/>
    <w:rsid w:val="00A1106B"/>
    <w:rsid w:val="00A135E3"/>
    <w:rsid w:val="00A13FB2"/>
    <w:rsid w:val="00A15C40"/>
    <w:rsid w:val="00A17194"/>
    <w:rsid w:val="00A20363"/>
    <w:rsid w:val="00A21259"/>
    <w:rsid w:val="00A229D6"/>
    <w:rsid w:val="00A25855"/>
    <w:rsid w:val="00A273E7"/>
    <w:rsid w:val="00A3370B"/>
    <w:rsid w:val="00A345AF"/>
    <w:rsid w:val="00A35AAB"/>
    <w:rsid w:val="00A35BEC"/>
    <w:rsid w:val="00A36750"/>
    <w:rsid w:val="00A36989"/>
    <w:rsid w:val="00A36A45"/>
    <w:rsid w:val="00A40278"/>
    <w:rsid w:val="00A40362"/>
    <w:rsid w:val="00A41B15"/>
    <w:rsid w:val="00A41D8C"/>
    <w:rsid w:val="00A45AAA"/>
    <w:rsid w:val="00A50085"/>
    <w:rsid w:val="00A534EE"/>
    <w:rsid w:val="00A547B0"/>
    <w:rsid w:val="00A5598F"/>
    <w:rsid w:val="00A5647B"/>
    <w:rsid w:val="00A574C8"/>
    <w:rsid w:val="00A61800"/>
    <w:rsid w:val="00A63433"/>
    <w:rsid w:val="00A63A21"/>
    <w:rsid w:val="00A63C97"/>
    <w:rsid w:val="00A653D3"/>
    <w:rsid w:val="00A67F32"/>
    <w:rsid w:val="00A70D9F"/>
    <w:rsid w:val="00A7233C"/>
    <w:rsid w:val="00A72E6E"/>
    <w:rsid w:val="00A741C9"/>
    <w:rsid w:val="00A74651"/>
    <w:rsid w:val="00A748F7"/>
    <w:rsid w:val="00A771A5"/>
    <w:rsid w:val="00A82163"/>
    <w:rsid w:val="00A86FEC"/>
    <w:rsid w:val="00A9089D"/>
    <w:rsid w:val="00A91157"/>
    <w:rsid w:val="00A92A73"/>
    <w:rsid w:val="00A93E22"/>
    <w:rsid w:val="00A94793"/>
    <w:rsid w:val="00A97FD3"/>
    <w:rsid w:val="00AA072A"/>
    <w:rsid w:val="00AA1B9F"/>
    <w:rsid w:val="00AA6A0D"/>
    <w:rsid w:val="00AA7B4A"/>
    <w:rsid w:val="00AB20FA"/>
    <w:rsid w:val="00AB237C"/>
    <w:rsid w:val="00AB5AD0"/>
    <w:rsid w:val="00AC00B5"/>
    <w:rsid w:val="00AC0AEA"/>
    <w:rsid w:val="00AC2C0F"/>
    <w:rsid w:val="00AC2D18"/>
    <w:rsid w:val="00AC3927"/>
    <w:rsid w:val="00AC3D81"/>
    <w:rsid w:val="00AC68CC"/>
    <w:rsid w:val="00AC6D04"/>
    <w:rsid w:val="00AD16CE"/>
    <w:rsid w:val="00AD3B4A"/>
    <w:rsid w:val="00AD6565"/>
    <w:rsid w:val="00AE179E"/>
    <w:rsid w:val="00AF0DFD"/>
    <w:rsid w:val="00AF16ED"/>
    <w:rsid w:val="00AF1B32"/>
    <w:rsid w:val="00AF2233"/>
    <w:rsid w:val="00AF2FA7"/>
    <w:rsid w:val="00AF477F"/>
    <w:rsid w:val="00AF47C3"/>
    <w:rsid w:val="00AF508B"/>
    <w:rsid w:val="00B06571"/>
    <w:rsid w:val="00B06638"/>
    <w:rsid w:val="00B06B96"/>
    <w:rsid w:val="00B1022E"/>
    <w:rsid w:val="00B11932"/>
    <w:rsid w:val="00B13697"/>
    <w:rsid w:val="00B13968"/>
    <w:rsid w:val="00B15B7A"/>
    <w:rsid w:val="00B202F8"/>
    <w:rsid w:val="00B24EAF"/>
    <w:rsid w:val="00B26309"/>
    <w:rsid w:val="00B31D03"/>
    <w:rsid w:val="00B31DF3"/>
    <w:rsid w:val="00B33646"/>
    <w:rsid w:val="00B34D9F"/>
    <w:rsid w:val="00B3708B"/>
    <w:rsid w:val="00B370DB"/>
    <w:rsid w:val="00B40920"/>
    <w:rsid w:val="00B423DF"/>
    <w:rsid w:val="00B43218"/>
    <w:rsid w:val="00B44B6F"/>
    <w:rsid w:val="00B47C41"/>
    <w:rsid w:val="00B53728"/>
    <w:rsid w:val="00B554FE"/>
    <w:rsid w:val="00B61671"/>
    <w:rsid w:val="00B61D22"/>
    <w:rsid w:val="00B62ABB"/>
    <w:rsid w:val="00B6350C"/>
    <w:rsid w:val="00B67654"/>
    <w:rsid w:val="00B70AB5"/>
    <w:rsid w:val="00B70D40"/>
    <w:rsid w:val="00B72609"/>
    <w:rsid w:val="00B73C4E"/>
    <w:rsid w:val="00B7406C"/>
    <w:rsid w:val="00B81653"/>
    <w:rsid w:val="00B81A40"/>
    <w:rsid w:val="00B81C80"/>
    <w:rsid w:val="00B82A15"/>
    <w:rsid w:val="00B844E0"/>
    <w:rsid w:val="00B864CC"/>
    <w:rsid w:val="00B87734"/>
    <w:rsid w:val="00B91485"/>
    <w:rsid w:val="00B923BE"/>
    <w:rsid w:val="00B95DEC"/>
    <w:rsid w:val="00B961F2"/>
    <w:rsid w:val="00BA0B89"/>
    <w:rsid w:val="00BA18DE"/>
    <w:rsid w:val="00BA1B0B"/>
    <w:rsid w:val="00BA3A16"/>
    <w:rsid w:val="00BA4FAD"/>
    <w:rsid w:val="00BA50DD"/>
    <w:rsid w:val="00BA66F8"/>
    <w:rsid w:val="00BA7610"/>
    <w:rsid w:val="00BB0B63"/>
    <w:rsid w:val="00BB57A7"/>
    <w:rsid w:val="00BB62F8"/>
    <w:rsid w:val="00BB6626"/>
    <w:rsid w:val="00BB6DAB"/>
    <w:rsid w:val="00BB71CD"/>
    <w:rsid w:val="00BB78DE"/>
    <w:rsid w:val="00BC03CD"/>
    <w:rsid w:val="00BC1279"/>
    <w:rsid w:val="00BC2E42"/>
    <w:rsid w:val="00BC4D4B"/>
    <w:rsid w:val="00BC5184"/>
    <w:rsid w:val="00BC64B1"/>
    <w:rsid w:val="00BC7883"/>
    <w:rsid w:val="00BD1F65"/>
    <w:rsid w:val="00BD3729"/>
    <w:rsid w:val="00BD44C7"/>
    <w:rsid w:val="00BD50DD"/>
    <w:rsid w:val="00BD7B4F"/>
    <w:rsid w:val="00BE21E2"/>
    <w:rsid w:val="00BF095F"/>
    <w:rsid w:val="00BF23B2"/>
    <w:rsid w:val="00BF2455"/>
    <w:rsid w:val="00BF3321"/>
    <w:rsid w:val="00BF47DD"/>
    <w:rsid w:val="00BF4B34"/>
    <w:rsid w:val="00BF5685"/>
    <w:rsid w:val="00BF61AD"/>
    <w:rsid w:val="00BF7063"/>
    <w:rsid w:val="00C00F75"/>
    <w:rsid w:val="00C10A27"/>
    <w:rsid w:val="00C112DD"/>
    <w:rsid w:val="00C117D2"/>
    <w:rsid w:val="00C14A60"/>
    <w:rsid w:val="00C20943"/>
    <w:rsid w:val="00C24043"/>
    <w:rsid w:val="00C2408B"/>
    <w:rsid w:val="00C24139"/>
    <w:rsid w:val="00C24E05"/>
    <w:rsid w:val="00C255AE"/>
    <w:rsid w:val="00C30B96"/>
    <w:rsid w:val="00C31A11"/>
    <w:rsid w:val="00C32E03"/>
    <w:rsid w:val="00C33309"/>
    <w:rsid w:val="00C35EF9"/>
    <w:rsid w:val="00C42E20"/>
    <w:rsid w:val="00C47347"/>
    <w:rsid w:val="00C5014A"/>
    <w:rsid w:val="00C50A3F"/>
    <w:rsid w:val="00C54B7D"/>
    <w:rsid w:val="00C55D98"/>
    <w:rsid w:val="00C56D13"/>
    <w:rsid w:val="00C579FE"/>
    <w:rsid w:val="00C61D4A"/>
    <w:rsid w:val="00C634FE"/>
    <w:rsid w:val="00C63AC2"/>
    <w:rsid w:val="00C645A8"/>
    <w:rsid w:val="00C72B57"/>
    <w:rsid w:val="00C73005"/>
    <w:rsid w:val="00C731BA"/>
    <w:rsid w:val="00C825E7"/>
    <w:rsid w:val="00C84C4C"/>
    <w:rsid w:val="00C85FE9"/>
    <w:rsid w:val="00C86D7E"/>
    <w:rsid w:val="00C92FEF"/>
    <w:rsid w:val="00C95934"/>
    <w:rsid w:val="00C95977"/>
    <w:rsid w:val="00C9662C"/>
    <w:rsid w:val="00C97983"/>
    <w:rsid w:val="00CA004E"/>
    <w:rsid w:val="00CA0513"/>
    <w:rsid w:val="00CA20C7"/>
    <w:rsid w:val="00CA446E"/>
    <w:rsid w:val="00CA5757"/>
    <w:rsid w:val="00CA59E2"/>
    <w:rsid w:val="00CA68B6"/>
    <w:rsid w:val="00CA7861"/>
    <w:rsid w:val="00CB1722"/>
    <w:rsid w:val="00CB1D68"/>
    <w:rsid w:val="00CB3B64"/>
    <w:rsid w:val="00CB4F93"/>
    <w:rsid w:val="00CC0A25"/>
    <w:rsid w:val="00CC149A"/>
    <w:rsid w:val="00CC3E95"/>
    <w:rsid w:val="00CC5400"/>
    <w:rsid w:val="00CC5E3B"/>
    <w:rsid w:val="00CC6478"/>
    <w:rsid w:val="00CC753A"/>
    <w:rsid w:val="00CD00BD"/>
    <w:rsid w:val="00CD29B7"/>
    <w:rsid w:val="00CD32F4"/>
    <w:rsid w:val="00CD3F4D"/>
    <w:rsid w:val="00CD4D6B"/>
    <w:rsid w:val="00CD6E69"/>
    <w:rsid w:val="00CD6FDE"/>
    <w:rsid w:val="00CD7A9A"/>
    <w:rsid w:val="00CD7D8E"/>
    <w:rsid w:val="00CE3186"/>
    <w:rsid w:val="00CE32FB"/>
    <w:rsid w:val="00CE4812"/>
    <w:rsid w:val="00CE496C"/>
    <w:rsid w:val="00CE6BFF"/>
    <w:rsid w:val="00CF007E"/>
    <w:rsid w:val="00CF3E8E"/>
    <w:rsid w:val="00CF4B57"/>
    <w:rsid w:val="00CF6D2D"/>
    <w:rsid w:val="00CF73BB"/>
    <w:rsid w:val="00D01470"/>
    <w:rsid w:val="00D01651"/>
    <w:rsid w:val="00D02A04"/>
    <w:rsid w:val="00D037F0"/>
    <w:rsid w:val="00D04DBE"/>
    <w:rsid w:val="00D052A3"/>
    <w:rsid w:val="00D1009C"/>
    <w:rsid w:val="00D10AD2"/>
    <w:rsid w:val="00D110E4"/>
    <w:rsid w:val="00D1134B"/>
    <w:rsid w:val="00D14881"/>
    <w:rsid w:val="00D15BE6"/>
    <w:rsid w:val="00D20D2B"/>
    <w:rsid w:val="00D21E85"/>
    <w:rsid w:val="00D229EE"/>
    <w:rsid w:val="00D23889"/>
    <w:rsid w:val="00D25D86"/>
    <w:rsid w:val="00D30CD1"/>
    <w:rsid w:val="00D339D8"/>
    <w:rsid w:val="00D40AEF"/>
    <w:rsid w:val="00D42C6D"/>
    <w:rsid w:val="00D43324"/>
    <w:rsid w:val="00D44ED2"/>
    <w:rsid w:val="00D451F6"/>
    <w:rsid w:val="00D53326"/>
    <w:rsid w:val="00D535A4"/>
    <w:rsid w:val="00D543B1"/>
    <w:rsid w:val="00D55130"/>
    <w:rsid w:val="00D569F0"/>
    <w:rsid w:val="00D602BA"/>
    <w:rsid w:val="00D61BBB"/>
    <w:rsid w:val="00D63E3C"/>
    <w:rsid w:val="00D707DD"/>
    <w:rsid w:val="00D725F8"/>
    <w:rsid w:val="00D7404D"/>
    <w:rsid w:val="00D75026"/>
    <w:rsid w:val="00D7521B"/>
    <w:rsid w:val="00D77162"/>
    <w:rsid w:val="00D80035"/>
    <w:rsid w:val="00D81591"/>
    <w:rsid w:val="00D81B81"/>
    <w:rsid w:val="00D827B9"/>
    <w:rsid w:val="00D83AFF"/>
    <w:rsid w:val="00D84DF4"/>
    <w:rsid w:val="00D87693"/>
    <w:rsid w:val="00D902DD"/>
    <w:rsid w:val="00D917E2"/>
    <w:rsid w:val="00D92508"/>
    <w:rsid w:val="00D9469A"/>
    <w:rsid w:val="00D965D7"/>
    <w:rsid w:val="00D971EB"/>
    <w:rsid w:val="00DA01BD"/>
    <w:rsid w:val="00DA04CD"/>
    <w:rsid w:val="00DA0D6B"/>
    <w:rsid w:val="00DA185F"/>
    <w:rsid w:val="00DA29FB"/>
    <w:rsid w:val="00DA473D"/>
    <w:rsid w:val="00DA5BA0"/>
    <w:rsid w:val="00DB0334"/>
    <w:rsid w:val="00DB12D8"/>
    <w:rsid w:val="00DB14B0"/>
    <w:rsid w:val="00DB4A72"/>
    <w:rsid w:val="00DB6175"/>
    <w:rsid w:val="00DB6ABD"/>
    <w:rsid w:val="00DC03DB"/>
    <w:rsid w:val="00DC2966"/>
    <w:rsid w:val="00DC55DA"/>
    <w:rsid w:val="00DC7195"/>
    <w:rsid w:val="00DC7396"/>
    <w:rsid w:val="00DD122C"/>
    <w:rsid w:val="00DD416A"/>
    <w:rsid w:val="00DD422B"/>
    <w:rsid w:val="00DD475A"/>
    <w:rsid w:val="00DE0D02"/>
    <w:rsid w:val="00DE0ED1"/>
    <w:rsid w:val="00DE3BCD"/>
    <w:rsid w:val="00DE6B4D"/>
    <w:rsid w:val="00DF3678"/>
    <w:rsid w:val="00DF3B2B"/>
    <w:rsid w:val="00DF3BB0"/>
    <w:rsid w:val="00DF4E1C"/>
    <w:rsid w:val="00DF5FE1"/>
    <w:rsid w:val="00E00D84"/>
    <w:rsid w:val="00E07446"/>
    <w:rsid w:val="00E07961"/>
    <w:rsid w:val="00E11D8A"/>
    <w:rsid w:val="00E12DF8"/>
    <w:rsid w:val="00E139BA"/>
    <w:rsid w:val="00E13ABB"/>
    <w:rsid w:val="00E159F2"/>
    <w:rsid w:val="00E20339"/>
    <w:rsid w:val="00E21B22"/>
    <w:rsid w:val="00E2251A"/>
    <w:rsid w:val="00E22E8F"/>
    <w:rsid w:val="00E2305B"/>
    <w:rsid w:val="00E23F1F"/>
    <w:rsid w:val="00E24D7D"/>
    <w:rsid w:val="00E2666B"/>
    <w:rsid w:val="00E2742E"/>
    <w:rsid w:val="00E27DD6"/>
    <w:rsid w:val="00E333B0"/>
    <w:rsid w:val="00E35D0B"/>
    <w:rsid w:val="00E3653B"/>
    <w:rsid w:val="00E44CCB"/>
    <w:rsid w:val="00E44CF5"/>
    <w:rsid w:val="00E44E27"/>
    <w:rsid w:val="00E44FDC"/>
    <w:rsid w:val="00E45302"/>
    <w:rsid w:val="00E45F1B"/>
    <w:rsid w:val="00E62EFC"/>
    <w:rsid w:val="00E64BB1"/>
    <w:rsid w:val="00E6695A"/>
    <w:rsid w:val="00E6769C"/>
    <w:rsid w:val="00E67EE0"/>
    <w:rsid w:val="00E73C0D"/>
    <w:rsid w:val="00E753CE"/>
    <w:rsid w:val="00E7551C"/>
    <w:rsid w:val="00E82CD7"/>
    <w:rsid w:val="00E82D81"/>
    <w:rsid w:val="00E90169"/>
    <w:rsid w:val="00E93291"/>
    <w:rsid w:val="00E94054"/>
    <w:rsid w:val="00E9430B"/>
    <w:rsid w:val="00EA2DDD"/>
    <w:rsid w:val="00EA441F"/>
    <w:rsid w:val="00EA491A"/>
    <w:rsid w:val="00EA6E4A"/>
    <w:rsid w:val="00EA7962"/>
    <w:rsid w:val="00EB2825"/>
    <w:rsid w:val="00EB3565"/>
    <w:rsid w:val="00EB48C8"/>
    <w:rsid w:val="00EB7CE5"/>
    <w:rsid w:val="00EC0C63"/>
    <w:rsid w:val="00EC24C5"/>
    <w:rsid w:val="00EC2823"/>
    <w:rsid w:val="00EC2A5F"/>
    <w:rsid w:val="00EC3795"/>
    <w:rsid w:val="00EC5C9F"/>
    <w:rsid w:val="00EC6C7E"/>
    <w:rsid w:val="00EC764A"/>
    <w:rsid w:val="00EC7988"/>
    <w:rsid w:val="00EC7A1E"/>
    <w:rsid w:val="00ED015C"/>
    <w:rsid w:val="00ED5800"/>
    <w:rsid w:val="00ED598F"/>
    <w:rsid w:val="00ED6DB9"/>
    <w:rsid w:val="00ED6F06"/>
    <w:rsid w:val="00EE02E1"/>
    <w:rsid w:val="00EE0EA4"/>
    <w:rsid w:val="00EE201A"/>
    <w:rsid w:val="00EE61D9"/>
    <w:rsid w:val="00EE7338"/>
    <w:rsid w:val="00EE74D1"/>
    <w:rsid w:val="00EF3501"/>
    <w:rsid w:val="00EF3554"/>
    <w:rsid w:val="00EF3C35"/>
    <w:rsid w:val="00EF6744"/>
    <w:rsid w:val="00F01F42"/>
    <w:rsid w:val="00F027E3"/>
    <w:rsid w:val="00F02908"/>
    <w:rsid w:val="00F03856"/>
    <w:rsid w:val="00F064F8"/>
    <w:rsid w:val="00F06666"/>
    <w:rsid w:val="00F11CEB"/>
    <w:rsid w:val="00F12186"/>
    <w:rsid w:val="00F135A6"/>
    <w:rsid w:val="00F139C4"/>
    <w:rsid w:val="00F15021"/>
    <w:rsid w:val="00F2043E"/>
    <w:rsid w:val="00F23A49"/>
    <w:rsid w:val="00F23A88"/>
    <w:rsid w:val="00F26B6B"/>
    <w:rsid w:val="00F2725F"/>
    <w:rsid w:val="00F27804"/>
    <w:rsid w:val="00F27DD3"/>
    <w:rsid w:val="00F30EF5"/>
    <w:rsid w:val="00F31B0E"/>
    <w:rsid w:val="00F36637"/>
    <w:rsid w:val="00F3675B"/>
    <w:rsid w:val="00F375AF"/>
    <w:rsid w:val="00F414BC"/>
    <w:rsid w:val="00F43A51"/>
    <w:rsid w:val="00F43D3B"/>
    <w:rsid w:val="00F50D7A"/>
    <w:rsid w:val="00F513D1"/>
    <w:rsid w:val="00F53202"/>
    <w:rsid w:val="00F56329"/>
    <w:rsid w:val="00F569B3"/>
    <w:rsid w:val="00F5744B"/>
    <w:rsid w:val="00F57476"/>
    <w:rsid w:val="00F57A4A"/>
    <w:rsid w:val="00F57A5D"/>
    <w:rsid w:val="00F62C59"/>
    <w:rsid w:val="00F62E9A"/>
    <w:rsid w:val="00F67FE1"/>
    <w:rsid w:val="00F7019F"/>
    <w:rsid w:val="00F7052F"/>
    <w:rsid w:val="00F719F9"/>
    <w:rsid w:val="00F71AEA"/>
    <w:rsid w:val="00F72980"/>
    <w:rsid w:val="00F75D7D"/>
    <w:rsid w:val="00F76BE4"/>
    <w:rsid w:val="00F8354A"/>
    <w:rsid w:val="00F838DA"/>
    <w:rsid w:val="00F87409"/>
    <w:rsid w:val="00F87DD8"/>
    <w:rsid w:val="00FA0A59"/>
    <w:rsid w:val="00FA2AA0"/>
    <w:rsid w:val="00FA2FC2"/>
    <w:rsid w:val="00FA394A"/>
    <w:rsid w:val="00FA4099"/>
    <w:rsid w:val="00FA721C"/>
    <w:rsid w:val="00FB5368"/>
    <w:rsid w:val="00FC054B"/>
    <w:rsid w:val="00FC1659"/>
    <w:rsid w:val="00FC1E76"/>
    <w:rsid w:val="00FC3590"/>
    <w:rsid w:val="00FC3EC3"/>
    <w:rsid w:val="00FC4328"/>
    <w:rsid w:val="00FC5F18"/>
    <w:rsid w:val="00FD0502"/>
    <w:rsid w:val="00FD2EF4"/>
    <w:rsid w:val="00FD4154"/>
    <w:rsid w:val="00FD4FFF"/>
    <w:rsid w:val="00FD6531"/>
    <w:rsid w:val="00FE2C39"/>
    <w:rsid w:val="00FE40DB"/>
    <w:rsid w:val="00FE7386"/>
    <w:rsid w:val="00FE7E4D"/>
    <w:rsid w:val="00FF02AE"/>
    <w:rsid w:val="00FF1935"/>
    <w:rsid w:val="00FF5E01"/>
    <w:rsid w:val="00FF6677"/>
    <w:rsid w:val="00FF7FF1"/>
    <w:rsid w:val="02330063"/>
    <w:rsid w:val="025848D4"/>
    <w:rsid w:val="02A5577A"/>
    <w:rsid w:val="02D22E56"/>
    <w:rsid w:val="030A4958"/>
    <w:rsid w:val="03E304BD"/>
    <w:rsid w:val="03FE5F71"/>
    <w:rsid w:val="04400483"/>
    <w:rsid w:val="04C16153"/>
    <w:rsid w:val="04CC0AC5"/>
    <w:rsid w:val="0548574A"/>
    <w:rsid w:val="057B7935"/>
    <w:rsid w:val="06051716"/>
    <w:rsid w:val="06FC5746"/>
    <w:rsid w:val="07CD05D3"/>
    <w:rsid w:val="08105C43"/>
    <w:rsid w:val="08417C84"/>
    <w:rsid w:val="09451A08"/>
    <w:rsid w:val="0AD618C2"/>
    <w:rsid w:val="0C394176"/>
    <w:rsid w:val="0CAE6749"/>
    <w:rsid w:val="0CAF59B2"/>
    <w:rsid w:val="0D1129FD"/>
    <w:rsid w:val="0D8C1019"/>
    <w:rsid w:val="0D9E7809"/>
    <w:rsid w:val="0DE10621"/>
    <w:rsid w:val="0DFE0520"/>
    <w:rsid w:val="0EAF24CD"/>
    <w:rsid w:val="1064458A"/>
    <w:rsid w:val="10F755B1"/>
    <w:rsid w:val="11597431"/>
    <w:rsid w:val="11BA69FB"/>
    <w:rsid w:val="136D1FBB"/>
    <w:rsid w:val="139413D7"/>
    <w:rsid w:val="13A24CF6"/>
    <w:rsid w:val="15D216CE"/>
    <w:rsid w:val="174529A1"/>
    <w:rsid w:val="17D50129"/>
    <w:rsid w:val="181A02C6"/>
    <w:rsid w:val="182778AF"/>
    <w:rsid w:val="18905BA6"/>
    <w:rsid w:val="1988355B"/>
    <w:rsid w:val="199D3F96"/>
    <w:rsid w:val="1A463AFA"/>
    <w:rsid w:val="1AAE2A25"/>
    <w:rsid w:val="1AB062D8"/>
    <w:rsid w:val="1AED2764"/>
    <w:rsid w:val="1AF70C4B"/>
    <w:rsid w:val="1B027E29"/>
    <w:rsid w:val="1B737AF3"/>
    <w:rsid w:val="1D2547F1"/>
    <w:rsid w:val="1D2D3204"/>
    <w:rsid w:val="1DAA206C"/>
    <w:rsid w:val="1DF20D15"/>
    <w:rsid w:val="1E6B3826"/>
    <w:rsid w:val="1F0C43CD"/>
    <w:rsid w:val="1F5F0CA3"/>
    <w:rsid w:val="1FBF827C"/>
    <w:rsid w:val="20107B1C"/>
    <w:rsid w:val="204C226F"/>
    <w:rsid w:val="20C224E4"/>
    <w:rsid w:val="20D5619C"/>
    <w:rsid w:val="21634A29"/>
    <w:rsid w:val="21E5472C"/>
    <w:rsid w:val="22C5234C"/>
    <w:rsid w:val="23A02BEB"/>
    <w:rsid w:val="23DE3EE7"/>
    <w:rsid w:val="244113FB"/>
    <w:rsid w:val="247812F9"/>
    <w:rsid w:val="24F552A0"/>
    <w:rsid w:val="25164A58"/>
    <w:rsid w:val="25B71766"/>
    <w:rsid w:val="26802C75"/>
    <w:rsid w:val="281D5D2F"/>
    <w:rsid w:val="28525506"/>
    <w:rsid w:val="287E6AD0"/>
    <w:rsid w:val="29AA24AE"/>
    <w:rsid w:val="29FA3BB0"/>
    <w:rsid w:val="2A220E13"/>
    <w:rsid w:val="2A4A1DAD"/>
    <w:rsid w:val="2B1C0A93"/>
    <w:rsid w:val="2B383B7D"/>
    <w:rsid w:val="2B5F4F69"/>
    <w:rsid w:val="2BBC6B7A"/>
    <w:rsid w:val="2C6213B2"/>
    <w:rsid w:val="2CA801C9"/>
    <w:rsid w:val="2CC23C3E"/>
    <w:rsid w:val="2F2D5612"/>
    <w:rsid w:val="2F676412"/>
    <w:rsid w:val="2FB72EAF"/>
    <w:rsid w:val="2FEFD766"/>
    <w:rsid w:val="3091115B"/>
    <w:rsid w:val="30FF0C3A"/>
    <w:rsid w:val="33441D78"/>
    <w:rsid w:val="336F70E4"/>
    <w:rsid w:val="348011EA"/>
    <w:rsid w:val="35433444"/>
    <w:rsid w:val="35C612CE"/>
    <w:rsid w:val="37160A8C"/>
    <w:rsid w:val="37B67BDB"/>
    <w:rsid w:val="37FB9FBC"/>
    <w:rsid w:val="38063BEE"/>
    <w:rsid w:val="3A2563D2"/>
    <w:rsid w:val="3A8061EB"/>
    <w:rsid w:val="3B5F1F13"/>
    <w:rsid w:val="3B721837"/>
    <w:rsid w:val="3BB33ACC"/>
    <w:rsid w:val="3BB72DA6"/>
    <w:rsid w:val="3BC137A0"/>
    <w:rsid w:val="3C8402B7"/>
    <w:rsid w:val="3C9C26C4"/>
    <w:rsid w:val="3D0A1EF8"/>
    <w:rsid w:val="3D87D8B3"/>
    <w:rsid w:val="3DBD1C44"/>
    <w:rsid w:val="3DC16694"/>
    <w:rsid w:val="3F92DDB7"/>
    <w:rsid w:val="3FBD073D"/>
    <w:rsid w:val="3FE438BE"/>
    <w:rsid w:val="3FFDD8D6"/>
    <w:rsid w:val="4006028E"/>
    <w:rsid w:val="40515767"/>
    <w:rsid w:val="406E2B5A"/>
    <w:rsid w:val="41971DA3"/>
    <w:rsid w:val="41EC08E1"/>
    <w:rsid w:val="42230174"/>
    <w:rsid w:val="423B3B37"/>
    <w:rsid w:val="423B574B"/>
    <w:rsid w:val="4241123D"/>
    <w:rsid w:val="43E27E45"/>
    <w:rsid w:val="44290F48"/>
    <w:rsid w:val="445B21D4"/>
    <w:rsid w:val="44E77255"/>
    <w:rsid w:val="462B0DE5"/>
    <w:rsid w:val="46691636"/>
    <w:rsid w:val="46E03886"/>
    <w:rsid w:val="46F53B97"/>
    <w:rsid w:val="47EB56A0"/>
    <w:rsid w:val="48D3615A"/>
    <w:rsid w:val="48EB2626"/>
    <w:rsid w:val="49A60BF4"/>
    <w:rsid w:val="4A13323F"/>
    <w:rsid w:val="4AF84126"/>
    <w:rsid w:val="4B90226B"/>
    <w:rsid w:val="4BA05588"/>
    <w:rsid w:val="4BAF7BCB"/>
    <w:rsid w:val="4BD57987"/>
    <w:rsid w:val="4C400E10"/>
    <w:rsid w:val="4CEB0C71"/>
    <w:rsid w:val="4D8C1650"/>
    <w:rsid w:val="4EA6208A"/>
    <w:rsid w:val="4EF51FA3"/>
    <w:rsid w:val="4F282B1D"/>
    <w:rsid w:val="4FB21842"/>
    <w:rsid w:val="50FF1B13"/>
    <w:rsid w:val="510B24D7"/>
    <w:rsid w:val="512317F9"/>
    <w:rsid w:val="52A7B600"/>
    <w:rsid w:val="52B14033"/>
    <w:rsid w:val="53A05304"/>
    <w:rsid w:val="53B26594"/>
    <w:rsid w:val="540F3628"/>
    <w:rsid w:val="54B147EF"/>
    <w:rsid w:val="54F63F7F"/>
    <w:rsid w:val="551E3A9E"/>
    <w:rsid w:val="55345F5A"/>
    <w:rsid w:val="55441D01"/>
    <w:rsid w:val="55592341"/>
    <w:rsid w:val="55E90765"/>
    <w:rsid w:val="5667269D"/>
    <w:rsid w:val="57EB6156"/>
    <w:rsid w:val="57F22EC2"/>
    <w:rsid w:val="58470074"/>
    <w:rsid w:val="591724A4"/>
    <w:rsid w:val="591F3D01"/>
    <w:rsid w:val="59967ADE"/>
    <w:rsid w:val="5A44388B"/>
    <w:rsid w:val="5A9F2BC0"/>
    <w:rsid w:val="5AD56EC2"/>
    <w:rsid w:val="5AEF673F"/>
    <w:rsid w:val="5B44114A"/>
    <w:rsid w:val="5C3E49C6"/>
    <w:rsid w:val="5D060374"/>
    <w:rsid w:val="5E5F4B21"/>
    <w:rsid w:val="5EA73D28"/>
    <w:rsid w:val="5FF85D8A"/>
    <w:rsid w:val="606212F6"/>
    <w:rsid w:val="60F753B1"/>
    <w:rsid w:val="618172C6"/>
    <w:rsid w:val="62F77414"/>
    <w:rsid w:val="62FF66F4"/>
    <w:rsid w:val="6342773F"/>
    <w:rsid w:val="63B46A39"/>
    <w:rsid w:val="63FA76B1"/>
    <w:rsid w:val="64EE78B6"/>
    <w:rsid w:val="65085C47"/>
    <w:rsid w:val="65160339"/>
    <w:rsid w:val="655832D4"/>
    <w:rsid w:val="65B337C6"/>
    <w:rsid w:val="65C051AB"/>
    <w:rsid w:val="662A20DC"/>
    <w:rsid w:val="66327427"/>
    <w:rsid w:val="665D29C6"/>
    <w:rsid w:val="66DC0A88"/>
    <w:rsid w:val="6781556C"/>
    <w:rsid w:val="67BF7B92"/>
    <w:rsid w:val="689E5F8F"/>
    <w:rsid w:val="69846408"/>
    <w:rsid w:val="6BAD4C5D"/>
    <w:rsid w:val="6BE21B9D"/>
    <w:rsid w:val="6C4B4758"/>
    <w:rsid w:val="6CB611CA"/>
    <w:rsid w:val="6E4C611A"/>
    <w:rsid w:val="6E8B1F0A"/>
    <w:rsid w:val="6EB74327"/>
    <w:rsid w:val="6EC8028F"/>
    <w:rsid w:val="6F130A06"/>
    <w:rsid w:val="6F1F1ECC"/>
    <w:rsid w:val="6FCB5155"/>
    <w:rsid w:val="705A7660"/>
    <w:rsid w:val="70894A0D"/>
    <w:rsid w:val="709E193E"/>
    <w:rsid w:val="709F18D2"/>
    <w:rsid w:val="70D62E0D"/>
    <w:rsid w:val="712C15E1"/>
    <w:rsid w:val="717C6C5D"/>
    <w:rsid w:val="718D5813"/>
    <w:rsid w:val="71DB20DB"/>
    <w:rsid w:val="73076BFF"/>
    <w:rsid w:val="738653CA"/>
    <w:rsid w:val="74326209"/>
    <w:rsid w:val="75355FF3"/>
    <w:rsid w:val="75FBDC93"/>
    <w:rsid w:val="76021EE2"/>
    <w:rsid w:val="76032F0C"/>
    <w:rsid w:val="765A3E29"/>
    <w:rsid w:val="7711659E"/>
    <w:rsid w:val="775457D3"/>
    <w:rsid w:val="78050E27"/>
    <w:rsid w:val="78983FB5"/>
    <w:rsid w:val="78BB52B2"/>
    <w:rsid w:val="78D24494"/>
    <w:rsid w:val="79E65289"/>
    <w:rsid w:val="79E7746A"/>
    <w:rsid w:val="7A693E70"/>
    <w:rsid w:val="7AAA565E"/>
    <w:rsid w:val="7AAC3594"/>
    <w:rsid w:val="7ACB2E69"/>
    <w:rsid w:val="7BA9296D"/>
    <w:rsid w:val="7BAE5F86"/>
    <w:rsid w:val="7BDD0B15"/>
    <w:rsid w:val="7C2936C9"/>
    <w:rsid w:val="7C8E0A7C"/>
    <w:rsid w:val="7DEC7262"/>
    <w:rsid w:val="7E8B1E0C"/>
    <w:rsid w:val="7EA81B1F"/>
    <w:rsid w:val="7ECB31C6"/>
    <w:rsid w:val="7F26062C"/>
    <w:rsid w:val="7F76391C"/>
    <w:rsid w:val="7FBFD0A1"/>
    <w:rsid w:val="93AF782E"/>
    <w:rsid w:val="9FFBE090"/>
    <w:rsid w:val="BAEE4F3A"/>
    <w:rsid w:val="CFB55FD6"/>
    <w:rsid w:val="CFFED540"/>
    <w:rsid w:val="D9EEC4BC"/>
    <w:rsid w:val="DF6CFD15"/>
    <w:rsid w:val="DFBF4640"/>
    <w:rsid w:val="EE6FCFB4"/>
    <w:rsid w:val="EEFB7ABA"/>
    <w:rsid w:val="EFCFD0D5"/>
    <w:rsid w:val="EFFF052F"/>
    <w:rsid w:val="FED39D98"/>
    <w:rsid w:val="FFD6BDF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qFormat="1" w:uiPriority="39" w:name="toc 9"/>
    <w:lsdException w:uiPriority="99" w:name="Normal Indent"/>
    <w:lsdException w:uiPriority="99" w:name="footnote text"/>
    <w:lsdException w:qFormat="1"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560" w:lineRule="exact"/>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49"/>
    <w:autoRedefine/>
    <w:qFormat/>
    <w:uiPriority w:val="9"/>
    <w:pPr>
      <w:keepNext/>
      <w:keepLines/>
      <w:spacing w:before="340" w:after="330" w:line="578" w:lineRule="atLeast"/>
      <w:outlineLvl w:val="0"/>
    </w:pPr>
    <w:rPr>
      <w:b/>
      <w:bCs/>
      <w:kern w:val="44"/>
      <w:sz w:val="44"/>
      <w:szCs w:val="44"/>
    </w:rPr>
  </w:style>
  <w:style w:type="paragraph" w:styleId="3">
    <w:name w:val="heading 2"/>
    <w:basedOn w:val="1"/>
    <w:next w:val="1"/>
    <w:link w:val="51"/>
    <w:autoRedefine/>
    <w:unhideWhenUsed/>
    <w:qFormat/>
    <w:uiPriority w:val="9"/>
    <w:pPr>
      <w:keepNext/>
      <w:keepLines/>
      <w:spacing w:before="260" w:after="260" w:line="416" w:lineRule="atLeast"/>
      <w:outlineLvl w:val="1"/>
    </w:pPr>
    <w:rPr>
      <w:rFonts w:asciiTheme="majorHAnsi" w:hAnsiTheme="majorHAnsi" w:eastAsiaTheme="majorEastAsia" w:cstheme="majorBidi"/>
      <w:b/>
      <w:bCs/>
      <w:sz w:val="32"/>
      <w:szCs w:val="32"/>
    </w:rPr>
  </w:style>
  <w:style w:type="paragraph" w:styleId="4">
    <w:name w:val="heading 3"/>
    <w:basedOn w:val="1"/>
    <w:next w:val="1"/>
    <w:link w:val="44"/>
    <w:autoRedefine/>
    <w:semiHidden/>
    <w:unhideWhenUsed/>
    <w:qFormat/>
    <w:uiPriority w:val="0"/>
    <w:pPr>
      <w:spacing w:beforeAutospacing="1" w:afterAutospacing="1"/>
      <w:jc w:val="left"/>
      <w:outlineLvl w:val="2"/>
    </w:pPr>
    <w:rPr>
      <w:rFonts w:hint="eastAsia" w:ascii="宋体" w:hAnsi="宋体" w:eastAsia="宋体" w:cs="Times New Roman"/>
      <w:b/>
      <w:kern w:val="0"/>
      <w:sz w:val="27"/>
      <w:szCs w:val="27"/>
    </w:rPr>
  </w:style>
  <w:style w:type="paragraph" w:styleId="5">
    <w:name w:val="heading 4"/>
    <w:basedOn w:val="1"/>
    <w:next w:val="1"/>
    <w:unhideWhenUsed/>
    <w:qFormat/>
    <w:uiPriority w:val="9"/>
    <w:pPr>
      <w:keepNext/>
      <w:keepLines/>
      <w:spacing w:before="280" w:beforeLines="0" w:beforeAutospacing="0" w:after="290" w:afterLines="0" w:afterAutospacing="0" w:line="372" w:lineRule="auto"/>
      <w:outlineLvl w:val="3"/>
    </w:pPr>
    <w:rPr>
      <w:rFonts w:ascii="Arial" w:hAnsi="Arial" w:eastAsia="黑体"/>
      <w:b/>
      <w:sz w:val="28"/>
    </w:rPr>
  </w:style>
  <w:style w:type="paragraph" w:styleId="6">
    <w:name w:val="heading 5"/>
    <w:basedOn w:val="1"/>
    <w:next w:val="1"/>
    <w:unhideWhenUsed/>
    <w:qFormat/>
    <w:uiPriority w:val="9"/>
    <w:pPr>
      <w:keepNext/>
      <w:keepLines/>
      <w:spacing w:before="280" w:beforeLines="0" w:beforeAutospacing="0" w:after="290" w:afterLines="0" w:afterAutospacing="0" w:line="372" w:lineRule="auto"/>
      <w:outlineLvl w:val="4"/>
    </w:pPr>
    <w:rPr>
      <w:b/>
      <w:sz w:val="28"/>
    </w:rPr>
  </w:style>
  <w:style w:type="paragraph" w:styleId="7">
    <w:name w:val="heading 6"/>
    <w:basedOn w:val="1"/>
    <w:next w:val="1"/>
    <w:unhideWhenUsed/>
    <w:qFormat/>
    <w:uiPriority w:val="9"/>
    <w:pPr>
      <w:keepNext/>
      <w:keepLines/>
      <w:spacing w:before="240" w:beforeLines="0" w:beforeAutospacing="0" w:after="64" w:afterLines="0" w:afterAutospacing="0" w:line="317" w:lineRule="auto"/>
      <w:outlineLvl w:val="5"/>
    </w:pPr>
    <w:rPr>
      <w:rFonts w:ascii="Arial" w:hAnsi="Arial" w:eastAsia="黑体"/>
      <w:b/>
      <w:sz w:val="24"/>
    </w:rPr>
  </w:style>
  <w:style w:type="paragraph" w:styleId="8">
    <w:name w:val="heading 7"/>
    <w:basedOn w:val="1"/>
    <w:next w:val="1"/>
    <w:unhideWhenUsed/>
    <w:qFormat/>
    <w:uiPriority w:val="9"/>
    <w:pPr>
      <w:keepNext/>
      <w:keepLines/>
      <w:spacing w:before="240" w:beforeLines="0" w:beforeAutospacing="0" w:after="64" w:afterLines="0" w:afterAutospacing="0" w:line="317" w:lineRule="auto"/>
      <w:outlineLvl w:val="6"/>
    </w:pPr>
    <w:rPr>
      <w:b/>
      <w:sz w:val="24"/>
    </w:rPr>
  </w:style>
  <w:style w:type="paragraph" w:styleId="9">
    <w:name w:val="heading 8"/>
    <w:basedOn w:val="1"/>
    <w:next w:val="1"/>
    <w:unhideWhenUsed/>
    <w:qFormat/>
    <w:uiPriority w:val="9"/>
    <w:pPr>
      <w:keepNext/>
      <w:keepLines/>
      <w:spacing w:before="240" w:beforeLines="0" w:beforeAutospacing="0" w:after="64" w:afterLines="0" w:afterAutospacing="0" w:line="317" w:lineRule="auto"/>
      <w:outlineLvl w:val="7"/>
    </w:pPr>
    <w:rPr>
      <w:rFonts w:ascii="Arial" w:hAnsi="Arial" w:eastAsia="黑体"/>
      <w:sz w:val="24"/>
    </w:rPr>
  </w:style>
  <w:style w:type="paragraph" w:styleId="10">
    <w:name w:val="heading 9"/>
    <w:basedOn w:val="1"/>
    <w:next w:val="1"/>
    <w:unhideWhenUsed/>
    <w:qFormat/>
    <w:uiPriority w:val="9"/>
    <w:pPr>
      <w:keepNext/>
      <w:keepLines/>
      <w:spacing w:before="240" w:beforeLines="0" w:beforeAutospacing="0" w:after="64" w:afterLines="0" w:afterAutospacing="0" w:line="317" w:lineRule="auto"/>
      <w:outlineLvl w:val="8"/>
    </w:pPr>
    <w:rPr>
      <w:rFonts w:ascii="Arial" w:hAnsi="Arial" w:eastAsia="黑体"/>
      <w:sz w:val="21"/>
    </w:rPr>
  </w:style>
  <w:style w:type="character" w:default="1" w:styleId="23">
    <w:name w:val="Default Paragraph Font"/>
    <w:autoRedefine/>
    <w:semiHidden/>
    <w:unhideWhenUsed/>
    <w:qFormat/>
    <w:uiPriority w:val="1"/>
  </w:style>
  <w:style w:type="table" w:default="1" w:styleId="21">
    <w:name w:val="Normal Table"/>
    <w:autoRedefine/>
    <w:semiHidden/>
    <w:unhideWhenUsed/>
    <w:qFormat/>
    <w:uiPriority w:val="99"/>
    <w:tblPr>
      <w:tblCellMar>
        <w:top w:w="0" w:type="dxa"/>
        <w:left w:w="108" w:type="dxa"/>
        <w:bottom w:w="0" w:type="dxa"/>
        <w:right w:w="108" w:type="dxa"/>
      </w:tblCellMar>
    </w:tblPr>
  </w:style>
  <w:style w:type="paragraph" w:styleId="11">
    <w:name w:val="annotation text"/>
    <w:basedOn w:val="1"/>
    <w:autoRedefine/>
    <w:semiHidden/>
    <w:unhideWhenUsed/>
    <w:qFormat/>
    <w:uiPriority w:val="99"/>
    <w:pPr>
      <w:jc w:val="left"/>
    </w:pPr>
  </w:style>
  <w:style w:type="paragraph" w:styleId="12">
    <w:name w:val="toc 3"/>
    <w:basedOn w:val="1"/>
    <w:next w:val="1"/>
    <w:autoRedefine/>
    <w:unhideWhenUsed/>
    <w:qFormat/>
    <w:uiPriority w:val="39"/>
    <w:pPr>
      <w:widowControl/>
      <w:spacing w:after="100" w:line="276" w:lineRule="auto"/>
      <w:ind w:left="440"/>
      <w:jc w:val="left"/>
    </w:pPr>
    <w:rPr>
      <w:kern w:val="0"/>
      <w:sz w:val="22"/>
    </w:rPr>
  </w:style>
  <w:style w:type="paragraph" w:styleId="13">
    <w:name w:val="Balloon Text"/>
    <w:basedOn w:val="1"/>
    <w:link w:val="29"/>
    <w:autoRedefine/>
    <w:qFormat/>
    <w:uiPriority w:val="0"/>
    <w:rPr>
      <w:sz w:val="18"/>
      <w:szCs w:val="18"/>
    </w:rPr>
  </w:style>
  <w:style w:type="paragraph" w:styleId="14">
    <w:name w:val="footer"/>
    <w:basedOn w:val="1"/>
    <w:link w:val="30"/>
    <w:autoRedefine/>
    <w:qFormat/>
    <w:uiPriority w:val="0"/>
    <w:pPr>
      <w:tabs>
        <w:tab w:val="center" w:pos="4153"/>
        <w:tab w:val="right" w:pos="8306"/>
      </w:tabs>
      <w:snapToGrid w:val="0"/>
      <w:jc w:val="left"/>
    </w:pPr>
    <w:rPr>
      <w:sz w:val="18"/>
      <w:szCs w:val="18"/>
    </w:rPr>
  </w:style>
  <w:style w:type="paragraph" w:styleId="15">
    <w:name w:val="header"/>
    <w:basedOn w:val="1"/>
    <w:link w:val="31"/>
    <w:autoRedefine/>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autoRedefine/>
    <w:unhideWhenUsed/>
    <w:qFormat/>
    <w:uiPriority w:val="39"/>
    <w:pPr>
      <w:widowControl/>
      <w:spacing w:after="100" w:line="276" w:lineRule="auto"/>
      <w:jc w:val="left"/>
    </w:pPr>
    <w:rPr>
      <w:kern w:val="0"/>
      <w:sz w:val="22"/>
    </w:rPr>
  </w:style>
  <w:style w:type="paragraph" w:styleId="17">
    <w:name w:val="toc 2"/>
    <w:basedOn w:val="1"/>
    <w:next w:val="1"/>
    <w:autoRedefine/>
    <w:unhideWhenUsed/>
    <w:qFormat/>
    <w:uiPriority w:val="39"/>
    <w:pPr>
      <w:widowControl/>
      <w:spacing w:after="100" w:line="276" w:lineRule="auto"/>
      <w:ind w:left="220"/>
      <w:jc w:val="left"/>
    </w:pPr>
    <w:rPr>
      <w:kern w:val="0"/>
      <w:sz w:val="22"/>
    </w:rPr>
  </w:style>
  <w:style w:type="paragraph" w:styleId="18">
    <w:name w:val="toc 9"/>
    <w:basedOn w:val="1"/>
    <w:next w:val="1"/>
    <w:semiHidden/>
    <w:unhideWhenUsed/>
    <w:qFormat/>
    <w:uiPriority w:val="39"/>
    <w:pPr>
      <w:ind w:left="3360" w:leftChars="1600"/>
    </w:pPr>
  </w:style>
  <w:style w:type="paragraph" w:styleId="19">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20">
    <w:name w:val="Title"/>
    <w:basedOn w:val="1"/>
    <w:next w:val="1"/>
    <w:link w:val="28"/>
    <w:autoRedefine/>
    <w:qFormat/>
    <w:uiPriority w:val="0"/>
    <w:pPr>
      <w:spacing w:before="240" w:after="60"/>
      <w:jc w:val="center"/>
      <w:outlineLvl w:val="0"/>
    </w:pPr>
    <w:rPr>
      <w:rFonts w:ascii="Cambria" w:hAnsi="Cambria"/>
      <w:b/>
      <w:bCs/>
      <w:sz w:val="32"/>
      <w:szCs w:val="32"/>
    </w:rPr>
  </w:style>
  <w:style w:type="table" w:styleId="22">
    <w:name w:val="Table Grid"/>
    <w:basedOn w:val="21"/>
    <w:autoRedefine/>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Strong"/>
    <w:basedOn w:val="23"/>
    <w:autoRedefine/>
    <w:qFormat/>
    <w:uiPriority w:val="22"/>
    <w:rPr>
      <w:b/>
      <w:bCs/>
    </w:rPr>
  </w:style>
  <w:style w:type="character" w:styleId="25">
    <w:name w:val="page number"/>
    <w:basedOn w:val="23"/>
    <w:autoRedefine/>
    <w:qFormat/>
    <w:uiPriority w:val="0"/>
  </w:style>
  <w:style w:type="character" w:styleId="26">
    <w:name w:val="FollowedHyperlink"/>
    <w:basedOn w:val="23"/>
    <w:autoRedefine/>
    <w:semiHidden/>
    <w:unhideWhenUsed/>
    <w:qFormat/>
    <w:uiPriority w:val="99"/>
    <w:rPr>
      <w:color w:val="800080" w:themeColor="followedHyperlink"/>
      <w:u w:val="single"/>
      <w14:textFill>
        <w14:solidFill>
          <w14:schemeClr w14:val="folHlink"/>
        </w14:solidFill>
      </w14:textFill>
    </w:rPr>
  </w:style>
  <w:style w:type="character" w:styleId="27">
    <w:name w:val="Hyperlink"/>
    <w:autoRedefine/>
    <w:unhideWhenUsed/>
    <w:qFormat/>
    <w:uiPriority w:val="99"/>
    <w:rPr>
      <w:color w:val="0000FF"/>
      <w:u w:val="single"/>
    </w:rPr>
  </w:style>
  <w:style w:type="character" w:customStyle="1" w:styleId="28">
    <w:name w:val="标题 Char"/>
    <w:basedOn w:val="23"/>
    <w:link w:val="20"/>
    <w:autoRedefine/>
    <w:qFormat/>
    <w:uiPriority w:val="0"/>
    <w:rPr>
      <w:rFonts w:ascii="Cambria" w:hAnsi="Cambria"/>
      <w:b/>
      <w:bCs/>
      <w:sz w:val="32"/>
      <w:szCs w:val="32"/>
    </w:rPr>
  </w:style>
  <w:style w:type="character" w:customStyle="1" w:styleId="29">
    <w:name w:val="批注框文本 Char"/>
    <w:basedOn w:val="23"/>
    <w:link w:val="13"/>
    <w:autoRedefine/>
    <w:qFormat/>
    <w:uiPriority w:val="0"/>
    <w:rPr>
      <w:sz w:val="18"/>
      <w:szCs w:val="18"/>
    </w:rPr>
  </w:style>
  <w:style w:type="character" w:customStyle="1" w:styleId="30">
    <w:name w:val="页脚 Char"/>
    <w:link w:val="14"/>
    <w:autoRedefine/>
    <w:qFormat/>
    <w:uiPriority w:val="0"/>
    <w:rPr>
      <w:sz w:val="18"/>
      <w:szCs w:val="18"/>
    </w:rPr>
  </w:style>
  <w:style w:type="character" w:customStyle="1" w:styleId="31">
    <w:name w:val="页眉 Char"/>
    <w:link w:val="15"/>
    <w:autoRedefine/>
    <w:qFormat/>
    <w:uiPriority w:val="0"/>
    <w:rPr>
      <w:sz w:val="18"/>
      <w:szCs w:val="18"/>
    </w:rPr>
  </w:style>
  <w:style w:type="paragraph" w:customStyle="1" w:styleId="32">
    <w:name w:val="Char"/>
    <w:basedOn w:val="1"/>
    <w:autoRedefine/>
    <w:qFormat/>
    <w:uiPriority w:val="0"/>
    <w:rPr>
      <w:rFonts w:ascii="Times New Roman" w:hAnsi="Times New Roman" w:eastAsia="宋体" w:cs="Times New Roman"/>
      <w:szCs w:val="24"/>
    </w:rPr>
  </w:style>
  <w:style w:type="character" w:customStyle="1" w:styleId="33">
    <w:name w:val="标题 Char1"/>
    <w:basedOn w:val="23"/>
    <w:autoRedefine/>
    <w:qFormat/>
    <w:uiPriority w:val="10"/>
    <w:rPr>
      <w:rFonts w:eastAsia="宋体" w:asciiTheme="majorHAnsi" w:hAnsiTheme="majorHAnsi" w:cstheme="majorBidi"/>
      <w:b/>
      <w:bCs/>
      <w:sz w:val="32"/>
      <w:szCs w:val="32"/>
    </w:rPr>
  </w:style>
  <w:style w:type="character" w:customStyle="1" w:styleId="34">
    <w:name w:val="页眉 Char1"/>
    <w:basedOn w:val="23"/>
    <w:autoRedefine/>
    <w:semiHidden/>
    <w:qFormat/>
    <w:uiPriority w:val="99"/>
    <w:rPr>
      <w:sz w:val="18"/>
      <w:szCs w:val="18"/>
    </w:rPr>
  </w:style>
  <w:style w:type="character" w:customStyle="1" w:styleId="35">
    <w:name w:val="页脚 Char1"/>
    <w:basedOn w:val="23"/>
    <w:autoRedefine/>
    <w:semiHidden/>
    <w:qFormat/>
    <w:uiPriority w:val="99"/>
    <w:rPr>
      <w:sz w:val="18"/>
      <w:szCs w:val="18"/>
    </w:rPr>
  </w:style>
  <w:style w:type="character" w:customStyle="1" w:styleId="36">
    <w:name w:val="批注框文本 Char1"/>
    <w:basedOn w:val="23"/>
    <w:autoRedefine/>
    <w:semiHidden/>
    <w:qFormat/>
    <w:uiPriority w:val="99"/>
    <w:rPr>
      <w:sz w:val="18"/>
      <w:szCs w:val="18"/>
    </w:rPr>
  </w:style>
  <w:style w:type="paragraph" w:styleId="37">
    <w:name w:val="List Paragraph"/>
    <w:basedOn w:val="1"/>
    <w:autoRedefine/>
    <w:qFormat/>
    <w:uiPriority w:val="34"/>
    <w:pPr>
      <w:ind w:firstLine="420" w:firstLineChars="200"/>
    </w:pPr>
  </w:style>
  <w:style w:type="character" w:customStyle="1" w:styleId="38">
    <w:name w:val="15"/>
    <w:basedOn w:val="23"/>
    <w:autoRedefine/>
    <w:qFormat/>
    <w:uiPriority w:val="0"/>
    <w:rPr>
      <w:rFonts w:hint="default" w:ascii="Times New Roman" w:hAnsi="Times New Roman" w:cs="Times New Roman"/>
      <w:b/>
      <w:bCs/>
    </w:rPr>
  </w:style>
  <w:style w:type="character" w:customStyle="1" w:styleId="39">
    <w:name w:val="apple-style-span"/>
    <w:basedOn w:val="23"/>
    <w:autoRedefine/>
    <w:qFormat/>
    <w:uiPriority w:val="0"/>
  </w:style>
  <w:style w:type="character" w:customStyle="1" w:styleId="40">
    <w:name w:val="grame"/>
    <w:basedOn w:val="23"/>
    <w:autoRedefine/>
    <w:qFormat/>
    <w:uiPriority w:val="0"/>
  </w:style>
  <w:style w:type="character" w:customStyle="1" w:styleId="41">
    <w:name w:val="ht1"/>
    <w:autoRedefine/>
    <w:qFormat/>
    <w:uiPriority w:val="0"/>
    <w:rPr>
      <w:rFonts w:ascii="黑体" w:eastAsia="黑体"/>
      <w:b/>
      <w:bCs/>
    </w:rPr>
  </w:style>
  <w:style w:type="paragraph" w:customStyle="1" w:styleId="42">
    <w:name w:val="zw"/>
    <w:basedOn w:val="1"/>
    <w:autoRedefine/>
    <w:qFormat/>
    <w:uiPriority w:val="0"/>
    <w:pPr>
      <w:widowControl/>
      <w:spacing w:before="30"/>
      <w:ind w:left="100" w:right="100"/>
    </w:pPr>
    <w:rPr>
      <w:rFonts w:ascii="方正书宋简体" w:hAnsi="方正书宋简体" w:eastAsia="方正书宋简体" w:cs="Times New Roman"/>
      <w:color w:val="000000"/>
      <w:kern w:val="0"/>
      <w:szCs w:val="21"/>
    </w:rPr>
  </w:style>
  <w:style w:type="paragraph" w:customStyle="1" w:styleId="43">
    <w:name w:val="_Style 28"/>
    <w:autoRedefine/>
    <w:qFormat/>
    <w:uiPriority w:val="0"/>
    <w:pPr>
      <w:widowControl w:val="0"/>
      <w:spacing w:line="560" w:lineRule="exact"/>
      <w:jc w:val="both"/>
    </w:pPr>
    <w:rPr>
      <w:rFonts w:asciiTheme="minorHAnsi" w:hAnsiTheme="minorHAnsi" w:eastAsiaTheme="minorEastAsia" w:cstheme="minorBidi"/>
      <w:kern w:val="2"/>
      <w:sz w:val="21"/>
      <w:szCs w:val="22"/>
      <w:lang w:val="en-US" w:eastAsia="zh-CN" w:bidi="ar-SA"/>
    </w:rPr>
  </w:style>
  <w:style w:type="character" w:customStyle="1" w:styleId="44">
    <w:name w:val="标题 3 Char"/>
    <w:basedOn w:val="23"/>
    <w:link w:val="4"/>
    <w:autoRedefine/>
    <w:semiHidden/>
    <w:qFormat/>
    <w:uiPriority w:val="0"/>
    <w:rPr>
      <w:rFonts w:ascii="宋体" w:hAnsi="宋体" w:eastAsia="宋体" w:cs="Times New Roman"/>
      <w:b/>
      <w:kern w:val="0"/>
      <w:sz w:val="27"/>
      <w:szCs w:val="27"/>
    </w:rPr>
  </w:style>
  <w:style w:type="character" w:customStyle="1" w:styleId="45">
    <w:name w:val="批注框文本 字符"/>
    <w:autoRedefine/>
    <w:qFormat/>
    <w:uiPriority w:val="0"/>
    <w:rPr>
      <w:kern w:val="2"/>
      <w:sz w:val="18"/>
      <w:szCs w:val="18"/>
    </w:rPr>
  </w:style>
  <w:style w:type="character" w:customStyle="1" w:styleId="46">
    <w:name w:val="页脚 字符"/>
    <w:autoRedefine/>
    <w:qFormat/>
    <w:uiPriority w:val="99"/>
    <w:rPr>
      <w:kern w:val="2"/>
      <w:sz w:val="18"/>
      <w:szCs w:val="18"/>
    </w:rPr>
  </w:style>
  <w:style w:type="character" w:customStyle="1" w:styleId="47">
    <w:name w:val="标题 字符"/>
    <w:autoRedefine/>
    <w:qFormat/>
    <w:uiPriority w:val="0"/>
    <w:rPr>
      <w:rFonts w:ascii="Cambria" w:hAnsi="Cambria" w:cs="Times New Roman"/>
      <w:b/>
      <w:bCs/>
      <w:kern w:val="2"/>
      <w:sz w:val="32"/>
      <w:szCs w:val="32"/>
    </w:rPr>
  </w:style>
  <w:style w:type="character" w:customStyle="1" w:styleId="48">
    <w:name w:val="页眉 字符"/>
    <w:autoRedefine/>
    <w:qFormat/>
    <w:uiPriority w:val="0"/>
    <w:rPr>
      <w:kern w:val="2"/>
      <w:sz w:val="18"/>
      <w:szCs w:val="18"/>
    </w:rPr>
  </w:style>
  <w:style w:type="character" w:customStyle="1" w:styleId="49">
    <w:name w:val="标题 1 Char"/>
    <w:basedOn w:val="23"/>
    <w:link w:val="2"/>
    <w:autoRedefine/>
    <w:qFormat/>
    <w:uiPriority w:val="9"/>
    <w:rPr>
      <w:b/>
      <w:bCs/>
      <w:kern w:val="44"/>
      <w:sz w:val="44"/>
      <w:szCs w:val="44"/>
    </w:rPr>
  </w:style>
  <w:style w:type="paragraph" w:customStyle="1" w:styleId="50">
    <w:name w:val="TOC 标题1"/>
    <w:basedOn w:val="2"/>
    <w:next w:val="1"/>
    <w:autoRedefine/>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51">
    <w:name w:val="标题 2 Char"/>
    <w:basedOn w:val="23"/>
    <w:link w:val="3"/>
    <w:autoRedefine/>
    <w:semiHidden/>
    <w:qFormat/>
    <w:uiPriority w:val="9"/>
    <w:rPr>
      <w:rFonts w:asciiTheme="majorHAnsi" w:hAnsiTheme="majorHAnsi" w:eastAsiaTheme="majorEastAsia" w:cstheme="majorBidi"/>
      <w:b/>
      <w:bCs/>
      <w:sz w:val="32"/>
      <w:szCs w:val="32"/>
    </w:rPr>
  </w:style>
  <w:style w:type="paragraph" w:customStyle="1" w:styleId="52">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118</Pages>
  <Words>207653</Words>
  <Characters>212595</Characters>
  <Lines>2221</Lines>
  <Paragraphs>625</Paragraphs>
  <TotalTime>6811</TotalTime>
  <ScaleCrop>false</ScaleCrop>
  <LinksUpToDate>false</LinksUpToDate>
  <CharactersWithSpaces>212922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2021-01-01T17:51:00Z</dcterms:created>
  <dc:creator>Ma</dc:creator>
  <cp:lastModifiedBy>WPS_1677126106</cp:lastModifiedBy>
  <cp:lastPrinted>2025-01-17T07:53:00Z</cp:lastPrinted>
  <dcterms:modified xsi:type="dcterms:W3CDTF">2025-06-14T04:11:34Z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E9439333067943F0A51DBEC261CC13EE_13</vt:lpwstr>
  </property>
  <property fmtid="{D5CDD505-2E9C-101B-9397-08002B2CF9AE}" pid="4" name="KSOTemplateDocerSaveRecord">
    <vt:lpwstr>eyJoZGlkIjoiYmM3OTc5MTA1NWY2Yzc2NmZkZmVlNmM5YzFlNmZiZDkiLCJ1c2VySWQiOiIzMjY2MDM3NzEifQ==</vt:lpwstr>
  </property>
</Properties>
</file>